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38d93a66b1d4e928257b63ba5a95b04"/>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2016-12-01, i. k. 2016-27896</w:t>
          </w:r>
        </w:p>
        <w:p>
          <w:pPr>
            <w:jc w:val="both"/>
            <w:rPr>
              <w:rFonts w:ascii="Times New Roman" w:hAnsi="Times New Roman"/>
              <w:sz w:val="20"/>
            </w:rPr>
          </w:pPr>
        </w:p>
        <w:p>
          <w:pPr>
            <w:tabs>
              <w:tab w:val="center" w:pos="4153"/>
              <w:tab w:val="right" w:pos="9100"/>
            </w:tabs>
            <w:suppressAutoHyphens/>
            <w:jc w:val="center"/>
            <w:rPr>
              <w:rFonts w:ascii="Arial" w:hAnsi="Arial"/>
              <w:color w:val="000000" w:themeColor="text1"/>
              <w:spacing w:val="8"/>
              <w:szCs w:val="24"/>
              <w:lang w:eastAsia="ar-SA"/>
            </w:rPr>
          </w:pPr>
          <w:r>
            <w:rPr>
              <w:rFonts w:ascii="Tahoma" w:hAnsi="Tahoma"/>
              <w:b/>
              <w:color w:val="000000" w:themeColor="text1"/>
              <w:spacing w:val="20"/>
              <w:szCs w:val="24"/>
              <w:lang w:eastAsia="lt-LT"/>
            </w:rPr>
            <w:drawing>
              <wp:inline distT="0" distB="0" distL="0" distR="0">
                <wp:extent cx="521335" cy="6311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335" cy="631190"/>
                        </a:xfrm>
                        <a:prstGeom prst="rect">
                          <a:avLst/>
                        </a:prstGeom>
                        <a:solidFill>
                          <a:srgbClr val="FFFFFF">
                            <a:alpha val="0"/>
                          </a:srgbClr>
                        </a:solidFill>
                        <a:ln>
                          <a:noFill/>
                        </a:ln>
                      </pic:spPr>
                    </pic:pic>
                  </a:graphicData>
                </a:graphic>
              </wp:inline>
            </w:drawing>
          </w:r>
        </w:p>
        <w:p>
          <w:pPr>
            <w:tabs>
              <w:tab w:val="right" w:pos="9100"/>
            </w:tabs>
            <w:suppressAutoHyphens/>
            <w:jc w:val="center"/>
            <w:rPr>
              <w:rFonts w:ascii="Arial" w:hAnsi="Arial"/>
              <w:color w:val="000000" w:themeColor="text1"/>
              <w:spacing w:val="8"/>
              <w:szCs w:val="24"/>
              <w:lang w:eastAsia="ar-SA"/>
            </w:rPr>
          </w:pPr>
        </w:p>
        <w:p>
          <w:pPr>
            <w:tabs>
              <w:tab w:val="right" w:pos="9100"/>
            </w:tabs>
            <w:suppressAutoHyphens/>
            <w:jc w:val="center"/>
            <w:rPr>
              <w:b/>
              <w:color w:val="000000" w:themeColor="text1"/>
              <w:spacing w:val="10"/>
              <w:szCs w:val="24"/>
              <w:lang w:eastAsia="ar-SA"/>
            </w:rPr>
          </w:pPr>
          <w:r>
            <w:rPr>
              <w:b/>
              <w:color w:val="000000" w:themeColor="text1"/>
              <w:spacing w:val="10"/>
              <w:szCs w:val="24"/>
              <w:lang w:eastAsia="ar-SA"/>
            </w:rPr>
            <w:t>LIETUVOS RESPUBLIKOS APLINKOS MINISTRAS</w:t>
          </w:r>
        </w:p>
        <w:p>
          <w:pPr>
            <w:tabs>
              <w:tab w:val="right" w:pos="9100"/>
            </w:tabs>
            <w:suppressAutoHyphens/>
            <w:jc w:val="center"/>
            <w:rPr>
              <w:b/>
              <w:color w:val="000000" w:themeColor="text1"/>
              <w:spacing w:val="10"/>
              <w:szCs w:val="24"/>
              <w:lang w:eastAsia="ar-SA"/>
            </w:rPr>
          </w:pPr>
        </w:p>
        <w:p>
          <w:pPr>
            <w:tabs>
              <w:tab w:val="right" w:pos="9100"/>
            </w:tabs>
            <w:suppressAutoHyphens/>
            <w:jc w:val="center"/>
            <w:rPr>
              <w:b/>
              <w:color w:val="000000" w:themeColor="text1"/>
              <w:spacing w:val="10"/>
              <w:szCs w:val="24"/>
              <w:lang w:eastAsia="ar-SA"/>
            </w:rPr>
          </w:pPr>
          <w:r>
            <w:rPr>
              <w:b/>
              <w:color w:val="000000" w:themeColor="text1"/>
              <w:spacing w:val="10"/>
              <w:szCs w:val="24"/>
              <w:lang w:eastAsia="ar-SA"/>
            </w:rPr>
            <w:t>ĮSAKYMAS</w:t>
          </w:r>
        </w:p>
        <w:p>
          <w:pPr>
            <w:jc w:val="center"/>
            <w:rPr>
              <w:b/>
              <w:bCs/>
              <w:caps/>
              <w:color w:val="000000" w:themeColor="text1"/>
              <w:szCs w:val="24"/>
            </w:rPr>
          </w:pPr>
          <w:r>
            <w:rPr>
              <w:b/>
              <w:bCs/>
              <w:caps/>
              <w:color w:val="000000" w:themeColor="text1"/>
              <w:szCs w:val="24"/>
            </w:rPr>
            <w:t>DĖL statybos techninio reglamento STR 2.01.02:2016 „</w:t>
          </w:r>
          <w:r>
            <w:rPr>
              <w:b/>
              <w:bCs/>
              <w:color w:val="000000" w:themeColor="text1"/>
              <w:szCs w:val="24"/>
              <w:lang w:val="en-GB" w:eastAsia="lt-LT"/>
            </w:rPr>
            <w:t>PASTATŲ ENERGINIO NAUDINGUMO PROJEKTAVIMAS IR SERTIFIKAVIMAS</w:t>
          </w:r>
          <w:r>
            <w:rPr>
              <w:b/>
              <w:bCs/>
              <w:caps/>
              <w:color w:val="000000" w:themeColor="text1"/>
              <w:szCs w:val="24"/>
            </w:rPr>
            <w:t>“ PATVIRTINIMO</w:t>
          </w:r>
        </w:p>
        <w:p>
          <w:pPr>
            <w:jc w:val="center"/>
            <w:rPr>
              <w:color w:val="000000" w:themeColor="text1"/>
              <w:szCs w:val="24"/>
            </w:rPr>
          </w:pPr>
        </w:p>
        <w:p>
          <w:pPr>
            <w:suppressAutoHyphens/>
            <w:jc w:val="center"/>
            <w:rPr>
              <w:bCs/>
              <w:color w:val="000000" w:themeColor="text1"/>
              <w:spacing w:val="10"/>
              <w:szCs w:val="24"/>
              <w:lang w:eastAsia="ar-SA"/>
            </w:rPr>
          </w:pPr>
          <w:r>
            <w:rPr>
              <w:bCs/>
              <w:color w:val="000000" w:themeColor="text1"/>
              <w:spacing w:val="10"/>
              <w:szCs w:val="24"/>
              <w:lang w:eastAsia="ar-SA"/>
            </w:rPr>
            <w:t>2016 m. lapkričio 11 d. Nr. D1-754</w:t>
          </w:r>
        </w:p>
        <w:p>
          <w:pPr>
            <w:tabs>
              <w:tab w:val="right" w:pos="9100"/>
            </w:tabs>
            <w:suppressAutoHyphens/>
            <w:jc w:val="center"/>
            <w:rPr>
              <w:bCs/>
              <w:color w:val="000000" w:themeColor="text1"/>
              <w:spacing w:val="10"/>
              <w:szCs w:val="24"/>
              <w:lang w:eastAsia="ar-SA"/>
            </w:rPr>
          </w:pPr>
          <w:r>
            <w:rPr>
              <w:bCs/>
              <w:color w:val="000000" w:themeColor="text1"/>
              <w:spacing w:val="10"/>
              <w:szCs w:val="24"/>
              <w:lang w:eastAsia="ar-SA"/>
            </w:rPr>
            <w:t>Vilnius</w:t>
          </w:r>
        </w:p>
        <w:p>
          <w:pPr>
            <w:tabs>
              <w:tab w:val="right" w:pos="9100"/>
            </w:tabs>
            <w:suppressAutoHyphens/>
            <w:jc w:val="center"/>
            <w:rPr>
              <w:bCs/>
              <w:color w:val="000000" w:themeColor="text1"/>
              <w:spacing w:val="10"/>
              <w:szCs w:val="24"/>
              <w:lang w:eastAsia="ar-SA"/>
            </w:rPr>
          </w:pPr>
        </w:p>
        <w:p>
          <w:pPr>
            <w:jc w:val="center"/>
            <w:rPr>
              <w:color w:val="000000" w:themeColor="text1"/>
              <w:szCs w:val="24"/>
            </w:rPr>
          </w:pPr>
        </w:p>
        <w:sdt>
          <w:sdtPr>
            <w:alias w:val="preambule"/>
            <w:tag w:val="part_4f7f4baae7bc46588436f3d8eadd8ed9"/>
            <w:lock w:val="sdtLocked"/>
            <w:richText/>
          </w:sdtPr>
          <w:sdtContent>
            <w:p>
              <w:pPr>
                <w:ind w:firstLine="567"/>
                <w:jc w:val="both"/>
                <w:rPr>
                  <w:szCs w:val="24"/>
                </w:rPr>
              </w:pPr>
              <w:r>
                <w:rPr>
                  <w:szCs w:val="24"/>
                </w:rPr>
                <w:t>Vadovaudamasis Lietuvos Respublikos statybos įstatymo 8 straipsnio 5 dalimi, 51 straipsnio 5 dalimi ir Lietuvos Respublikos Vyriausybės 2002 m. vasario 26 d. nutarimo Nr. 280 „Dėl Lietuvos Respublikos statybos įstatymo įgyvendinimo“ 1.2.27 papunkčiu:</w:t>
              </w:r>
            </w:p>
          </w:sdtContent>
        </w:sdt>
        <w:sdt>
          <w:sdtPr>
            <w:alias w:val="1 p."/>
            <w:tag w:val="part_39f95fd836044cfd864dc0cd4d404bf5"/>
            <w:lock w:val="sdtLocked"/>
            <w:richText/>
          </w:sdtPr>
          <w:sdtContent>
            <w:p>
              <w:pPr>
                <w:ind w:firstLine="567"/>
                <w:jc w:val="both"/>
                <w:rPr>
                  <w:szCs w:val="24"/>
                </w:rPr>
              </w:pPr>
              <w:sdt>
                <w:sdtPr>
                  <w:alias w:val="Numeris"/>
                  <w:tag w:val="nr_39f95fd836044cfd864dc0cd4d404bf5"/>
                  <w:lock w:val="sdtLocked"/>
                  <w:richText/>
                </w:sdtPr>
                <w:sdtContent>
                  <w:r>
                    <w:rPr>
                      <w:szCs w:val="24"/>
                    </w:rPr>
                    <w:t>1</w:t>
                  </w:r>
                </w:sdtContent>
              </w:sdt>
              <w:r>
                <w:rPr>
                  <w:szCs w:val="24"/>
                </w:rPr>
                <w:t>. T v i r t i n u statybos techninį reglamentą STR 2.01.02:2016 „Pastatų energinio naudingumo projektavimas ir sertifikavimas“ (pridedama).</w:t>
              </w:r>
            </w:p>
          </w:sdtContent>
        </w:sdt>
        <w:sdt>
          <w:sdtPr>
            <w:alias w:val="2 p."/>
            <w:tag w:val="part_7b5fbdebc512463e9353ac6ef584311e"/>
            <w:lock w:val="sdtLocked"/>
            <w:richText/>
          </w:sdtPr>
          <w:sdtContent>
            <w:p>
              <w:pPr>
                <w:ind w:firstLine="567"/>
                <w:jc w:val="both"/>
                <w:rPr>
                  <w:szCs w:val="24"/>
                </w:rPr>
              </w:pPr>
              <w:sdt>
                <w:sdtPr>
                  <w:alias w:val="Numeris"/>
                  <w:tag w:val="nr_7b5fbdebc512463e9353ac6ef584311e"/>
                  <w:lock w:val="sdtLocked"/>
                  <w:richText/>
                </w:sdtPr>
                <w:sdtContent>
                  <w:r>
                    <w:rPr>
                      <w:szCs w:val="24"/>
                    </w:rPr>
                    <w:t>2</w:t>
                  </w:r>
                </w:sdtContent>
              </w:sdt>
              <w:r>
                <w:rPr>
                  <w:szCs w:val="24"/>
                </w:rPr>
                <w:t>. P r i p a ž į s t u netekusiais galios:</w:t>
              </w:r>
            </w:p>
            <w:sdt>
              <w:sdtPr>
                <w:alias w:val="2.1 pp."/>
                <w:tag w:val="part_29479027da254b2f949ba09e5cd8c479"/>
                <w:lock w:val="sdtLocked"/>
                <w:richText/>
              </w:sdtPr>
              <w:sdtContent>
                <w:p>
                  <w:pPr>
                    <w:ind w:firstLine="567"/>
                    <w:jc w:val="both"/>
                    <w:rPr>
                      <w:color w:val="000000" w:themeColor="text1"/>
                      <w:szCs w:val="24"/>
                    </w:rPr>
                  </w:pPr>
                  <w:sdt>
                    <w:sdtPr>
                      <w:alias w:val="Numeris"/>
                      <w:tag w:val="nr_29479027da254b2f949ba09e5cd8c479"/>
                      <w:lock w:val="sdtLocked"/>
                      <w:richText/>
                    </w:sdtPr>
                    <w:sdtContent>
                      <w:r>
                        <w:rPr>
                          <w:color w:val="000000" w:themeColor="text1"/>
                          <w:szCs w:val="24"/>
                        </w:rPr>
                        <w:t>2.1</w:t>
                      </w:r>
                    </w:sdtContent>
                  </w:sdt>
                  <w:r>
                    <w:rPr>
                      <w:color w:val="000000" w:themeColor="text1"/>
                      <w:szCs w:val="24"/>
                    </w:rPr>
                    <w:t>. Lietuvos Respublikos aplinkos ministro 2013 m. gruodžio 9 d. įsakymą Nr. D1-909 „Dėl statybos techninio reglamento STR 2.05.01:2013 „Pastatų energinio naudingumo projektavimas“ patvirtinimo“ su visais pakeitimais ir papildymais;</w:t>
                  </w:r>
                </w:p>
              </w:sdtContent>
            </w:sdt>
            <w:sdt>
              <w:sdtPr>
                <w:alias w:val="2.2 pp."/>
                <w:tag w:val="part_b5fd0059df2d4fe987fad3f4c0328b34"/>
                <w:lock w:val="sdtLocked"/>
                <w:richText/>
              </w:sdtPr>
              <w:sdtContent>
                <w:p>
                  <w:pPr>
                    <w:ind w:firstLine="567"/>
                    <w:jc w:val="both"/>
                    <w:rPr>
                      <w:color w:val="000000" w:themeColor="text1"/>
                      <w:szCs w:val="24"/>
                    </w:rPr>
                  </w:pPr>
                  <w:sdt>
                    <w:sdtPr>
                      <w:alias w:val="Numeris"/>
                      <w:tag w:val="nr_b5fd0059df2d4fe987fad3f4c0328b34"/>
                      <w:lock w:val="sdtLocked"/>
                      <w:richText/>
                    </w:sdtPr>
                    <w:sdtContent>
                      <w:r>
                        <w:rPr>
                          <w:color w:val="000000" w:themeColor="text1"/>
                          <w:szCs w:val="24"/>
                        </w:rPr>
                        <w:t>2.2</w:t>
                      </w:r>
                    </w:sdtContent>
                  </w:sdt>
                  <w:r>
                    <w:rPr>
                      <w:color w:val="000000" w:themeColor="text1"/>
                      <w:szCs w:val="24"/>
                    </w:rPr>
                    <w:t>. Lietuvos Respublikos aplinkos ministro 2005 m. gruodžio 20 d. įsakymą Nr. D1-624 „Dėl statybos techninio reglamento STR 2.01.09:2005 „Pastatų energinis naudingumas. Energinio naudingumo sertifikavimas“ patvirtinimo“ su visais pakeitimais ir papildymais;</w:t>
                  </w:r>
                </w:p>
              </w:sdtContent>
            </w:sdt>
            <w:sdt>
              <w:sdtPr>
                <w:alias w:val="2.3 pp."/>
                <w:tag w:val="part_1ec5f32e18344d6c95d5f1f677d43a26"/>
                <w:lock w:val="sdtLocked"/>
                <w:richText/>
              </w:sdtPr>
              <w:sdtContent>
                <w:p>
                  <w:pPr>
                    <w:ind w:firstLine="567"/>
                    <w:jc w:val="both"/>
                    <w:rPr>
                      <w:szCs w:val="24"/>
                    </w:rPr>
                  </w:pPr>
                  <w:sdt>
                    <w:sdtPr>
                      <w:alias w:val="Numeris"/>
                      <w:tag w:val="nr_1ec5f32e18344d6c95d5f1f677d43a26"/>
                      <w:lock w:val="sdtLocked"/>
                      <w:richText/>
                    </w:sdtPr>
                    <w:sdtContent>
                      <w:r>
                        <w:rPr>
                          <w:szCs w:val="24"/>
                        </w:rPr>
                        <w:t>2.3</w:t>
                      </w:r>
                    </w:sdtContent>
                  </w:sdt>
                  <w:r>
                    <w:rPr>
                      <w:szCs w:val="24"/>
                    </w:rPr>
                    <w:t>. Lietuvos Respublikos aplinkos ministro 2008 m. gegužės 12 d. įsakymą Nr. D1-248 „Dėl statybos techninio reglamento STR 2.09.04:2008 „Pastato šildymo sistemos galia. Šilumos poreikis šildymui“ patvirtinimo“;</w:t>
                  </w:r>
                </w:p>
              </w:sdtContent>
            </w:sdt>
            <w:sdt>
              <w:sdtPr>
                <w:alias w:val="2.4 pp."/>
                <w:tag w:val="part_8e55166c5f3247d6b0977c6735d4ad9a"/>
                <w:lock w:val="sdtLocked"/>
                <w:richText/>
              </w:sdtPr>
              <w:sdtContent>
                <w:p>
                  <w:pPr>
                    <w:ind w:firstLine="567"/>
                    <w:jc w:val="both"/>
                    <w:rPr>
                      <w:szCs w:val="24"/>
                    </w:rPr>
                  </w:pPr>
                  <w:sdt>
                    <w:sdtPr>
                      <w:alias w:val="Numeris"/>
                      <w:tag w:val="nr_8e55166c5f3247d6b0977c6735d4ad9a"/>
                      <w:lock w:val="sdtLocked"/>
                      <w:richText/>
                    </w:sdtPr>
                    <w:sdtContent>
                      <w:r>
                        <w:rPr>
                          <w:szCs w:val="24"/>
                        </w:rPr>
                        <w:t>2.4</w:t>
                      </w:r>
                    </w:sdtContent>
                  </w:sdt>
                  <w:r>
                    <w:rPr>
                      <w:szCs w:val="24"/>
                    </w:rPr>
                    <w:t>. Lietuvos Respublikos aplinkos ministro 2009 m. liepos 29 d. įsakymą Nr. D1-451 „Dėl statybos techninio reglamento STR 2.01.03:2009 „Statybinių medžiagų ir gaminių šiluminių techninių dydžių projektinės vertės“ patvirtinimo“.</w:t>
                  </w:r>
                </w:p>
              </w:sdtContent>
            </w:sdt>
          </w:sdtContent>
        </w:sdt>
        <w:sdt>
          <w:sdtPr>
            <w:alias w:val="3 p."/>
            <w:tag w:val="part_ef1094e86c52479fb002b89e43077345"/>
            <w:lock w:val="sdtLocked"/>
            <w:richText/>
          </w:sdtPr>
          <w:sdtContent>
            <w:p>
              <w:pPr>
                <w:ind w:firstLine="567"/>
                <w:jc w:val="both"/>
              </w:pPr>
              <w:sdt>
                <w:sdtPr>
                  <w:alias w:val="Numeris"/>
                  <w:tag w:val="nr_ef1094e86c52479fb002b89e43077345"/>
                  <w:lock w:val="sdtLocked"/>
                  <w:richText/>
                </w:sdtPr>
                <w:sdtContent>
                  <w:r>
                    <w:rPr>
                      <w:szCs w:val="24"/>
                    </w:rPr>
                    <w:t>3</w:t>
                  </w:r>
                </w:sdtContent>
              </w:sdt>
              <w:r>
                <w:rPr>
                  <w:szCs w:val="24"/>
                </w:rPr>
                <w:t>. Nustatau, kad šis įsakymas įsigalioja 2017 m. sausio 1 dieną.</w:t>
              </w:r>
            </w:p>
          </w:sdtContent>
        </w:sdt>
        <w:sdt>
          <w:sdtPr>
            <w:alias w:val="signatura"/>
            <w:tag w:val="part_8127847f01394c4a9eacf47f6f6c4137"/>
            <w:lock w:val="sdtLocked"/>
            <w:richText/>
          </w:sdtPr>
          <w:sdtContent>
            <w:p>
              <w:pPr>
                <w:tabs>
                  <w:tab w:val="left" w:pos="4960"/>
                </w:tabs>
              </w:pPr>
            </w:p>
            <w:p>
              <w:pPr>
                <w:tabs>
                  <w:tab w:val="left" w:pos="4960"/>
                </w:tabs>
              </w:pPr>
            </w:p>
            <w:p>
              <w:pPr>
                <w:tabs>
                  <w:tab w:val="left" w:pos="7371"/>
                </w:tabs>
              </w:pPr>
            </w:p>
            <w:p>
              <w:pPr>
                <w:tabs>
                  <w:tab w:val="left" w:pos="7371"/>
                </w:tabs>
              </w:pPr>
              <w:r>
                <w:t>Aplinkos ministras</w:t>
              </w:r>
              <w:r>
                <w:rPr>
                  <w:szCs w:val="24"/>
                </w:rPr>
                <w:t xml:space="preserve"> </w:t>
                <w:tab/>
                <w:t>Kęstutis Trečiokas</w:t>
              </w:r>
            </w:p>
          </w:sdtContent>
        </w:sdt>
      </w:sdtContent>
    </w:sdt>
    <w:sdt>
      <w:sdtPr>
        <w:alias w:val="patvirtinta"/>
        <w:tag w:val="part_7351fdd0de3446cdb2e7e0470fd76ea0"/>
        <w:lock w:val="sdtLocked"/>
        <w:richText/>
      </w:sdtPr>
      <w:sdtContent>
        <w:p>
          <w:pPr>
            <w:ind w:firstLine="4678"/>
            <w:sectPr>
              <w:headerReference w:type="even" r:id="rId25"/>
              <w:headerReference w:type="default" r:id="rId26"/>
              <w:footerReference w:type="even" r:id="rId27"/>
              <w:footerReference w:type="default" r:id="rId28"/>
              <w:headerReference w:type="first" r:id="rId29"/>
              <w:footerReference w:type="first" r:id="rId30"/>
              <w:pgSz w:w="11907" w:h="16840"/>
              <w:pgMar w:top="1134" w:right="851" w:bottom="1134" w:left="1701" w:header="567" w:footer="567" w:gutter="0"/>
              <w:cols w:space="1296"/>
              <w:titlePg/>
              <w:docGrid w:linePitch="326"/>
            </w:sectPr>
          </w:pPr>
        </w:p>
        <w:p>
          <w:pPr>
            <w:ind w:firstLine="4678"/>
            <w:rPr>
              <w:rFonts w:eastAsia="Calibri"/>
              <w:caps/>
              <w:color w:val="000000" w:themeColor="text1"/>
              <w:szCs w:val="22"/>
              <w:lang w:eastAsia="lt-LT"/>
            </w:rPr>
          </w:pPr>
          <w:r>
            <w:rPr>
              <w:rFonts w:eastAsia="Calibri"/>
              <w:caps/>
              <w:color w:val="000000" w:themeColor="text1"/>
              <w:szCs w:val="22"/>
              <w:lang w:eastAsia="lt-LT"/>
            </w:rPr>
            <w:t>patvirtinta</w:t>
          </w:r>
        </w:p>
        <w:p>
          <w:pPr>
            <w:ind w:firstLine="4678"/>
            <w:rPr>
              <w:rFonts w:eastAsia="Calibri"/>
              <w:color w:val="000000" w:themeColor="text1"/>
              <w:szCs w:val="22"/>
              <w:lang w:eastAsia="lt-LT"/>
            </w:rPr>
          </w:pPr>
          <w:r>
            <w:rPr>
              <w:rFonts w:eastAsia="Calibri"/>
              <w:color w:val="000000" w:themeColor="text1"/>
              <w:szCs w:val="22"/>
              <w:lang w:eastAsia="lt-LT"/>
            </w:rPr>
            <w:t>Lietuvos Respublikos aplinkos ministro</w:t>
          </w:r>
        </w:p>
        <w:p>
          <w:pPr>
            <w:ind w:firstLine="4678"/>
            <w:rPr>
              <w:rFonts w:eastAsia="Calibri"/>
              <w:color w:val="000000" w:themeColor="text1"/>
              <w:szCs w:val="22"/>
              <w:lang w:eastAsia="lt-LT"/>
            </w:rPr>
          </w:pPr>
          <w:r>
            <w:rPr>
              <w:rFonts w:eastAsia="Calibri"/>
              <w:color w:val="000000" w:themeColor="text1"/>
              <w:szCs w:val="22"/>
              <w:lang w:eastAsia="lt-LT"/>
            </w:rPr>
            <w:t>2016 m. lapkričio 11 d. įsakymu Nr. D1-754</w:t>
          </w:r>
        </w:p>
        <w:p>
          <w:pPr>
            <w:rPr>
              <w:color w:val="000000" w:themeColor="text1"/>
              <w:sz w:val="20"/>
            </w:rPr>
          </w:pPr>
        </w:p>
        <w:p>
          <w:pPr>
            <w:keepNext/>
            <w:jc w:val="center"/>
            <w:rPr>
              <w:b/>
              <w:bCs/>
              <w:iCs/>
              <w:caps/>
              <w:color w:val="000000" w:themeColor="text1"/>
              <w:spacing w:val="-4"/>
              <w:szCs w:val="24"/>
              <w:lang w:eastAsia="lt-LT"/>
            </w:rPr>
          </w:pPr>
          <w:sdt>
            <w:sdtPr>
              <w:alias w:val="Pavadinimas"/>
              <w:tag w:val="title_7351fdd0de3446cdb2e7e0470fd76ea0"/>
              <w:lock w:val="sdtLocked"/>
              <w:richText/>
            </w:sdtPr>
            <w:sdtContent>
              <w:r>
                <w:rPr>
                  <w:b/>
                  <w:bCs/>
                  <w:iCs/>
                  <w:caps/>
                  <w:color w:val="000000" w:themeColor="text1"/>
                  <w:spacing w:val="-4"/>
                  <w:szCs w:val="24"/>
                  <w:lang w:eastAsia="lt-LT"/>
                </w:rPr>
                <w:t xml:space="preserve">STATYBOS TECHNINIS REGLAMENTAS </w:t>
              </w:r>
            </w:sdtContent>
          </w:sdt>
        </w:p>
        <w:p>
          <w:pPr>
            <w:jc w:val="center"/>
            <w:rPr>
              <w:color w:val="000000" w:themeColor="text1"/>
              <w:sz w:val="10"/>
              <w:szCs w:val="10"/>
            </w:rPr>
          </w:pPr>
        </w:p>
        <w:p>
          <w:pPr>
            <w:jc w:val="center"/>
            <w:rPr>
              <w:rFonts w:eastAsia="Calibri"/>
              <w:b/>
              <w:color w:val="000000" w:themeColor="text1"/>
              <w:szCs w:val="22"/>
              <w:lang w:eastAsia="lt-LT"/>
            </w:rPr>
          </w:pPr>
          <w:r>
            <w:rPr>
              <w:rFonts w:eastAsia="Calibri"/>
              <w:b/>
              <w:color w:val="000000" w:themeColor="text1"/>
              <w:szCs w:val="22"/>
              <w:lang w:eastAsia="lt-LT"/>
            </w:rPr>
            <w:t>STR 2.01.02:2016</w:t>
          </w:r>
        </w:p>
        <w:p>
          <w:pPr>
            <w:jc w:val="center"/>
            <w:rPr>
              <w:rFonts w:eastAsia="Calibri"/>
              <w:b/>
              <w:color w:val="000000" w:themeColor="text1"/>
              <w:szCs w:val="22"/>
              <w:lang w:eastAsia="lt-LT"/>
            </w:rPr>
          </w:pPr>
          <w:r>
            <w:rPr>
              <w:rFonts w:eastAsia="Calibri"/>
              <w:b/>
              <w:color w:val="000000" w:themeColor="text1"/>
              <w:szCs w:val="22"/>
              <w:lang w:eastAsia="lt-LT"/>
            </w:rPr>
            <w:t>PASTATŲ ENERGINIO NAUDINGUMO PROJEKTAVIMAS IR SERTIFIKAVIMAS</w:t>
          </w:r>
        </w:p>
        <w:p>
          <w:pPr>
            <w:keepNext/>
            <w:jc w:val="center"/>
            <w:rPr>
              <w:b/>
              <w:bCs/>
              <w:iCs/>
              <w:caps/>
              <w:color w:val="000000" w:themeColor="text1"/>
              <w:spacing w:val="-4"/>
              <w:szCs w:val="24"/>
              <w:lang w:eastAsia="lt-LT"/>
            </w:rPr>
          </w:pPr>
        </w:p>
        <w:sdt>
          <w:sdtPr>
            <w:alias w:val="skyrius"/>
            <w:tag w:val="part_3a394846469e482b83e7a9d9dd94f8d1"/>
            <w:lock w:val="sdtLocked"/>
            <w:richText/>
          </w:sdtPr>
          <w:sdtContent>
            <w:p>
              <w:pPr>
                <w:keepNext/>
                <w:jc w:val="center"/>
                <w:rPr>
                  <w:b/>
                  <w:bCs/>
                  <w:iCs/>
                  <w:caps/>
                  <w:spacing w:val="-4"/>
                  <w:szCs w:val="24"/>
                  <w:lang w:eastAsia="lt-LT"/>
                </w:rPr>
              </w:pPr>
              <w:r>
                <w:rPr>
                  <w:b/>
                  <w:bCs/>
                  <w:iCs/>
                  <w:caps/>
                  <w:spacing w:val="-4"/>
                  <w:szCs w:val="24"/>
                  <w:lang w:eastAsia="lt-LT"/>
                </w:rPr>
                <w:t>I. Skyrius</w:t>
              </w:r>
            </w:p>
            <w:p>
              <w:pPr>
                <w:keepNext/>
                <w:jc w:val="center"/>
                <w:rPr>
                  <w:b/>
                  <w:bCs/>
                  <w:iCs/>
                  <w:caps/>
                  <w:spacing w:val="-4"/>
                  <w:szCs w:val="24"/>
                  <w:lang w:eastAsia="lt-LT"/>
                </w:rPr>
              </w:pPr>
              <w:sdt>
                <w:sdtPr>
                  <w:alias w:val="Pavadinimas"/>
                  <w:tag w:val="title_3a394846469e482b83e7a9d9dd94f8d1"/>
                  <w:lock w:val="sdtLocked"/>
                  <w:richText/>
                </w:sdtPr>
                <w:sdtContent>
                  <w:r>
                    <w:rPr>
                      <w:b/>
                      <w:bCs/>
                      <w:iCs/>
                      <w:caps/>
                      <w:spacing w:val="-4"/>
                      <w:szCs w:val="24"/>
                      <w:lang w:eastAsia="lt-LT"/>
                    </w:rPr>
                    <w:t>Bendrosios nuostatos</w:t>
                  </w:r>
                </w:sdtContent>
              </w:sdt>
            </w:p>
            <w:p>
              <w:pPr>
                <w:suppressAutoHyphens/>
                <w:ind w:firstLine="567"/>
                <w:jc w:val="both"/>
                <w:textAlignment w:val="center"/>
                <w:rPr>
                  <w:rFonts w:eastAsia="Calibri"/>
                  <w:szCs w:val="24"/>
                </w:rPr>
              </w:pPr>
            </w:p>
            <w:sdt>
              <w:sdtPr>
                <w:alias w:val="1 p."/>
                <w:tag w:val="part_2fff5264db3842d9995e19b76540e4ee"/>
                <w:lock w:val="sdtLocked"/>
                <w:richText/>
              </w:sdtPr>
              <w:sdtContent>
                <w:p>
                  <w:pPr>
                    <w:suppressAutoHyphens/>
                    <w:ind w:firstLine="567"/>
                    <w:jc w:val="both"/>
                    <w:textAlignment w:val="center"/>
                    <w:rPr>
                      <w:rFonts w:eastAsia="Calibri"/>
                      <w:szCs w:val="24"/>
                    </w:rPr>
                  </w:pPr>
                  <w:sdt>
                    <w:sdtPr>
                      <w:alias w:val="Numeris"/>
                      <w:tag w:val="nr_2fff5264db3842d9995e19b76540e4ee"/>
                      <w:lock w:val="sdtLocked"/>
                      <w:richText/>
                    </w:sdtPr>
                    <w:sdtContent>
                      <w:r>
                        <w:rPr>
                          <w:rFonts w:eastAsia="Calibri"/>
                          <w:szCs w:val="24"/>
                        </w:rPr>
                        <w:t>1</w:t>
                      </w:r>
                    </w:sdtContent>
                  </w:sdt>
                  <w:r>
                    <w:rPr>
                      <w:rFonts w:eastAsia="Calibri"/>
                      <w:szCs w:val="24"/>
                    </w:rPr>
                    <w:t xml:space="preserve">. Šis statybos techninis reglamentas (toliau – Reglamentas) taikomas projektuojant šildomų gyvenamųjų ir negyvenamųjų pastatų (jų dalių) [3.6] energinį naudingumą, atliekant pastatų energinio naudingumo sertifikavimą, skaičiuojant pastatų (jų dalių) šildymo sistemos šilumos šaltinio projektinę galią, išskyrus: </w:t>
                  </w:r>
                </w:p>
                <w:sdt>
                  <w:sdtPr>
                    <w:alias w:val="1.1 pp."/>
                    <w:tag w:val="part_d19b74ed7dec4fb4bafbc2c6a912651e"/>
                    <w:lock w:val="sdtLocked"/>
                    <w:richText/>
                  </w:sdtPr>
                  <w:sdtContent>
                    <w:p>
                      <w:pPr>
                        <w:ind w:firstLine="567"/>
                        <w:jc w:val="both"/>
                        <w:rPr>
                          <w:rFonts w:eastAsia="Calibri"/>
                          <w:szCs w:val="24"/>
                        </w:rPr>
                      </w:pPr>
                      <w:sdt>
                        <w:sdtPr>
                          <w:alias w:val="Numeris"/>
                          <w:tag w:val="nr_d19b74ed7dec4fb4bafbc2c6a912651e"/>
                          <w:lock w:val="sdtLocked"/>
                          <w:richText/>
                        </w:sdtPr>
                        <w:sdtContent>
                          <w:r>
                            <w:rPr>
                              <w:rFonts w:eastAsia="Calibri"/>
                              <w:iCs/>
                              <w:szCs w:val="24"/>
                            </w:rPr>
                            <w:t>1.1</w:t>
                          </w:r>
                        </w:sdtContent>
                      </w:sdt>
                      <w:r>
                        <w:rPr>
                          <w:rFonts w:eastAsia="Calibri"/>
                          <w:iCs/>
                          <w:szCs w:val="24"/>
                        </w:rPr>
                        <w:t>. pastatų, kur</w:t>
                      </w:r>
                      <w:r>
                        <w:rPr>
                          <w:rFonts w:eastAsia="Calibri"/>
                          <w:szCs w:val="24"/>
                        </w:rPr>
                        <w:t>ie yra kultūros paveldo statiniai, jei laikantis reikalavimų nepageidautinai pakistų charakteringos jų savybės ar išvaizda;</w:t>
                      </w:r>
                    </w:p>
                  </w:sdtContent>
                </w:sdt>
                <w:sdt>
                  <w:sdtPr>
                    <w:alias w:val="1.2 pp."/>
                    <w:tag w:val="part_89fcc95b31ac40fdae51e8dde4479591"/>
                    <w:lock w:val="sdtLocked"/>
                    <w:richText/>
                  </w:sdtPr>
                  <w:sdtContent>
                    <w:p>
                      <w:pPr>
                        <w:ind w:firstLine="567"/>
                        <w:jc w:val="both"/>
                        <w:rPr>
                          <w:rFonts w:eastAsia="Calibri"/>
                          <w:szCs w:val="24"/>
                        </w:rPr>
                      </w:pPr>
                      <w:sdt>
                        <w:sdtPr>
                          <w:alias w:val="Numeris"/>
                          <w:tag w:val="nr_89fcc95b31ac40fdae51e8dde4479591"/>
                          <w:lock w:val="sdtLocked"/>
                          <w:richText/>
                        </w:sdtPr>
                        <w:sdtContent>
                          <w:r>
                            <w:rPr>
                              <w:rFonts w:eastAsia="Calibri"/>
                              <w:szCs w:val="24"/>
                            </w:rPr>
                            <w:t>1.2</w:t>
                          </w:r>
                        </w:sdtContent>
                      </w:sdt>
                      <w:r>
                        <w:rPr>
                          <w:rFonts w:eastAsia="Calibri"/>
                          <w:szCs w:val="24"/>
                        </w:rPr>
                        <w:t>. maldos namų ir kitokios religinės veiklos pastatų;</w:t>
                      </w:r>
                    </w:p>
                  </w:sdtContent>
                </w:sdt>
                <w:sdt>
                  <w:sdtPr>
                    <w:alias w:val="1.3 pp."/>
                    <w:tag w:val="part_f42d1c8d48ff4f47b6d5e6e26a4b9bd6"/>
                    <w:lock w:val="sdtLocked"/>
                    <w:richText/>
                  </w:sdtPr>
                  <w:sdtContent>
                    <w:p>
                      <w:pPr>
                        <w:ind w:firstLine="567"/>
                        <w:jc w:val="both"/>
                        <w:rPr>
                          <w:rFonts w:eastAsia="Calibri"/>
                          <w:szCs w:val="24"/>
                          <w:u w:val="single"/>
                        </w:rPr>
                      </w:pPr>
                      <w:sdt>
                        <w:sdtPr>
                          <w:alias w:val="Numeris"/>
                          <w:tag w:val="nr_f42d1c8d48ff4f47b6d5e6e26a4b9bd6"/>
                          <w:lock w:val="sdtLocked"/>
                          <w:richText/>
                        </w:sdtPr>
                        <w:sdtContent>
                          <w:r>
                            <w:rPr>
                              <w:rFonts w:eastAsia="Calibri"/>
                              <w:szCs w:val="24"/>
                            </w:rPr>
                            <w:t>1.3</w:t>
                          </w:r>
                        </w:sdtContent>
                      </w:sdt>
                      <w:r>
                        <w:rPr>
                          <w:rFonts w:eastAsia="Calibri"/>
                          <w:szCs w:val="24"/>
                        </w:rPr>
                        <w:t>. laikinų pastatų, skirtų naudoti ne ilgiau kaip 2 metus;</w:t>
                      </w:r>
                    </w:p>
                  </w:sdtContent>
                </w:sdt>
                <w:sdt>
                  <w:sdtPr>
                    <w:alias w:val="1.4 pp."/>
                    <w:tag w:val="part_13bbcc256cdf441591184263d42e4e90"/>
                    <w:lock w:val="sdtLocked"/>
                    <w:richText/>
                  </w:sdtPr>
                  <w:sdtContent>
                    <w:p>
                      <w:pPr>
                        <w:suppressAutoHyphens/>
                        <w:ind w:firstLine="567"/>
                        <w:jc w:val="both"/>
                        <w:rPr>
                          <w:color w:val="000000"/>
                          <w:szCs w:val="24"/>
                          <w:lang w:eastAsia="lt-LT"/>
                        </w:rPr>
                      </w:pPr>
                      <w:sdt>
                        <w:sdtPr>
                          <w:alias w:val="Numeris"/>
                          <w:tag w:val="nr_13bbcc256cdf441591184263d42e4e90"/>
                          <w:lock w:val="sdtLocked"/>
                          <w:richText/>
                        </w:sdtPr>
                        <w:sdtContent>
                          <w:r>
                            <w:rPr>
                              <w:color w:val="000000"/>
                              <w:szCs w:val="24"/>
                              <w:lang w:eastAsia="lt-LT"/>
                            </w:rPr>
                            <w:t>1.4</w:t>
                          </w:r>
                        </w:sdtContent>
                      </w:sdt>
                      <w:r>
                        <w:rPr>
                          <w:color w:val="000000"/>
                          <w:szCs w:val="24"/>
                          <w:lang w:eastAsia="lt-LT"/>
                        </w:rPr>
                        <w:t>. nedaug energijos sunaudojančių gamybos ir pramonės, sandėliavimo paskirties ir žemės ūkiui tvarkyti skirtų negyvenamųjų pastatų (įskaitant pastatus gyvuliams ir augalams auginti):</w:t>
                      </w:r>
                    </w:p>
                    <w:sdt>
                      <w:sdtPr>
                        <w:alias w:val="1.4.1 pp."/>
                        <w:tag w:val="part_8ce326f96b7542cda575edf878b39951"/>
                        <w:lock w:val="sdtLocked"/>
                        <w:richText/>
                      </w:sdtPr>
                      <w:sdtContent>
                        <w:p>
                          <w:pPr>
                            <w:ind w:firstLine="567"/>
                            <w:jc w:val="both"/>
                            <w:textAlignment w:val="center"/>
                            <w:rPr>
                              <w:color w:val="000000"/>
                              <w:szCs w:val="24"/>
                              <w:lang w:eastAsia="lt-LT"/>
                            </w:rPr>
                          </w:pPr>
                          <w:sdt>
                            <w:sdtPr>
                              <w:alias w:val="Numeris"/>
                              <w:tag w:val="nr_8ce326f96b7542cda575edf878b39951"/>
                              <w:lock w:val="sdtLocked"/>
                              <w:richText/>
                            </w:sdtPr>
                            <w:sdtContent>
                              <w:r>
                                <w:rPr>
                                  <w:color w:val="000000"/>
                                  <w:szCs w:val="24"/>
                                  <w:lang w:eastAsia="lt-LT"/>
                                </w:rPr>
                                <w:t>1.4.1</w:t>
                              </w:r>
                            </w:sdtContent>
                          </w:sdt>
                          <w:r>
                            <w:rPr>
                              <w:color w:val="000000"/>
                              <w:szCs w:val="24"/>
                              <w:lang w:eastAsia="lt-LT"/>
                            </w:rPr>
                            <w:t>. kuriuose ilgiau kaip keturis mėnesius per metus šildomas mažesnis negu 50 kvadratinių metrų šildomas plotas, o likusi pastato šildomo ploto dalis šildoma trumpiau kaip 2 mėnesius per metus;</w:t>
                          </w:r>
                        </w:p>
                      </w:sdtContent>
                    </w:sdt>
                    <w:sdt>
                      <w:sdtPr>
                        <w:alias w:val="1.4.2 pp."/>
                        <w:tag w:val="part_79ec705a22ea4804851efe051d78ac3a"/>
                        <w:lock w:val="sdtLocked"/>
                        <w:richText/>
                      </w:sdtPr>
                      <w:sdtContent>
                        <w:p>
                          <w:pPr>
                            <w:ind w:firstLine="567"/>
                            <w:jc w:val="both"/>
                            <w:textAlignment w:val="center"/>
                            <w:rPr>
                              <w:color w:val="000000"/>
                              <w:szCs w:val="24"/>
                              <w:lang w:eastAsia="lt-LT"/>
                            </w:rPr>
                          </w:pPr>
                          <w:sdt>
                            <w:sdtPr>
                              <w:alias w:val="Numeris"/>
                              <w:tag w:val="nr_79ec705a22ea4804851efe051d78ac3a"/>
                              <w:lock w:val="sdtLocked"/>
                              <w:richText/>
                            </w:sdtPr>
                            <w:sdtContent>
                              <w:r>
                                <w:rPr>
                                  <w:color w:val="000000"/>
                                  <w:szCs w:val="24"/>
                                  <w:lang w:eastAsia="lt-LT"/>
                                </w:rPr>
                                <w:t>1.4.2</w:t>
                              </w:r>
                            </w:sdtContent>
                          </w:sdt>
                          <w:r>
                            <w:rPr>
                              <w:color w:val="000000"/>
                              <w:szCs w:val="24"/>
                              <w:lang w:eastAsia="lt-LT"/>
                            </w:rPr>
                            <w:t>. kurių šildymui naudojama tik technologinių procesų metu išsiskirianti šiluma (</w:t>
                          </w:r>
                          <w:r>
                            <w:rPr>
                              <w:bdr w:val="none" w:sz="0" w:space="0" w:color="auto" w:frame="1"/>
                              <w:shd w:val="clear" w:color="auto" w:fill="FFFFFF"/>
                              <w:lang w:eastAsia="lt-LT"/>
                            </w:rPr>
                            <w:t>šiai pastatų grupei priskiriami technologinių procesų metu išsiskiriančia šiluma šildomi pastatai, į kuriuos tiekiamai šilumai gaminti nenaudojamas, prie pastato šildymo sistemos neprijungtas arba pastate jam šildyti neįrengtas nei vienas iš Reglamento 2 priedo 2.45 lentelėje išvardintas šilumos šaltinis</w:t>
                          </w:r>
                          <w:r>
                            <w:rPr>
                              <w:color w:val="201F1E"/>
                              <w:shd w:val="clear" w:color="auto" w:fill="FFFFFF"/>
                              <w:lang w:eastAsia="lt-LT"/>
                            </w:rPr>
                            <w:t>)</w:t>
                          </w:r>
                          <w:r>
                            <w:rPr>
                              <w:color w:val="000000"/>
                              <w:szCs w:val="24"/>
                              <w:lang w:eastAsia="lt-LT"/>
                            </w:rPr>
                            <w:t>;</w:t>
                          </w:r>
                        </w:p>
                      </w:sdtContent>
                    </w:sdt>
                    <w:sdt>
                      <w:sdtPr>
                        <w:alias w:val="1.4.3 pp."/>
                        <w:tag w:val="part_eadb3e1e19274ca08dca798d6424b9e6"/>
                        <w:lock w:val="sdtLocked"/>
                        <w:richText/>
                      </w:sdtPr>
                      <w:sdtContent>
                        <w:p>
                          <w:pPr>
                            <w:ind w:firstLine="567"/>
                            <w:jc w:val="both"/>
                            <w:rPr>
                              <w:szCs w:val="24"/>
                            </w:rPr>
                          </w:pPr>
                          <w:sdt>
                            <w:sdtPr>
                              <w:alias w:val="Numeris"/>
                              <w:tag w:val="nr_eadb3e1e19274ca08dca798d6424b9e6"/>
                              <w:lock w:val="sdtLocked"/>
                              <w:richText/>
                            </w:sdtPr>
                            <w:sdtContent>
                              <w:r>
                                <w:rPr>
                                  <w:color w:val="000000"/>
                                  <w:szCs w:val="24"/>
                                  <w:lang w:eastAsia="lt-LT"/>
                                </w:rPr>
                                <w:t>1.4.3</w:t>
                              </w:r>
                            </w:sdtContent>
                          </w:sdt>
                          <w:r>
                            <w:rPr>
                              <w:color w:val="000000"/>
                              <w:szCs w:val="24"/>
                              <w:lang w:eastAsia="lt-LT"/>
                            </w:rPr>
                            <w:t>. kuriuose šildymo sezono metu palaikoma ne aukštesnė kaip 10° C temperatūra;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1.5 pp."/>
                    <w:tag w:val="part_5433b4c56f0f4426a639587e5559d712"/>
                    <w:lock w:val="sdtLocked"/>
                    <w:richText/>
                  </w:sdtPr>
                  <w:sdtContent>
                    <w:p>
                      <w:pPr>
                        <w:ind w:firstLine="567"/>
                        <w:jc w:val="both"/>
                        <w:rPr>
                          <w:rFonts w:eastAsia="Calibri"/>
                          <w:szCs w:val="24"/>
                        </w:rPr>
                      </w:pPr>
                      <w:sdt>
                        <w:sdtPr>
                          <w:alias w:val="Numeris"/>
                          <w:tag w:val="nr_5433b4c56f0f4426a639587e5559d712"/>
                          <w:lock w:val="sdtLocked"/>
                          <w:richText/>
                        </w:sdtPr>
                        <w:sdtContent>
                          <w:r>
                            <w:rPr>
                              <w:rFonts w:eastAsia="Calibri"/>
                              <w:iCs/>
                              <w:szCs w:val="24"/>
                            </w:rPr>
                            <w:t>1.5</w:t>
                          </w:r>
                        </w:sdtContent>
                      </w:sdt>
                      <w:r>
                        <w:rPr>
                          <w:rFonts w:eastAsia="Calibri"/>
                          <w:iCs/>
                          <w:szCs w:val="24"/>
                        </w:rPr>
                        <w:t>. atskirai stovinčių pastatų, kurių bendras naudingasis vidaus patalpų plotas ne didesnis kaip 50 kvadratinių metrų;</w:t>
                      </w:r>
                    </w:p>
                  </w:sdtContent>
                </w:sdt>
                <w:sdt>
                  <w:sdtPr>
                    <w:alias w:val="1.6 pp."/>
                    <w:tag w:val="part_47f556b5d4f649d29698b71e3f0f66e4"/>
                    <w:lock w:val="sdtLocked"/>
                    <w:richText/>
                  </w:sdtPr>
                  <w:sdtContent>
                    <w:p>
                      <w:pPr>
                        <w:tabs>
                          <w:tab w:val="right" w:pos="567"/>
                          <w:tab w:val="left" w:pos="1843"/>
                          <w:tab w:val="decimal" w:pos="9072"/>
                          <w:tab w:val="left" w:pos="9781"/>
                          <w:tab w:val="decimal" w:pos="9923"/>
                        </w:tabs>
                        <w:ind w:right="-1" w:firstLine="567"/>
                        <w:jc w:val="both"/>
                        <w:rPr>
                          <w:rFonts w:eastAsia="Calibri"/>
                          <w:iCs/>
                          <w:szCs w:val="24"/>
                        </w:rPr>
                      </w:pPr>
                      <w:sdt>
                        <w:sdtPr>
                          <w:alias w:val="Numeris"/>
                          <w:tag w:val="nr_47f556b5d4f649d29698b71e3f0f66e4"/>
                          <w:lock w:val="sdtLocked"/>
                          <w:richText/>
                        </w:sdtPr>
                        <w:sdtContent>
                          <w:r>
                            <w:rPr>
                              <w:rFonts w:eastAsia="Calibri"/>
                              <w:iCs/>
                              <w:szCs w:val="24"/>
                            </w:rPr>
                            <w:t>1.6</w:t>
                          </w:r>
                        </w:sdtContent>
                      </w:sdt>
                      <w:r>
                        <w:rPr>
                          <w:rFonts w:eastAsia="Calibri"/>
                          <w:iCs/>
                          <w:szCs w:val="24"/>
                        </w:rPr>
                        <w:t>. poilsio paskirties, sodų paskirties pastatų, naudojamų ne ilgiau kaip keturis mėnesius per metus;</w:t>
                      </w:r>
                    </w:p>
                  </w:sdtContent>
                </w:sdt>
                <w:sdt>
                  <w:sdtPr>
                    <w:alias w:val="1.7 pp."/>
                    <w:tag w:val="part_e0c4862b0a924639a2be598d8bef230d"/>
                    <w:lock w:val="sdtLocked"/>
                    <w:richText/>
                  </w:sdtPr>
                  <w:sdtContent>
                    <w:p>
                      <w:pPr>
                        <w:tabs>
                          <w:tab w:val="right" w:pos="567"/>
                          <w:tab w:val="left" w:pos="1843"/>
                          <w:tab w:val="decimal" w:pos="9072"/>
                          <w:tab w:val="left" w:pos="9781"/>
                          <w:tab w:val="decimal" w:pos="9923"/>
                        </w:tabs>
                        <w:ind w:right="-1" w:firstLine="567"/>
                        <w:jc w:val="both"/>
                        <w:rPr>
                          <w:rFonts w:eastAsia="Calibri"/>
                          <w:iCs/>
                          <w:szCs w:val="24"/>
                        </w:rPr>
                      </w:pPr>
                      <w:sdt>
                        <w:sdtPr>
                          <w:alias w:val="Numeris"/>
                          <w:tag w:val="nr_e0c4862b0a924639a2be598d8bef230d"/>
                          <w:lock w:val="sdtLocked"/>
                          <w:richText/>
                        </w:sdtPr>
                        <w:sdtContent>
                          <w:r>
                            <w:rPr>
                              <w:rFonts w:eastAsia="Calibri"/>
                              <w:iCs/>
                              <w:szCs w:val="24"/>
                            </w:rPr>
                            <w:t>1.7</w:t>
                          </w:r>
                        </w:sdtContent>
                      </w:sdt>
                      <w:r>
                        <w:rPr>
                          <w:rFonts w:eastAsia="Calibri"/>
                          <w:iCs/>
                          <w:szCs w:val="24"/>
                        </w:rPr>
                        <w:t>. nešildomus pastatus.</w:t>
                      </w:r>
                    </w:p>
                  </w:sdtContent>
                </w:sdt>
              </w:sdtContent>
            </w:sdt>
            <w:sdt>
              <w:sdtPr>
                <w:alias w:val="2 p."/>
                <w:tag w:val="part_7a58fc8752104dc1995a75912c0ddc97"/>
                <w:lock w:val="sdtLocked"/>
                <w:richText/>
              </w:sdtPr>
              <w:sdtContent>
                <w:p>
                  <w:pPr>
                    <w:suppressAutoHyphens/>
                    <w:ind w:firstLine="567"/>
                    <w:jc w:val="both"/>
                    <w:textAlignment w:val="center"/>
                    <w:rPr>
                      <w:rFonts w:eastAsia="Calibri"/>
                      <w:szCs w:val="24"/>
                    </w:rPr>
                  </w:pPr>
                  <w:sdt>
                    <w:sdtPr>
                      <w:alias w:val="Numeris"/>
                      <w:tag w:val="nr_7a58fc8752104dc1995a75912c0ddc97"/>
                      <w:lock w:val="sdtLocked"/>
                      <w:richText/>
                    </w:sdtPr>
                    <w:sdtContent>
                      <w:r>
                        <w:rPr>
                          <w:rFonts w:eastAsia="Calibri"/>
                          <w:szCs w:val="24"/>
                        </w:rPr>
                        <w:t>2</w:t>
                      </w:r>
                    </w:sdtContent>
                  </w:sdt>
                  <w:r>
                    <w:rPr>
                      <w:rFonts w:eastAsia="Calibri"/>
                      <w:szCs w:val="24"/>
                    </w:rPr>
                    <w:t>. Reglamentas parengtas vadovaujantis Europos Parlamento ir Tarybos 2010 m. gegužės 19 d. direktyva 2010/31/ES dėl pastatų energinio naudingumo (OL 2010 L 153, p. 13), atitinka šios direktyvos ir 2012 m. sausio 16 d. Komisijos deleguotojo reglamento (ES) Nr. 244/2010,</w:t>
                  </w:r>
                  <w:r>
                    <w:rPr>
                      <w:rFonts w:eastAsia="Calibri"/>
                      <w:bCs/>
                      <w:szCs w:val="24"/>
                    </w:rPr>
                    <w:t xml:space="preserve"> kuriuo papildoma Europos Parlamento ir Tarybos direktyva 2010/31/ES dėl pastatų energinio naudingumo, nustatant sąnaudų atžvilgiu optimalaus pastatams ir pastato dalims taikomų minimalių energinio naudingumo reikalavimų lygio skaičiavimo lyginamosios metodikos principus, </w:t>
                  </w:r>
                  <w:r>
                    <w:rPr>
                      <w:rFonts w:eastAsia="Calibri"/>
                      <w:szCs w:val="24"/>
                    </w:rPr>
                    <w:t>reikalavimus</w:t>
                  </w:r>
                  <w:r>
                    <w:rPr>
                      <w:rFonts w:eastAsia="Calibri"/>
                      <w:bCs/>
                      <w:szCs w:val="24"/>
                    </w:rPr>
                    <w:t>.</w:t>
                  </w:r>
                  <w:r>
                    <w:rPr>
                      <w:rFonts w:eastAsia="Calibri"/>
                      <w:szCs w:val="24"/>
                    </w:rPr>
                    <w:t xml:space="preserve"> </w:t>
                  </w:r>
                </w:p>
                <w:p>
                  <w:pPr>
                    <w:keepNext/>
                    <w:jc w:val="center"/>
                    <w:rPr>
                      <w:b/>
                      <w:bCs/>
                      <w:iCs/>
                      <w:caps/>
                      <w:spacing w:val="-4"/>
                      <w:szCs w:val="24"/>
                      <w:lang w:eastAsia="lt-LT"/>
                    </w:rPr>
                  </w:pPr>
                </w:p>
              </w:sdtContent>
            </w:sdt>
          </w:sdtContent>
        </w:sdt>
        <w:sdt>
          <w:sdtPr>
            <w:alias w:val="skyrius"/>
            <w:tag w:val="part_7f7cd8f3ff304de6812c052cc4b36d48"/>
            <w:lock w:val="sdtLocked"/>
            <w:richText/>
          </w:sdtPr>
          <w:sdtContent>
            <w:p>
              <w:pPr>
                <w:keepNext/>
                <w:jc w:val="center"/>
                <w:rPr>
                  <w:b/>
                  <w:bCs/>
                  <w:iCs/>
                  <w:caps/>
                  <w:spacing w:val="-4"/>
                  <w:szCs w:val="24"/>
                  <w:lang w:eastAsia="lt-LT"/>
                </w:rPr>
              </w:pPr>
              <w:r>
                <w:rPr>
                  <w:b/>
                  <w:bCs/>
                  <w:iCs/>
                  <w:caps/>
                  <w:spacing w:val="-4"/>
                  <w:szCs w:val="24"/>
                  <w:lang w:eastAsia="lt-LT"/>
                </w:rPr>
                <w:t>II. skyrius</w:t>
              </w:r>
            </w:p>
            <w:p>
              <w:pPr>
                <w:keepNext/>
                <w:jc w:val="center"/>
                <w:rPr>
                  <w:b/>
                  <w:bCs/>
                  <w:iCs/>
                  <w:caps/>
                  <w:spacing w:val="-4"/>
                  <w:szCs w:val="24"/>
                  <w:lang w:eastAsia="lt-LT"/>
                </w:rPr>
              </w:pPr>
              <w:sdt>
                <w:sdtPr>
                  <w:alias w:val="Pavadinimas"/>
                  <w:tag w:val="title_7f7cd8f3ff304de6812c052cc4b36d48"/>
                  <w:lock w:val="sdtLocked"/>
                  <w:richText/>
                </w:sdtPr>
                <w:sdtContent>
                  <w:r>
                    <w:rPr>
                      <w:b/>
                      <w:bCs/>
                      <w:iCs/>
                      <w:caps/>
                      <w:spacing w:val="-4"/>
                      <w:szCs w:val="24"/>
                      <w:lang w:eastAsia="lt-LT"/>
                    </w:rPr>
                    <w:t>Nuorodos</w:t>
                  </w:r>
                </w:sdtContent>
              </w:sdt>
            </w:p>
            <w:p>
              <w:pPr>
                <w:jc w:val="both"/>
                <w:rPr>
                  <w:rFonts w:eastAsia="Calibri"/>
                  <w:szCs w:val="22"/>
                  <w:lang w:eastAsia="lt-LT"/>
                </w:rPr>
              </w:pPr>
            </w:p>
            <w:sdt>
              <w:sdtPr>
                <w:alias w:val="3 p."/>
                <w:tag w:val="part_36d4c0ffc281497f889f2c5eb4c95389"/>
                <w:lock w:val="sdtLocked"/>
                <w:richText/>
              </w:sdtPr>
              <w:sdtContent>
                <w:p>
                  <w:pPr>
                    <w:suppressAutoHyphens/>
                    <w:ind w:firstLine="567"/>
                    <w:jc w:val="both"/>
                    <w:textAlignment w:val="center"/>
                    <w:rPr>
                      <w:szCs w:val="24"/>
                    </w:rPr>
                  </w:pPr>
                  <w:sdt>
                    <w:sdtPr>
                      <w:alias w:val="Numeris"/>
                      <w:tag w:val="nr_36d4c0ffc281497f889f2c5eb4c95389"/>
                      <w:lock w:val="sdtLocked"/>
                      <w:richText/>
                    </w:sdtPr>
                    <w:sdtContent>
                      <w:r>
                        <w:rPr>
                          <w:szCs w:val="24"/>
                        </w:rPr>
                        <w:t>3</w:t>
                      </w:r>
                    </w:sdtContent>
                  </w:sdt>
                  <w:r>
                    <w:rPr>
                      <w:szCs w:val="24"/>
                    </w:rPr>
                    <w:t>.</w:t>
                  </w:r>
                  <w:r>
                    <w:rPr>
                      <w:rFonts w:eastAsia="Calibri"/>
                      <w:szCs w:val="24"/>
                    </w:rPr>
                    <w:t xml:space="preserve"> Reglamento nuorodose įrašyti teisės aktai:</w:t>
                  </w:r>
                </w:p>
                <w:sdt>
                  <w:sdtPr>
                    <w:alias w:val="3.1 pp."/>
                    <w:tag w:val="part_f221e5c0ebe349f09b4e027e6c1d8df9"/>
                    <w:lock w:val="sdtLocked"/>
                    <w:richText/>
                  </w:sdtPr>
                  <w:sdtContent>
                    <w:p>
                      <w:pPr>
                        <w:suppressAutoHyphens/>
                        <w:ind w:firstLine="567"/>
                        <w:jc w:val="both"/>
                        <w:textAlignment w:val="center"/>
                        <w:rPr>
                          <w:szCs w:val="24"/>
                        </w:rPr>
                      </w:pPr>
                      <w:sdt>
                        <w:sdtPr>
                          <w:alias w:val="Numeris"/>
                          <w:tag w:val="nr_f221e5c0ebe349f09b4e027e6c1d8df9"/>
                          <w:lock w:val="sdtLocked"/>
                          <w:richText/>
                        </w:sdtPr>
                        <w:sdtContent>
                          <w:r>
                            <w:rPr>
                              <w:szCs w:val="24"/>
                            </w:rPr>
                            <w:t>3.1</w:t>
                          </w:r>
                        </w:sdtContent>
                      </w:sdt>
                      <w:r>
                        <w:rPr>
                          <w:szCs w:val="24"/>
                        </w:rPr>
                        <w:t>. Lietuvos Respublikos statybos įstatymas;</w:t>
                      </w:r>
                    </w:p>
                  </w:sdtContent>
                </w:sdt>
                <w:sdt>
                  <w:sdtPr>
                    <w:alias w:val="3.2 pp."/>
                    <w:tag w:val="part_2046eac505b74cfcbeabebb0df4013d0"/>
                    <w:lock w:val="sdtLocked"/>
                    <w:richText/>
                  </w:sdtPr>
                  <w:sdtContent>
                    <w:p>
                      <w:pPr>
                        <w:suppressAutoHyphens/>
                        <w:ind w:firstLine="567"/>
                        <w:jc w:val="both"/>
                        <w:textAlignment w:val="center"/>
                        <w:rPr>
                          <w:szCs w:val="24"/>
                        </w:rPr>
                      </w:pPr>
                      <w:sdt>
                        <w:sdtPr>
                          <w:alias w:val="Numeris"/>
                          <w:tag w:val="nr_2046eac505b74cfcbeabebb0df4013d0"/>
                          <w:lock w:val="sdtLocked"/>
                          <w:richText/>
                        </w:sdtPr>
                        <w:sdtContent>
                          <w:r>
                            <w:rPr>
                              <w:szCs w:val="24"/>
                            </w:rPr>
                            <w:t>3.2</w:t>
                          </w:r>
                        </w:sdtContent>
                      </w:sdt>
                      <w:r>
                        <w:rPr>
                          <w:szCs w:val="24"/>
                        </w:rPr>
                        <w:t>. Lietuvos Respublikos atsinaujinančių išteklių energetikos įstatymas;</w:t>
                      </w:r>
                    </w:p>
                  </w:sdtContent>
                </w:sdt>
                <w:sdt>
                  <w:sdtPr>
                    <w:alias w:val="3.3 pp."/>
                    <w:tag w:val="part_cdfae96f3cc54ed8a0426970e14fb9cd"/>
                    <w:lock w:val="sdtLocked"/>
                    <w:richText/>
                  </w:sdtPr>
                  <w:sdtContent>
                    <w:p>
                      <w:pPr>
                        <w:suppressAutoHyphens/>
                        <w:ind w:firstLine="567"/>
                        <w:jc w:val="both"/>
                        <w:textAlignment w:val="center"/>
                        <w:rPr>
                          <w:szCs w:val="24"/>
                        </w:rPr>
                      </w:pPr>
                      <w:sdt>
                        <w:sdtPr>
                          <w:alias w:val="Numeris"/>
                          <w:tag w:val="nr_cdfae96f3cc54ed8a0426970e14fb9cd"/>
                          <w:lock w:val="sdtLocked"/>
                          <w:richText/>
                        </w:sdtPr>
                        <w:sdtContent>
                          <w:r>
                            <w:rPr>
                              <w:szCs w:val="24"/>
                            </w:rPr>
                            <w:t>3.3</w:t>
                          </w:r>
                        </w:sdtContent>
                      </w:sdt>
                      <w:r>
                        <w:rPr>
                          <w:szCs w:val="24"/>
                        </w:rPr>
                        <w:t>. Lietuvos Respublikos Vyriausybės 2005 m. rugsėjo 29 d. nutarimas Nr. 1049 „Dėl Nekilnojamojo turto vertinimo taisyklių patvirtinimo“;</w:t>
                      </w:r>
                    </w:p>
                  </w:sdtContent>
                </w:sdt>
                <w:sdt>
                  <w:sdtPr>
                    <w:alias w:val="3.4 pp."/>
                    <w:tag w:val="part_847a5423004c44de8362ad69a5629e4c"/>
                    <w:lock w:val="sdtLocked"/>
                    <w:richText/>
                  </w:sdtPr>
                  <w:sdtContent>
                    <w:p>
                      <w:pPr>
                        <w:suppressAutoHyphens/>
                        <w:ind w:firstLine="567"/>
                        <w:jc w:val="both"/>
                        <w:textAlignment w:val="center"/>
                        <w:rPr>
                          <w:szCs w:val="24"/>
                        </w:rPr>
                      </w:pPr>
                      <w:sdt>
                        <w:sdtPr>
                          <w:alias w:val="Numeris"/>
                          <w:tag w:val="nr_847a5423004c44de8362ad69a5629e4c"/>
                          <w:lock w:val="sdtLocked"/>
                          <w:richText/>
                        </w:sdtPr>
                        <w:sdtContent>
                          <w:r>
                            <w:rPr>
                              <w:szCs w:val="24"/>
                            </w:rPr>
                            <w:t>3.4</w:t>
                          </w:r>
                        </w:sdtContent>
                      </w:sdt>
                      <w:r>
                        <w:rPr>
                          <w:szCs w:val="24"/>
                        </w:rPr>
                        <w:t xml:space="preserve">. Lietuvos Respublikos ūkio ministro 2006 m. vasario 28 d. įsakymas Nr. 4-73 „Dėl pastatuose įrengtų šildymo katilų, šildymo sistemų ir oro kondicionavimo sistemų efektyvumo tikrinimo reglamentų patvirtinimo“; </w:t>
                      </w:r>
                    </w:p>
                  </w:sdtContent>
                </w:sdt>
                <w:sdt>
                  <w:sdtPr>
                    <w:alias w:val="3.5 pp."/>
                    <w:tag w:val="part_27d76a61c41a4f0da9b42571a2bf0b31"/>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2020-09-29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6 pp."/>
                    <w:tag w:val="part_60095ff048c944cd855f35a10e19db8f"/>
                    <w:lock w:val="sdtLocked"/>
                    <w:richText/>
                  </w:sdtPr>
                  <w:sdtContent>
                    <w:p>
                      <w:pPr>
                        <w:suppressAutoHyphens/>
                        <w:ind w:firstLine="567"/>
                        <w:jc w:val="both"/>
                        <w:textAlignment w:val="center"/>
                        <w:rPr>
                          <w:szCs w:val="24"/>
                        </w:rPr>
                      </w:pPr>
                      <w:sdt>
                        <w:sdtPr>
                          <w:alias w:val="Numeris"/>
                          <w:tag w:val="nr_60095ff048c944cd855f35a10e19db8f"/>
                          <w:lock w:val="sdtLocked"/>
                          <w:richText/>
                        </w:sdtPr>
                        <w:sdtContent>
                          <w:r>
                            <w:rPr>
                              <w:szCs w:val="24"/>
                            </w:rPr>
                            <w:t>3.6</w:t>
                          </w:r>
                        </w:sdtContent>
                      </w:sdt>
                      <w:r>
                        <w:rPr>
                          <w:szCs w:val="24"/>
                        </w:rPr>
                        <w:t>. statybos techninis reglamentas STR 1.01.03:2017 „Statinių klasifikavimas“, patvirtintas Lietuvos Respublikos aplinkos ministro 2016 m. spalio 27 d. įsakymu Nr. D1-713 „Dėl statybos techninio reglamento STR 1.01.03:2017 „Statinių klasifikavimas“ patvirtinimo“;</w:t>
                      </w:r>
                    </w:p>
                  </w:sdtContent>
                </w:sdt>
                <w:sdt>
                  <w:sdtPr>
                    <w:alias w:val="3.7 pp."/>
                    <w:tag w:val="part_72492ac3d5a54a268114b6bbe4752b4b"/>
                    <w:lock w:val="sdtLocked"/>
                    <w:richText/>
                  </w:sdtPr>
                  <w:sdtContent>
                    <w:p>
                      <w:pPr>
                        <w:suppressAutoHyphens/>
                        <w:ind w:firstLine="567"/>
                        <w:jc w:val="both"/>
                        <w:textAlignment w:val="center"/>
                        <w:rPr>
                          <w:szCs w:val="24"/>
                        </w:rPr>
                      </w:pPr>
                      <w:sdt>
                        <w:sdtPr>
                          <w:alias w:val="Numeris"/>
                          <w:tag w:val="nr_72492ac3d5a54a268114b6bbe4752b4b"/>
                          <w:lock w:val="sdtLocked"/>
                          <w:richText/>
                        </w:sdtPr>
                        <w:sdtContent>
                          <w:r>
                            <w:rPr>
                              <w:szCs w:val="24"/>
                            </w:rPr>
                            <w:t>3.7</w:t>
                          </w:r>
                        </w:sdtContent>
                      </w:sdt>
                      <w:r>
                        <w:rPr>
                          <w:szCs w:val="24"/>
                        </w:rPr>
                        <w:t>. statybos techninis reglamentas STR 1.01.08:2002 „Statinio statybos rūšys“, patvirtintas Lietuvos Respublikos aplinkos ministro 2002 m. gruodžio 5 d. įsakymu Nr. 622 „Dėl statybos techninio reglamento STR 1.01.08:2002 „Statinio statybos rūšys“ patvirtinimo“;</w:t>
                      </w:r>
                    </w:p>
                  </w:sdtContent>
                </w:sdt>
                <w:sdt>
                  <w:sdtPr>
                    <w:alias w:val="3.8 pp."/>
                    <w:tag w:val="part_c2677bea9d7649bbbfc14bfc5c377d80"/>
                    <w:lock w:val="sdtLocked"/>
                    <w:richText/>
                  </w:sdtPr>
                  <w:sdtContent>
                    <w:p>
                      <w:pPr>
                        <w:suppressAutoHyphens/>
                        <w:ind w:firstLine="567"/>
                        <w:jc w:val="both"/>
                        <w:textAlignment w:val="center"/>
                        <w:rPr>
                          <w:szCs w:val="24"/>
                        </w:rPr>
                      </w:pPr>
                      <w:sdt>
                        <w:sdtPr>
                          <w:alias w:val="Numeris"/>
                          <w:tag w:val="nr_c2677bea9d7649bbbfc14bfc5c377d80"/>
                          <w:lock w:val="sdtLocked"/>
                          <w:richText/>
                        </w:sdtPr>
                        <w:sdtContent>
                          <w:r>
                            <w:rPr>
                              <w:szCs w:val="24"/>
                            </w:rPr>
                            <w:t>3.8</w:t>
                          </w:r>
                        </w:sdtContent>
                      </w:sdt>
                      <w:r>
                        <w:rPr>
                          <w:szCs w:val="24"/>
                        </w:rPr>
                        <w:t>. statybos techninis reglamentas STR 1.01.02:2016 „Normatyviniai statybos techniniai dokumentai“, patvirtintas Lietuvos Respublikos aplinkos ministro 2007 m. gruodžio 6 d. įsakymu Nr. D1-665 „Dėl statybos techninio reglamento STR 1.01.05:2016 „Normatyviniai statybos techniniai dokumentai“ patvirtinimo“;</w:t>
                      </w:r>
                    </w:p>
                  </w:sdtContent>
                </w:sdt>
                <w:sdt>
                  <w:sdtPr>
                    <w:alias w:val="3.9 pp."/>
                    <w:tag w:val="part_1c31c54f19864c2886158f0bf34638af"/>
                    <w:lock w:val="sdtLocked"/>
                    <w:richText/>
                  </w:sdtPr>
                  <w:sdtContent>
                    <w:p>
                      <w:pPr>
                        <w:suppressAutoHyphens/>
                        <w:ind w:firstLine="567"/>
                        <w:jc w:val="both"/>
                        <w:textAlignment w:val="center"/>
                        <w:rPr>
                          <w:szCs w:val="24"/>
                        </w:rPr>
                      </w:pPr>
                      <w:sdt>
                        <w:sdtPr>
                          <w:alias w:val="Numeris"/>
                          <w:tag w:val="nr_1c31c54f19864c2886158f0bf34638af"/>
                          <w:lock w:val="sdtLocked"/>
                          <w:richText/>
                        </w:sdtPr>
                        <w:sdtContent>
                          <w:r>
                            <w:rPr>
                              <w:szCs w:val="24"/>
                            </w:rPr>
                            <w:t>3.9</w:t>
                          </w:r>
                        </w:sdtContent>
                      </w:sdt>
                      <w:r>
                        <w:rPr>
                          <w:szCs w:val="24"/>
                        </w:rPr>
                        <w:t>. statybos techninis reglamentas STR 2.02.02:2004 „Visuomeninės paskirties statiniai“, patvirtintas Lietuvos Respublikos aplinkos ministro 2004 m. vasario 27 d. įsakymu Nr. D1-91 „Dėl statybos techninio reglamento STR 2.02.02:2004 „Visuomeninės paskirties statiniai“ patvirtinimo“;</w:t>
                      </w:r>
                    </w:p>
                  </w:sdtContent>
                </w:sdt>
                <w:sdt>
                  <w:sdtPr>
                    <w:alias w:val="3.10 pp."/>
                    <w:tag w:val="part_4436637284c44ada8a8967ef159e63f3"/>
                    <w:lock w:val="sdtLocked"/>
                    <w:richText/>
                  </w:sdtPr>
                  <w:sdtContent>
                    <w:p>
                      <w:pPr>
                        <w:suppressAutoHyphens/>
                        <w:ind w:firstLine="567"/>
                        <w:jc w:val="both"/>
                        <w:textAlignment w:val="center"/>
                        <w:rPr>
                          <w:szCs w:val="24"/>
                        </w:rPr>
                      </w:pPr>
                      <w:sdt>
                        <w:sdtPr>
                          <w:alias w:val="Numeris"/>
                          <w:tag w:val="nr_4436637284c44ada8a8967ef159e63f3"/>
                          <w:lock w:val="sdtLocked"/>
                          <w:richText/>
                        </w:sdtPr>
                        <w:sdtContent>
                          <w:r>
                            <w:rPr>
                              <w:szCs w:val="24"/>
                            </w:rPr>
                            <w:t>3.10</w:t>
                          </w:r>
                        </w:sdtContent>
                      </w:sdt>
                      <w:r>
                        <w:rPr>
                          <w:szCs w:val="24"/>
                        </w:rPr>
                        <w:t>. statybos techninis reglamentas STR 1.04.04:2017 „Statinio projektavimas, projekto ekspertizė“, patvirtintas Lietuvos Respublikos aplinkos ministro 2016 m. lapkričio 7 d. įsakymu Nr. D1-738 „Dėl statybos techninio reglamento STR 1.04.04:2017 „Statinio projektavimas, projekto ekspertizė“ patvirtinimo“;</w:t>
                      </w:r>
                    </w:p>
                  </w:sdtContent>
                </w:sdt>
                <w:sdt>
                  <w:sdtPr>
                    <w:alias w:val="3.11 pp."/>
                    <w:tag w:val="part_f9c5665f78fb4770b4805cca205a2b4a"/>
                    <w:lock w:val="sdtLocked"/>
                    <w:richText/>
                  </w:sdtPr>
                  <w:sdtContent>
                    <w:p>
                      <w:pPr>
                        <w:suppressAutoHyphens/>
                        <w:ind w:firstLine="567"/>
                        <w:jc w:val="both"/>
                        <w:textAlignment w:val="center"/>
                        <w:rPr>
                          <w:szCs w:val="24"/>
                        </w:rPr>
                      </w:pPr>
                      <w:sdt>
                        <w:sdtPr>
                          <w:alias w:val="Numeris"/>
                          <w:tag w:val="nr_f9c5665f78fb4770b4805cca205a2b4a"/>
                          <w:lock w:val="sdtLocked"/>
                          <w:richText/>
                        </w:sdtPr>
                        <w:sdtContent>
                          <w:r>
                            <w:rPr>
                              <w:szCs w:val="24"/>
                            </w:rPr>
                            <w:t>3.11</w:t>
                          </w:r>
                        </w:sdtContent>
                      </w:sdt>
                      <w:r>
                        <w:rPr>
                          <w:szCs w:val="24"/>
                        </w:rPr>
                        <w:t xml:space="preserve"> statybos techninis reglamentas STR 1.02.09:2011 „Teisės atlikti pastatų energinio naudingumo sertifikavimą įgijimo tvarkos aprašas“, patvirtintas Lietuvos Respublikos aplinkos ministro 2011 m. gruodžio 14 d. įsakymu Nr. D1-972 „Dėl statybos techninio reglamento STR 1.02.09:2011 „Teisės atlikti pastatų energinio naudingumo sertifikavimą įgijimo tvarkos aprašas“  patvirtinimo“; </w:t>
                      </w:r>
                    </w:p>
                  </w:sdtContent>
                </w:sdt>
                <w:sdt>
                  <w:sdtPr>
                    <w:alias w:val="3.12 pp."/>
                    <w:tag w:val="part_2f8d6215cf564fd9a20289419734a2b8"/>
                    <w:lock w:val="sdtLocked"/>
                    <w:richText/>
                  </w:sdtPr>
                  <w:sdtContent>
                    <w:p>
                      <w:pPr>
                        <w:suppressAutoHyphens/>
                        <w:ind w:firstLine="567"/>
                        <w:jc w:val="both"/>
                        <w:textAlignment w:val="center"/>
                        <w:rPr>
                          <w:szCs w:val="24"/>
                        </w:rPr>
                      </w:pPr>
                      <w:sdt>
                        <w:sdtPr>
                          <w:alias w:val="Numeris"/>
                          <w:tag w:val="nr_2f8d6215cf564fd9a20289419734a2b8"/>
                          <w:lock w:val="sdtLocked"/>
                          <w:richText/>
                        </w:sdtPr>
                        <w:sdtContent>
                          <w:r>
                            <w:rPr>
                              <w:szCs w:val="24"/>
                            </w:rPr>
                            <w:t>3.12</w:t>
                          </w:r>
                        </w:sdtContent>
                      </w:sdt>
                      <w:r>
                        <w:rPr>
                          <w:szCs w:val="24"/>
                        </w:rPr>
                        <w:t>. LST EN 1745:2012 „Mūras ir jo gaminiai. Šiluminių savybių nustatymo metodai“;</w:t>
                      </w:r>
                    </w:p>
                  </w:sdtContent>
                </w:sdt>
                <w:sdt>
                  <w:sdtPr>
                    <w:alias w:val="3.13 pp."/>
                    <w:tag w:val="part_894ff7dd1da24e7ba7231f43f5a56f57"/>
                    <w:lock w:val="sdtLocked"/>
                    <w:richText/>
                  </w:sdtPr>
                  <w:sdtContent>
                    <w:p>
                      <w:pPr>
                        <w:suppressAutoHyphens/>
                        <w:ind w:firstLine="567"/>
                        <w:jc w:val="both"/>
                        <w:textAlignment w:val="center"/>
                        <w:rPr>
                          <w:szCs w:val="24"/>
                        </w:rPr>
                      </w:pPr>
                      <w:sdt>
                        <w:sdtPr>
                          <w:alias w:val="Numeris"/>
                          <w:tag w:val="nr_894ff7dd1da24e7ba7231f43f5a56f57"/>
                          <w:lock w:val="sdtLocked"/>
                          <w:richText/>
                        </w:sdtPr>
                        <w:sdtContent>
                          <w:r>
                            <w:rPr>
                              <w:szCs w:val="24"/>
                            </w:rPr>
                            <w:t>3.13</w:t>
                          </w:r>
                        </w:sdtContent>
                      </w:sdt>
                      <w:r>
                        <w:rPr>
                          <w:szCs w:val="24"/>
                        </w:rPr>
                        <w:t>. LST EN ISO 6946:2008 „Statybiniai komponentai ir elementai. Šiluminė varža ir šilumos perdavimo koeficientas. Skaičiavimo metodas (ISO 6946:2007)“;</w:t>
                      </w:r>
                    </w:p>
                  </w:sdtContent>
                </w:sdt>
                <w:sdt>
                  <w:sdtPr>
                    <w:alias w:val="3.14 pp."/>
                    <w:tag w:val="part_0a4bf1fe349b43bf94993f5e34429f70"/>
                    <w:lock w:val="sdtLocked"/>
                    <w:richText/>
                  </w:sdtPr>
                  <w:sdtContent>
                    <w:p>
                      <w:pPr>
                        <w:suppressAutoHyphens/>
                        <w:ind w:firstLine="567"/>
                        <w:jc w:val="both"/>
                        <w:textAlignment w:val="center"/>
                        <w:rPr>
                          <w:szCs w:val="24"/>
                        </w:rPr>
                      </w:pPr>
                      <w:sdt>
                        <w:sdtPr>
                          <w:alias w:val="Numeris"/>
                          <w:tag w:val="nr_0a4bf1fe349b43bf94993f5e34429f70"/>
                          <w:lock w:val="sdtLocked"/>
                          <w:richText/>
                        </w:sdtPr>
                        <w:sdtContent>
                          <w:r>
                            <w:rPr>
                              <w:szCs w:val="24"/>
                            </w:rPr>
                            <w:t>3.14</w:t>
                          </w:r>
                        </w:sdtContent>
                      </w:sdt>
                      <w:r>
                        <w:rPr>
                          <w:szCs w:val="24"/>
                        </w:rPr>
                        <w:t>. LST EN ISO 13370:2008 „Šiluminės pastatų charakteristikos. Šilumos pernaša gruntu. Skaičiavimo metodai (ISO 13370:2007)“;</w:t>
                      </w:r>
                    </w:p>
                  </w:sdtContent>
                </w:sdt>
                <w:sdt>
                  <w:sdtPr>
                    <w:alias w:val="3.15 pp."/>
                    <w:tag w:val="part_a8b573fe3dd0448ebf426aa6ce51ea5e"/>
                    <w:lock w:val="sdtLocked"/>
                    <w:richText/>
                  </w:sdtPr>
                  <w:sdtContent>
                    <w:p>
                      <w:pPr>
                        <w:suppressAutoHyphens/>
                        <w:ind w:firstLine="567"/>
                        <w:jc w:val="both"/>
                        <w:textAlignment w:val="center"/>
                        <w:rPr>
                          <w:szCs w:val="24"/>
                        </w:rPr>
                      </w:pPr>
                      <w:sdt>
                        <w:sdtPr>
                          <w:alias w:val="Numeris"/>
                          <w:tag w:val="nr_a8b573fe3dd0448ebf426aa6ce51ea5e"/>
                          <w:lock w:val="sdtLocked"/>
                          <w:richText/>
                        </w:sdtPr>
                        <w:sdtContent>
                          <w:r>
                            <w:rPr>
                              <w:szCs w:val="24"/>
                            </w:rPr>
                            <w:t>3.15</w:t>
                          </w:r>
                        </w:sdtContent>
                      </w:sdt>
                      <w:r>
                        <w:rPr>
                          <w:szCs w:val="24"/>
                        </w:rPr>
                        <w:t>. LST EN ISO 10211:2008 „Statybinių konstrukcijų šiluminiai tilteliai. Šilumos srautai ir paviršiaus temperatūros. Detalieji skaičiavimai (ISO 10211:2007)“;</w:t>
                      </w:r>
                    </w:p>
                  </w:sdtContent>
                </w:sdt>
                <w:sdt>
                  <w:sdtPr>
                    <w:alias w:val="3.16 pp."/>
                    <w:tag w:val="part_4152a1c82dd24d55a2f81db0dddae87e"/>
                    <w:lock w:val="sdtLocked"/>
                    <w:richText/>
                  </w:sdtPr>
                  <w:sdtContent>
                    <w:p>
                      <w:pPr>
                        <w:suppressAutoHyphens/>
                        <w:ind w:firstLine="567"/>
                        <w:jc w:val="both"/>
                        <w:textAlignment w:val="center"/>
                        <w:rPr>
                          <w:szCs w:val="24"/>
                        </w:rPr>
                      </w:pPr>
                      <w:sdt>
                        <w:sdtPr>
                          <w:alias w:val="Numeris"/>
                          <w:tag w:val="nr_4152a1c82dd24d55a2f81db0dddae87e"/>
                          <w:lock w:val="sdtLocked"/>
                          <w:richText/>
                        </w:sdtPr>
                        <w:sdtContent>
                          <w:r>
                            <w:rPr>
                              <w:szCs w:val="24"/>
                            </w:rPr>
                            <w:t>3.16</w:t>
                          </w:r>
                        </w:sdtContent>
                      </w:sdt>
                      <w:r>
                        <w:rPr>
                          <w:szCs w:val="24"/>
                        </w:rPr>
                        <w:t>. LST EN ISO 10077-1:2006 „Šiluminės langų, durų ir langinių charakteristikos. Šilumos perdavimo koeficiento skaičiavimas. 1 dalis. Bendrieji dalykai (ISO 10077-1:2006)“;</w:t>
                      </w:r>
                    </w:p>
                  </w:sdtContent>
                </w:sdt>
                <w:sdt>
                  <w:sdtPr>
                    <w:alias w:val="3.17 pp."/>
                    <w:tag w:val="part_4f6455476e4c400991c7a3173afa688f"/>
                    <w:lock w:val="sdtLocked"/>
                    <w:richText/>
                  </w:sdtPr>
                  <w:sdtContent>
                    <w:p>
                      <w:pPr>
                        <w:suppressAutoHyphens/>
                        <w:ind w:firstLine="567"/>
                        <w:jc w:val="both"/>
                        <w:textAlignment w:val="center"/>
                        <w:rPr>
                          <w:szCs w:val="24"/>
                        </w:rPr>
                      </w:pPr>
                      <w:sdt>
                        <w:sdtPr>
                          <w:alias w:val="Numeris"/>
                          <w:tag w:val="nr_4f6455476e4c400991c7a3173afa688f"/>
                          <w:lock w:val="sdtLocked"/>
                          <w:richText/>
                        </w:sdtPr>
                        <w:sdtContent>
                          <w:r>
                            <w:rPr>
                              <w:szCs w:val="24"/>
                            </w:rPr>
                            <w:t>3.17</w:t>
                          </w:r>
                        </w:sdtContent>
                      </w:sdt>
                      <w:r>
                        <w:rPr>
                          <w:szCs w:val="24"/>
                        </w:rPr>
                        <w:t>. LST EN 15217:2007 „Energetinės pastatų charakteristikos. Pastatų energetinių charakteristikų išreiškimo ir energetinio sertifikavimo metodai“;</w:t>
                      </w:r>
                    </w:p>
                  </w:sdtContent>
                </w:sdt>
                <w:sdt>
                  <w:sdtPr>
                    <w:alias w:val="3.18 pp."/>
                    <w:tag w:val="part_de89af975e7e4154be50ea12d9ba437c"/>
                    <w:lock w:val="sdtLocked"/>
                    <w:richText/>
                  </w:sdtPr>
                  <w:sdtContent>
                    <w:p>
                      <w:pPr>
                        <w:suppressAutoHyphens/>
                        <w:ind w:right="-1" w:firstLine="567"/>
                        <w:jc w:val="both"/>
                        <w:textAlignment w:val="center"/>
                        <w:rPr>
                          <w:szCs w:val="24"/>
                        </w:rPr>
                      </w:pPr>
                      <w:sdt>
                        <w:sdtPr>
                          <w:alias w:val="Numeris"/>
                          <w:tag w:val="nr_de89af975e7e4154be50ea12d9ba437c"/>
                          <w:lock w:val="sdtLocked"/>
                          <w:richText/>
                        </w:sdtPr>
                        <w:sdtContent>
                          <w:r>
                            <w:rPr>
                              <w:szCs w:val="24"/>
                            </w:rPr>
                            <w:t>3.18</w:t>
                          </w:r>
                        </w:sdtContent>
                      </w:sdt>
                      <w:r>
                        <w:rPr>
                          <w:szCs w:val="24"/>
                        </w:rPr>
                        <w:t>. LST EN ISO 52000-1:2017 „Energetinės pastatų charakteristikos. Visapusis energinių pastatų charakteristikų vertinimas. 1 dal</w:t>
                      </w:r>
                      <w:r>
                        <w:rPr>
                          <w:color w:val="000000"/>
                          <w:szCs w:val="24"/>
                        </w:rPr>
                        <w:t>is. Bendroji struktūra ir procedūros. (ISO 52000-1:2017)“;</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19 pp."/>
                    <w:tag w:val="part_7639a9ae55284f86863560a9bb7be5ef"/>
                    <w:lock w:val="sdtLocked"/>
                    <w:richText/>
                  </w:sdtPr>
                  <w:sdtContent>
                    <w:p>
                      <w:pPr>
                        <w:suppressAutoHyphens/>
                        <w:ind w:firstLine="567"/>
                        <w:jc w:val="both"/>
                        <w:textAlignment w:val="center"/>
                        <w:rPr>
                          <w:rFonts w:eastAsia="Calibri"/>
                          <w:szCs w:val="24"/>
                        </w:rPr>
                      </w:pPr>
                      <w:sdt>
                        <w:sdtPr>
                          <w:alias w:val="Numeris"/>
                          <w:tag w:val="nr_7639a9ae55284f86863560a9bb7be5ef"/>
                          <w:lock w:val="sdtLocked"/>
                          <w:richText/>
                        </w:sdtPr>
                        <w:sdtContent>
                          <w:r>
                            <w:rPr>
                              <w:szCs w:val="24"/>
                            </w:rPr>
                            <w:t>3.19</w:t>
                          </w:r>
                        </w:sdtContent>
                      </w:sdt>
                      <w:r>
                        <w:rPr>
                          <w:szCs w:val="24"/>
                        </w:rPr>
                        <w:t xml:space="preserve">. </w:t>
                      </w:r>
                      <w:r>
                        <w:rPr>
                          <w:rFonts w:eastAsia="Calibri"/>
                          <w:bCs/>
                          <w:color w:val="0000FF"/>
                          <w:szCs w:val="22"/>
                          <w:u w:val="single"/>
                        </w:rPr>
                        <w:t xml:space="preserve">LST EN ISO 9972:2015 </w:t>
                      </w:r>
                      <w:r>
                        <w:rPr>
                          <w:rFonts w:eastAsia="Calibri"/>
                          <w:bCs/>
                          <w:szCs w:val="24"/>
                        </w:rPr>
                        <w:t>„</w:t>
                      </w:r>
                      <w:r>
                        <w:rPr>
                          <w:rFonts w:eastAsia="Calibri"/>
                          <w:szCs w:val="24"/>
                        </w:rPr>
                        <w:t>Šiluminės pastatų charakteristikos. Pastatų pralaidumo orui nustatymas. Ventiliatorinis slėgių skirtumo metodas (ISO 9972:2015)“;</w:t>
                      </w:r>
                    </w:p>
                  </w:sdtContent>
                </w:sdt>
                <w:sdt>
                  <w:sdtPr>
                    <w:alias w:val="3.20 pp."/>
                    <w:tag w:val="part_07fbf012720e45bcaf29f4d85f717830"/>
                    <w:lock w:val="sdtLocked"/>
                    <w:richText/>
                  </w:sdtPr>
                  <w:sdtContent>
                    <w:p>
                      <w:pPr>
                        <w:suppressAutoHyphens/>
                        <w:ind w:firstLine="567"/>
                        <w:jc w:val="both"/>
                        <w:textAlignment w:val="center"/>
                        <w:rPr>
                          <w:szCs w:val="24"/>
                        </w:rPr>
                      </w:pPr>
                      <w:sdt>
                        <w:sdtPr>
                          <w:alias w:val="Numeris"/>
                          <w:tag w:val="nr_07fbf012720e45bcaf29f4d85f717830"/>
                          <w:lock w:val="sdtLocked"/>
                          <w:richText/>
                        </w:sdtPr>
                        <w:sdtContent>
                          <w:r>
                            <w:rPr>
                              <w:szCs w:val="24"/>
                            </w:rPr>
                            <w:t>3.20</w:t>
                          </w:r>
                        </w:sdtContent>
                      </w:sdt>
                      <w:r>
                        <w:rPr>
                          <w:szCs w:val="24"/>
                        </w:rPr>
                        <w:t>. LST EN ISO 13790:2008 „Energetinės pastatų charakteristikos. Patalpoms šildyti ir aušinti sunaudojamos energijos skaičiavimas (ISO 13790:2008)“;</w:t>
                      </w:r>
                    </w:p>
                  </w:sdtContent>
                </w:sdt>
                <w:sdt>
                  <w:sdtPr>
                    <w:alias w:val="3.21 pp."/>
                    <w:tag w:val="part_fa1116b903e0415290374031ae441d94"/>
                    <w:lock w:val="sdtLocked"/>
                    <w:richText/>
                  </w:sdtPr>
                  <w:sdtContent>
                    <w:p>
                      <w:pPr>
                        <w:suppressAutoHyphens/>
                        <w:ind w:firstLine="567"/>
                        <w:jc w:val="both"/>
                        <w:textAlignment w:val="center"/>
                        <w:rPr>
                          <w:szCs w:val="24"/>
                        </w:rPr>
                      </w:pPr>
                      <w:sdt>
                        <w:sdtPr>
                          <w:alias w:val="Numeris"/>
                          <w:tag w:val="nr_fa1116b903e0415290374031ae441d94"/>
                          <w:lock w:val="sdtLocked"/>
                          <w:richText/>
                        </w:sdtPr>
                        <w:sdtContent>
                          <w:r>
                            <w:rPr>
                              <w:spacing w:val="-4"/>
                              <w:szCs w:val="24"/>
                            </w:rPr>
                            <w:t>3.21</w:t>
                          </w:r>
                        </w:sdtContent>
                      </w:sdt>
                      <w:r>
                        <w:rPr>
                          <w:spacing w:val="-4"/>
                          <w:szCs w:val="24"/>
                        </w:rPr>
                        <w:t>. LST EN ISO 15242:2007 „Pastatų vėdinimas. Skaičiavimo metodas nustatyti pastatų oro srautą, įskaitant infiltraciją“;</w:t>
                      </w:r>
                    </w:p>
                  </w:sdtContent>
                </w:sdt>
                <w:sdt>
                  <w:sdtPr>
                    <w:alias w:val="3.22 pp."/>
                    <w:tag w:val="part_0fa05c39aba749d88bda928875db44ac"/>
                    <w:lock w:val="sdtLocked"/>
                    <w:richText/>
                  </w:sdtPr>
                  <w:sdtContent>
                    <w:p>
                      <w:pPr>
                        <w:suppressAutoHyphens/>
                        <w:ind w:firstLine="567"/>
                        <w:jc w:val="both"/>
                        <w:textAlignment w:val="center"/>
                        <w:rPr>
                          <w:szCs w:val="24"/>
                        </w:rPr>
                      </w:pPr>
                      <w:sdt>
                        <w:sdtPr>
                          <w:alias w:val="Numeris"/>
                          <w:tag w:val="nr_0fa05c39aba749d88bda928875db44ac"/>
                          <w:lock w:val="sdtLocked"/>
                          <w:richText/>
                        </w:sdtPr>
                        <w:sdtContent>
                          <w:r>
                            <w:rPr>
                              <w:szCs w:val="24"/>
                            </w:rPr>
                            <w:t>3.22</w:t>
                          </w:r>
                        </w:sdtContent>
                      </w:sdt>
                      <w:r>
                        <w:rPr>
                          <w:szCs w:val="24"/>
                        </w:rPr>
                        <w:t>. LST EN 15316-1:2007 „Pastatų šildymo sistemos. Sistemos energijos poreikio ir sistemos našumo skaičiavimo metodas. 1 dalis. Bendrieji dalykai“;</w:t>
                      </w:r>
                    </w:p>
                  </w:sdtContent>
                </w:sdt>
                <w:sdt>
                  <w:sdtPr>
                    <w:alias w:val="3.23 pp."/>
                    <w:tag w:val="part_d02afe6f1880417c96d46168e0fa69ba"/>
                    <w:lock w:val="sdtLocked"/>
                    <w:richText/>
                  </w:sdtPr>
                  <w:sdtContent>
                    <w:p>
                      <w:pPr>
                        <w:suppressAutoHyphens/>
                        <w:ind w:firstLine="567"/>
                        <w:jc w:val="both"/>
                        <w:textAlignment w:val="center"/>
                        <w:rPr>
                          <w:szCs w:val="24"/>
                        </w:rPr>
                      </w:pPr>
                      <w:sdt>
                        <w:sdtPr>
                          <w:alias w:val="Numeris"/>
                          <w:tag w:val="nr_d02afe6f1880417c96d46168e0fa69ba"/>
                          <w:lock w:val="sdtLocked"/>
                          <w:richText/>
                        </w:sdtPr>
                        <w:sdtContent>
                          <w:r>
                            <w:rPr>
                              <w:szCs w:val="24"/>
                            </w:rPr>
                            <w:t>3.23</w:t>
                          </w:r>
                        </w:sdtContent>
                      </w:sdt>
                      <w:r>
                        <w:rPr>
                          <w:szCs w:val="24"/>
                        </w:rPr>
                        <w:t>. LST EN 15316-3-2:2008 „Pastatų šildymo sistemos. Sistemos energijos poreikio ir sistemos našumo skaičiavimo metodas. 3-2 dalis. Karšto buitinio vandens sistemos, paskirstymas“;</w:t>
                      </w:r>
                    </w:p>
                  </w:sdtContent>
                </w:sdt>
                <w:sdt>
                  <w:sdtPr>
                    <w:alias w:val="3.24 pp."/>
                    <w:tag w:val="part_57f420cb99bc479ba072625d8cc3d3f7"/>
                    <w:lock w:val="sdtLocked"/>
                    <w:richText/>
                  </w:sdtPr>
                  <w:sdtContent>
                    <w:p>
                      <w:pPr>
                        <w:suppressAutoHyphens/>
                        <w:ind w:firstLine="567"/>
                        <w:jc w:val="both"/>
                        <w:textAlignment w:val="center"/>
                        <w:rPr>
                          <w:szCs w:val="24"/>
                        </w:rPr>
                      </w:pPr>
                      <w:sdt>
                        <w:sdtPr>
                          <w:alias w:val="Numeris"/>
                          <w:tag w:val="nr_57f420cb99bc479ba072625d8cc3d3f7"/>
                          <w:lock w:val="sdtLocked"/>
                          <w:richText/>
                        </w:sdtPr>
                        <w:sdtContent>
                          <w:r>
                            <w:rPr>
                              <w:szCs w:val="24"/>
                            </w:rPr>
                            <w:t>3.24</w:t>
                          </w:r>
                        </w:sdtContent>
                      </w:sdt>
                      <w:r>
                        <w:rPr>
                          <w:szCs w:val="24"/>
                        </w:rPr>
                        <w:t>. LST EN 15316-3-3:2008 „Pastatų šildymo sistemos. Sistemos energijos poreikio ir sistemos našumo skaičiavimo metodas. 3-3 dalis. Karšto buitinio vandens sistemos, karšto vandens paruošimas“;</w:t>
                      </w:r>
                    </w:p>
                  </w:sdtContent>
                </w:sdt>
                <w:sdt>
                  <w:sdtPr>
                    <w:alias w:val="3.25 pp."/>
                    <w:tag w:val="part_06655e73812b4fdcb513a07122acde30"/>
                    <w:lock w:val="sdtLocked"/>
                    <w:richText/>
                  </w:sdtPr>
                  <w:sdtContent>
                    <w:p>
                      <w:pPr>
                        <w:suppressAutoHyphens/>
                        <w:ind w:firstLine="567"/>
                        <w:jc w:val="both"/>
                        <w:textAlignment w:val="center"/>
                        <w:rPr>
                          <w:szCs w:val="24"/>
                        </w:rPr>
                      </w:pPr>
                      <w:sdt>
                        <w:sdtPr>
                          <w:alias w:val="Numeris"/>
                          <w:tag w:val="nr_06655e73812b4fdcb513a07122acde30"/>
                          <w:lock w:val="sdtLocked"/>
                          <w:richText/>
                        </w:sdtPr>
                        <w:sdtContent>
                          <w:r>
                            <w:rPr>
                              <w:szCs w:val="24"/>
                            </w:rPr>
                            <w:t>3.25</w:t>
                          </w:r>
                        </w:sdtContent>
                      </w:sdt>
                      <w:r>
                        <w:rPr>
                          <w:szCs w:val="24"/>
                        </w:rPr>
                        <w:t>. LST EN 15316-4-3:2007 „Pastatų šildymo sistemos. Sistemos energijos poreikio ir sistemos našumo skaičiavimo metodas. 4-3 dalis. Šilumos gamybos sistemos, Saulės šiluminės energijos sistemos“;</w:t>
                      </w:r>
                    </w:p>
                    <w:p>
                      <w:pPr>
                        <w:suppressAutoHyphens/>
                        <w:ind w:firstLine="567"/>
                        <w:jc w:val="both"/>
                        <w:textAlignment w:val="center"/>
                        <w:rPr>
                          <w:szCs w:val="24"/>
                        </w:rPr>
                      </w:pPr>
                    </w:p>
                  </w:sdtContent>
                </w:sdt>
                <w:sdt>
                  <w:sdtPr>
                    <w:alias w:val="3.26 pp."/>
                    <w:tag w:val="part_cb35ec0317584b6a84b4e91c083d4ae0"/>
                    <w:lock w:val="sdtLocked"/>
                    <w:richText/>
                  </w:sdtPr>
                  <w:sdtContent>
                    <w:p>
                      <w:pPr>
                        <w:suppressAutoHyphens/>
                        <w:ind w:firstLine="567"/>
                        <w:jc w:val="both"/>
                        <w:textAlignment w:val="center"/>
                        <w:rPr>
                          <w:szCs w:val="24"/>
                        </w:rPr>
                      </w:pPr>
                      <w:sdt>
                        <w:sdtPr>
                          <w:alias w:val="Numeris"/>
                          <w:tag w:val="nr_cb35ec0317584b6a84b4e91c083d4ae0"/>
                          <w:lock w:val="sdtLocked"/>
                          <w:richText/>
                        </w:sdtPr>
                        <w:sdtContent>
                          <w:r>
                            <w:rPr>
                              <w:szCs w:val="24"/>
                            </w:rPr>
                            <w:t>3.26</w:t>
                          </w:r>
                        </w:sdtContent>
                      </w:sdt>
                      <w:r>
                        <w:rPr>
                          <w:szCs w:val="24"/>
                        </w:rPr>
                        <w:t>. LST EN 15316-4-6:2007 „Pastatų šildymo sistemos. Sistemos energijos poreikio ir sistemos našumo skaičiavimo metodas. 4-6 dalis. Šilumos gamybos sistemos, fotovoltinės sistemos“;</w:t>
                      </w:r>
                    </w:p>
                  </w:sdtContent>
                </w:sdt>
                <w:sdt>
                  <w:sdtPr>
                    <w:alias w:val="3.27 pp."/>
                    <w:tag w:val="part_b0f0bc6a89e94376b862cc385bd3a9de"/>
                    <w:lock w:val="sdtLocked"/>
                    <w:richText/>
                  </w:sdtPr>
                  <w:sdtContent>
                    <w:p>
                      <w:pPr>
                        <w:suppressAutoHyphens/>
                        <w:ind w:firstLine="567"/>
                        <w:jc w:val="both"/>
                        <w:textAlignment w:val="center"/>
                        <w:rPr>
                          <w:szCs w:val="24"/>
                        </w:rPr>
                      </w:pPr>
                      <w:sdt>
                        <w:sdtPr>
                          <w:alias w:val="Numeris"/>
                          <w:tag w:val="nr_b0f0bc6a89e94376b862cc385bd3a9de"/>
                          <w:lock w:val="sdtLocked"/>
                          <w:richText/>
                        </w:sdtPr>
                        <w:sdtContent>
                          <w:r>
                            <w:rPr>
                              <w:szCs w:val="24"/>
                            </w:rPr>
                            <w:t>3.27</w:t>
                          </w:r>
                        </w:sdtContent>
                      </w:sdt>
                      <w:r>
                        <w:rPr>
                          <w:szCs w:val="24"/>
                        </w:rPr>
                        <w:t>. LST EN 15193:2007 „Energetinės pastatų charakteristikos. Energetiniai apšvietimo reikalavimai“;</w:t>
                      </w:r>
                    </w:p>
                  </w:sdtContent>
                </w:sdt>
                <w:sdt>
                  <w:sdtPr>
                    <w:alias w:val="3.28 pp."/>
                    <w:tag w:val="part_85818e11fa5649b68b5b64938ffdfa72"/>
                    <w:lock w:val="sdtLocked"/>
                    <w:richText/>
                  </w:sdtPr>
                  <w:sdtContent>
                    <w:p>
                      <w:pPr>
                        <w:suppressAutoHyphens/>
                        <w:ind w:firstLine="567"/>
                        <w:jc w:val="both"/>
                        <w:textAlignment w:val="center"/>
                        <w:rPr>
                          <w:szCs w:val="24"/>
                        </w:rPr>
                      </w:pPr>
                      <w:sdt>
                        <w:sdtPr>
                          <w:alias w:val="Numeris"/>
                          <w:tag w:val="nr_85818e11fa5649b68b5b64938ffdfa72"/>
                          <w:lock w:val="sdtLocked"/>
                          <w:richText/>
                        </w:sdtPr>
                        <w:sdtContent>
                          <w:r>
                            <w:rPr>
                              <w:szCs w:val="24"/>
                            </w:rPr>
                            <w:t>3.28</w:t>
                          </w:r>
                        </w:sdtContent>
                      </w:sdt>
                      <w:r>
                        <w:rPr>
                          <w:szCs w:val="24"/>
                        </w:rPr>
                        <w:t>. LST EN 13363-1+A1:2007 „Apsaugos nuo saulės priemonės su stikliniais elementais. Saulės energijos ir šviesos praleidimo faktorių skaičiavimas. 1 dalis. Supaprastintas metodas“;</w:t>
                      </w:r>
                    </w:p>
                  </w:sdtContent>
                </w:sdt>
                <w:sdt>
                  <w:sdtPr>
                    <w:alias w:val="3.29 pp."/>
                    <w:tag w:val="part_d16a0dc945b540be9b0f7aff39cdb15a"/>
                    <w:lock w:val="sdtLocked"/>
                    <w:richText/>
                  </w:sdtPr>
                  <w:sdtContent>
                    <w:p>
                      <w:pPr>
                        <w:suppressAutoHyphens/>
                        <w:ind w:firstLine="567"/>
                        <w:jc w:val="both"/>
                        <w:textAlignment w:val="center"/>
                        <w:rPr>
                          <w:szCs w:val="24"/>
                        </w:rPr>
                      </w:pPr>
                      <w:sdt>
                        <w:sdtPr>
                          <w:alias w:val="Numeris"/>
                          <w:tag w:val="nr_d16a0dc945b540be9b0f7aff39cdb15a"/>
                          <w:lock w:val="sdtLocked"/>
                          <w:richText/>
                        </w:sdtPr>
                        <w:sdtContent>
                          <w:r>
                            <w:rPr>
                              <w:szCs w:val="24"/>
                            </w:rPr>
                            <w:t>3.29</w:t>
                          </w:r>
                        </w:sdtContent>
                      </w:sdt>
                      <w:r>
                        <w:rPr>
                          <w:szCs w:val="24"/>
                        </w:rPr>
                        <w:t>. LST EN 13363-2:2005 „Apsaugos nuo saulės priemonės su stikliniais elementais. Saulės energijos ir šviesos pralaidumo faktoriaus skaičiavimas. 2 dalis. Detaliojo skaičiavimo metodas“;</w:t>
                      </w:r>
                    </w:p>
                  </w:sdtContent>
                </w:sdt>
                <w:sdt>
                  <w:sdtPr>
                    <w:alias w:val="3.30 pp."/>
                    <w:tag w:val="part_6d453c83ce234f449e3e6424ddd76682"/>
                    <w:lock w:val="sdtLocked"/>
                    <w:richText/>
                  </w:sdtPr>
                  <w:sdtContent>
                    <w:p>
                      <w:pPr>
                        <w:suppressAutoHyphens/>
                        <w:ind w:firstLine="567"/>
                        <w:jc w:val="both"/>
                        <w:textAlignment w:val="center"/>
                        <w:rPr>
                          <w:szCs w:val="24"/>
                        </w:rPr>
                      </w:pPr>
                      <w:sdt>
                        <w:sdtPr>
                          <w:alias w:val="Numeris"/>
                          <w:tag w:val="nr_6d453c83ce234f449e3e6424ddd76682"/>
                          <w:lock w:val="sdtLocked"/>
                          <w:richText/>
                        </w:sdtPr>
                        <w:sdtContent>
                          <w:r>
                            <w:rPr>
                              <w:szCs w:val="24"/>
                            </w:rPr>
                            <w:t>3.30</w:t>
                          </w:r>
                        </w:sdtContent>
                      </w:sdt>
                      <w:r>
                        <w:rPr>
                          <w:szCs w:val="24"/>
                        </w:rPr>
                        <w:t>. LST EN 1873:2006 „Surenkamoji pagalbinė stogų įranga. Kupoliniai plastikiniai stoglangiai. Gaminio techniniai reikalavimai ir bandymo metodai“;</w:t>
                      </w:r>
                    </w:p>
                  </w:sdtContent>
                </w:sdt>
                <w:sdt>
                  <w:sdtPr>
                    <w:alias w:val="3.31 pp."/>
                    <w:tag w:val="part_2605392d89f04df8ac992b424c0982de"/>
                    <w:lock w:val="sdtLocked"/>
                    <w:richText/>
                  </w:sdtPr>
                  <w:sdtContent>
                    <w:p>
                      <w:pPr>
                        <w:suppressAutoHyphens/>
                        <w:ind w:firstLine="567"/>
                        <w:jc w:val="both"/>
                        <w:textAlignment w:val="center"/>
                        <w:rPr>
                          <w:szCs w:val="24"/>
                        </w:rPr>
                      </w:pPr>
                      <w:sdt>
                        <w:sdtPr>
                          <w:alias w:val="Numeris"/>
                          <w:tag w:val="nr_2605392d89f04df8ac992b424c0982de"/>
                          <w:lock w:val="sdtLocked"/>
                          <w:richText/>
                        </w:sdtPr>
                        <w:sdtContent>
                          <w:r>
                            <w:rPr>
                              <w:szCs w:val="24"/>
                            </w:rPr>
                            <w:t>3.31</w:t>
                          </w:r>
                        </w:sdtContent>
                      </w:sdt>
                      <w:r>
                        <w:rPr>
                          <w:szCs w:val="24"/>
                        </w:rPr>
                        <w:t xml:space="preserve">. LST EN 12426:2002 „Pramonės, prekybos pastatų ir garažų durys bei vartai. Pralaidumas orui. Klasifikavimas“; </w:t>
                      </w:r>
                    </w:p>
                  </w:sdtContent>
                </w:sdt>
                <w:sdt>
                  <w:sdtPr>
                    <w:alias w:val="3.32 pp."/>
                    <w:tag w:val="part_652d0614a2a947ecab1a1e0a9890825d"/>
                    <w:lock w:val="sdtLocked"/>
                    <w:richText/>
                  </w:sdtPr>
                  <w:sdtContent>
                    <w:p>
                      <w:pPr>
                        <w:suppressAutoHyphens/>
                        <w:ind w:firstLine="567"/>
                        <w:jc w:val="both"/>
                        <w:textAlignment w:val="center"/>
                        <w:rPr>
                          <w:szCs w:val="24"/>
                        </w:rPr>
                      </w:pPr>
                      <w:sdt>
                        <w:sdtPr>
                          <w:alias w:val="Numeris"/>
                          <w:tag w:val="nr_652d0614a2a947ecab1a1e0a9890825d"/>
                          <w:lock w:val="sdtLocked"/>
                          <w:richText/>
                        </w:sdtPr>
                        <w:sdtContent>
                          <w:r>
                            <w:rPr>
                              <w:szCs w:val="24"/>
                            </w:rPr>
                            <w:t>3.32</w:t>
                          </w:r>
                        </w:sdtContent>
                      </w:sdt>
                      <w:r>
                        <w:rPr>
                          <w:szCs w:val="24"/>
                        </w:rPr>
                        <w:t xml:space="preserve">. LST EN 12207:2002 (LST EN 12207:2004) „Langai ir durys. Oro skverbtis. Klasifikavimas“; </w:t>
                      </w:r>
                    </w:p>
                  </w:sdtContent>
                </w:sdt>
                <w:sdt>
                  <w:sdtPr>
                    <w:alias w:val="3.33 pp."/>
                    <w:tag w:val="part_646195c8443a408eb990b0158dafc868"/>
                    <w:lock w:val="sdtLocked"/>
                    <w:richText/>
                  </w:sdtPr>
                  <w:sdtContent>
                    <w:p>
                      <w:pPr>
                        <w:suppressAutoHyphens/>
                        <w:ind w:firstLine="567"/>
                        <w:jc w:val="both"/>
                        <w:textAlignment w:val="center"/>
                        <w:rPr>
                          <w:szCs w:val="24"/>
                        </w:rPr>
                      </w:pPr>
                      <w:sdt>
                        <w:sdtPr>
                          <w:alias w:val="Numeris"/>
                          <w:tag w:val="nr_646195c8443a408eb990b0158dafc868"/>
                          <w:lock w:val="sdtLocked"/>
                          <w:richText/>
                        </w:sdtPr>
                        <w:sdtContent>
                          <w:r>
                            <w:rPr>
                              <w:szCs w:val="24"/>
                            </w:rPr>
                            <w:t>3.33</w:t>
                          </w:r>
                        </w:sdtContent>
                      </w:sdt>
                      <w:r>
                        <w:rPr>
                          <w:szCs w:val="24"/>
                        </w:rPr>
                        <w:t>. LST EN 15450:2008 „Pastatų šildymo sistemos. Šildymo sistemų su šilumos siurbliais projektavimas“;</w:t>
                      </w:r>
                    </w:p>
                  </w:sdtContent>
                </w:sdt>
                <w:sdt>
                  <w:sdtPr>
                    <w:alias w:val="3.34 pp."/>
                    <w:tag w:val="part_c413738904ab4366a739a8bff4750ecc"/>
                    <w:lock w:val="sdtLocked"/>
                    <w:richText/>
                  </w:sdtPr>
                  <w:sdtContent>
                    <w:p>
                      <w:pPr>
                        <w:suppressAutoHyphens/>
                        <w:ind w:firstLine="567"/>
                        <w:jc w:val="both"/>
                        <w:textAlignment w:val="center"/>
                        <w:rPr>
                          <w:szCs w:val="24"/>
                        </w:rPr>
                      </w:pPr>
                      <w:sdt>
                        <w:sdtPr>
                          <w:alias w:val="Numeris"/>
                          <w:tag w:val="nr_c413738904ab4366a739a8bff4750ecc"/>
                          <w:lock w:val="sdtLocked"/>
                          <w:richText/>
                        </w:sdtPr>
                        <w:sdtContent>
                          <w:r>
                            <w:rPr>
                              <w:szCs w:val="24"/>
                            </w:rPr>
                            <w:t>3.34</w:t>
                          </w:r>
                        </w:sdtContent>
                      </w:sdt>
                      <w:r>
                        <w:rPr>
                          <w:szCs w:val="24"/>
                        </w:rPr>
                        <w:t xml:space="preserve">. </w:t>
                      </w:r>
                      <w:r>
                        <w:rPr>
                          <w:rFonts w:eastAsia="Calibri"/>
                          <w:bCs/>
                          <w:color w:val="0000FF"/>
                          <w:szCs w:val="22"/>
                          <w:u w:val="single"/>
                        </w:rPr>
                        <w:t xml:space="preserve">LST EN ISO 9806:2014 </w:t>
                      </w:r>
                      <w:r>
                        <w:rPr>
                          <w:rFonts w:eastAsia="Calibri"/>
                          <w:bCs/>
                          <w:szCs w:val="24"/>
                        </w:rPr>
                        <w:t>„</w:t>
                      </w:r>
                      <w:r>
                        <w:rPr>
                          <w:rFonts w:eastAsia="Calibri"/>
                          <w:szCs w:val="24"/>
                        </w:rPr>
                        <w:t>Saulės energija. Saulės šiluminės energijos kolektoriai. Bandymo metodai (ISO 9806:2013)“;</w:t>
                      </w:r>
                    </w:p>
                  </w:sdtContent>
                </w:sdt>
                <w:sdt>
                  <w:sdtPr>
                    <w:alias w:val="3.35 pp."/>
                    <w:tag w:val="part_952312eaed044f0487361943c7839f75"/>
                    <w:lock w:val="sdtLocked"/>
                    <w:richText/>
                  </w:sdtPr>
                  <w:sdtContent>
                    <w:p>
                      <w:pPr>
                        <w:suppressAutoHyphens/>
                        <w:ind w:firstLine="567"/>
                        <w:jc w:val="both"/>
                        <w:textAlignment w:val="center"/>
                        <w:rPr>
                          <w:szCs w:val="24"/>
                        </w:rPr>
                      </w:pPr>
                      <w:sdt>
                        <w:sdtPr>
                          <w:alias w:val="Numeris"/>
                          <w:tag w:val="nr_952312eaed044f0487361943c7839f75"/>
                          <w:lock w:val="sdtLocked"/>
                          <w:richText/>
                        </w:sdtPr>
                        <w:sdtContent>
                          <w:r>
                            <w:rPr>
                              <w:szCs w:val="24"/>
                            </w:rPr>
                            <w:t>3.35</w:t>
                          </w:r>
                        </w:sdtContent>
                      </w:sdt>
                      <w:r>
                        <w:rPr>
                          <w:szCs w:val="24"/>
                        </w:rPr>
                        <w:t xml:space="preserve">. </w:t>
                      </w:r>
                      <w:r>
                        <w:rPr>
                          <w:rFonts w:eastAsia="Calibri"/>
                          <w:bCs/>
                          <w:color w:val="0000FF"/>
                          <w:szCs w:val="22"/>
                          <w:u w:val="single"/>
                        </w:rPr>
                        <w:t xml:space="preserve">LST EN 14511-3:2013 </w:t>
                      </w:r>
                      <w:r>
                        <w:rPr>
                          <w:rFonts w:eastAsia="Calibri"/>
                          <w:bCs/>
                          <w:szCs w:val="24"/>
                        </w:rPr>
                        <w:t>„</w:t>
                      </w:r>
                      <w:r>
                        <w:rPr>
                          <w:rFonts w:eastAsia="Calibri"/>
                          <w:szCs w:val="24"/>
                        </w:rPr>
                        <w:t>Oro kondicionieriai, skysčio aušinimo įrenginiai ir šilumos siurbliai su elektriniais kompresoriais patalpoms šildyti ir vėsinti. 3 dalis. Bandymo metodai“;</w:t>
                      </w:r>
                    </w:p>
                  </w:sdtContent>
                </w:sdt>
                <w:sdt>
                  <w:sdtPr>
                    <w:alias w:val="3.36 pp."/>
                    <w:tag w:val="part_7a867d738e7f4c3796410a972b9c788e"/>
                    <w:lock w:val="sdtLocked"/>
                    <w:richText/>
                  </w:sdtPr>
                  <w:sdtContent>
                    <w:p>
                      <w:pPr>
                        <w:suppressAutoHyphens/>
                        <w:ind w:firstLine="567"/>
                        <w:jc w:val="both"/>
                        <w:textAlignment w:val="center"/>
                        <w:rPr>
                          <w:rFonts w:eastAsia="Calibri"/>
                          <w:szCs w:val="24"/>
                        </w:rPr>
                      </w:pPr>
                      <w:sdt>
                        <w:sdtPr>
                          <w:alias w:val="Numeris"/>
                          <w:tag w:val="nr_7a867d738e7f4c3796410a972b9c788e"/>
                          <w:lock w:val="sdtLocked"/>
                          <w:richText/>
                        </w:sdtPr>
                        <w:sdtContent>
                          <w:r>
                            <w:rPr>
                              <w:szCs w:val="24"/>
                            </w:rPr>
                            <w:t>3.36</w:t>
                          </w:r>
                        </w:sdtContent>
                      </w:sdt>
                      <w:r>
                        <w:rPr>
                          <w:szCs w:val="24"/>
                        </w:rPr>
                        <w:t xml:space="preserve">. </w:t>
                      </w:r>
                      <w:r>
                        <w:rPr>
                          <w:rFonts w:eastAsia="Calibri"/>
                          <w:szCs w:val="24"/>
                        </w:rPr>
                        <w:t>LST EN ISO 12572:2002 „Higroterminės statybinių medžiagų ir gaminių charakteristikos. Pralaidumo vandens garams savybių nustatymas (ISO 12572:2001)“;</w:t>
                      </w:r>
                    </w:p>
                  </w:sdtContent>
                </w:sdt>
                <w:sdt>
                  <w:sdtPr>
                    <w:alias w:val="3.37 pp."/>
                    <w:tag w:val="part_e390dd6f29ad48779113789f6489d9af"/>
                    <w:lock w:val="sdtLocked"/>
                    <w:richText/>
                  </w:sdtPr>
                  <w:sdtContent>
                    <w:p>
                      <w:pPr>
                        <w:suppressAutoHyphens/>
                        <w:ind w:firstLine="567"/>
                        <w:jc w:val="both"/>
                        <w:textAlignment w:val="center"/>
                        <w:rPr>
                          <w:rFonts w:eastAsia="Calibri"/>
                          <w:szCs w:val="24"/>
                        </w:rPr>
                      </w:pPr>
                      <w:sdt>
                        <w:sdtPr>
                          <w:alias w:val="Numeris"/>
                          <w:tag w:val="nr_e390dd6f29ad48779113789f6489d9af"/>
                          <w:lock w:val="sdtLocked"/>
                          <w:richText/>
                        </w:sdtPr>
                        <w:sdtContent>
                          <w:r>
                            <w:rPr>
                              <w:rFonts w:eastAsia="Calibri"/>
                              <w:szCs w:val="24"/>
                            </w:rPr>
                            <w:t>3.37</w:t>
                          </w:r>
                        </w:sdtContent>
                      </w:sdt>
                      <w:r>
                        <w:rPr>
                          <w:rFonts w:eastAsia="Calibri"/>
                          <w:szCs w:val="24"/>
                        </w:rPr>
                        <w:t>. LST EN 10456:2008 „Statybinės medžiagos ir gaminiai. Hidroterminės savybės. Lentelinės projektinės vertės ir deklaruojamųjų bei projektinių šiluminių verčių nustatymo procedūros (ISO 10456:2007)“;</w:t>
                      </w:r>
                    </w:p>
                  </w:sdtContent>
                </w:sdt>
                <w:sdt>
                  <w:sdtPr>
                    <w:alias w:val="3.38 pp."/>
                    <w:tag w:val="part_cb112a661ab64d29904a424888db3e95"/>
                    <w:lock w:val="sdtLocked"/>
                    <w:richText/>
                  </w:sdtPr>
                  <w:sdtContent>
                    <w:p>
                      <w:pPr>
                        <w:suppressAutoHyphens/>
                        <w:ind w:firstLine="567"/>
                        <w:jc w:val="both"/>
                        <w:textAlignment w:val="center"/>
                        <w:rPr>
                          <w:rFonts w:eastAsia="Calibri"/>
                          <w:szCs w:val="24"/>
                        </w:rPr>
                      </w:pPr>
                      <w:sdt>
                        <w:sdtPr>
                          <w:alias w:val="Numeris"/>
                          <w:tag w:val="nr_cb112a661ab64d29904a424888db3e95"/>
                          <w:lock w:val="sdtLocked"/>
                          <w:richText/>
                        </w:sdtPr>
                        <w:sdtContent>
                          <w:r>
                            <w:rPr>
                              <w:rFonts w:eastAsia="Calibri"/>
                              <w:szCs w:val="24"/>
                            </w:rPr>
                            <w:t>3.38</w:t>
                          </w:r>
                        </w:sdtContent>
                      </w:sdt>
                      <w:r>
                        <w:rPr>
                          <w:rFonts w:eastAsia="Calibri"/>
                          <w:szCs w:val="24"/>
                        </w:rPr>
                        <w:t xml:space="preserve">. </w:t>
                      </w:r>
                      <w:r>
                        <w:rPr>
                          <w:rFonts w:eastAsia="Calibri"/>
                          <w:bCs/>
                          <w:color w:val="0000FF"/>
                          <w:szCs w:val="22"/>
                          <w:u w:val="single"/>
                        </w:rPr>
                        <w:t xml:space="preserve">LST EN ISO 13788:2013 </w:t>
                      </w:r>
                      <w:r>
                        <w:rPr>
                          <w:rFonts w:eastAsia="Calibri"/>
                          <w:szCs w:val="24"/>
                        </w:rPr>
                        <w:t>„Higroterminės pastatų komponentų ir elementų charakteristikos. Vidinio paviršiaus temperatūra siekiant išvengti kritinės paviršiaus drėgmės ir kondensacijos plyšiuose. Skaičiavimo metodai (ISO 13788:2012)“;</w:t>
                      </w:r>
                    </w:p>
                  </w:sdtContent>
                </w:sdt>
                <w:sdt>
                  <w:sdtPr>
                    <w:alias w:val="3.39 pp."/>
                    <w:tag w:val="part_8833262a356f4e8fb522fcf4a9be0301"/>
                    <w:lock w:val="sdtLocked"/>
                    <w:richText/>
                  </w:sdtPr>
                  <w:sdtContent>
                    <w:p>
                      <w:pPr>
                        <w:ind w:firstLine="567"/>
                        <w:jc w:val="both"/>
                        <w:rPr>
                          <w:rFonts w:eastAsia="Calibri"/>
                          <w:szCs w:val="24"/>
                        </w:rPr>
                      </w:pPr>
                      <w:sdt>
                        <w:sdtPr>
                          <w:alias w:val="Numeris"/>
                          <w:tag w:val="nr_8833262a356f4e8fb522fcf4a9be0301"/>
                          <w:lock w:val="sdtLocked"/>
                          <w:richText/>
                        </w:sdtPr>
                        <w:sdtContent>
                          <w:r>
                            <w:rPr>
                              <w:rFonts w:eastAsia="Calibri"/>
                              <w:szCs w:val="24"/>
                            </w:rPr>
                            <w:t>3.39</w:t>
                          </w:r>
                        </w:sdtContent>
                      </w:sdt>
                      <w:r>
                        <w:rPr>
                          <w:rFonts w:eastAsia="Calibri"/>
                          <w:szCs w:val="24"/>
                        </w:rPr>
                        <w:t xml:space="preserve">. </w:t>
                      </w:r>
                      <w:r>
                        <w:rPr>
                          <w:rFonts w:eastAsia="Calibri"/>
                          <w:bCs/>
                          <w:color w:val="0000FF"/>
                          <w:szCs w:val="22"/>
                          <w:u w:val="single"/>
                        </w:rPr>
                        <w:t>LST EN 12831:2003</w:t>
                      </w:r>
                      <w:r>
                        <w:rPr>
                          <w:rFonts w:eastAsia="Calibri"/>
                          <w:bCs/>
                          <w:szCs w:val="24"/>
                        </w:rPr>
                        <w:t xml:space="preserve"> </w:t>
                      </w:r>
                      <w:r>
                        <w:rPr>
                          <w:rFonts w:eastAsia="Calibri"/>
                          <w:szCs w:val="24"/>
                        </w:rPr>
                        <w:t xml:space="preserve">„Pastatų šildymo sistemos. Projektinės šilumos apkrovos apskaičiavimo metodas“; </w:t>
                      </w:r>
                    </w:p>
                  </w:sdtContent>
                </w:sdt>
                <w:sdt>
                  <w:sdtPr>
                    <w:alias w:val="3.40 pp."/>
                    <w:tag w:val="part_3e059d20fb4c4a4295ba523d141a8604"/>
                    <w:lock w:val="sdtLocked"/>
                    <w:richText/>
                  </w:sdtPr>
                  <w:sdtContent>
                    <w:p>
                      <w:pPr>
                        <w:ind w:firstLine="567"/>
                        <w:jc w:val="both"/>
                      </w:pPr>
                      <w:sdt>
                        <w:sdtPr>
                          <w:alias w:val="Numeris"/>
                          <w:tag w:val="nr_3e059d20fb4c4a4295ba523d141a8604"/>
                          <w:lock w:val="sdtLocked"/>
                          <w:richText/>
                        </w:sdtPr>
                        <w:sdtContent>
                          <w:r>
                            <w:rPr>
                              <w:rFonts w:eastAsia="Calibri"/>
                              <w:color w:val="000000" w:themeColor="text1"/>
                              <w:szCs w:val="24"/>
                            </w:rPr>
                            <w:t>3.40</w:t>
                          </w:r>
                        </w:sdtContent>
                      </w:sdt>
                      <w:r>
                        <w:rPr>
                          <w:rFonts w:eastAsia="Calibri"/>
                          <w:color w:val="000000" w:themeColor="text1"/>
                          <w:szCs w:val="24"/>
                        </w:rPr>
                        <w:t xml:space="preserve">. </w:t>
                      </w:r>
                      <w:r>
                        <w:rPr>
                          <w:rFonts w:eastAsia="Calibri"/>
                          <w:bCs/>
                          <w:color w:val="000000" w:themeColor="text1"/>
                          <w:szCs w:val="22"/>
                          <w:u w:val="single"/>
                        </w:rPr>
                        <w:t xml:space="preserve">LST EN 29053:2002 </w:t>
                      </w:r>
                      <w:r>
                        <w:rPr>
                          <w:rFonts w:eastAsia="Calibri"/>
                          <w:color w:val="000000" w:themeColor="text1"/>
                          <w:szCs w:val="24"/>
                        </w:rPr>
                        <w:t>  „Akustika. Akustinės medžiagos. Orinės varžos nustatymas (ISO 9053:1991)“;</w:t>
                      </w:r>
                    </w:p>
                  </w:sdtContent>
                </w:sdt>
                <w:sdt>
                  <w:sdtPr>
                    <w:alias w:val="3.41 pp."/>
                    <w:tag w:val="part_d8caacd2d8f24e2b94c7a1aeae6ed93d"/>
                    <w:lock w:val="sdtLocked"/>
                    <w:richText/>
                  </w:sdtPr>
                  <w:sdtContent>
                    <w:p>
                      <w:pPr>
                        <w:suppressAutoHyphens/>
                        <w:ind w:right="-1" w:firstLine="567"/>
                        <w:jc w:val="both"/>
                        <w:textAlignment w:val="center"/>
                      </w:pPr>
                      <w:sdt>
                        <w:sdtPr>
                          <w:alias w:val="Numeris"/>
                          <w:tag w:val="nr_d8caacd2d8f24e2b94c7a1aeae6ed93d"/>
                          <w:lock w:val="sdtLocked"/>
                          <w:richText/>
                        </w:sdtPr>
                        <w:sdtContent>
                          <w:r>
                            <w:rPr>
                              <w:szCs w:val="24"/>
                            </w:rPr>
                            <w:t>3.41</w:t>
                          </w:r>
                        </w:sdtContent>
                      </w:sdt>
                      <w:r>
                        <w:rPr>
                          <w:szCs w:val="24"/>
                        </w:rPr>
                        <w:t>. LST EN 13141-7:2011 „Pastatų vėdinimas. Gyvenamųjų pastatų vėdinimo komponentų ir (arba) gaminių eksploatacinių charakteristikų bandymai. 7 dalis. Mechaninių vėdinimo sistemų, skirtų vienos šeimos būstui, mechaninių tiekiamųjų ir šalinamųjų vėdinimo įrenginių (įskaitant šilumos atgavimą) eksploatacinių charakteristikų bandymai</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42 pp."/>
                    <w:tag w:val="part_24112a4475f84c86839d5207fcc28843"/>
                    <w:lock w:val="sdtLocked"/>
                    <w:richText/>
                  </w:sdtPr>
                  <w:sdtContent>
                    <w:p>
                      <w:pPr>
                        <w:suppressAutoHyphens/>
                        <w:ind w:firstLine="567"/>
                        <w:jc w:val="both"/>
                        <w:textAlignment w:val="center"/>
                      </w:pPr>
                      <w:sdt>
                        <w:sdtPr>
                          <w:alias w:val="Numeris"/>
                          <w:tag w:val="nr_24112a4475f84c86839d5207fcc28843"/>
                          <w:lock w:val="sdtLocked"/>
                          <w:richText/>
                        </w:sdtPr>
                        <w:sdtContent>
                          <w:r>
                            <w:rPr>
                              <w:szCs w:val="24"/>
                            </w:rPr>
                            <w:t>3.42</w:t>
                          </w:r>
                        </w:sdtContent>
                      </w:sdt>
                      <w:r>
                        <w:rPr>
                          <w:szCs w:val="24"/>
                        </w:rPr>
                        <w:t>. LST EN 308:2001 „Šilumokaičiai. Bandymo procedūros šilumos rekuperatorių „oras–oras“ ir „oras-dūmų dujos“ eksploatacinėms charakteristikoms nustatyti;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43 pp."/>
                    <w:tag w:val="part_e88054f7f2ed4c28a53581f24455343e"/>
                    <w:lock w:val="sdtLocked"/>
                    <w:richText/>
                  </w:sdtPr>
                  <w:sdtContent>
                    <w:p>
                      <w:pPr>
                        <w:suppressAutoHyphens/>
                        <w:ind w:firstLine="567"/>
                        <w:jc w:val="both"/>
                      </w:pPr>
                      <w:sdt>
                        <w:sdtPr>
                          <w:alias w:val="Numeris"/>
                          <w:tag w:val="nr_e88054f7f2ed4c28a53581f24455343e"/>
                          <w:lock w:val="sdtLocked"/>
                          <w:richText/>
                        </w:sdtPr>
                        <w:sdtContent>
                          <w:r>
                            <w:rPr>
                              <w:color w:val="000000"/>
                              <w:szCs w:val="24"/>
                              <w:lang w:eastAsia="lt-LT"/>
                            </w:rPr>
                            <w:t>3.43</w:t>
                          </w:r>
                        </w:sdtContent>
                      </w:sdt>
                      <w:r>
                        <w:rPr>
                          <w:color w:val="000000"/>
                          <w:szCs w:val="24"/>
                          <w:lang w:eastAsia="lt-LT"/>
                        </w:rPr>
                        <w:t xml:space="preserve">. </w:t>
                      </w:r>
                      <w:r>
                        <w:rPr>
                          <w:rFonts w:eastAsia="Calibri"/>
                          <w:szCs w:val="22"/>
                          <w:lang w:eastAsia="lt-LT"/>
                        </w:rPr>
                        <w:t>Lietuvos Respublikos energetikos ministro 2017 m. liepos 19 d. įsakymas Nr. 1-196 „Dėl Pastatų karšto vandens sistemų įrengimo taisyklių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44 pp."/>
                    <w:tag w:val="part_ef113b8e2be24442840eac3572434f5c"/>
                    <w:lock w:val="sdtLocked"/>
                    <w:richText/>
                  </w:sdtPr>
                  <w:sdtContent>
                    <w:p>
                      <w:pPr>
                        <w:suppressAutoHyphens/>
                        <w:ind w:firstLine="567"/>
                        <w:jc w:val="both"/>
                      </w:pPr>
                      <w:sdt>
                        <w:sdtPr>
                          <w:alias w:val="Numeris"/>
                          <w:tag w:val="nr_ef113b8e2be24442840eac3572434f5c"/>
                          <w:lock w:val="sdtLocked"/>
                          <w:richText/>
                        </w:sdtPr>
                        <w:sdtContent>
                          <w:r>
                            <w:rPr>
                              <w:szCs w:val="24"/>
                              <w:lang w:eastAsia="lt-LT"/>
                            </w:rPr>
                            <w:t>3.44</w:t>
                          </w:r>
                        </w:sdtContent>
                      </w:sdt>
                      <w:r>
                        <w:rPr>
                          <w:szCs w:val="24"/>
                          <w:lang w:eastAsia="lt-LT"/>
                        </w:rPr>
                        <w:t>. LST EN 13141-8:2014 „</w:t>
                      </w:r>
                      <w:r>
                        <w:rPr>
                          <w:szCs w:val="24"/>
                          <w:shd w:val="clear" w:color="auto" w:fill="FFFFFF"/>
                          <w:lang w:eastAsia="lt-LT"/>
                        </w:rPr>
                        <w:t>Pastatų vėdinimas. Gyvenamųjų pastatų vėdinimo komponentų ir (arba) gaminių eksploatacinių charakteristikų bandymai. 8 dalis. Mechaninių vėdinimo sistemų, skirtų vienam kambariui, bekanalių mechaninių tiekiamųjų ir ištraukiamųjų vėdinimo įrenginių (įskaitant šilumos atgavimą) eksploatacinių charakteristikų bandymai</w:t>
                      </w:r>
                      <w:r>
                        <w:rPr>
                          <w:rFonts w:eastAsia="Calibri"/>
                          <w:szCs w:val="22"/>
                          <w:lang w:eastAsia="lt-LT"/>
                        </w:rPr>
                        <w:t>“</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45 pp."/>
                    <w:tag w:val="part_443ebe0a79134dda82d341b76094d880"/>
                    <w:lock w:val="sdtLocked"/>
                    <w:richText/>
                  </w:sdtPr>
                  <w:sdtContent>
                    <w:p>
                      <w:pPr>
                        <w:suppressAutoHyphens/>
                        <w:ind w:firstLine="567"/>
                        <w:jc w:val="both"/>
                      </w:pPr>
                      <w:sdt>
                        <w:sdtPr>
                          <w:alias w:val="Numeris"/>
                          <w:tag w:val="nr_443ebe0a79134dda82d341b76094d880"/>
                          <w:lock w:val="sdtLocked"/>
                          <w:richText/>
                        </w:sdtPr>
                        <w:sdtContent>
                          <w:r>
                            <w:rPr>
                              <w:szCs w:val="24"/>
                              <w:lang w:eastAsia="lt-LT"/>
                            </w:rPr>
                            <w:t>3.45</w:t>
                          </w:r>
                        </w:sdtContent>
                      </w:sdt>
                      <w:r>
                        <w:rPr>
                          <w:szCs w:val="24"/>
                          <w:lang w:eastAsia="lt-LT"/>
                        </w:rPr>
                        <w:t>.</w:t>
                      </w:r>
                      <w:r>
                        <w:rPr>
                          <w:color w:val="FF0000"/>
                          <w:szCs w:val="24"/>
                          <w:shd w:val="clear" w:color="auto" w:fill="FFFFFF"/>
                          <w:lang w:eastAsia="lt-LT"/>
                        </w:rPr>
                        <w:t xml:space="preserve"> </w:t>
                      </w:r>
                      <w:r>
                        <w:rPr>
                          <w:szCs w:val="24"/>
                          <w:shd w:val="clear" w:color="auto" w:fill="FFFFFF"/>
                          <w:lang w:eastAsia="lt-LT"/>
                        </w:rPr>
                        <w:t>LST EN 15879-1:2011 „</w:t>
                      </w:r>
                      <w:r>
                        <w:rPr>
                          <w:szCs w:val="24"/>
                          <w:lang w:eastAsia="lt-LT"/>
                        </w:rPr>
                        <w:t>Tiesioginių šilumos mainų tarp grindų ir šilumos siurblių su elektriniais kompresoriais, skirtų patalpoms šildyti ir (arba) vėsinti, bandymai ir charakteristikų nustatymas. 1 dalis. Šilumos siurbliai, skirti tiesioginiams šilumos mainams su vandeniu</w:t>
                      </w:r>
                      <w:r>
                        <w:rPr>
                          <w:rFonts w:eastAsia="Calibri"/>
                          <w:szCs w:val="22"/>
                          <w:lang w:eastAsia="lt-LT"/>
                        </w:rPr>
                        <w:t>“</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46 pp."/>
                    <w:tag w:val="part_a12a696deda94130b91df15fe5dbebeb"/>
                    <w:lock w:val="sdtLocked"/>
                    <w:richText/>
                  </w:sdtPr>
                  <w:sdtContent>
                    <w:p>
                      <w:pPr>
                        <w:suppressAutoHyphens/>
                        <w:ind w:firstLine="567"/>
                        <w:jc w:val="both"/>
                      </w:pPr>
                      <w:sdt>
                        <w:sdtPr>
                          <w:alias w:val="Numeris"/>
                          <w:tag w:val="nr_a12a696deda94130b91df15fe5dbebeb"/>
                          <w:lock w:val="sdtLocked"/>
                          <w:richText/>
                        </w:sdtPr>
                        <w:sdtContent>
                          <w:r>
                            <w:rPr>
                              <w:szCs w:val="24"/>
                              <w:lang w:eastAsia="lt-LT"/>
                            </w:rPr>
                            <w:t>3.46</w:t>
                          </w:r>
                        </w:sdtContent>
                      </w:sdt>
                      <w:r>
                        <w:rPr>
                          <w:szCs w:val="24"/>
                          <w:lang w:eastAsia="lt-LT"/>
                        </w:rPr>
                        <w:t>. LST EN 12309-4:2014 „</w:t>
                      </w:r>
                      <w:r>
                        <w:rPr>
                          <w:szCs w:val="24"/>
                          <w:shd w:val="clear" w:color="auto" w:fill="FFFFFF"/>
                          <w:lang w:eastAsia="lt-LT"/>
                        </w:rPr>
                        <w:t>Ne didesnės kaip 70 kW grynosios tiekiamosios šiluminės galios dujiniai gertiniai šildymo ir (arba) aušinimo prietaisai. 4 dalis. Bandymo metodai.</w:t>
                      </w:r>
                      <w:r>
                        <w:rPr>
                          <w:rFonts w:eastAsia="Calibri"/>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47 pp."/>
                    <w:tag w:val="part_1a3acfb4089a4f9d95d8a4dbc45e4418"/>
                    <w:lock w:val="sdtLocked"/>
                    <w:richText/>
                  </w:sdtPr>
                  <w:sdtContent>
                    <w:p>
                      <w:pPr>
                        <w:suppressAutoHyphens/>
                        <w:ind w:firstLine="567"/>
                        <w:jc w:val="both"/>
                      </w:pPr>
                      <w:r>
                        <w:rPr>
                          <w:color w:val="000000"/>
                          <w:szCs w:val="24"/>
                          <w:lang w:eastAsia="lt-LT"/>
                        </w:rPr>
                        <w:t xml:space="preserve"> </w:t>
                      </w:r>
                      <w:sdt>
                        <w:sdtPr>
                          <w:alias w:val="Numeris"/>
                          <w:tag w:val="nr_1a3acfb4089a4f9d95d8a4dbc45e4418"/>
                          <w:lock w:val="sdtLocked"/>
                          <w:richText/>
                        </w:sdtPr>
                        <w:sdtContent>
                          <w:r>
                            <w:rPr>
                              <w:color w:val="000000"/>
                              <w:szCs w:val="24"/>
                              <w:lang w:eastAsia="lt-LT"/>
                            </w:rPr>
                            <w:t>3.47</w:t>
                          </w:r>
                        </w:sdtContent>
                      </w:sdt>
                      <w:r>
                        <w:rPr>
                          <w:color w:val="000000"/>
                          <w:szCs w:val="24"/>
                          <w:lang w:eastAsia="lt-LT"/>
                        </w:rPr>
                        <w:t xml:space="preserve">. </w:t>
                      </w:r>
                      <w:r>
                        <w:rPr>
                          <w:szCs w:val="24"/>
                          <w:lang w:eastAsia="lt-LT"/>
                        </w:rPr>
                        <w:t>LST EN 12309-3:2014 „</w:t>
                      </w:r>
                      <w:r>
                        <w:rPr>
                          <w:szCs w:val="24"/>
                          <w:shd w:val="clear" w:color="auto" w:fill="FFFFFF"/>
                          <w:lang w:eastAsia="lt-LT"/>
                        </w:rPr>
                        <w:t>Ne didesnės kaip 70 kW grynosios tiekiamosios šiluminės galios dujiniai gertiniai šildymo ir (arba) aušinimo prietaisai. 3 dalis. Bandymo sąlygos“;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48 pp."/>
                    <w:tag w:val="part_49349af93d7f415dbeb54fa456422c3e"/>
                    <w:lock w:val="sdtLocked"/>
                    <w:richText/>
                  </w:sdtPr>
                  <w:sdtContent>
                    <w:p>
                      <w:pPr>
                        <w:suppressAutoHyphens/>
                        <w:ind w:firstLine="567"/>
                        <w:jc w:val="both"/>
                        <w:rPr>
                          <w:color w:val="000000" w:themeColor="text1"/>
                        </w:rPr>
                      </w:pPr>
                      <w:sdt>
                        <w:sdtPr>
                          <w:alias w:val="Numeris"/>
                          <w:tag w:val="nr_49349af93d7f415dbeb54fa456422c3e"/>
                          <w:lock w:val="sdtLocked"/>
                          <w:richText/>
                        </w:sdtPr>
                        <w:sdtContent>
                          <w:r>
                            <w:rPr>
                              <w:szCs w:val="24"/>
                              <w:shd w:val="clear" w:color="auto" w:fill="FFFFFF"/>
                              <w:lang w:eastAsia="lt-LT"/>
                            </w:rPr>
                            <w:t>3.48</w:t>
                          </w:r>
                        </w:sdtContent>
                      </w:sdt>
                      <w:r>
                        <w:rPr>
                          <w:szCs w:val="24"/>
                          <w:shd w:val="clear" w:color="auto" w:fill="FFFFFF"/>
                          <w:lang w:eastAsia="lt-LT"/>
                        </w:rPr>
                        <w:t>. 2014 m. liepos 11 d.</w:t>
                      </w:r>
                      <w:r>
                        <w:rPr>
                          <w:b/>
                          <w:szCs w:val="24"/>
                          <w:shd w:val="clear" w:color="auto" w:fill="FFFFFF"/>
                          <w:lang w:eastAsia="lt-LT"/>
                        </w:rPr>
                        <w:t xml:space="preserve"> </w:t>
                      </w:r>
                      <w:r>
                        <w:rPr>
                          <w:szCs w:val="24"/>
                          <w:lang w:eastAsia="lt-LT"/>
                        </w:rPr>
                        <w:t>Komisijos Deleguotasis Reglamentas (ES) Nr. 1254/2014, kuriuo Europos Parlamento ir Tarybos direktyva 2010/30/ES papildoma gyvenamųjų patalpų vėdinimo įrenginių energijos vartojimo efektyvumo ženklinimo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Content>
        </w:sdt>
        <w:sdt>
          <w:sdtPr>
            <w:alias w:val="skyrius"/>
            <w:tag w:val="part_1508b51647ec4d4fac7f6227ca4cc385"/>
            <w:lock w:val="sdtLocked"/>
            <w:richText/>
          </w:sdtPr>
          <w:sdtContent>
            <w:p>
              <w:pPr>
                <w:keepNext/>
                <w:jc w:val="center"/>
                <w:rPr>
                  <w:b/>
                  <w:bCs/>
                  <w:iCs/>
                  <w:caps/>
                  <w:spacing w:val="-4"/>
                  <w:szCs w:val="24"/>
                  <w:lang w:eastAsia="lt-LT"/>
                </w:rPr>
              </w:pPr>
              <w:r>
                <w:rPr>
                  <w:b/>
                  <w:bCs/>
                  <w:iCs/>
                  <w:caps/>
                  <w:spacing w:val="-4"/>
                  <w:szCs w:val="24"/>
                  <w:lang w:eastAsia="lt-LT"/>
                </w:rPr>
                <w:t>III. skyrius</w:t>
              </w:r>
            </w:p>
            <w:p>
              <w:pPr>
                <w:keepNext/>
                <w:jc w:val="center"/>
                <w:rPr>
                  <w:b/>
                  <w:bCs/>
                  <w:iCs/>
                  <w:caps/>
                  <w:spacing w:val="-4"/>
                  <w:szCs w:val="24"/>
                  <w:lang w:eastAsia="lt-LT"/>
                </w:rPr>
              </w:pPr>
              <w:sdt>
                <w:sdtPr>
                  <w:alias w:val="Pavadinimas"/>
                  <w:tag w:val="title_1508b51647ec4d4fac7f6227ca4cc385"/>
                  <w:lock w:val="sdtLocked"/>
                  <w:richText/>
                </w:sdtPr>
                <w:sdtContent>
                  <w:r>
                    <w:rPr>
                      <w:b/>
                      <w:bCs/>
                      <w:iCs/>
                      <w:caps/>
                      <w:spacing w:val="-4"/>
                      <w:szCs w:val="24"/>
                      <w:lang w:eastAsia="lt-LT"/>
                    </w:rPr>
                    <w:t>Pagrindinės sąvokos</w:t>
                  </w:r>
                </w:sdtContent>
              </w:sdt>
            </w:p>
            <w:p>
              <w:pPr>
                <w:suppressAutoHyphens/>
                <w:ind w:firstLine="567"/>
                <w:jc w:val="both"/>
                <w:textAlignment w:val="center"/>
                <w:rPr>
                  <w:szCs w:val="24"/>
                </w:rPr>
              </w:pPr>
            </w:p>
            <w:sdt>
              <w:sdtPr>
                <w:alias w:val="4 p."/>
                <w:tag w:val="part_319351ab37c14b89b1151b094352b591"/>
                <w:lock w:val="sdtLocked"/>
                <w:richText/>
              </w:sdtPr>
              <w:sdtContent>
                <w:p>
                  <w:pPr>
                    <w:suppressAutoHyphens/>
                    <w:ind w:firstLine="567"/>
                    <w:jc w:val="both"/>
                    <w:textAlignment w:val="center"/>
                    <w:rPr>
                      <w:szCs w:val="24"/>
                    </w:rPr>
                  </w:pPr>
                  <w:sdt>
                    <w:sdtPr>
                      <w:alias w:val="Numeris"/>
                      <w:tag w:val="nr_319351ab37c14b89b1151b094352b591"/>
                      <w:lock w:val="sdtLocked"/>
                      <w:richText/>
                    </w:sdtPr>
                    <w:sdtContent>
                      <w:r>
                        <w:rPr>
                          <w:szCs w:val="24"/>
                        </w:rPr>
                        <w:t>4</w:t>
                      </w:r>
                    </w:sdtContent>
                  </w:sdt>
                  <w:r>
                    <w:rPr>
                      <w:szCs w:val="24"/>
                    </w:rPr>
                    <w:t>. Reglamente naudojamos sąvokos ir jų apibrėžimai:</w:t>
                  </w:r>
                </w:p>
                <w:sdt>
                  <w:sdtPr>
                    <w:alias w:val="4.1 pp."/>
                    <w:tag w:val="part_8741117d41a34817ab96239cc9db4b14"/>
                    <w:lock w:val="sdtLocked"/>
                    <w:richText/>
                  </w:sdtPr>
                  <w:sdtContent>
                    <w:p>
                      <w:pPr>
                        <w:suppressAutoHyphens/>
                        <w:ind w:firstLine="567"/>
                        <w:jc w:val="both"/>
                        <w:textAlignment w:val="center"/>
                        <w:rPr>
                          <w:szCs w:val="24"/>
                        </w:rPr>
                      </w:pPr>
                      <w:sdt>
                        <w:sdtPr>
                          <w:alias w:val="Numeris"/>
                          <w:tag w:val="nr_8741117d41a34817ab96239cc9db4b14"/>
                          <w:lock w:val="sdtLocked"/>
                          <w:richText/>
                        </w:sdtPr>
                        <w:sdtContent>
                          <w:r>
                            <w:rPr>
                              <w:szCs w:val="24"/>
                            </w:rPr>
                            <w:t>4.1</w:t>
                          </w:r>
                        </w:sdtContent>
                      </w:sdt>
                      <w:r>
                        <w:rPr>
                          <w:szCs w:val="24"/>
                        </w:rPr>
                        <w:t xml:space="preserve">. </w:t>
                      </w:r>
                      <w:r>
                        <w:rPr>
                          <w:b/>
                          <w:bCs/>
                          <w:szCs w:val="24"/>
                        </w:rPr>
                        <w:t xml:space="preserve">pastato (jo dalies) energinis naudingumas </w:t>
                      </w:r>
                      <w:r>
                        <w:rPr>
                          <w:szCs w:val="24"/>
                        </w:rPr>
                        <w:t>– apskaičiuotas energijos kiekis, reikalingas patenkinti su įprastu pastato naudojimu siejamą energijos poreikį, įskaitant energiją pastato šildymo, vėsinimo, vėdinimo, karšto vandens ir pastato apšvietimo reikmėms.</w:t>
                      </w:r>
                    </w:p>
                  </w:sdtContent>
                </w:sdt>
                <w:sdt>
                  <w:sdtPr>
                    <w:alias w:val="4.2 pp."/>
                    <w:tag w:val="part_3562a6c62670413d8e8c14a9a49765d1"/>
                    <w:lock w:val="sdtLocked"/>
                    <w:richText/>
                  </w:sdtPr>
                  <w:sdtContent>
                    <w:p>
                      <w:pPr>
                        <w:suppressAutoHyphens/>
                        <w:ind w:firstLine="567"/>
                        <w:jc w:val="both"/>
                        <w:textAlignment w:val="center"/>
                        <w:rPr>
                          <w:szCs w:val="24"/>
                        </w:rPr>
                      </w:pPr>
                      <w:sdt>
                        <w:sdtPr>
                          <w:alias w:val="Numeris"/>
                          <w:tag w:val="nr_3562a6c62670413d8e8c14a9a49765d1"/>
                          <w:lock w:val="sdtLocked"/>
                          <w:richText/>
                        </w:sdtPr>
                        <w:sdtContent>
                          <w:r>
                            <w:rPr>
                              <w:szCs w:val="24"/>
                            </w:rPr>
                            <w:t>4.2</w:t>
                          </w:r>
                        </w:sdtContent>
                      </w:sdt>
                      <w:r>
                        <w:rPr>
                          <w:szCs w:val="24"/>
                        </w:rPr>
                        <w:t xml:space="preserve">. </w:t>
                      </w:r>
                      <w:r>
                        <w:rPr>
                          <w:b/>
                          <w:bCs/>
                          <w:szCs w:val="24"/>
                        </w:rPr>
                        <w:t xml:space="preserve">pastato (jo dalies) energinio naudingumo sertifikavimas </w:t>
                      </w:r>
                      <w:r>
                        <w:rPr>
                          <w:szCs w:val="24"/>
                        </w:rPr>
                        <w:t>– teisės aktų reglamentuota procedūra, apimanti pastato (jo dalies) energijos suvartojimo nustatymą, pastato (jo dalies) energinio naudingumo įvertinamą ir priskyrimą prie energinio naudingumo klasės, taip pat pastato (jo dalies) energinio naudingumo sertifikato išdavimą [3.1];</w:t>
                      </w:r>
                    </w:p>
                  </w:sdtContent>
                </w:sdt>
                <w:sdt>
                  <w:sdtPr>
                    <w:alias w:val="4.3 pp."/>
                    <w:tag w:val="part_427658f316b44b79900a65b030e2df40"/>
                    <w:lock w:val="sdtLocked"/>
                    <w:richText/>
                  </w:sdtPr>
                  <w:sdtContent>
                    <w:p>
                      <w:pPr>
                        <w:suppressAutoHyphens/>
                        <w:ind w:firstLine="567"/>
                        <w:jc w:val="both"/>
                        <w:textAlignment w:val="center"/>
                        <w:rPr>
                          <w:szCs w:val="24"/>
                        </w:rPr>
                      </w:pPr>
                      <w:sdt>
                        <w:sdtPr>
                          <w:alias w:val="Numeris"/>
                          <w:tag w:val="nr_427658f316b44b79900a65b030e2df40"/>
                          <w:lock w:val="sdtLocked"/>
                          <w:richText/>
                        </w:sdtPr>
                        <w:sdtContent>
                          <w:r>
                            <w:rPr>
                              <w:szCs w:val="24"/>
                            </w:rPr>
                            <w:t>4.3</w:t>
                          </w:r>
                        </w:sdtContent>
                      </w:sdt>
                      <w:r>
                        <w:rPr>
                          <w:szCs w:val="24"/>
                        </w:rPr>
                        <w:t>.</w:t>
                      </w:r>
                      <w:r>
                        <w:rPr>
                          <w:b/>
                          <w:bCs/>
                          <w:szCs w:val="24"/>
                        </w:rPr>
                        <w:t xml:space="preserve"> pastato (jo dalies) energinio naudingumo sertifikatas </w:t>
                      </w:r>
                      <w:r>
                        <w:rPr>
                          <w:szCs w:val="24"/>
                        </w:rPr>
                        <w:t xml:space="preserve">– Lietuvos Respublikos aplinkos ministerijos nustatyta tvarka išduotas sertifikatas, kuriame pagal Reglamento reikalavimus įvertintas pastato (jo dalies) energijos suvartojimas ir nurodoma energinio naudingumo klasė; </w:t>
                      </w:r>
                    </w:p>
                  </w:sdtContent>
                </w:sdt>
                <w:sdt>
                  <w:sdtPr>
                    <w:alias w:val="4.4 pp."/>
                    <w:tag w:val="part_57576ef0617843fbaa63834d62a3db46"/>
                    <w:lock w:val="sdtLocked"/>
                    <w:richText/>
                  </w:sdtPr>
                  <w:sdtContent>
                    <w:p>
                      <w:pPr>
                        <w:suppressAutoHyphens/>
                        <w:ind w:firstLine="567"/>
                        <w:jc w:val="both"/>
                        <w:textAlignment w:val="center"/>
                        <w:rPr>
                          <w:szCs w:val="24"/>
                        </w:rPr>
                      </w:pPr>
                      <w:sdt>
                        <w:sdtPr>
                          <w:alias w:val="Numeris"/>
                          <w:tag w:val="nr_57576ef0617843fbaa63834d62a3db46"/>
                          <w:lock w:val="sdtLocked"/>
                          <w:richText/>
                        </w:sdtPr>
                        <w:sdtContent>
                          <w:r>
                            <w:rPr>
                              <w:szCs w:val="24"/>
                            </w:rPr>
                            <w:t>4.4</w:t>
                          </w:r>
                        </w:sdtContent>
                      </w:sdt>
                      <w:r>
                        <w:rPr>
                          <w:szCs w:val="24"/>
                        </w:rPr>
                        <w:t xml:space="preserve">. </w:t>
                      </w:r>
                      <w:r>
                        <w:rPr>
                          <w:b/>
                          <w:szCs w:val="24"/>
                        </w:rPr>
                        <w:t>pastato (jo dalies) energijos vartojimo efektyvumo rodikliai</w:t>
                      </w:r>
                      <w:r>
                        <w:rPr>
                          <w:szCs w:val="24"/>
                        </w:rPr>
                        <w:t xml:space="preserve"> – pagal Reglamento reikalavimus apskaičiuoti rodikliai, pagal kurių vertę nustatoma pastato (jo dalies) energinio naudingumo klasė;</w:t>
                      </w:r>
                    </w:p>
                  </w:sdtContent>
                </w:sdt>
                <w:sdt>
                  <w:sdtPr>
                    <w:alias w:val="4.5 pp."/>
                    <w:tag w:val="part_b78a72e695554abe93b2ec32f075ad77"/>
                    <w:lock w:val="sdtLocked"/>
                    <w:richText/>
                  </w:sdtPr>
                  <w:sdtContent>
                    <w:p>
                      <w:pPr>
                        <w:suppressAutoHyphens/>
                        <w:ind w:firstLine="567"/>
                        <w:jc w:val="both"/>
                        <w:textAlignment w:val="center"/>
                        <w:rPr>
                          <w:szCs w:val="24"/>
                        </w:rPr>
                      </w:pPr>
                      <w:sdt>
                        <w:sdtPr>
                          <w:alias w:val="Numeris"/>
                          <w:tag w:val="nr_b78a72e695554abe93b2ec32f075ad77"/>
                          <w:lock w:val="sdtLocked"/>
                          <w:richText/>
                        </w:sdtPr>
                        <w:sdtContent>
                          <w:r>
                            <w:rPr>
                              <w:szCs w:val="24"/>
                            </w:rPr>
                            <w:t>4.5</w:t>
                          </w:r>
                        </w:sdtContent>
                      </w:sdt>
                      <w:r>
                        <w:rPr>
                          <w:szCs w:val="24"/>
                        </w:rPr>
                        <w:t xml:space="preserve">. </w:t>
                      </w:r>
                      <w:r>
                        <w:rPr>
                          <w:b/>
                          <w:szCs w:val="24"/>
                        </w:rPr>
                        <w:t>pastato (jo dalies) energinio naudingumo klasė</w:t>
                      </w:r>
                      <w:r>
                        <w:rPr>
                          <w:szCs w:val="24"/>
                        </w:rPr>
                        <w:t xml:space="preserve"> – pagal energijos vartojimo efektyvumo rodiklių vertes ir Reglamento reikalavimus nustatyta pastato (jo dalies) energinio naudingumo klasė;</w:t>
                      </w:r>
                    </w:p>
                  </w:sdtContent>
                </w:sdt>
                <w:sdt>
                  <w:sdtPr>
                    <w:alias w:val="4.6 pp."/>
                    <w:tag w:val="part_89cd731fab414c0ca1d145550ca67f36"/>
                    <w:lock w:val="sdtLocked"/>
                    <w:richText/>
                  </w:sdtPr>
                  <w:sdtContent>
                    <w:p>
                      <w:pPr>
                        <w:suppressAutoHyphens/>
                        <w:ind w:firstLine="567"/>
                        <w:jc w:val="both"/>
                        <w:textAlignment w:val="center"/>
                        <w:rPr>
                          <w:b/>
                          <w:bCs/>
                          <w:szCs w:val="24"/>
                        </w:rPr>
                      </w:pPr>
                      <w:sdt>
                        <w:sdtPr>
                          <w:alias w:val="Numeris"/>
                          <w:tag w:val="nr_89cd731fab414c0ca1d145550ca67f36"/>
                          <w:lock w:val="sdtLocked"/>
                          <w:richText/>
                        </w:sdtPr>
                        <w:sdtContent>
                          <w:r>
                            <w:rPr>
                              <w:szCs w:val="24"/>
                            </w:rPr>
                            <w:t>4.6</w:t>
                          </w:r>
                        </w:sdtContent>
                      </w:sdt>
                      <w:r>
                        <w:rPr>
                          <w:szCs w:val="24"/>
                        </w:rPr>
                        <w:t>.</w:t>
                      </w:r>
                      <w:r>
                        <w:rPr>
                          <w:b/>
                          <w:bCs/>
                          <w:szCs w:val="24"/>
                        </w:rPr>
                        <w:t xml:space="preserve"> pirminė energija</w:t>
                      </w:r>
                      <w:r>
                        <w:rPr>
                          <w:szCs w:val="24"/>
                        </w:rPr>
                        <w:t> –</w:t>
                      </w:r>
                      <w:r>
                        <w:rPr>
                          <w:b/>
                          <w:bCs/>
                          <w:szCs w:val="24"/>
                        </w:rPr>
                        <w:t xml:space="preserve"> </w:t>
                      </w:r>
                      <w:r>
                        <w:rPr>
                          <w:szCs w:val="24"/>
                        </w:rPr>
                        <w:t xml:space="preserve">atsinaujinančių ir neatsinaujinančių energijos išteklių energija, kuri nebuvo kaip nors konvertuota ar transformuota; </w:t>
                      </w:r>
                    </w:p>
                  </w:sdtContent>
                </w:sdt>
                <w:sdt>
                  <w:sdtPr>
                    <w:alias w:val="4.7 pp."/>
                    <w:tag w:val="part_7bbd5ebae60e4d25b09814a7aaa6f9d8"/>
                    <w:lock w:val="sdtLocked"/>
                    <w:richText/>
                  </w:sdtPr>
                  <w:sdtContent>
                    <w:p>
                      <w:pPr>
                        <w:suppressAutoHyphens/>
                        <w:ind w:firstLine="567"/>
                        <w:jc w:val="both"/>
                        <w:textAlignment w:val="center"/>
                        <w:rPr>
                          <w:szCs w:val="24"/>
                        </w:rPr>
                      </w:pPr>
                      <w:sdt>
                        <w:sdtPr>
                          <w:alias w:val="Numeris"/>
                          <w:tag w:val="nr_7bbd5ebae60e4d25b09814a7aaa6f9d8"/>
                          <w:lock w:val="sdtLocked"/>
                          <w:richText/>
                        </w:sdtPr>
                        <w:sdtContent>
                          <w:r>
                            <w:rPr>
                              <w:szCs w:val="24"/>
                            </w:rPr>
                            <w:t>4.7</w:t>
                          </w:r>
                        </w:sdtContent>
                      </w:sdt>
                      <w:r>
                        <w:rPr>
                          <w:szCs w:val="24"/>
                        </w:rPr>
                        <w:t>.</w:t>
                      </w:r>
                      <w:r>
                        <w:rPr>
                          <w:b/>
                          <w:bCs/>
                          <w:szCs w:val="24"/>
                        </w:rPr>
                        <w:t xml:space="preserve"> pastato (jo dalies) norminės energijos sąnaudos</w:t>
                      </w:r>
                      <w:r>
                        <w:rPr>
                          <w:szCs w:val="24"/>
                        </w:rPr>
                        <w:t> – tam tikros paskirties pastatų (jų dalių) energijos sąnaudos, atitinkančios statybos techninių reglamentų reikalavimus;</w:t>
                      </w:r>
                    </w:p>
                  </w:sdtContent>
                </w:sdt>
                <w:sdt>
                  <w:sdtPr>
                    <w:alias w:val="4.8 pp."/>
                    <w:tag w:val="part_2c5ad29466d64fbe9ce41038bca183d5"/>
                    <w:lock w:val="sdtLocked"/>
                    <w:richText/>
                  </w:sdtPr>
                  <w:sdtContent>
                    <w:p>
                      <w:pPr>
                        <w:suppressAutoHyphens/>
                        <w:ind w:firstLine="567"/>
                        <w:jc w:val="both"/>
                        <w:textAlignment w:val="center"/>
                        <w:rPr>
                          <w:szCs w:val="24"/>
                        </w:rPr>
                      </w:pPr>
                      <w:sdt>
                        <w:sdtPr>
                          <w:alias w:val="Numeris"/>
                          <w:tag w:val="nr_2c5ad29466d64fbe9ce41038bca183d5"/>
                          <w:lock w:val="sdtLocked"/>
                          <w:richText/>
                        </w:sdtPr>
                        <w:sdtContent>
                          <w:r>
                            <w:rPr>
                              <w:szCs w:val="24"/>
                            </w:rPr>
                            <w:t>4.8</w:t>
                          </w:r>
                        </w:sdtContent>
                      </w:sdt>
                      <w:r>
                        <w:rPr>
                          <w:szCs w:val="24"/>
                        </w:rPr>
                        <w:t>.</w:t>
                      </w:r>
                      <w:r>
                        <w:rPr>
                          <w:b/>
                          <w:bCs/>
                          <w:szCs w:val="24"/>
                        </w:rPr>
                        <w:t xml:space="preserve"> pastato (jo dalies) atskaitinės energijos sąnaudos</w:t>
                      </w:r>
                      <w:r>
                        <w:rPr>
                          <w:szCs w:val="24"/>
                        </w:rPr>
                        <w:t> – numatomos mažiausiai energijos naudojančių 50% tam tikros paskirties pastatų vidutinės energijos sąnaudos;</w:t>
                      </w:r>
                    </w:p>
                  </w:sdtContent>
                </w:sdt>
                <w:sdt>
                  <w:sdtPr>
                    <w:alias w:val="4.9 pp."/>
                    <w:tag w:val="part_ac93019394cf462b8df5f809d2ce7709"/>
                    <w:lock w:val="sdtLocked"/>
                    <w:richText/>
                  </w:sdtPr>
                  <w:sdtContent>
                    <w:p>
                      <w:pPr>
                        <w:suppressAutoHyphens/>
                        <w:ind w:firstLine="567"/>
                        <w:jc w:val="both"/>
                        <w:textAlignment w:val="center"/>
                        <w:rPr>
                          <w:szCs w:val="24"/>
                        </w:rPr>
                      </w:pPr>
                      <w:sdt>
                        <w:sdtPr>
                          <w:alias w:val="Numeris"/>
                          <w:tag w:val="nr_ac93019394cf462b8df5f809d2ce7709"/>
                          <w:lock w:val="sdtLocked"/>
                          <w:richText/>
                        </w:sdtPr>
                        <w:sdtContent>
                          <w:r>
                            <w:rPr>
                              <w:szCs w:val="24"/>
                            </w:rPr>
                            <w:t>4.9</w:t>
                          </w:r>
                        </w:sdtContent>
                      </w:sdt>
                      <w:r>
                        <w:rPr>
                          <w:szCs w:val="24"/>
                        </w:rPr>
                        <w:t>.</w:t>
                      </w:r>
                      <w:r>
                        <w:rPr>
                          <w:b/>
                          <w:bCs/>
                          <w:szCs w:val="24"/>
                        </w:rPr>
                        <w:t xml:space="preserve"> pastato (jo dalies) skaičiuojamosios energijos sąnaudos</w:t>
                      </w:r>
                      <w:r>
                        <w:rPr>
                          <w:szCs w:val="24"/>
                        </w:rPr>
                        <w:t> – pagal Reglamento reikalavimus apskaičiuotos pastato (jo dalies) standartines naudojimo sąlygas atitinkančios energijos sąnaudos;</w:t>
                      </w:r>
                    </w:p>
                  </w:sdtContent>
                </w:sdt>
                <w:sdt>
                  <w:sdtPr>
                    <w:alias w:val="4.10 pp."/>
                    <w:tag w:val="part_862aded414524e599fc575161830cb4b"/>
                    <w:lock w:val="sdtLocked"/>
                    <w:richText/>
                  </w:sdtPr>
                  <w:sdtContent>
                    <w:p>
                      <w:pPr>
                        <w:suppressAutoHyphens/>
                        <w:ind w:firstLine="567"/>
                        <w:jc w:val="both"/>
                        <w:textAlignment w:val="center"/>
                        <w:rPr>
                          <w:szCs w:val="24"/>
                        </w:rPr>
                      </w:pPr>
                      <w:sdt>
                        <w:sdtPr>
                          <w:alias w:val="Numeris"/>
                          <w:tag w:val="nr_862aded414524e599fc575161830cb4b"/>
                          <w:lock w:val="sdtLocked"/>
                          <w:richText/>
                        </w:sdtPr>
                        <w:sdtContent>
                          <w:r>
                            <w:rPr>
                              <w:szCs w:val="24"/>
                            </w:rPr>
                            <w:t>4.10</w:t>
                          </w:r>
                        </w:sdtContent>
                      </w:sdt>
                      <w:r>
                        <w:rPr>
                          <w:szCs w:val="24"/>
                        </w:rPr>
                        <w:t>.</w:t>
                      </w:r>
                      <w:r>
                        <w:rPr>
                          <w:b/>
                          <w:bCs/>
                          <w:szCs w:val="24"/>
                        </w:rPr>
                        <w:t xml:space="preserve"> norminė šiluminio techninio rodiklio vertė</w:t>
                      </w:r>
                      <w:r>
                        <w:rPr>
                          <w:szCs w:val="24"/>
                        </w:rPr>
                        <w:t> – statybos techniniuose reglamentuose ar kituose teisės aktuose nurodyta šiluminio techninio rodiklio vertė;</w:t>
                      </w:r>
                    </w:p>
                  </w:sdtContent>
                </w:sdt>
                <w:sdt>
                  <w:sdtPr>
                    <w:alias w:val="4.11 pp."/>
                    <w:tag w:val="part_efce75d08fb244fbac09b703fd947c96"/>
                    <w:lock w:val="sdtLocked"/>
                    <w:richText/>
                  </w:sdtPr>
                  <w:sdtContent>
                    <w:p>
                      <w:pPr>
                        <w:suppressAutoHyphens/>
                        <w:ind w:firstLine="567"/>
                        <w:jc w:val="both"/>
                        <w:textAlignment w:val="center"/>
                        <w:rPr>
                          <w:szCs w:val="24"/>
                        </w:rPr>
                      </w:pPr>
                      <w:sdt>
                        <w:sdtPr>
                          <w:alias w:val="Numeris"/>
                          <w:tag w:val="nr_efce75d08fb244fbac09b703fd947c96"/>
                          <w:lock w:val="sdtLocked"/>
                          <w:richText/>
                        </w:sdtPr>
                        <w:sdtContent>
                          <w:r>
                            <w:rPr>
                              <w:szCs w:val="24"/>
                            </w:rPr>
                            <w:t>4.11</w:t>
                          </w:r>
                        </w:sdtContent>
                      </w:sdt>
                      <w:r>
                        <w:rPr>
                          <w:szCs w:val="24"/>
                        </w:rPr>
                        <w:t>.</w:t>
                      </w:r>
                      <w:r>
                        <w:rPr>
                          <w:b/>
                          <w:bCs/>
                          <w:szCs w:val="24"/>
                        </w:rPr>
                        <w:t xml:space="preserve"> atskaitinė šiluminio techninio rodiklio vertė</w:t>
                      </w:r>
                      <w:r>
                        <w:rPr>
                          <w:szCs w:val="24"/>
                        </w:rPr>
                        <w:t xml:space="preserve"> – mažiausiai energijos naudojančių 50% tam tikros paskirties pastatų vidutinė rodiklio vertė; </w:t>
                      </w:r>
                    </w:p>
                  </w:sdtContent>
                </w:sdt>
                <w:sdt>
                  <w:sdtPr>
                    <w:alias w:val="4.12 pp."/>
                    <w:tag w:val="part_d97c73dbae5141c6a1f702685e9afe03"/>
                    <w:lock w:val="sdtLocked"/>
                    <w:richText/>
                  </w:sdtPr>
                  <w:sdtContent>
                    <w:p>
                      <w:pPr>
                        <w:suppressAutoHyphens/>
                        <w:ind w:firstLine="567"/>
                        <w:jc w:val="both"/>
                        <w:textAlignment w:val="center"/>
                        <w:rPr>
                          <w:szCs w:val="24"/>
                        </w:rPr>
                      </w:pPr>
                      <w:sdt>
                        <w:sdtPr>
                          <w:alias w:val="Numeris"/>
                          <w:tag w:val="nr_d97c73dbae5141c6a1f702685e9afe03"/>
                          <w:lock w:val="sdtLocked"/>
                          <w:richText/>
                        </w:sdtPr>
                        <w:sdtContent>
                          <w:r>
                            <w:rPr>
                              <w:szCs w:val="24"/>
                            </w:rPr>
                            <w:t>4.12</w:t>
                          </w:r>
                        </w:sdtContent>
                      </w:sdt>
                      <w:r>
                        <w:rPr>
                          <w:szCs w:val="24"/>
                        </w:rPr>
                        <w:t>.</w:t>
                      </w:r>
                      <w:r>
                        <w:rPr>
                          <w:b/>
                          <w:bCs/>
                          <w:szCs w:val="24"/>
                        </w:rPr>
                        <w:t xml:space="preserve"> skaičiuojamoji šiluminio techninio rodiklio vertė</w:t>
                      </w:r>
                      <w:r>
                        <w:rPr>
                          <w:szCs w:val="24"/>
                        </w:rPr>
                        <w:t xml:space="preserve"> – pastato būklę atitinkanti šiluminio techninio rodiklio vertė; </w:t>
                      </w:r>
                    </w:p>
                  </w:sdtContent>
                </w:sdt>
                <w:sdt>
                  <w:sdtPr>
                    <w:alias w:val="4.13 pp."/>
                    <w:tag w:val="part_1e4fac8d6496450f9f5bf47010901a5a"/>
                    <w:lock w:val="sdtLocked"/>
                    <w:richText/>
                  </w:sdtPr>
                  <w:sdtContent>
                    <w:p>
                      <w:pPr>
                        <w:suppressAutoHyphens/>
                        <w:ind w:firstLine="567"/>
                        <w:jc w:val="both"/>
                        <w:textAlignment w:val="center"/>
                        <w:rPr>
                          <w:szCs w:val="24"/>
                        </w:rPr>
                      </w:pPr>
                      <w:sdt>
                        <w:sdtPr>
                          <w:alias w:val="Numeris"/>
                          <w:tag w:val="nr_1e4fac8d6496450f9f5bf47010901a5a"/>
                          <w:lock w:val="sdtLocked"/>
                          <w:richText/>
                        </w:sdtPr>
                        <w:sdtContent>
                          <w:r>
                            <w:rPr>
                              <w:szCs w:val="24"/>
                            </w:rPr>
                            <w:t>4.13</w:t>
                          </w:r>
                        </w:sdtContent>
                      </w:sdt>
                      <w:r>
                        <w:rPr>
                          <w:szCs w:val="24"/>
                        </w:rPr>
                        <w:t xml:space="preserve">. </w:t>
                      </w:r>
                      <w:r>
                        <w:rPr>
                          <w:b/>
                          <w:szCs w:val="24"/>
                        </w:rPr>
                        <w:t>pastato (jo dalies) šildomas plotas</w:t>
                      </w:r>
                      <w:r>
                        <w:rPr>
                          <w:szCs w:val="24"/>
                        </w:rPr>
                        <w:t xml:space="preserve"> – visų šildomų pastato (jo dalies) patalpų grindų plotų suma, įskaitant šildomų rūsių, laiptinių, bendro naudojimo ir kitų šildomų patalpų grindų plotus, taip pat patalpų, kurias iš visų pusių riboja šildomos patalpos, grindų plotus;</w:t>
                      </w:r>
                    </w:p>
                  </w:sdtContent>
                </w:sdt>
                <w:sdt>
                  <w:sdtPr>
                    <w:alias w:val="4.14 pp."/>
                    <w:tag w:val="part_ea0b67b725d24f31b963fbd17c1bf924"/>
                    <w:lock w:val="sdtLocked"/>
                    <w:richText/>
                  </w:sdtPr>
                  <w:sdtContent>
                    <w:p>
                      <w:pPr>
                        <w:suppressAutoHyphens/>
                        <w:ind w:firstLine="567"/>
                        <w:jc w:val="both"/>
                        <w:textAlignment w:val="center"/>
                        <w:rPr>
                          <w:rFonts w:eastAsia="Calibri"/>
                          <w:szCs w:val="24"/>
                        </w:rPr>
                      </w:pPr>
                      <w:sdt>
                        <w:sdtPr>
                          <w:alias w:val="Numeris"/>
                          <w:tag w:val="nr_ea0b67b725d24f31b963fbd17c1bf924"/>
                          <w:lock w:val="sdtLocked"/>
                          <w:richText/>
                        </w:sdtPr>
                        <w:sdtContent>
                          <w:r>
                            <w:rPr>
                              <w:szCs w:val="24"/>
                            </w:rPr>
                            <w:t>4.14</w:t>
                          </w:r>
                        </w:sdtContent>
                      </w:sdt>
                      <w:r>
                        <w:rPr>
                          <w:szCs w:val="24"/>
                        </w:rPr>
                        <w:t>.</w:t>
                      </w:r>
                      <w:r>
                        <w:rPr>
                          <w:b/>
                          <w:szCs w:val="24"/>
                        </w:rPr>
                        <w:t xml:space="preserve"> pastato (jo dalies) v</w:t>
                      </w:r>
                      <w:r>
                        <w:rPr>
                          <w:rFonts w:eastAsia="Calibri"/>
                          <w:b/>
                          <w:szCs w:val="24"/>
                        </w:rPr>
                        <w:t>idaus temperatūra šildymo sezono metu</w:t>
                      </w:r>
                      <w:r>
                        <w:rPr>
                          <w:rFonts w:eastAsia="Calibri"/>
                          <w:szCs w:val="24"/>
                        </w:rPr>
                        <w:t xml:space="preserve"> – vidutinė temperatūra pastato (jo dalies) šildomame plote šildymo sezono metu; </w:t>
                      </w:r>
                    </w:p>
                  </w:sdtContent>
                </w:sdt>
                <w:sdt>
                  <w:sdtPr>
                    <w:alias w:val="4.15 pp."/>
                    <w:tag w:val="part_276f23f7ccb845bd81c6f07539362859"/>
                    <w:lock w:val="sdtLocked"/>
                    <w:richText/>
                  </w:sdtPr>
                  <w:sdtContent>
                    <w:p>
                      <w:pPr>
                        <w:suppressAutoHyphens/>
                        <w:ind w:firstLine="567"/>
                        <w:jc w:val="both"/>
                        <w:textAlignment w:val="center"/>
                        <w:rPr>
                          <w:rFonts w:eastAsia="Calibri"/>
                          <w:szCs w:val="24"/>
                        </w:rPr>
                      </w:pPr>
                      <w:sdt>
                        <w:sdtPr>
                          <w:alias w:val="Numeris"/>
                          <w:tag w:val="nr_276f23f7ccb845bd81c6f07539362859"/>
                          <w:lock w:val="sdtLocked"/>
                          <w:richText/>
                        </w:sdtPr>
                        <w:sdtContent>
                          <w:r>
                            <w:rPr>
                              <w:szCs w:val="24"/>
                            </w:rPr>
                            <w:t>4.15</w:t>
                          </w:r>
                        </w:sdtContent>
                      </w:sdt>
                      <w:r>
                        <w:rPr>
                          <w:szCs w:val="24"/>
                        </w:rPr>
                        <w:t xml:space="preserve">. </w:t>
                      </w:r>
                      <w:r>
                        <w:rPr>
                          <w:b/>
                          <w:szCs w:val="24"/>
                        </w:rPr>
                        <w:t>pastato (jo dalies) v</w:t>
                      </w:r>
                      <w:r>
                        <w:rPr>
                          <w:rFonts w:eastAsia="Calibri"/>
                          <w:b/>
                          <w:szCs w:val="24"/>
                        </w:rPr>
                        <w:t>idaus temperatūra ne šildymo sezono metu</w:t>
                      </w:r>
                      <w:r>
                        <w:rPr>
                          <w:rFonts w:eastAsia="Calibri"/>
                          <w:szCs w:val="24"/>
                        </w:rPr>
                        <w:t xml:space="preserve"> – vidutinė temperatūra pastato (jo dalies) šildomame plote ne šildymo sezono metu, pagal kurią skaičiuojamos energijos sąnaudos pastatui vėsinti;</w:t>
                      </w:r>
                    </w:p>
                  </w:sdtContent>
                </w:sdt>
                <w:sdt>
                  <w:sdtPr>
                    <w:alias w:val="4.16 pp."/>
                    <w:tag w:val="part_3a13682b743247e9883d0db38bbf3024"/>
                    <w:lock w:val="sdtLocked"/>
                    <w:richText/>
                  </w:sdtPr>
                  <w:sdtContent>
                    <w:p>
                      <w:pPr>
                        <w:suppressAutoHyphens/>
                        <w:ind w:firstLine="567"/>
                        <w:jc w:val="both"/>
                        <w:textAlignment w:val="center"/>
                        <w:rPr>
                          <w:szCs w:val="24"/>
                        </w:rPr>
                      </w:pPr>
                      <w:sdt>
                        <w:sdtPr>
                          <w:alias w:val="Numeris"/>
                          <w:tag w:val="nr_3a13682b743247e9883d0db38bbf3024"/>
                          <w:lock w:val="sdtLocked"/>
                          <w:richText/>
                        </w:sdtPr>
                        <w:sdtContent>
                          <w:r>
                            <w:rPr>
                              <w:szCs w:val="24"/>
                            </w:rPr>
                            <w:t>4.16</w:t>
                          </w:r>
                        </w:sdtContent>
                      </w:sdt>
                      <w:r>
                        <w:rPr>
                          <w:szCs w:val="24"/>
                        </w:rPr>
                        <w:t xml:space="preserve">. </w:t>
                      </w:r>
                      <w:r>
                        <w:rPr>
                          <w:b/>
                          <w:bCs/>
                          <w:szCs w:val="24"/>
                        </w:rPr>
                        <w:t>mažai energijos naudojantys pastatai (jų dalys)</w:t>
                      </w:r>
                      <w:r>
                        <w:rPr>
                          <w:szCs w:val="24"/>
                        </w:rPr>
                        <w:t> – pastatai (jų dalys), atitinkantys Reglamento reikalavimus B, A, ir A+ klasės pastatams;</w:t>
                      </w:r>
                    </w:p>
                  </w:sdtContent>
                </w:sdt>
                <w:sdt>
                  <w:sdtPr>
                    <w:alias w:val="4.17 pp."/>
                    <w:tag w:val="part_8c9566ce4da441b8ac01d17df86a2a41"/>
                    <w:lock w:val="sdtLocked"/>
                    <w:richText/>
                  </w:sdtPr>
                  <w:sdtContent>
                    <w:p>
                      <w:pPr>
                        <w:suppressAutoHyphens/>
                        <w:ind w:firstLine="567"/>
                        <w:jc w:val="both"/>
                        <w:textAlignment w:val="center"/>
                        <w:rPr>
                          <w:szCs w:val="24"/>
                        </w:rPr>
                      </w:pPr>
                      <w:sdt>
                        <w:sdtPr>
                          <w:alias w:val="Numeris"/>
                          <w:tag w:val="nr_8c9566ce4da441b8ac01d17df86a2a41"/>
                          <w:lock w:val="sdtLocked"/>
                          <w:richText/>
                        </w:sdtPr>
                        <w:sdtContent>
                          <w:r>
                            <w:rPr>
                              <w:szCs w:val="24"/>
                            </w:rPr>
                            <w:t>4.17</w:t>
                          </w:r>
                        </w:sdtContent>
                      </w:sdt>
                      <w:r>
                        <w:rPr>
                          <w:szCs w:val="24"/>
                        </w:rPr>
                        <w:t xml:space="preserve">. </w:t>
                      </w:r>
                      <w:r>
                        <w:rPr>
                          <w:b/>
                          <w:bCs/>
                          <w:szCs w:val="24"/>
                        </w:rPr>
                        <w:t>energijos beveik nevartojantys pastatai</w:t>
                      </w:r>
                      <w:r>
                        <w:rPr>
                          <w:szCs w:val="24"/>
                        </w:rPr>
                        <w:t xml:space="preserve"> – pastatai, atitinkantys Reglamento reikalavimus A++ energinio naudingumo klasės pastatams, t. y. labai aukšto energinio naudingumo pastatai, kuriuose energijos sunaudojimas beveik lygus nuliui arba energijos sunaudojimas labai mažas; didžiąją sunaudojamos energijos dalį sudaro atsinaujinančių išteklių energija, įskaitant vietoje ar netoliese pagamintą atsinaujinančių išteklių energiją; </w:t>
                      </w:r>
                    </w:p>
                  </w:sdtContent>
                </w:sdt>
                <w:sdt>
                  <w:sdtPr>
                    <w:alias w:val="4.18 pp."/>
                    <w:tag w:val="part_6069e3fd5e0443b7a4c12fcee19c3061"/>
                    <w:lock w:val="sdtLocked"/>
                    <w:richText/>
                  </w:sdtPr>
                  <w:sdtContent>
                    <w:p>
                      <w:pPr>
                        <w:ind w:firstLine="567"/>
                        <w:jc w:val="both"/>
                        <w:rPr>
                          <w:szCs w:val="24"/>
                          <w:lang w:eastAsia="lt-LT"/>
                        </w:rPr>
                      </w:pPr>
                      <w:sdt>
                        <w:sdtPr>
                          <w:alias w:val="Numeris"/>
                          <w:tag w:val="nr_6069e3fd5e0443b7a4c12fcee19c3061"/>
                          <w:lock w:val="sdtLocked"/>
                          <w:richText/>
                        </w:sdtPr>
                        <w:sdtContent>
                          <w:r>
                            <w:rPr>
                              <w:bCs/>
                              <w:szCs w:val="24"/>
                              <w:lang w:eastAsia="lt-LT"/>
                            </w:rPr>
                            <w:t>4.18</w:t>
                          </w:r>
                        </w:sdtContent>
                      </w:sdt>
                      <w:r>
                        <w:rPr>
                          <w:bCs/>
                          <w:szCs w:val="24"/>
                          <w:lang w:eastAsia="lt-LT"/>
                        </w:rPr>
                        <w:t>.</w:t>
                      </w:r>
                      <w:r>
                        <w:rPr>
                          <w:b/>
                          <w:szCs w:val="24"/>
                          <w:lang w:eastAsia="lt-LT"/>
                        </w:rPr>
                        <w:t xml:space="preserve"> savitieji pastato atitvarų šilumos nuostoliai </w:t>
                      </w:r>
                      <w:r>
                        <w:rPr>
                          <w:szCs w:val="24"/>
                          <w:lang w:eastAsia="lt-LT"/>
                        </w:rPr>
                        <w:t>(</w:t>
                      </w:r>
                      <w:r>
                        <w:rPr>
                          <w:i/>
                          <w:szCs w:val="24"/>
                          <w:lang w:eastAsia="lt-LT"/>
                        </w:rPr>
                        <w:t>H</w:t>
                      </w:r>
                      <w:r>
                        <w:rPr>
                          <w:i/>
                          <w:szCs w:val="24"/>
                          <w:vertAlign w:val="subscript"/>
                          <w:lang w:eastAsia="lt-LT"/>
                        </w:rPr>
                        <w:t>env</w:t>
                      </w:r>
                      <w:r>
                        <w:rPr>
                          <w:szCs w:val="24"/>
                          <w:lang w:eastAsia="lt-LT"/>
                        </w:rPr>
                        <w:t>) – šilumos srautas, pereinantis per visas pastato atitvaras iš vidaus į išorę, kai temperatūrų skirtumas 1 °C (W/K);</w:t>
                      </w:r>
                    </w:p>
                  </w:sdtContent>
                </w:sdt>
                <w:sdt>
                  <w:sdtPr>
                    <w:alias w:val="4.19 pp."/>
                    <w:tag w:val="part_9d52f8deb423486494282853da0517e5"/>
                    <w:lock w:val="sdtLocked"/>
                    <w:richText/>
                  </w:sdtPr>
                  <w:sdtContent>
                    <w:p>
                      <w:pPr>
                        <w:ind w:firstLine="567"/>
                        <w:jc w:val="both"/>
                        <w:rPr>
                          <w:spacing w:val="-4"/>
                          <w:szCs w:val="24"/>
                          <w:lang w:eastAsia="lt-LT"/>
                        </w:rPr>
                      </w:pPr>
                      <w:sdt>
                        <w:sdtPr>
                          <w:alias w:val="Numeris"/>
                          <w:tag w:val="nr_9d52f8deb423486494282853da0517e5"/>
                          <w:lock w:val="sdtLocked"/>
                          <w:richText/>
                        </w:sdtPr>
                        <w:sdtContent>
                          <w:r>
                            <w:rPr>
                              <w:bCs/>
                              <w:spacing w:val="-4"/>
                              <w:szCs w:val="24"/>
                              <w:lang w:eastAsia="lt-LT"/>
                            </w:rPr>
                            <w:t>4.19</w:t>
                          </w:r>
                        </w:sdtContent>
                      </w:sdt>
                      <w:r>
                        <w:rPr>
                          <w:bCs/>
                          <w:spacing w:val="-4"/>
                          <w:szCs w:val="24"/>
                          <w:lang w:eastAsia="lt-LT"/>
                        </w:rPr>
                        <w:t>.</w:t>
                      </w:r>
                      <w:r>
                        <w:rPr>
                          <w:b/>
                          <w:spacing w:val="-4"/>
                          <w:szCs w:val="24"/>
                          <w:lang w:eastAsia="lt-LT"/>
                        </w:rPr>
                        <w:t xml:space="preserve"> atitvaros šilumos perdavimo koeficientas </w:t>
                      </w:r>
                      <w:r>
                        <w:rPr>
                          <w:spacing w:val="-4"/>
                          <w:szCs w:val="24"/>
                          <w:lang w:eastAsia="lt-LT"/>
                        </w:rPr>
                        <w:t>(</w:t>
                      </w:r>
                      <w:r>
                        <w:rPr>
                          <w:i/>
                          <w:spacing w:val="-4"/>
                          <w:szCs w:val="24"/>
                          <w:lang w:eastAsia="lt-LT"/>
                        </w:rPr>
                        <w:t>U</w:t>
                      </w:r>
                      <w:r>
                        <w:rPr>
                          <w:spacing w:val="-4"/>
                          <w:szCs w:val="24"/>
                          <w:lang w:eastAsia="lt-LT"/>
                        </w:rPr>
                        <w:t>)</w:t>
                      </w:r>
                      <w:r>
                        <w:rPr>
                          <w:b/>
                          <w:spacing w:val="-4"/>
                          <w:szCs w:val="24"/>
                          <w:lang w:eastAsia="lt-LT"/>
                        </w:rPr>
                        <w:t xml:space="preserve"> </w:t>
                      </w:r>
                      <w:r>
                        <w:rPr>
                          <w:spacing w:val="-4"/>
                          <w:szCs w:val="24"/>
                          <w:lang w:eastAsia="lt-LT"/>
                        </w:rPr>
                        <w:t xml:space="preserve">– per atitvarą pereinančio šilumos srauto tankis, kai </w:t>
                      </w:r>
                      <w:r>
                        <w:rPr>
                          <w:szCs w:val="24"/>
                          <w:lang w:eastAsia="lt-LT"/>
                        </w:rPr>
                        <w:t>oro temperatūrų skirtumas abiejose atitvaros pusėse 1 °C</w:t>
                      </w:r>
                      <w:r>
                        <w:rPr>
                          <w:spacing w:val="-4"/>
                          <w:szCs w:val="24"/>
                          <w:lang w:eastAsia="lt-LT"/>
                        </w:rPr>
                        <w:t>, W/(m</w:t>
                      </w:r>
                      <w:r>
                        <w:rPr>
                          <w:spacing w:val="-4"/>
                          <w:szCs w:val="24"/>
                          <w:vertAlign w:val="superscript"/>
                          <w:lang w:eastAsia="lt-LT"/>
                        </w:rPr>
                        <w:t>2</w:t>
                      </w:r>
                      <w:r>
                        <w:rPr>
                          <w:spacing w:val="-4"/>
                          <w:szCs w:val="24"/>
                          <w:lang w:eastAsia="lt-LT"/>
                        </w:rPr>
                        <w:sym w:font="Symbol" w:char="F0D7"/>
                        <w:t>K);</w:t>
                      </w:r>
                    </w:p>
                  </w:sdtContent>
                </w:sdt>
                <w:sdt>
                  <w:sdtPr>
                    <w:alias w:val="4.20 pp."/>
                    <w:tag w:val="part_2f3911ca9ac94bc2a4e44742b4b5a06a"/>
                    <w:lock w:val="sdtLocked"/>
                    <w:richText/>
                  </w:sdtPr>
                  <w:sdtContent>
                    <w:p>
                      <w:pPr>
                        <w:ind w:firstLine="567"/>
                        <w:jc w:val="both"/>
                        <w:rPr>
                          <w:szCs w:val="24"/>
                          <w:lang w:eastAsia="lt-LT"/>
                        </w:rPr>
                      </w:pPr>
                      <w:sdt>
                        <w:sdtPr>
                          <w:alias w:val="Numeris"/>
                          <w:tag w:val="nr_2f3911ca9ac94bc2a4e44742b4b5a06a"/>
                          <w:lock w:val="sdtLocked"/>
                          <w:richText/>
                        </w:sdtPr>
                        <w:sdtContent>
                          <w:r>
                            <w:rPr>
                              <w:bCs/>
                              <w:szCs w:val="24"/>
                              <w:lang w:eastAsia="lt-LT"/>
                            </w:rPr>
                            <w:t>4.20</w:t>
                          </w:r>
                        </w:sdtContent>
                      </w:sdt>
                      <w:r>
                        <w:rPr>
                          <w:bCs/>
                          <w:szCs w:val="24"/>
                          <w:lang w:eastAsia="lt-LT"/>
                        </w:rPr>
                        <w:t>.</w:t>
                      </w:r>
                      <w:r>
                        <w:rPr>
                          <w:b/>
                          <w:szCs w:val="24"/>
                          <w:lang w:eastAsia="lt-LT"/>
                        </w:rPr>
                        <w:t xml:space="preserve"> ilginio šiluminio tiltelio šilumos perdavimo koeficientas </w:t>
                      </w:r>
                      <w:r>
                        <w:rPr>
                          <w:szCs w:val="24"/>
                          <w:lang w:eastAsia="lt-LT"/>
                        </w:rPr>
                        <w:t>(</w:t>
                      </w:r>
                      <w:r>
                        <w:rPr>
                          <w:i/>
                          <w:szCs w:val="24"/>
                          <w:lang w:eastAsia="lt-LT"/>
                        </w:rPr>
                        <w:sym w:font="Symbol" w:char="F059"/>
                      </w:r>
                      <w:r>
                        <w:rPr>
                          <w:szCs w:val="24"/>
                          <w:lang w:eastAsia="lt-LT"/>
                        </w:rPr>
                        <w:t>) – šilumos srauto tankis, tenkantis šiluminio tiltelio ilgio vienetui, kai oro temperatūrų skirtumas abiejose atitvaros pusėse 1 °C (W/(m</w:t>
                        <w:sym w:font="Symbol" w:char="F0D7"/>
                        <w:t>K));</w:t>
                      </w:r>
                    </w:p>
                  </w:sdtContent>
                </w:sdt>
                <w:sdt>
                  <w:sdtPr>
                    <w:alias w:val="4.21 pp."/>
                    <w:tag w:val="part_e53208bb74ac44cb8eeca010d827667a"/>
                    <w:lock w:val="sdtLocked"/>
                    <w:richText/>
                  </w:sdtPr>
                  <w:sdtContent>
                    <w:p>
                      <w:pPr>
                        <w:ind w:firstLine="567"/>
                        <w:jc w:val="both"/>
                        <w:rPr>
                          <w:szCs w:val="24"/>
                          <w:lang w:eastAsia="lt-LT"/>
                        </w:rPr>
                      </w:pPr>
                      <w:sdt>
                        <w:sdtPr>
                          <w:alias w:val="Numeris"/>
                          <w:tag w:val="nr_e53208bb74ac44cb8eeca010d827667a"/>
                          <w:lock w:val="sdtLocked"/>
                          <w:richText/>
                        </w:sdtPr>
                        <w:sdtContent>
                          <w:r>
                            <w:rPr>
                              <w:szCs w:val="24"/>
                              <w:lang w:eastAsia="lt-LT"/>
                            </w:rPr>
                            <w:t>4.21</w:t>
                          </w:r>
                        </w:sdtContent>
                      </w:sdt>
                      <w:r>
                        <w:rPr>
                          <w:szCs w:val="24"/>
                          <w:lang w:eastAsia="lt-LT"/>
                        </w:rPr>
                        <w:t xml:space="preserve">. </w:t>
                      </w:r>
                      <w:r>
                        <w:rPr>
                          <w:b/>
                          <w:szCs w:val="24"/>
                          <w:lang w:eastAsia="lt-LT"/>
                        </w:rPr>
                        <w:t>išorinės įėjimo durys</w:t>
                      </w:r>
                      <w:r>
                        <w:rPr>
                          <w:szCs w:val="24"/>
                          <w:lang w:eastAsia="lt-LT"/>
                        </w:rPr>
                        <w:t xml:space="preserve"> – durys tarp šildomų patalpų ir išorės (vienerios durys, dvejos durys su tambūru, dvigubos durys), durys tarp šildomų ir nešildomų patalpų (vienerios durys, dvigubos durys), liukai išlipimui ant stogo;</w:t>
                      </w:r>
                    </w:p>
                  </w:sdtContent>
                </w:sdt>
                <w:sdt>
                  <w:sdtPr>
                    <w:alias w:val="4.22 pp."/>
                    <w:tag w:val="part_c5879e4ef9ed4a9285bbebe5183e8902"/>
                    <w:lock w:val="sdtLocked"/>
                    <w:richText/>
                  </w:sdtPr>
                  <w:sdtContent>
                    <w:p>
                      <w:pPr>
                        <w:ind w:firstLine="567"/>
                        <w:jc w:val="both"/>
                        <w:rPr>
                          <w:szCs w:val="24"/>
                          <w:lang w:eastAsia="lt-LT"/>
                        </w:rPr>
                      </w:pPr>
                      <w:sdt>
                        <w:sdtPr>
                          <w:alias w:val="Numeris"/>
                          <w:tag w:val="nr_c5879e4ef9ed4a9285bbebe5183e8902"/>
                          <w:lock w:val="sdtLocked"/>
                          <w:richText/>
                        </w:sdtPr>
                        <w:sdtContent>
                          <w:r>
                            <w:rPr>
                              <w:szCs w:val="24"/>
                              <w:lang w:eastAsia="lt-LT"/>
                            </w:rPr>
                            <w:t>4.22</w:t>
                          </w:r>
                        </w:sdtContent>
                      </w:sdt>
                      <w:r>
                        <w:rPr>
                          <w:szCs w:val="24"/>
                          <w:lang w:eastAsia="lt-LT"/>
                        </w:rPr>
                        <w:t xml:space="preserve">. </w:t>
                      </w:r>
                      <w:r>
                        <w:rPr>
                          <w:b/>
                          <w:szCs w:val="24"/>
                          <w:lang w:eastAsia="lt-LT"/>
                        </w:rPr>
                        <w:t xml:space="preserve">vartai </w:t>
                      </w:r>
                      <w:r>
                        <w:rPr>
                          <w:szCs w:val="24"/>
                          <w:lang w:eastAsia="lt-LT"/>
                        </w:rPr>
                        <w:t>– vartai tarp šildomų patalpų ir išorės (vieneri vartai, dveji vartai su tambūru, dvigubi vartai), vartai tarp šildomų ir nešildomų patalpų (vieneri vartai, dvigubi vartai);</w:t>
                      </w:r>
                    </w:p>
                  </w:sdtContent>
                </w:sdt>
                <w:sdt>
                  <w:sdtPr>
                    <w:alias w:val="4.23 pp."/>
                    <w:tag w:val="part_86b4ae84eaf44e32849a91078fcace66"/>
                    <w:lock w:val="sdtLocked"/>
                    <w:richText/>
                  </w:sdtPr>
                  <w:sdtContent>
                    <w:p>
                      <w:pPr>
                        <w:ind w:firstLine="567"/>
                        <w:jc w:val="both"/>
                        <w:rPr>
                          <w:szCs w:val="24"/>
                          <w:lang w:eastAsia="lt-LT"/>
                        </w:rPr>
                      </w:pPr>
                      <w:sdt>
                        <w:sdtPr>
                          <w:alias w:val="Numeris"/>
                          <w:tag w:val="nr_86b4ae84eaf44e32849a91078fcace66"/>
                          <w:lock w:val="sdtLocked"/>
                          <w:richText/>
                        </w:sdtPr>
                        <w:sdtContent>
                          <w:r>
                            <w:rPr>
                              <w:szCs w:val="24"/>
                              <w:lang w:eastAsia="lt-LT"/>
                            </w:rPr>
                            <w:t>4.23</w:t>
                          </w:r>
                        </w:sdtContent>
                      </w:sdt>
                      <w:r>
                        <w:rPr>
                          <w:szCs w:val="24"/>
                          <w:lang w:eastAsia="lt-LT"/>
                        </w:rPr>
                        <w:t xml:space="preserve">. </w:t>
                      </w:r>
                      <w:r>
                        <w:rPr>
                          <w:b/>
                          <w:szCs w:val="24"/>
                          <w:lang w:eastAsia="lt-LT"/>
                        </w:rPr>
                        <w:t>rekuperacija</w:t>
                      </w:r>
                      <w:r>
                        <w:rPr>
                          <w:szCs w:val="24"/>
                          <w:lang w:eastAsia="lt-LT"/>
                        </w:rPr>
                        <w:t xml:space="preserve"> – iš pastato išleidžiamo oro šilumos energijos dalies grąžinimas pakartotiniam panaudojimui;</w:t>
                      </w:r>
                    </w:p>
                  </w:sdtContent>
                </w:sdt>
                <w:sdt>
                  <w:sdtPr>
                    <w:alias w:val="4.24 pp."/>
                    <w:tag w:val="part_7b93d7c930ea4d1f904de10f34c88cc5"/>
                    <w:lock w:val="sdtLocked"/>
                    <w:richText/>
                  </w:sdtPr>
                  <w:sdtContent>
                    <w:p>
                      <w:pPr>
                        <w:ind w:firstLine="567"/>
                        <w:jc w:val="both"/>
                        <w:rPr>
                          <w:szCs w:val="24"/>
                          <w:lang w:eastAsia="lt-LT"/>
                        </w:rPr>
                      </w:pPr>
                      <w:sdt>
                        <w:sdtPr>
                          <w:alias w:val="Numeris"/>
                          <w:tag w:val="nr_7b93d7c930ea4d1f904de10f34c88cc5"/>
                          <w:lock w:val="sdtLocked"/>
                          <w:richText/>
                        </w:sdtPr>
                        <w:sdtContent>
                          <w:r>
                            <w:rPr>
                              <w:szCs w:val="24"/>
                              <w:lang w:eastAsia="lt-LT"/>
                            </w:rPr>
                            <w:t>4.24</w:t>
                          </w:r>
                        </w:sdtContent>
                      </w:sdt>
                      <w:r>
                        <w:rPr>
                          <w:szCs w:val="24"/>
                          <w:lang w:eastAsia="lt-LT"/>
                        </w:rPr>
                        <w:t xml:space="preserve">. </w:t>
                      </w:r>
                      <w:r>
                        <w:rPr>
                          <w:b/>
                          <w:szCs w:val="24"/>
                          <w:lang w:eastAsia="lt-LT"/>
                        </w:rPr>
                        <w:t>atskira (autonominė) šildymo sistema</w:t>
                      </w:r>
                      <w:r>
                        <w:rPr>
                          <w:szCs w:val="24"/>
                          <w:lang w:eastAsia="lt-LT"/>
                        </w:rPr>
                        <w:t xml:space="preserve"> – tik pastatui (jo daliai) šildyti naudojama šildymo sistema su vienu ar keliais šilumos šaltiniais ir/arba su atskira (autonomine) energijos vartojimo pastatui (jo daliai) šildyti apskaita ar energijos šaltinių suvartojamo kiekio pastatui (jo daliai) šildyti ir kitoms reikmėms apskaita. Autonominėms šildymo sistemoms taip pat priskiriamos šildymo sistemos, kurios yra statinio bendrosios šilumos tiekimo sistemos dalys (posistemės), atskirtos nuo bendrosios šilumos tiekimo sistemos apskaitos prietaisais ir uždaromaisiais ar reguliavimo įtaisais;</w:t>
                      </w:r>
                    </w:p>
                  </w:sdtContent>
                </w:sdt>
                <w:sdt>
                  <w:sdtPr>
                    <w:alias w:val="4.25 pp."/>
                    <w:tag w:val="part_77427846a20c4a3db053719e42025a3a"/>
                    <w:lock w:val="sdtLocked"/>
                    <w:richText/>
                  </w:sdtPr>
                  <w:sdtContent>
                    <w:p>
                      <w:pPr>
                        <w:ind w:firstLine="567"/>
                        <w:jc w:val="both"/>
                        <w:rPr>
                          <w:szCs w:val="24"/>
                          <w:lang w:eastAsia="lt-LT"/>
                        </w:rPr>
                      </w:pPr>
                      <w:sdt>
                        <w:sdtPr>
                          <w:alias w:val="Numeris"/>
                          <w:tag w:val="nr_77427846a20c4a3db053719e42025a3a"/>
                          <w:lock w:val="sdtLocked"/>
                          <w:richText/>
                        </w:sdtPr>
                        <w:sdtContent>
                          <w:r>
                            <w:rPr>
                              <w:szCs w:val="24"/>
                              <w:lang w:eastAsia="lt-LT"/>
                            </w:rPr>
                            <w:t>4.25</w:t>
                          </w:r>
                        </w:sdtContent>
                      </w:sdt>
                      <w:r>
                        <w:rPr>
                          <w:szCs w:val="24"/>
                          <w:lang w:eastAsia="lt-LT"/>
                        </w:rPr>
                        <w:t xml:space="preserve">. </w:t>
                      </w:r>
                      <w:r>
                        <w:rPr>
                          <w:b/>
                          <w:szCs w:val="24"/>
                          <w:lang w:eastAsia="lt-LT"/>
                        </w:rPr>
                        <w:t>atskira (autonominė) energijos vartojimo pastatui (jo daliai) šildyti</w:t>
                      </w:r>
                      <w:r>
                        <w:rPr>
                          <w:szCs w:val="24"/>
                          <w:lang w:eastAsia="lt-LT"/>
                        </w:rPr>
                        <w:t xml:space="preserve"> </w:t>
                      </w:r>
                      <w:r>
                        <w:rPr>
                          <w:b/>
                          <w:szCs w:val="24"/>
                          <w:lang w:eastAsia="lt-LT"/>
                        </w:rPr>
                        <w:t>apskaita</w:t>
                      </w:r>
                      <w:r>
                        <w:rPr>
                          <w:szCs w:val="24"/>
                          <w:lang w:eastAsia="lt-LT"/>
                        </w:rPr>
                        <w:t xml:space="preserve"> – pastate (jo dalyje) suvartotos energijos apskaita, kada apskaitos prietaisais nustatomi sunaudoti energijos ar energijos šaltinių kiekiai tik pastatui šildyti arba nustatomi energijos ar energijos šaltinių kiekiai, suvartoti pastatui šildyti ir kitiems tikslams;</w:t>
                      </w:r>
                    </w:p>
                  </w:sdtContent>
                </w:sdt>
                <w:sdt>
                  <w:sdtPr>
                    <w:alias w:val="4.26 pp."/>
                    <w:tag w:val="part_474af9746cd94fd0b87253fb5811199d"/>
                    <w:lock w:val="sdtLocked"/>
                    <w:richText/>
                  </w:sdtPr>
                  <w:sdtContent>
                    <w:p>
                      <w:pPr>
                        <w:ind w:firstLine="567"/>
                        <w:jc w:val="both"/>
                        <w:rPr>
                          <w:szCs w:val="24"/>
                          <w:lang w:eastAsia="lt-LT"/>
                        </w:rPr>
                      </w:pPr>
                      <w:sdt>
                        <w:sdtPr>
                          <w:alias w:val="Numeris"/>
                          <w:tag w:val="nr_474af9746cd94fd0b87253fb5811199d"/>
                          <w:lock w:val="sdtLocked"/>
                          <w:richText/>
                        </w:sdtPr>
                        <w:sdtContent>
                          <w:r>
                            <w:rPr>
                              <w:szCs w:val="24"/>
                              <w:lang w:eastAsia="lt-LT"/>
                            </w:rPr>
                            <w:t>4.26</w:t>
                          </w:r>
                        </w:sdtContent>
                      </w:sdt>
                      <w:r>
                        <w:rPr>
                          <w:b/>
                          <w:szCs w:val="24"/>
                          <w:lang w:eastAsia="lt-LT"/>
                        </w:rPr>
                        <w:t>. elektros energijos dvipusė apskaita</w:t>
                      </w:r>
                      <w:r>
                        <w:rPr>
                          <w:szCs w:val="24"/>
                          <w:lang w:eastAsia="lt-LT"/>
                        </w:rPr>
                        <w:t xml:space="preserve"> – </w:t>
                      </w:r>
                      <w:r>
                        <w:rPr>
                          <w:bCs/>
                          <w:szCs w:val="24"/>
                          <w:lang w:eastAsia="ar-SA"/>
                        </w:rPr>
                        <w:t>elektros energijos kiekio apskaita pagal elektros energijos apskaitos prietaisų, fiksuojančių suvartotą ir pagamintą elektros energiją, rodmenis;</w:t>
                      </w:r>
                    </w:p>
                  </w:sdtContent>
                </w:sdt>
                <w:sdt>
                  <w:sdtPr>
                    <w:alias w:val="4.27 pp."/>
                    <w:tag w:val="part_cfe854a630a14bf1b7d517e37b669b2b"/>
                    <w:lock w:val="sdtLocked"/>
                    <w:richText/>
                  </w:sdtPr>
                  <w:sdtContent>
                    <w:p>
                      <w:pPr>
                        <w:suppressAutoHyphens/>
                        <w:ind w:firstLine="568"/>
                        <w:jc w:val="both"/>
                      </w:pPr>
                      <w:sdt>
                        <w:sdtPr>
                          <w:alias w:val="Numeris"/>
                          <w:tag w:val="nr_cfe854a630a14bf1b7d517e37b669b2b"/>
                          <w:lock w:val="sdtLocked"/>
                          <w:richText/>
                        </w:sdtPr>
                        <w:sdtContent>
                          <w:r>
                            <w:rPr>
                              <w:szCs w:val="24"/>
                              <w:shd w:val="clear" w:color="auto" w:fill="FFFFFF"/>
                              <w:lang w:eastAsia="lt-LT"/>
                            </w:rPr>
                            <w:t>4.27</w:t>
                          </w:r>
                        </w:sdtContent>
                      </w:sdt>
                      <w:r>
                        <w:rPr>
                          <w:szCs w:val="24"/>
                          <w:shd w:val="clear" w:color="auto" w:fill="FFFFFF"/>
                          <w:lang w:eastAsia="lt-LT"/>
                        </w:rPr>
                        <w:t xml:space="preserve">. </w:t>
                      </w:r>
                      <w:r>
                        <w:rPr>
                          <w:b/>
                          <w:bCs/>
                          <w:szCs w:val="24"/>
                          <w:lang w:eastAsia="lt-LT"/>
                        </w:rPr>
                        <w:t>nešildomos patalpos</w:t>
                      </w:r>
                      <w:r>
                        <w:rPr>
                          <w:szCs w:val="24"/>
                          <w:lang w:eastAsia="lt-LT"/>
                        </w:rPr>
                        <w:t xml:space="preserve"> – </w:t>
                      </w:r>
                      <w:r>
                        <w:rPr>
                          <w:color w:val="000000"/>
                          <w:szCs w:val="24"/>
                          <w:lang w:eastAsia="lt-LT"/>
                        </w:rPr>
                        <w:t>patalpos, kurios turi bent vieną išorinę sieną, langą, išorines duris ar vartus ir kuriose nėra šildymo prietaisų, taip pat patalpos, kurioms šildyti naudojama šildymo sistema suprojektuota taip, kad temperatūra šildymo sezono metu neviršytų 10° C</w:t>
                      </w:r>
                      <w:r>
                        <w:rPr>
                          <w:color w:val="000000"/>
                          <w:sz w:val="27"/>
                          <w:szCs w:val="27"/>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4.28 pp."/>
                    <w:tag w:val="part_c4383fcec7d8431b82169f36d7fe267e"/>
                    <w:lock w:val="sdtLocked"/>
                    <w:richText/>
                  </w:sdtPr>
                  <w:sdtContent>
                    <w:p>
                      <w:pPr>
                        <w:suppressAutoHyphens/>
                        <w:ind w:firstLine="567"/>
                        <w:jc w:val="both"/>
                        <w:textAlignment w:val="center"/>
                      </w:pPr>
                      <w:sdt>
                        <w:sdtPr>
                          <w:alias w:val="Numeris"/>
                          <w:tag w:val="nr_c4383fcec7d8431b82169f36d7fe267e"/>
                          <w:lock w:val="sdtLocked"/>
                          <w:richText/>
                        </w:sdtPr>
                        <w:sdtContent>
                          <w:r>
                            <w:rPr>
                              <w:szCs w:val="24"/>
                              <w:shd w:val="clear" w:color="auto" w:fill="FFFFFF"/>
                              <w:lang w:eastAsia="lt-LT"/>
                            </w:rPr>
                            <w:t>4.28</w:t>
                          </w:r>
                        </w:sdtContent>
                      </w:sdt>
                      <w:r>
                        <w:rPr>
                          <w:szCs w:val="24"/>
                          <w:shd w:val="clear" w:color="auto" w:fill="FFFFFF"/>
                          <w:lang w:eastAsia="lt-LT"/>
                        </w:rPr>
                        <w:t xml:space="preserve">. </w:t>
                      </w:r>
                      <w:r>
                        <w:rPr>
                          <w:b/>
                          <w:bCs/>
                          <w:szCs w:val="24"/>
                          <w:lang w:eastAsia="lt-LT"/>
                        </w:rPr>
                        <w:t>pirminė energija</w:t>
                      </w:r>
                      <w:r>
                        <w:rPr>
                          <w:szCs w:val="24"/>
                          <w:lang w:eastAsia="lt-LT"/>
                        </w:rPr>
                        <w:t xml:space="preserve"> - a</w:t>
                      </w:r>
                      <w:r>
                        <w:rPr>
                          <w:szCs w:val="24"/>
                          <w:shd w:val="clear" w:color="auto" w:fill="FFFFFF"/>
                          <w:lang w:eastAsia="lt-LT"/>
                        </w:rPr>
                        <w:t>tsinaujinančių ir neatsinaujinančių energijos išteklių energija, kuri nebuvo kaip nors konvertuota ar transformuota;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4.29 pp."/>
                    <w:tag w:val="part_ceebc78997a340f49107aedccf116882"/>
                    <w:lock w:val="sdtLocked"/>
                    <w:richText/>
                  </w:sdtPr>
                  <w:sdtContent>
                    <w:p>
                      <w:pPr>
                        <w:ind w:firstLine="567"/>
                        <w:jc w:val="both"/>
                        <w:rPr>
                          <w:szCs w:val="24"/>
                          <w:lang w:eastAsia="lt-LT"/>
                        </w:rPr>
                      </w:pPr>
                      <w:sdt>
                        <w:sdtPr>
                          <w:alias w:val="Numeris"/>
                          <w:tag w:val="nr_ceebc78997a340f49107aedccf116882"/>
                          <w:lock w:val="sdtLocked"/>
                          <w:richText/>
                        </w:sdtPr>
                        <w:sdtContent>
                          <w:r>
                            <w:rPr>
                              <w:szCs w:val="24"/>
                              <w:shd w:val="clear" w:color="auto" w:fill="FFFFFF"/>
                              <w:lang w:eastAsia="lt-LT"/>
                            </w:rPr>
                            <w:t>4.29</w:t>
                          </w:r>
                        </w:sdtContent>
                      </w:sdt>
                      <w:r>
                        <w:rPr>
                          <w:szCs w:val="24"/>
                          <w:shd w:val="clear" w:color="auto" w:fill="FFFFFF"/>
                          <w:lang w:eastAsia="lt-LT"/>
                        </w:rPr>
                        <w:t xml:space="preserve">. </w:t>
                      </w:r>
                      <w:r>
                        <w:rPr>
                          <w:b/>
                          <w:bCs/>
                          <w:szCs w:val="24"/>
                          <w:lang w:eastAsia="lt-LT"/>
                        </w:rPr>
                        <w:t>pastato energinio naudingumo sertifikavimo užsakovas</w:t>
                      </w:r>
                      <w:r>
                        <w:rPr>
                          <w:szCs w:val="24"/>
                          <w:lang w:eastAsia="lt-LT"/>
                        </w:rPr>
                        <w:t xml:space="preserve"> (toliau - „sertifikavimo užsakovas“) – </w:t>
                      </w:r>
                      <w:r>
                        <w:rPr>
                          <w:color w:val="000000"/>
                          <w:szCs w:val="24"/>
                          <w:lang w:eastAsia="lt-LT"/>
                        </w:rPr>
                        <w:t>pastato statytojas, savininkas arba jų įgaliotas fizinis ar juridinis asmuo, kurie pastatų energinio naudingumo sertifikavimo ekspertui pateikia visus energinio naudingumo sertifikavimui būtinus duomenis apie pastatą ir paveda jam atlikti šio pastato energinio naudingumo sertifikavimo darbus;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4.30 pp."/>
                    <w:tag w:val="part_d0760f346b1d4a449e839f58aa49b234"/>
                    <w:lock w:val="sdtLocked"/>
                    <w:richText/>
                  </w:sdtPr>
                  <w:sdtContent>
                    <w:p>
                      <w:pPr>
                        <w:suppressAutoHyphens/>
                        <w:ind w:firstLine="567"/>
                        <w:jc w:val="both"/>
                        <w:textAlignment w:val="center"/>
                        <w:rPr>
                          <w:b/>
                          <w:bCs/>
                          <w:iCs/>
                          <w:caps/>
                          <w:spacing w:val="-4"/>
                          <w:szCs w:val="24"/>
                          <w:lang w:eastAsia="lt-LT"/>
                        </w:rPr>
                      </w:pPr>
                      <w:sdt>
                        <w:sdtPr>
                          <w:alias w:val="Numeris"/>
                          <w:tag w:val="nr_d0760f346b1d4a449e839f58aa49b234"/>
                          <w:lock w:val="sdtLocked"/>
                          <w:richText/>
                        </w:sdtPr>
                        <w:sdtContent>
                          <w:r>
                            <w:rPr>
                              <w:szCs w:val="24"/>
                            </w:rPr>
                            <w:t>4.30</w:t>
                          </w:r>
                        </w:sdtContent>
                      </w:sdt>
                      <w:r>
                        <w:rPr>
                          <w:szCs w:val="24"/>
                        </w:rPr>
                        <w:t>. kitos sąvokos atitinka Statybos įstatyme [3.1], Atsinaujinančių išteklių energetikos įstatyme [3.2] ir juos įgyvendinančiuose teisės aktuose naudojamas sąvokas.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Content>
        </w:sdt>
        <w:sdt>
          <w:sdtPr>
            <w:alias w:val="skyrius"/>
            <w:tag w:val="part_0bf2513632e54e30b3eeb488546a69ca"/>
            <w:lock w:val="sdtLocked"/>
            <w:richText/>
          </w:sdtPr>
          <w:sdtContent>
            <w:p>
              <w:pPr>
                <w:keepNext/>
                <w:jc w:val="center"/>
                <w:rPr>
                  <w:b/>
                  <w:bCs/>
                  <w:iCs/>
                  <w:caps/>
                  <w:spacing w:val="-4"/>
                  <w:szCs w:val="24"/>
                  <w:lang w:eastAsia="lt-LT"/>
                </w:rPr>
              </w:pPr>
              <w:r>
                <w:rPr>
                  <w:b/>
                  <w:bCs/>
                  <w:iCs/>
                  <w:caps/>
                  <w:spacing w:val="-4"/>
                  <w:szCs w:val="24"/>
                  <w:lang w:eastAsia="lt-LT"/>
                </w:rPr>
                <w:t>IV. skyrius</w:t>
              </w:r>
            </w:p>
            <w:p>
              <w:pPr>
                <w:keepNext/>
                <w:jc w:val="center"/>
                <w:rPr>
                  <w:b/>
                  <w:bCs/>
                  <w:iCs/>
                  <w:caps/>
                  <w:spacing w:val="-4"/>
                  <w:szCs w:val="24"/>
                  <w:lang w:eastAsia="lt-LT"/>
                </w:rPr>
              </w:pPr>
              <w:sdt>
                <w:sdtPr>
                  <w:alias w:val="Pavadinimas"/>
                  <w:tag w:val="title_0bf2513632e54e30b3eeb488546a69ca"/>
                  <w:lock w:val="sdtLocked"/>
                  <w:richText/>
                </w:sdtPr>
                <w:sdtContent>
                  <w:r>
                    <w:rPr>
                      <w:b/>
                      <w:bCs/>
                      <w:iCs/>
                      <w:caps/>
                      <w:spacing w:val="-4"/>
                      <w:szCs w:val="24"/>
                      <w:lang w:eastAsia="lt-LT"/>
                    </w:rPr>
                    <w:t>Žymenys ir sutrumpinimai</w:t>
                  </w:r>
                </w:sdtContent>
              </w:sdt>
            </w:p>
            <w:p>
              <w:pPr>
                <w:suppressAutoHyphens/>
                <w:ind w:firstLine="567"/>
                <w:jc w:val="both"/>
                <w:textAlignment w:val="center"/>
                <w:rPr>
                  <w:szCs w:val="24"/>
                </w:rPr>
              </w:pPr>
            </w:p>
            <w:sdt>
              <w:sdtPr>
                <w:alias w:val="5 p."/>
                <w:tag w:val="part_8f69ce50b3214efd8b8a92c5a9503965"/>
                <w:lock w:val="sdtLocked"/>
                <w:richText/>
              </w:sdtPr>
              <w:sdtContent>
                <w:p>
                  <w:pPr>
                    <w:suppressAutoHyphens/>
                    <w:ind w:firstLine="567"/>
                    <w:jc w:val="both"/>
                    <w:textAlignment w:val="center"/>
                    <w:rPr>
                      <w:szCs w:val="24"/>
                    </w:rPr>
                  </w:pPr>
                  <w:sdt>
                    <w:sdtPr>
                      <w:alias w:val="Numeris"/>
                      <w:tag w:val="nr_8f69ce50b3214efd8b8a92c5a9503965"/>
                      <w:lock w:val="sdtLocked"/>
                      <w:richText/>
                    </w:sdtPr>
                    <w:sdtContent>
                      <w:r>
                        <w:rPr>
                          <w:szCs w:val="24"/>
                        </w:rPr>
                        <w:t>5</w:t>
                      </w:r>
                    </w:sdtContent>
                  </w:sdt>
                  <w:r>
                    <w:rPr>
                      <w:szCs w:val="24"/>
                    </w:rPr>
                    <w:t>. Reglamente vartojami sutrumpinimai:</w:t>
                  </w:r>
                </w:p>
                <w:sdt>
                  <w:sdtPr>
                    <w:alias w:val="5.1 pp."/>
                    <w:tag w:val="part_fd5f98897b8d4a638aa7c236a7f0ba66"/>
                    <w:lock w:val="sdtLocked"/>
                    <w:richText/>
                  </w:sdtPr>
                  <w:sdtContent>
                    <w:p>
                      <w:pPr>
                        <w:suppressAutoHyphens/>
                        <w:ind w:firstLine="567"/>
                        <w:jc w:val="both"/>
                        <w:textAlignment w:val="center"/>
                        <w:rPr>
                          <w:szCs w:val="24"/>
                        </w:rPr>
                      </w:pPr>
                      <w:sdt>
                        <w:sdtPr>
                          <w:alias w:val="Numeris"/>
                          <w:tag w:val="nr_fd5f98897b8d4a638aa7c236a7f0ba66"/>
                          <w:lock w:val="sdtLocked"/>
                          <w:richText/>
                        </w:sdtPr>
                        <w:sdtContent>
                          <w:r>
                            <w:rPr>
                              <w:szCs w:val="24"/>
                            </w:rPr>
                            <w:t>5.1</w:t>
                          </w:r>
                        </w:sdtContent>
                      </w:sdt>
                      <w:r>
                        <w:rPr>
                          <w:szCs w:val="24"/>
                        </w:rPr>
                        <w:t>. pastato (jo dalies) energinio naudingumo sertifikavimas – pastato (jo dalies) sertifikavimas;</w:t>
                      </w:r>
                    </w:p>
                  </w:sdtContent>
                </w:sdt>
                <w:sdt>
                  <w:sdtPr>
                    <w:alias w:val="5.2 pp."/>
                    <w:tag w:val="part_3ae549705b35455c9e75ae0a5e3eab50"/>
                    <w:lock w:val="sdtLocked"/>
                    <w:richText/>
                  </w:sdtPr>
                  <w:sdtContent>
                    <w:p>
                      <w:pPr>
                        <w:suppressAutoHyphens/>
                        <w:ind w:firstLine="567"/>
                        <w:jc w:val="both"/>
                        <w:textAlignment w:val="center"/>
                        <w:rPr>
                          <w:szCs w:val="24"/>
                        </w:rPr>
                      </w:pPr>
                      <w:sdt>
                        <w:sdtPr>
                          <w:alias w:val="Numeris"/>
                          <w:tag w:val="nr_3ae549705b35455c9e75ae0a5e3eab50"/>
                          <w:lock w:val="sdtLocked"/>
                          <w:richText/>
                        </w:sdtPr>
                        <w:sdtContent>
                          <w:r>
                            <w:rPr>
                              <w:szCs w:val="24"/>
                            </w:rPr>
                            <w:t>5.2</w:t>
                          </w:r>
                        </w:sdtContent>
                      </w:sdt>
                      <w:r>
                        <w:rPr>
                          <w:szCs w:val="24"/>
                        </w:rPr>
                        <w:t>. pastato (jo dalies) energinio naudingumo sertifikatas – sertifikatas;</w:t>
                      </w:r>
                    </w:p>
                  </w:sdtContent>
                </w:sdt>
                <w:sdt>
                  <w:sdtPr>
                    <w:alias w:val="5.3 pp."/>
                    <w:tag w:val="part_142057ce7ce7436eacead2eaba382f47"/>
                    <w:lock w:val="sdtLocked"/>
                    <w:richText/>
                  </w:sdtPr>
                  <w:sdtContent>
                    <w:p>
                      <w:pPr>
                        <w:suppressAutoHyphens/>
                        <w:ind w:firstLine="567"/>
                        <w:jc w:val="both"/>
                        <w:textAlignment w:val="center"/>
                        <w:rPr>
                          <w:szCs w:val="24"/>
                        </w:rPr>
                      </w:pPr>
                      <w:sdt>
                        <w:sdtPr>
                          <w:alias w:val="Numeris"/>
                          <w:tag w:val="nr_142057ce7ce7436eacead2eaba382f47"/>
                          <w:lock w:val="sdtLocked"/>
                          <w:richText/>
                        </w:sdtPr>
                        <w:sdtContent>
                          <w:r>
                            <w:rPr>
                              <w:szCs w:val="24"/>
                            </w:rPr>
                            <w:t>5.3</w:t>
                          </w:r>
                        </w:sdtContent>
                      </w:sdt>
                      <w:r>
                        <w:rPr>
                          <w:szCs w:val="24"/>
                        </w:rPr>
                        <w:t>. ekspertas, turintis teisę atlikti pastatų energinio naudingumo sertifikavimą [3.11] – sertifikavimo ekspertas;</w:t>
                      </w:r>
                    </w:p>
                  </w:sdtContent>
                </w:sdt>
                <w:sdt>
                  <w:sdtPr>
                    <w:alias w:val="5.4 pp."/>
                    <w:tag w:val="part_e0b9bcdbbd9245699b71afa52cf8c88f"/>
                    <w:lock w:val="sdtLocked"/>
                    <w:richText/>
                  </w:sdtPr>
                  <w:sdtContent>
                    <w:p>
                      <w:pPr>
                        <w:suppressAutoHyphens/>
                        <w:ind w:firstLine="567"/>
                        <w:jc w:val="both"/>
                        <w:textAlignment w:val="center"/>
                      </w:pPr>
                      <w:sdt>
                        <w:sdtPr>
                          <w:alias w:val="Numeris"/>
                          <w:tag w:val="nr_e0b9bcdbbd9245699b71afa52cf8c88f"/>
                          <w:lock w:val="sdtLocked"/>
                          <w:richText/>
                        </w:sdtPr>
                        <w:sdtContent>
                          <w:r>
                            <w:rPr>
                              <w:szCs w:val="24"/>
                            </w:rPr>
                            <w:t>5.4</w:t>
                          </w:r>
                        </w:sdtContent>
                      </w:sdt>
                      <w:r>
                        <w:rPr>
                          <w:szCs w:val="24"/>
                        </w:rPr>
                        <w:t>. langai, stoglangiai, švieslangiai, įstiklintos balkonų durys ir kitos skaidrios atitvaros – langai;</w:t>
                      </w:r>
                    </w:p>
                  </w:sdtContent>
                </w:sdt>
                <w:sdt>
                  <w:sdtPr>
                    <w:alias w:val="5.5 pp."/>
                    <w:tag w:val="part_2f6fab6ab02c46379e2ab96412555500"/>
                    <w:lock w:val="sdtLocked"/>
                    <w:richText/>
                  </w:sdtPr>
                  <w:sdtContent>
                    <w:p>
                      <w:pPr>
                        <w:ind w:firstLine="567"/>
                        <w:jc w:val="both"/>
                        <w:rPr>
                          <w:szCs w:val="24"/>
                        </w:rPr>
                      </w:pPr>
                      <w:sdt>
                        <w:sdtPr>
                          <w:alias w:val="Numeris"/>
                          <w:tag w:val="nr_2f6fab6ab02c46379e2ab96412555500"/>
                          <w:lock w:val="sdtLocked"/>
                          <w:richText/>
                        </w:sdtPr>
                        <w:sdtContent>
                          <w:r>
                            <w:rPr>
                              <w:szCs w:val="24"/>
                            </w:rPr>
                            <w:t>5.5</w:t>
                          </w:r>
                        </w:sdtContent>
                      </w:sdt>
                      <w:r>
                        <w:rPr>
                          <w:szCs w:val="24"/>
                        </w:rPr>
                        <w:t>. pastato rekonstravimas, atnaujinimas (modernizavimas) ar remontas [3.1], [3.7] – pastato modernizavimas.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6264d09d3311e79127a823199cc174">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2017-09-18,
paskelbta TAR 2017-09-19, i. k. 2017-14813        </w:t>
                      </w:r>
                    </w:p>
                    <w:p/>
                  </w:sdtContent>
                </w:sdt>
              </w:sdtContent>
            </w:sdt>
            <w:sdt>
              <w:sdtPr>
                <w:alias w:val="6 p."/>
                <w:tag w:val="part_6fe4f049677449789e321f5db1f32332"/>
                <w:lock w:val="sdtLocked"/>
                <w:richText/>
              </w:sdtPr>
              <w:sdtContent>
                <w:p>
                  <w:pPr>
                    <w:suppressAutoHyphens/>
                    <w:ind w:firstLine="567"/>
                    <w:jc w:val="both"/>
                    <w:textAlignment w:val="center"/>
                    <w:rPr>
                      <w:rFonts w:eastAsia="Calibri"/>
                      <w:szCs w:val="24"/>
                      <w:lang w:eastAsia="lt-LT"/>
                    </w:rPr>
                  </w:pPr>
                  <w:sdt>
                    <w:sdtPr>
                      <w:alias w:val="Numeris"/>
                      <w:tag w:val="nr_6fe4f049677449789e321f5db1f32332"/>
                      <w:lock w:val="sdtLocked"/>
                      <w:richText/>
                    </w:sdtPr>
                    <w:sdtContent>
                      <w:r>
                        <w:rPr>
                          <w:rFonts w:eastAsia="Calibri"/>
                          <w:szCs w:val="24"/>
                          <w:lang w:eastAsia="lt-LT"/>
                        </w:rPr>
                        <w:t>6</w:t>
                      </w:r>
                    </w:sdtContent>
                  </w:sdt>
                  <w:r>
                    <w:rPr>
                      <w:rFonts w:eastAsia="Calibri"/>
                      <w:szCs w:val="24"/>
                      <w:lang w:eastAsia="lt-LT"/>
                    </w:rPr>
                    <w:t>. Reglamente vartojami dydžiai, jų simboliai ir vienetai:</w:t>
                  </w:r>
                </w:p>
                <w:sdt>
                  <w:sdtPr>
                    <w:alias w:val="lentele"/>
                    <w:tag w:val="part_c6fca0198a154e31b30fd292d89d4067"/>
                    <w:lock w:val="sdtLocked"/>
                    <w:richText/>
                  </w:sdtPr>
                  <w:sdtContent>
                    <w:p>
                      <w:pPr>
                        <w:suppressAutoHyphens/>
                        <w:ind w:firstLine="567"/>
                        <w:jc w:val="both"/>
                        <w:textAlignment w:val="center"/>
                        <w:rPr>
                          <w:szCs w:val="24"/>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6757"/>
                        <w:gridCol w:w="1485"/>
                      </w:tblGrid>
                      <w:tr>
                        <w:trPr>
                          <w:cantSplit/>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
                              <w:jc w:val="center"/>
                              <w:rPr>
                                <w:rFonts w:eastAsia="Calibri"/>
                                <w:spacing w:val="-8"/>
                                <w:szCs w:val="24"/>
                              </w:rPr>
                            </w:pPr>
                            <w:r>
                              <w:rPr>
                                <w:rFonts w:eastAsia="Calibri"/>
                                <w:spacing w:val="-8"/>
                                <w:szCs w:val="24"/>
                              </w:rPr>
                              <w:t>Simbolis</w:t>
                            </w:r>
                          </w:p>
                        </w:tc>
                        <w:tc>
                          <w:tcPr>
                            <w:tcW w:w="675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
                              <w:jc w:val="center"/>
                              <w:rPr>
                                <w:rFonts w:eastAsia="Calibri"/>
                                <w:szCs w:val="24"/>
                              </w:rPr>
                            </w:pPr>
                            <w:r>
                              <w:rPr>
                                <w:rFonts w:eastAsia="Calibri"/>
                                <w:szCs w:val="24"/>
                              </w:rPr>
                              <w:t>Dydis</w:t>
                            </w:r>
                          </w:p>
                        </w:tc>
                        <w:tc>
                          <w:tcPr>
                            <w:tcW w:w="1485"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
                              <w:jc w:val="center"/>
                              <w:rPr>
                                <w:rFonts w:eastAsia="Calibri"/>
                                <w:szCs w:val="24"/>
                              </w:rPr>
                            </w:pPr>
                            <w:r>
                              <w:rPr>
                                <w:rFonts w:eastAsia="Calibri"/>
                                <w:szCs w:val="24"/>
                              </w:rPr>
                              <w:t xml:space="preserve">Vienetai </w:t>
                            </w:r>
                          </w:p>
                        </w:tc>
                      </w:tr>
                      <w:tr>
                        <w:trPr>
                          <w:cantSplit/>
                          <w:trHeight w:val="260"/>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A</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plotas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vertAlign w:val="superscript"/>
                              </w:rPr>
                            </w:pPr>
                            <w:r>
                              <w:rPr>
                                <w:rFonts w:eastAsia="Calibri"/>
                                <w:szCs w:val="24"/>
                              </w:rPr>
                              <w:t>m²</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α</w:t>
                            </w:r>
                            <w:r>
                              <w:rPr>
                                <w:rFonts w:eastAsia="Calibri"/>
                                <w:i/>
                                <w:szCs w:val="24"/>
                                <w:vertAlign w:val="subscript"/>
                              </w:rPr>
                              <w:t>sol</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paviršiaus Saulės spinduliuotės sugerties koeficientas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caps/>
                                <w:szCs w:val="24"/>
                              </w:rPr>
                            </w:pPr>
                            <w:r>
                              <w:rPr>
                                <w:rFonts w:eastAsia="Calibri"/>
                                <w:i/>
                                <w:caps/>
                                <w:szCs w:val="24"/>
                              </w:rPr>
                              <w:t>C</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pastato energijos vartojimo efektyvumo rodiklis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C</w:t>
                            </w:r>
                            <w:r>
                              <w:rPr>
                                <w:rFonts w:eastAsia="Calibri"/>
                                <w:i/>
                                <w:szCs w:val="24"/>
                                <w:vertAlign w:val="subscript"/>
                              </w:rPr>
                              <w:t>m</w:t>
                            </w:r>
                            <w:r>
                              <w:rPr>
                                <w:rFonts w:eastAsia="Calibri"/>
                                <w:i/>
                                <w:szCs w:val="24"/>
                              </w:rPr>
                              <w:t xml:space="preserve"> </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pacing w:val="-6"/>
                                <w:szCs w:val="24"/>
                              </w:rPr>
                              <w:t>pastato vidaus šiluminė talpa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pacing w:val="-6"/>
                                <w:szCs w:val="24"/>
                              </w:rPr>
                              <w:t>J/K</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v</w:t>
                            </w:r>
                            <w:r>
                              <w:rPr>
                                <w:rFonts w:eastAsia="Calibri"/>
                                <w:i/>
                                <w:szCs w:val="24"/>
                                <w:vertAlign w:val="subscript"/>
                              </w:rPr>
                              <w:t>wind</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vėjo greitis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m/s</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szCs w:val="24"/>
                              </w:rPr>
                            </w:pPr>
                            <w:r>
                              <w:rPr>
                                <w:rFonts w:eastAsia="Calibri"/>
                                <w:i/>
                                <w:szCs w:val="24"/>
                              </w:rPr>
                              <w:t>B′</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būdingasis grindų matmuo</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d</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atitvaros sluoksnio storis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szCs w:val="24"/>
                              </w:rPr>
                            </w:pPr>
                            <w:r>
                              <w:rPr>
                                <w:rFonts w:eastAsia="Calibri"/>
                                <w:i/>
                                <w:szCs w:val="24"/>
                              </w:rPr>
                              <w:t>D</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vamzdyno skersmuo</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szCs w:val="24"/>
                                <w:vertAlign w:val="subscript"/>
                              </w:rPr>
                            </w:pPr>
                            <w:r>
                              <w:rPr>
                                <w:rFonts w:eastAsia="Calibri"/>
                                <w:i/>
                                <w:szCs w:val="24"/>
                              </w:rPr>
                              <w:t>d</w:t>
                            </w:r>
                            <w:r>
                              <w:rPr>
                                <w:rFonts w:eastAsia="Calibri"/>
                                <w:i/>
                                <w:szCs w:val="24"/>
                                <w:vertAlign w:val="subscript"/>
                              </w:rPr>
                              <w:t>t</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atstojamasis grindų storis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ind w:right="34"/>
                              <w:jc w:val="center"/>
                              <w:rPr>
                                <w:rFonts w:eastAsia="Calibri"/>
                                <w:i/>
                                <w:szCs w:val="24"/>
                              </w:rPr>
                            </w:pPr>
                            <w:r>
                              <w:rPr>
                                <w:rFonts w:eastAsia="Calibri"/>
                                <w:i/>
                                <w:szCs w:val="24"/>
                              </w:rPr>
                              <w:t>f</w:t>
                            </w:r>
                            <w:r>
                              <w:rPr>
                                <w:rFonts w:eastAsia="Calibri"/>
                                <w:i/>
                                <w:szCs w:val="24"/>
                                <w:vertAlign w:val="subscript"/>
                              </w:rPr>
                              <w:t>PRn</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jc w:val="both"/>
                              <w:rPr>
                                <w:rFonts w:eastAsia="Calibri"/>
                                <w:szCs w:val="24"/>
                              </w:rPr>
                            </w:pPr>
                            <w:r>
                              <w:rPr>
                                <w:rFonts w:eastAsia="Calibri"/>
                                <w:szCs w:val="24"/>
                              </w:rPr>
                              <w:t>neatsinaujinančios pirminės energijos faktorius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ind w:right="34"/>
                              <w:jc w:val="center"/>
                              <w:rPr>
                                <w:rFonts w:eastAsia="Calibri"/>
                                <w:i/>
                                <w:szCs w:val="24"/>
                              </w:rPr>
                            </w:pPr>
                            <w:r>
                              <w:rPr>
                                <w:rFonts w:eastAsia="Calibri"/>
                                <w:i/>
                                <w:szCs w:val="24"/>
                              </w:rPr>
                              <w:t>f</w:t>
                            </w:r>
                            <w:r>
                              <w:rPr>
                                <w:rFonts w:eastAsia="Calibri"/>
                                <w:i/>
                                <w:szCs w:val="24"/>
                                <w:vertAlign w:val="subscript"/>
                              </w:rPr>
                              <w:t>PRr</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jc w:val="both"/>
                              <w:rPr>
                                <w:rFonts w:eastAsia="Calibri"/>
                                <w:szCs w:val="24"/>
                              </w:rPr>
                            </w:pPr>
                            <w:r>
                              <w:rPr>
                                <w:rFonts w:eastAsia="Calibri"/>
                                <w:szCs w:val="24"/>
                              </w:rPr>
                              <w:t>atsinaujinančios pirminės energijos faktorius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
                              <w:jc w:val="center"/>
                              <w:rPr>
                                <w:rFonts w:eastAsia="Calibri"/>
                                <w:i/>
                                <w:szCs w:val="24"/>
                              </w:rPr>
                            </w:pPr>
                            <w:r>
                              <w:rPr>
                                <w:rFonts w:eastAsia="Calibri"/>
                                <w:i/>
                                <w:szCs w:val="24"/>
                              </w:rPr>
                              <w:t>g</w:t>
                            </w:r>
                          </w:p>
                        </w:tc>
                        <w:tc>
                          <w:tcPr>
                            <w:tcW w:w="675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bCs/>
                                <w:szCs w:val="24"/>
                              </w:rPr>
                            </w:pPr>
                            <w:r>
                              <w:rPr>
                                <w:rFonts w:eastAsia="Calibri"/>
                                <w:szCs w:val="24"/>
                              </w:rPr>
                              <w:t>įstiklinimo</w:t>
                            </w:r>
                            <w:r>
                              <w:rPr>
                                <w:rFonts w:eastAsia="Calibri"/>
                                <w:b/>
                                <w:szCs w:val="24"/>
                              </w:rPr>
                              <w:t xml:space="preserve"> </w:t>
                            </w:r>
                            <w:r>
                              <w:rPr>
                                <w:rFonts w:eastAsia="Calibri"/>
                                <w:bCs/>
                                <w:szCs w:val="24"/>
                              </w:rPr>
                              <w:t>visuminės saulės energijos praleisties koeficientas</w:t>
                            </w:r>
                          </w:p>
                        </w:tc>
                        <w:tc>
                          <w:tcPr>
                            <w:tcW w:w="1485"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h</w:t>
                            </w:r>
                            <w:r>
                              <w:rPr>
                                <w:rFonts w:eastAsia="Calibri"/>
                                <w:i/>
                                <w:szCs w:val="24"/>
                                <w:vertAlign w:val="subscript"/>
                              </w:rPr>
                              <w:t>se.r</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bCs/>
                                <w:szCs w:val="24"/>
                              </w:rPr>
                            </w:pPr>
                            <w:r>
                              <w:rPr>
                                <w:rFonts w:eastAsia="Calibri"/>
                                <w:bCs/>
                                <w:szCs w:val="24"/>
                              </w:rPr>
                              <w:t xml:space="preserve">išorinio paviršiaus spindulinis šilumos perdavimo koeficientas </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bCs/>
                                <w:szCs w:val="24"/>
                              </w:rPr>
                              <w:t>W/(</w:t>
                            </w:r>
                            <w:r>
                              <w:rPr>
                                <w:rFonts w:eastAsia="Calibri"/>
                                <w:szCs w:val="24"/>
                              </w:rPr>
                              <w:t>m²·K)</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rPr>
                            </w:pPr>
                            <w:r>
                              <w:rPr>
                                <w:rFonts w:eastAsia="Calibri"/>
                                <w:i/>
                                <w:szCs w:val="24"/>
                              </w:rPr>
                              <w:t>H</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savitieji šilumos nuostoliai</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W/K</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vertAlign w:val="subscript"/>
                              </w:rPr>
                            </w:pPr>
                            <w:r>
                              <w:rPr>
                                <w:rFonts w:eastAsia="Calibri"/>
                                <w:i/>
                                <w:szCs w:val="24"/>
                              </w:rPr>
                              <w:t>I</w:t>
                            </w:r>
                            <w:r>
                              <w:rPr>
                                <w:rFonts w:eastAsia="Calibri"/>
                                <w:i/>
                                <w:szCs w:val="24"/>
                                <w:vertAlign w:val="subscript"/>
                              </w:rPr>
                              <w:t>sol</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bendrosios Saulės spinduliuotės srauto tankis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W/m</w:t>
                            </w:r>
                            <w:r>
                              <w:rPr>
                                <w:rFonts w:eastAsia="Calibri"/>
                                <w:szCs w:val="24"/>
                                <w:vertAlign w:val="superscript"/>
                              </w:rPr>
                              <w:t>2</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rPr>
                            </w:pPr>
                            <w:r>
                              <w:rPr>
                                <w:rFonts w:eastAsia="Calibri"/>
                                <w:i/>
                                <w:iCs/>
                                <w:szCs w:val="24"/>
                              </w:rPr>
                              <w:t>l</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ilgis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rPr>
                            </w:pPr>
                            <w:r>
                              <w:rPr>
                                <w:rFonts w:eastAsia="Calibri"/>
                                <w:i/>
                                <w:iCs/>
                                <w:szCs w:val="24"/>
                              </w:rPr>
                              <w:t>l</w:t>
                            </w:r>
                            <w:r>
                              <w:rPr>
                                <w:rFonts w:eastAsia="Calibri"/>
                                <w:i/>
                                <w:iCs/>
                                <w:szCs w:val="24"/>
                                <w:vertAlign w:val="subscript"/>
                              </w:rPr>
                              <w:t>Ψ</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ilginio šiluminio tiltelio ilgis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rPr>
                            </w:pPr>
                            <w:r>
                              <w:rPr>
                                <w:rFonts w:eastAsia="Calibri"/>
                                <w:i/>
                                <w:szCs w:val="24"/>
                              </w:rPr>
                              <w:t>G</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oro skverbtis atitvaros ploto vienetui, esant 100 Pa slėgių skirtumui</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m</w:t>
                            </w:r>
                            <w:r>
                              <w:rPr>
                                <w:rFonts w:eastAsia="Calibri"/>
                                <w:szCs w:val="24"/>
                                <w:vertAlign w:val="superscript"/>
                              </w:rPr>
                              <w:t>3</w:t>
                            </w:r>
                            <w:r>
                              <w:rPr>
                                <w:rFonts w:eastAsia="Calibri"/>
                                <w:szCs w:val="24"/>
                              </w:rPr>
                              <w:t>/(m²·h)</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vertAlign w:val="subscript"/>
                              </w:rPr>
                            </w:pPr>
                            <w:r>
                              <w:rPr>
                                <w:rFonts w:eastAsia="Calibri"/>
                                <w:i/>
                                <w:szCs w:val="24"/>
                              </w:rPr>
                              <w:t>m</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mėnuo, mėnesio numeris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szCs w:val="24"/>
                              </w:rPr>
                            </w:pPr>
                            <w:r>
                              <w:rPr>
                                <w:rFonts w:eastAsia="Calibri"/>
                                <w:szCs w:val="24"/>
                              </w:rPr>
                              <w:t>-</w:t>
                            </w:r>
                          </w:p>
                        </w:tc>
                      </w:tr>
                      <w:tr>
                        <w:trPr>
                          <w:cantSplit/>
                          <w:trHeight w:val="267"/>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center"/>
                              <w:rPr>
                                <w:rFonts w:eastAsia="Calibri"/>
                                <w:i/>
                                <w:szCs w:val="24"/>
                              </w:rPr>
                            </w:pPr>
                            <w:r>
                              <w:rPr>
                                <w:rFonts w:eastAsia="Calibri"/>
                                <w:bCs/>
                                <w:i/>
                                <w:szCs w:val="24"/>
                              </w:rPr>
                              <w:t>M</w:t>
                            </w:r>
                            <w:r>
                              <w:rPr>
                                <w:rFonts w:eastAsia="Calibri"/>
                                <w:bCs/>
                                <w:i/>
                                <w:szCs w:val="24"/>
                                <w:vertAlign w:val="subscript"/>
                              </w:rPr>
                              <w:t>CO2</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right="34"/>
                              <w:jc w:val="both"/>
                              <w:rPr>
                                <w:rFonts w:eastAsia="Calibri"/>
                                <w:szCs w:val="24"/>
                              </w:rPr>
                            </w:pPr>
                            <w:r>
                              <w:rPr>
                                <w:rFonts w:eastAsia="Calibri"/>
                                <w:szCs w:val="24"/>
                              </w:rPr>
                              <w:t>CO</w:t>
                            </w:r>
                            <w:r>
                              <w:rPr>
                                <w:rFonts w:eastAsia="Calibri"/>
                                <w:szCs w:val="24"/>
                                <w:vertAlign w:val="subscript"/>
                              </w:rPr>
                              <w:t>2</w:t>
                            </w:r>
                            <w:r>
                              <w:rPr>
                                <w:rFonts w:eastAsia="Calibri"/>
                                <w:szCs w:val="24"/>
                              </w:rPr>
                              <w:t xml:space="preserve"> emisijos faktorius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uppressAutoHyphens/>
                              <w:spacing w:line="276" w:lineRule="auto"/>
                              <w:ind w:right="34"/>
                              <w:jc w:val="center"/>
                              <w:textAlignment w:val="center"/>
                              <w:rPr>
                                <w:rFonts w:eastAsia="Calibri"/>
                                <w:szCs w:val="24"/>
                              </w:rPr>
                            </w:pPr>
                            <w:r>
                              <w:rPr>
                                <w:rFonts w:eastAsia="Calibri"/>
                                <w:bCs/>
                                <w:szCs w:val="24"/>
                              </w:rPr>
                              <w:t>kgCO</w:t>
                            </w:r>
                            <w:r>
                              <w:rPr>
                                <w:rFonts w:eastAsia="Calibri"/>
                                <w:bCs/>
                                <w:szCs w:val="24"/>
                                <w:vertAlign w:val="subscript"/>
                              </w:rPr>
                              <w:t>2</w:t>
                            </w:r>
                            <w:r>
                              <w:rPr>
                                <w:rFonts w:eastAsia="Calibri"/>
                                <w:bCs/>
                                <w:szCs w:val="24"/>
                              </w:rPr>
                              <w:t>/kWh</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η</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naudingumo koeficientas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λ</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šilumos laidumo koeficientas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W/(m·K)</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p</w:t>
                            </w:r>
                            <w:r>
                              <w:rPr>
                                <w:rFonts w:eastAsia="Calibri"/>
                                <w:i/>
                                <w:szCs w:val="24"/>
                                <w:vertAlign w:val="subscript"/>
                              </w:rPr>
                              <w:t>wind</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vėjo slėgis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Pa</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R</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m²·K/W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R</w:t>
                            </w:r>
                            <w:r>
                              <w:rPr>
                                <w:rFonts w:eastAsia="Calibri"/>
                                <w:i/>
                                <w:szCs w:val="24"/>
                                <w:vertAlign w:val="subscript"/>
                              </w:rPr>
                              <w:t>g</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oro tarpo 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m²·K/W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R</w:t>
                            </w:r>
                            <w:r>
                              <w:rPr>
                                <w:rFonts w:eastAsia="Calibri"/>
                                <w:i/>
                                <w:szCs w:val="24"/>
                                <w:vertAlign w:val="subscript"/>
                              </w:rPr>
                              <w:t>si</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vidinio paviršiaus 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m²·K/W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R</w:t>
                            </w:r>
                            <w:r>
                              <w:rPr>
                                <w:rFonts w:eastAsia="Calibri"/>
                                <w:i/>
                                <w:szCs w:val="24"/>
                                <w:vertAlign w:val="subscript"/>
                              </w:rPr>
                              <w:t>se</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išorinio paviršiaus 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m²·K/W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R</w:t>
                            </w:r>
                            <w:r>
                              <w:rPr>
                                <w:rFonts w:eastAsia="Calibri"/>
                                <w:i/>
                                <w:szCs w:val="24"/>
                                <w:vertAlign w:val="subscript"/>
                              </w:rPr>
                              <w:t>t</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visuminė 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w:t>
                            </w:r>
                            <w:r>
                              <w:rPr>
                                <w:rFonts w:eastAsia="Calibri"/>
                                <w:szCs w:val="24"/>
                                <w:vertAlign w:val="superscript"/>
                              </w:rPr>
                              <w:t>2</w:t>
                            </w:r>
                            <w:r>
                              <w:rPr>
                                <w:rFonts w:eastAsia="Calibri"/>
                                <w:szCs w:val="24"/>
                              </w:rPr>
                              <w:t>·K/W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R</w:t>
                            </w:r>
                            <w:r>
                              <w:rPr>
                                <w:rFonts w:eastAsia="Calibri"/>
                                <w:i/>
                                <w:szCs w:val="24"/>
                                <w:vertAlign w:val="subscript"/>
                              </w:rPr>
                              <w:t>s</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suminė šiluminė varža</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m²·K/W</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U</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bCs/>
                                <w:szCs w:val="24"/>
                              </w:rPr>
                            </w:pPr>
                            <w:r>
                              <w:rPr>
                                <w:rFonts w:eastAsia="Calibri"/>
                                <w:bCs/>
                                <w:szCs w:val="24"/>
                              </w:rPr>
                              <w:t xml:space="preserve">šilumos perdavimo koeficientas </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bCs/>
                                <w:szCs w:val="24"/>
                              </w:rPr>
                              <w:t>W/(</w:t>
                            </w:r>
                            <w:r>
                              <w:rPr>
                                <w:rFonts w:eastAsia="Calibri"/>
                                <w:szCs w:val="24"/>
                              </w:rPr>
                              <w:t>m²·K)</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vertAlign w:val="subscript"/>
                              </w:rPr>
                            </w:pPr>
                            <w:r>
                              <w:rPr>
                                <w:rFonts w:eastAsia="Calibri"/>
                                <w:i/>
                                <w:szCs w:val="24"/>
                              </w:rPr>
                              <w:t>U</w:t>
                            </w:r>
                            <w:r>
                              <w:rPr>
                                <w:rFonts w:eastAsia="Calibri"/>
                                <w:i/>
                                <w:szCs w:val="24"/>
                                <w:vertAlign w:val="superscript"/>
                              </w:rPr>
                              <w:t>‘</w:t>
                            </w:r>
                            <w:r>
                              <w:rPr>
                                <w:rFonts w:eastAsia="Calibri"/>
                                <w:i/>
                                <w:szCs w:val="24"/>
                                <w:vertAlign w:val="subscript"/>
                              </w:rPr>
                              <w:t>v</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bCs/>
                                <w:szCs w:val="24"/>
                              </w:rPr>
                            </w:pPr>
                            <w:r>
                              <w:rPr>
                                <w:rFonts w:eastAsia="Calibri"/>
                                <w:bCs/>
                                <w:szCs w:val="24"/>
                              </w:rPr>
                              <w:t xml:space="preserve">vamzdynų apšiltinimo ilginis šilumos perdavimo koeficientas </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bCs/>
                                <w:szCs w:val="24"/>
                              </w:rPr>
                              <w:t>W/(</w:t>
                            </w:r>
                            <w:r>
                              <w:rPr>
                                <w:rFonts w:eastAsia="Calibri"/>
                                <w:szCs w:val="24"/>
                              </w:rPr>
                              <w:t>m·K)</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V</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bCs/>
                                <w:szCs w:val="24"/>
                              </w:rPr>
                            </w:pPr>
                            <w:r>
                              <w:rPr>
                                <w:rFonts w:eastAsia="Calibri"/>
                                <w:bCs/>
                                <w:szCs w:val="24"/>
                              </w:rPr>
                              <w:t>tūris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w:t>
                            </w:r>
                            <w:r>
                              <w:rPr>
                                <w:rFonts w:eastAsia="Calibri"/>
                                <w:szCs w:val="24"/>
                                <w:vertAlign w:val="superscript"/>
                              </w:rPr>
                              <w:t>3</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Ψ</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bCs/>
                                <w:szCs w:val="24"/>
                              </w:rPr>
                            </w:pPr>
                            <w:r>
                              <w:rPr>
                                <w:rFonts w:eastAsia="Calibri"/>
                                <w:bCs/>
                                <w:szCs w:val="24"/>
                              </w:rPr>
                              <w:t xml:space="preserve">ilginio šiluminio tiltelio šilumos perdavimo koeficientas </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W/(m·K)</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i/>
                                <w:szCs w:val="24"/>
                              </w:rPr>
                            </w:pPr>
                            <w:r>
                              <w:rPr>
                                <w:rFonts w:eastAsia="Calibri"/>
                                <w:i/>
                                <w:szCs w:val="24"/>
                              </w:rPr>
                              <w:t>P</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ind w:right="34"/>
                              <w:jc w:val="both"/>
                              <w:rPr>
                                <w:rFonts w:eastAsia="Calibri"/>
                                <w:szCs w:val="24"/>
                              </w:rPr>
                            </w:pPr>
                            <w:r>
                              <w:rPr>
                                <w:rFonts w:eastAsia="Calibri"/>
                                <w:szCs w:val="24"/>
                              </w:rPr>
                              <w:t>perimetras</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ind w:right="34"/>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i/>
                                <w:szCs w:val="24"/>
                              </w:rPr>
                            </w:pPr>
                            <w:r>
                              <w:rPr>
                                <w:rFonts w:eastAsia="Calibri"/>
                                <w:i/>
                                <w:iCs/>
                                <w:szCs w:val="24"/>
                              </w:rPr>
                              <w:t>v</w:t>
                            </w:r>
                            <w:r>
                              <w:rPr>
                                <w:rFonts w:eastAsia="Calibri"/>
                                <w:i/>
                                <w:iCs/>
                                <w:szCs w:val="24"/>
                                <w:vertAlign w:val="subscript"/>
                              </w:rPr>
                              <w:t>wind</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both"/>
                              <w:rPr>
                                <w:rFonts w:eastAsia="Calibri"/>
                                <w:szCs w:val="24"/>
                              </w:rPr>
                            </w:pPr>
                            <w:r>
                              <w:rPr>
                                <w:rFonts w:eastAsia="Calibri"/>
                                <w:szCs w:val="24"/>
                              </w:rPr>
                              <w:t>vėjo greitis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Cs w:val="24"/>
                              </w:rPr>
                            </w:pPr>
                            <w:r>
                              <w:rPr>
                                <w:rFonts w:eastAsia="Calibri"/>
                                <w:szCs w:val="24"/>
                              </w:rPr>
                              <w:t>m/s</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i/>
                                <w:szCs w:val="24"/>
                              </w:rPr>
                            </w:pPr>
                            <w:r>
                              <w:rPr>
                                <w:rFonts w:eastAsia="Calibri"/>
                                <w:i/>
                                <w:szCs w:val="24"/>
                              </w:rPr>
                              <w:t>w</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both"/>
                              <w:rPr>
                                <w:rFonts w:eastAsia="Calibri"/>
                                <w:szCs w:val="24"/>
                              </w:rPr>
                            </w:pPr>
                            <w:r>
                              <w:rPr>
                                <w:rFonts w:eastAsia="Calibri"/>
                                <w:szCs w:val="24"/>
                              </w:rPr>
                              <w:t>sienos ar pamato storis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Cs w:val="24"/>
                              </w:rPr>
                            </w:pPr>
                            <w:r>
                              <w:rPr>
                                <w:rFonts w:eastAsia="Calibri"/>
                                <w:szCs w:val="24"/>
                              </w:rPr>
                              <w:t>m</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i/>
                                <w:szCs w:val="24"/>
                              </w:rPr>
                            </w:pPr>
                            <w:r>
                              <w:rPr>
                                <w:rFonts w:eastAsia="Calibri"/>
                                <w:i/>
                                <w:iCs/>
                                <w:szCs w:val="24"/>
                              </w:rPr>
                              <w:t>Ψ</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both"/>
                              <w:rPr>
                                <w:rFonts w:eastAsia="Calibri"/>
                                <w:szCs w:val="24"/>
                              </w:rPr>
                            </w:pPr>
                            <w:r>
                              <w:rPr>
                                <w:rFonts w:eastAsia="Calibri"/>
                                <w:szCs w:val="24"/>
                              </w:rPr>
                              <w:t>ilginio šiluminio tiltelio šilumos perdavimo koeficientas</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Cs w:val="24"/>
                              </w:rPr>
                            </w:pPr>
                            <w:r>
                              <w:rPr>
                                <w:rFonts w:eastAsia="Calibri"/>
                                <w:szCs w:val="24"/>
                              </w:rPr>
                              <w:t>W/(m·K)</w:t>
                            </w:r>
                          </w:p>
                        </w:tc>
                      </w:tr>
                      <w:tr>
                        <w:trPr>
                          <w:cantSplit/>
                        </w:trPr>
                        <w:tc>
                          <w:tcPr>
                            <w:tcW w:w="110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i/>
                                <w:szCs w:val="24"/>
                              </w:rPr>
                            </w:pPr>
                            <w:r>
                              <w:rPr>
                                <w:rFonts w:eastAsia="Calibri"/>
                                <w:i/>
                                <w:szCs w:val="24"/>
                              </w:rPr>
                              <w:t>θ</w:t>
                            </w:r>
                          </w:p>
                        </w:tc>
                        <w:tc>
                          <w:tcPr>
                            <w:tcW w:w="6757"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both"/>
                              <w:rPr>
                                <w:rFonts w:eastAsia="Calibri"/>
                                <w:szCs w:val="24"/>
                              </w:rPr>
                            </w:pPr>
                            <w:r>
                              <w:rPr>
                                <w:rFonts w:eastAsia="Calibri"/>
                                <w:szCs w:val="24"/>
                              </w:rPr>
                              <w:t>temperatūra</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Cs w:val="24"/>
                              </w:rPr>
                            </w:pPr>
                            <w:r>
                              <w:rPr>
                                <w:rFonts w:eastAsia="Calibri"/>
                                <w:szCs w:val="24"/>
                              </w:rPr>
                              <w:t>ºC</w:t>
                            </w:r>
                          </w:p>
                        </w:tc>
                      </w:tr>
                      <w:tr>
                        <w:trPr>
                          <w:cantSplit/>
                        </w:trPr>
                        <w:tc>
                          <w:tcPr>
                            <w:tcW w:w="110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szCs w:val="24"/>
                              </w:rPr>
                            </w:pPr>
                            <w:r>
                              <w:rPr>
                                <w:rFonts w:eastAsia="Calibri"/>
                                <w:bCs/>
                                <w:i/>
                                <w:szCs w:val="24"/>
                              </w:rPr>
                              <w:sym w:font="Symbol" w:char="F072"/>
                            </w:r>
                            <w:r>
                              <w:rPr>
                                <w:rFonts w:eastAsia="Calibri"/>
                                <w:bCs/>
                                <w:i/>
                                <w:szCs w:val="24"/>
                                <w:vertAlign w:val="subscript"/>
                              </w:rPr>
                              <w:t>air</w:t>
                            </w:r>
                            <w:r>
                              <w:rPr>
                                <w:rFonts w:eastAsia="Calibri"/>
                                <w:bCs/>
                                <w:i/>
                                <w:szCs w:val="24"/>
                              </w:rPr>
                              <w:t>·c</w:t>
                            </w:r>
                            <w:r>
                              <w:rPr>
                                <w:rFonts w:eastAsia="Calibri"/>
                                <w:bCs/>
                                <w:i/>
                                <w:szCs w:val="24"/>
                                <w:vertAlign w:val="subscript"/>
                              </w:rPr>
                              <w:t>air</w:t>
                            </w:r>
                          </w:p>
                        </w:tc>
                        <w:tc>
                          <w:tcPr>
                            <w:tcW w:w="67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bCs/>
                                <w:szCs w:val="24"/>
                              </w:rPr>
                              <w:t xml:space="preserve">oro tūrinė šiluminė talpa, </w:t>
                            </w:r>
                            <w:r>
                              <w:rPr>
                                <w:rFonts w:eastAsia="Calibri"/>
                                <w:bCs/>
                                <w:i/>
                                <w:szCs w:val="24"/>
                              </w:rPr>
                              <w:sym w:font="Symbol" w:char="F072"/>
                            </w:r>
                            <w:r>
                              <w:rPr>
                                <w:rFonts w:eastAsia="Calibri"/>
                                <w:bCs/>
                                <w:i/>
                                <w:szCs w:val="24"/>
                                <w:vertAlign w:val="subscript"/>
                              </w:rPr>
                              <w:t>air</w:t>
                            </w:r>
                            <w:r>
                              <w:rPr>
                                <w:rFonts w:eastAsia="Calibri"/>
                                <w:bCs/>
                                <w:i/>
                                <w:szCs w:val="24"/>
                              </w:rPr>
                              <w:t>·c</w:t>
                            </w:r>
                            <w:r>
                              <w:rPr>
                                <w:rFonts w:eastAsia="Calibri"/>
                                <w:bCs/>
                                <w:i/>
                                <w:szCs w:val="24"/>
                                <w:vertAlign w:val="subscript"/>
                              </w:rPr>
                              <w:t>air</w:t>
                            </w:r>
                            <w:r>
                              <w:rPr>
                                <w:rFonts w:eastAsia="Calibri"/>
                                <w:bCs/>
                                <w:szCs w:val="24"/>
                                <w:vertAlign w:val="subscript"/>
                              </w:rPr>
                              <w:t xml:space="preserve"> </w:t>
                            </w:r>
                            <w:r>
                              <w:rPr>
                                <w:rFonts w:eastAsia="Calibri"/>
                                <w:szCs w:val="24"/>
                              </w:rPr>
                              <w:t>=0,34 Wh/(m</w:t>
                            </w:r>
                            <w:r>
                              <w:rPr>
                                <w:rFonts w:eastAsia="Calibri"/>
                                <w:szCs w:val="24"/>
                                <w:vertAlign w:val="superscript"/>
                              </w:rPr>
                              <w:t>3</w:t>
                            </w:r>
                            <w:r>
                              <w:rPr>
                                <w:rFonts w:eastAsia="Calibri"/>
                                <w:szCs w:val="24"/>
                              </w:rPr>
                              <w:t>·K)</w:t>
                            </w:r>
                          </w:p>
                        </w:tc>
                        <w:tc>
                          <w:tcPr>
                            <w:tcW w:w="1485"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rFonts w:eastAsia="Calibri"/>
                                <w:szCs w:val="24"/>
                              </w:rPr>
                              <w:t>Wh/(m</w:t>
                            </w:r>
                            <w:r>
                              <w:rPr>
                                <w:rFonts w:eastAsia="Calibri"/>
                                <w:szCs w:val="24"/>
                                <w:vertAlign w:val="superscript"/>
                              </w:rPr>
                              <w:t>3</w:t>
                            </w:r>
                            <w:r>
                              <w:rPr>
                                <w:rFonts w:eastAsia="Calibri"/>
                                <w:szCs w:val="24"/>
                              </w:rPr>
                              <w:t>·K)</w:t>
                            </w:r>
                          </w:p>
                        </w:tc>
                      </w:tr>
                    </w:tbl>
                    <w:p>
                      <w:pPr>
                        <w:suppressAutoHyphens/>
                        <w:ind w:firstLine="312"/>
                        <w:jc w:val="both"/>
                        <w:textAlignment w:val="center"/>
                        <w:rPr>
                          <w:szCs w:val="24"/>
                        </w:rPr>
                      </w:pPr>
                    </w:p>
                  </w:sdtContent>
                </w:sdt>
              </w:sdtContent>
            </w:sdt>
            <w:sdt>
              <w:sdtPr>
                <w:alias w:val="7 p."/>
                <w:tag w:val="part_bcfcfc6cd76b46c19a6e86f0ae6d8f1e"/>
                <w:lock w:val="sdtLocked"/>
                <w:richText/>
              </w:sdtPr>
              <w:sdtContent>
                <w:p>
                  <w:pPr>
                    <w:suppressAutoHyphens/>
                    <w:ind w:firstLine="567"/>
                    <w:jc w:val="both"/>
                    <w:textAlignment w:val="center"/>
                    <w:rPr>
                      <w:szCs w:val="24"/>
                    </w:rPr>
                  </w:pPr>
                  <w:sdt>
                    <w:sdtPr>
                      <w:alias w:val="Numeris"/>
                      <w:tag w:val="nr_bcfcfc6cd76b46c19a6e86f0ae6d8f1e"/>
                      <w:lock w:val="sdtLocked"/>
                      <w:richText/>
                    </w:sdtPr>
                    <w:sdtContent>
                      <w:r>
                        <w:rPr>
                          <w:szCs w:val="24"/>
                        </w:rPr>
                        <w:t>7</w:t>
                      </w:r>
                    </w:sdtContent>
                  </w:sdt>
                  <w:r>
                    <w:rPr>
                      <w:szCs w:val="24"/>
                    </w:rPr>
                    <w:t>. Reglamente vartojami poraidžiai:</w:t>
                  </w:r>
                </w:p>
                <w:tbl>
                  <w:tblPr>
                    <w:tblW w:w="9816" w:type="dxa"/>
                    <w:tblInd w:w="57" w:type="dxa"/>
                    <w:tblLayout w:type="fixed"/>
                    <w:tblCellMar>
                      <w:left w:w="0" w:type="dxa"/>
                      <w:right w:w="0" w:type="dxa"/>
                    </w:tblCellMar>
                    <w:tblLook w:val="04A0" w:firstRow="1" w:lastRow="0" w:firstColumn="1" w:lastColumn="0" w:noHBand="0" w:noVBand="1"/>
                  </w:tblPr>
                  <w:tblGrid>
                    <w:gridCol w:w="1165"/>
                    <w:gridCol w:w="3699"/>
                    <w:gridCol w:w="242"/>
                    <w:gridCol w:w="936"/>
                    <w:gridCol w:w="3774"/>
                  </w:tblGrid>
                  <w:tr>
                    <w:trPr>
                      <w:trHeight w:val="203"/>
                    </w:trP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air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oras;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mv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mechaninis vėdinimas;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avg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vidutinė vertė, vidurkis;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iH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vidus šildymo sezono laikotarpiu;</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C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nešildymo sezonas, energija vėsinimui;</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iC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vidus nešildymo sezono laikotarpiu;</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Ceq –</w:t>
                        </w:r>
                      </w:p>
                    </w:tc>
                    <w:tc>
                      <w:tcPr>
                        <w:tcW w:w="3699"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orą šaldantis įrenginys;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lg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apšvietimas;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cp –</w:t>
                        </w:r>
                      </w:p>
                    </w:tc>
                    <w:tc>
                      <w:tcPr>
                        <w:tcW w:w="3699"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cirkuliacinis siurblys;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ls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šilumos nuostoliai;</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do –</w:t>
                        </w:r>
                      </w:p>
                    </w:tc>
                    <w:tc>
                      <w:tcPr>
                        <w:tcW w:w="3699"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durų varstymas;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m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mėnuo, mėnesio numeris;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pacing w:val="-3"/>
                            <w:szCs w:val="24"/>
                          </w:rPr>
                          <w:t>ds</w:t>
                        </w:r>
                        <w:r>
                          <w:rPr>
                            <w:i/>
                            <w:iCs/>
                            <w:szCs w:val="24"/>
                          </w:rPr>
                          <w:t xml:space="preserve">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pacing w:val="-3"/>
                            <w:szCs w:val="24"/>
                          </w:rPr>
                          <w:t>projektinis</w:t>
                        </w:r>
                        <w:r>
                          <w:rPr>
                            <w:szCs w:val="24"/>
                          </w:rPr>
                          <w:t>;</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mvH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mechaninis vėdinimas su oro pašildymu;</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dis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 xml:space="preserve">paskirstymas, skirstomieji vamzdynai; </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n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skaičius (kiekis);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e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išorė;</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nv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natūralus vėdinimas;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E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 xml:space="preserve">elektros energija, elektros energijos suvartojimas; </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og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kitos skaidrios atitvaros;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EC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elektros energijos suvartojimas pastate nešildymo sezono laikotarpiu;</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tcPr>
                      <w:p>
                        <w:pPr>
                          <w:suppressAutoHyphens/>
                          <w:spacing w:line="276" w:lineRule="auto"/>
                          <w:jc w:val="right"/>
                          <w:textAlignment w:val="center"/>
                          <w:rPr>
                            <w:i/>
                            <w:iCs/>
                            <w:szCs w:val="24"/>
                          </w:rPr>
                        </w:pPr>
                        <w:r>
                          <w:rPr>
                            <w:i/>
                            <w:iCs/>
                            <w:szCs w:val="24"/>
                          </w:rPr>
                          <w:t xml:space="preserve">op – </w:t>
                        </w:r>
                      </w:p>
                      <w:p>
                        <w:pPr>
                          <w:suppressAutoHyphens/>
                          <w:spacing w:line="276" w:lineRule="auto"/>
                          <w:jc w:val="right"/>
                          <w:textAlignment w:val="center"/>
                          <w:rPr>
                            <w:szCs w:val="24"/>
                          </w:rPr>
                        </w:pPr>
                      </w:p>
                    </w:tc>
                    <w:tc>
                      <w:tcPr>
                        <w:tcW w:w="3774" w:type="dxa"/>
                        <w:tcMar>
                          <w:top w:w="57" w:type="dxa"/>
                          <w:left w:w="57" w:type="dxa"/>
                          <w:bottom w:w="57" w:type="dxa"/>
                          <w:right w:w="57" w:type="dxa"/>
                        </w:tcMar>
                      </w:tcPr>
                      <w:p>
                        <w:pPr>
                          <w:suppressAutoHyphens/>
                          <w:spacing w:line="276" w:lineRule="auto"/>
                          <w:textAlignment w:val="center"/>
                          <w:rPr>
                            <w:szCs w:val="24"/>
                          </w:rPr>
                        </w:pPr>
                        <w:r>
                          <w:rPr>
                            <w:szCs w:val="24"/>
                          </w:rPr>
                          <w:t>nepermatoma, neskaidri atitvara;</w:t>
                        </w:r>
                      </w:p>
                      <w:p>
                        <w:pPr>
                          <w:suppressAutoHyphens/>
                          <w:spacing w:line="276" w:lineRule="auto"/>
                          <w:textAlignment w:val="center"/>
                          <w:rPr>
                            <w:szCs w:val="24"/>
                          </w:rPr>
                        </w:pP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EH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elektros energijos suvartojimas pastate šildymo sezono laikotarpiu;</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p –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pastatas;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eq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įrengimai, įranga;</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PR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suminė pirminė energija iš neatsinaujinančių energijos išteklių;</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fvSK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fotovoltinis Saulės kolektorius;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PRn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pirminė energija iš neatsinaujinančių energijos išteklių;</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gn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šilumos pritekėjimai;</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PRr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pirminė energija iš atsinaujinančių energijos išteklių;</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H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šildymo sezonas, energija šildymui;</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re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rekuperacija;</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HE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hidroelektrinė;</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reH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rekuperacija su oro pašildymu;</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hs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šildymo sistema;</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se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išorinis paviršius;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HWE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horizontalios ašies vėjo elektrinė;</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si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vidinis paviršius;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hw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karštas vanduo;</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sol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Saulės spinduliuotė;</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hwSK –</w:t>
                        </w:r>
                      </w:p>
                    </w:tc>
                    <w:tc>
                      <w:tcPr>
                        <w:tcW w:w="3699"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Saulės kolektorius vandeniui šildyti;</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SW –</w:t>
                        </w:r>
                      </w:p>
                    </w:tc>
                    <w:tc>
                      <w:tcPr>
                        <w:tcW w:w="3774"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karšto vandens talpa;</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(hw+H) – </w:t>
                        </w:r>
                      </w:p>
                    </w:tc>
                    <w:tc>
                      <w:tcPr>
                        <w:tcW w:w="3699"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energija buitiniam karštam vandeniui ruošti ir pastatui šildyti;</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pacing w:val="3"/>
                            <w:szCs w:val="24"/>
                          </w:rPr>
                          <w:t xml:space="preserve">t </w:t>
                        </w:r>
                        <w:r>
                          <w:rPr>
                            <w:i/>
                            <w:iCs/>
                            <w:szCs w:val="24"/>
                          </w:rPr>
                          <w:t>–</w:t>
                        </w:r>
                      </w:p>
                    </w:tc>
                    <w:tc>
                      <w:tcPr>
                        <w:tcW w:w="3774"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visuminis;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hwSW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buitinio karšto vandens talpa;</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pacing w:val="3"/>
                            <w:szCs w:val="24"/>
                          </w:rPr>
                          <w:t>vent</w:t>
                        </w:r>
                        <w:r>
                          <w:rPr>
                            <w:spacing w:val="3"/>
                            <w:szCs w:val="24"/>
                          </w:rPr>
                          <w:t xml:space="preserve"> </w:t>
                        </w:r>
                        <w:r>
                          <w:rPr>
                            <w:i/>
                            <w:iCs/>
                            <w:szCs w:val="24"/>
                          </w:rPr>
                          <w:t>–</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pacing w:val="3"/>
                            <w:szCs w:val="24"/>
                          </w:rPr>
                          <w:t>vėdinimas</w:t>
                        </w:r>
                        <w:r>
                          <w:rPr>
                            <w:szCs w:val="24"/>
                          </w:rPr>
                          <w:t>;</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HSW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karšto vandens akumuliacinė talpa pastato šildymo reikmėms;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VWE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vertikalios ašies vėjo elektrinė;</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 xml:space="preserve">i –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vidus;</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 xml:space="preserve">wind – </w:t>
                        </w:r>
                      </w:p>
                    </w:tc>
                    <w:tc>
                      <w:tcPr>
                        <w:tcW w:w="3774"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vėjas;</w:t>
                        </w:r>
                      </w:p>
                    </w:tc>
                  </w:tr>
                  <w:tr>
                    <w:tc>
                      <w:tcPr>
                        <w:tcW w:w="1165"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inf –</w:t>
                        </w:r>
                      </w:p>
                    </w:tc>
                    <w:tc>
                      <w:tcPr>
                        <w:tcW w:w="3699" w:type="dxa"/>
                        <w:tcMar>
                          <w:top w:w="57" w:type="dxa"/>
                          <w:left w:w="57" w:type="dxa"/>
                          <w:bottom w:w="57" w:type="dxa"/>
                          <w:right w:w="57" w:type="dxa"/>
                        </w:tcMar>
                        <w:hideMark/>
                      </w:tcPr>
                      <w:p>
                        <w:pPr>
                          <w:suppressAutoHyphens/>
                          <w:spacing w:line="276" w:lineRule="auto"/>
                          <w:textAlignment w:val="center"/>
                          <w:rPr>
                            <w:szCs w:val="24"/>
                          </w:rPr>
                        </w:pPr>
                        <w:r>
                          <w:rPr>
                            <w:szCs w:val="24"/>
                          </w:rPr>
                          <w:t>infiltracija;</w:t>
                        </w: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pacing w:val="3"/>
                            <w:szCs w:val="24"/>
                          </w:rPr>
                        </w:pPr>
                        <w:r>
                          <w:rPr>
                            <w:i/>
                            <w:iCs/>
                            <w:spacing w:val="3"/>
                            <w:szCs w:val="24"/>
                          </w:rPr>
                          <w:t xml:space="preserve">x – </w:t>
                        </w:r>
                      </w:p>
                    </w:tc>
                    <w:tc>
                      <w:tcPr>
                        <w:tcW w:w="3774" w:type="dxa"/>
                        <w:tcMar>
                          <w:top w:w="57" w:type="dxa"/>
                          <w:left w:w="57" w:type="dxa"/>
                          <w:bottom w:w="57" w:type="dxa"/>
                          <w:right w:w="57" w:type="dxa"/>
                        </w:tcMar>
                        <w:hideMark/>
                      </w:tcPr>
                      <w:p>
                        <w:pPr>
                          <w:suppressAutoHyphens/>
                          <w:spacing w:line="276" w:lineRule="auto"/>
                          <w:textAlignment w:val="center"/>
                          <w:rPr>
                            <w:spacing w:val="3"/>
                            <w:szCs w:val="24"/>
                          </w:rPr>
                        </w:pPr>
                        <w:r>
                          <w:rPr>
                            <w:spacing w:val="3"/>
                            <w:szCs w:val="24"/>
                          </w:rPr>
                          <w:t>skaičius;</w:t>
                        </w:r>
                      </w:p>
                    </w:tc>
                  </w:tr>
                  <w:tr>
                    <w:tc>
                      <w:tcPr>
                        <w:tcW w:w="1165" w:type="dxa"/>
                        <w:tcMar>
                          <w:top w:w="57" w:type="dxa"/>
                          <w:left w:w="57" w:type="dxa"/>
                          <w:bottom w:w="57" w:type="dxa"/>
                          <w:right w:w="57" w:type="dxa"/>
                        </w:tcMar>
                      </w:tcPr>
                      <w:p>
                        <w:pPr>
                          <w:suppressAutoHyphens/>
                          <w:spacing w:line="276" w:lineRule="auto"/>
                          <w:jc w:val="right"/>
                          <w:textAlignment w:val="center"/>
                          <w:rPr>
                            <w:i/>
                            <w:iCs/>
                            <w:szCs w:val="24"/>
                          </w:rPr>
                        </w:pPr>
                      </w:p>
                    </w:tc>
                    <w:tc>
                      <w:tcPr>
                        <w:tcW w:w="3699" w:type="dxa"/>
                        <w:tcMar>
                          <w:top w:w="57" w:type="dxa"/>
                          <w:left w:w="57" w:type="dxa"/>
                          <w:bottom w:w="57" w:type="dxa"/>
                          <w:right w:w="57" w:type="dxa"/>
                        </w:tcMar>
                      </w:tcPr>
                      <w:p>
                        <w:pPr>
                          <w:suppressAutoHyphens/>
                          <w:spacing w:line="276" w:lineRule="auto"/>
                          <w:textAlignment w:val="center"/>
                          <w:rPr>
                            <w:szCs w:val="24"/>
                          </w:rPr>
                        </w:pPr>
                      </w:p>
                    </w:tc>
                    <w:tc>
                      <w:tcPr>
                        <w:tcW w:w="242" w:type="dxa"/>
                        <w:tcMar>
                          <w:top w:w="57" w:type="dxa"/>
                          <w:left w:w="57" w:type="dxa"/>
                          <w:bottom w:w="57" w:type="dxa"/>
                          <w:right w:w="57" w:type="dxa"/>
                        </w:tcMar>
                      </w:tcPr>
                      <w:p>
                        <w:pPr>
                          <w:spacing w:line="276" w:lineRule="auto"/>
                          <w:jc w:val="both"/>
                          <w:rPr>
                            <w:szCs w:val="24"/>
                          </w:rPr>
                        </w:pPr>
                      </w:p>
                    </w:tc>
                    <w:tc>
                      <w:tcPr>
                        <w:tcW w:w="936" w:type="dxa"/>
                        <w:tcMar>
                          <w:top w:w="57" w:type="dxa"/>
                          <w:left w:w="57" w:type="dxa"/>
                          <w:bottom w:w="57" w:type="dxa"/>
                          <w:right w:w="57" w:type="dxa"/>
                        </w:tcMar>
                        <w:hideMark/>
                      </w:tcPr>
                      <w:p>
                        <w:pPr>
                          <w:suppressAutoHyphens/>
                          <w:spacing w:line="276" w:lineRule="auto"/>
                          <w:jc w:val="right"/>
                          <w:textAlignment w:val="center"/>
                          <w:rPr>
                            <w:i/>
                            <w:iCs/>
                            <w:szCs w:val="24"/>
                          </w:rPr>
                        </w:pPr>
                        <w:r>
                          <w:rPr>
                            <w:i/>
                            <w:iCs/>
                            <w:szCs w:val="24"/>
                          </w:rPr>
                          <w:t>WE –</w:t>
                        </w:r>
                      </w:p>
                    </w:tc>
                    <w:tc>
                      <w:tcPr>
                        <w:tcW w:w="3774" w:type="dxa"/>
                        <w:tcMar>
                          <w:top w:w="57" w:type="dxa"/>
                          <w:left w:w="57" w:type="dxa"/>
                          <w:bottom w:w="57" w:type="dxa"/>
                          <w:right w:w="57" w:type="dxa"/>
                        </w:tcMar>
                        <w:hideMark/>
                      </w:tcPr>
                      <w:p>
                        <w:pPr>
                          <w:suppressAutoHyphens/>
                          <w:spacing w:line="276" w:lineRule="auto"/>
                          <w:textAlignment w:val="center"/>
                          <w:rPr>
                            <w:szCs w:val="24"/>
                          </w:rPr>
                        </w:pPr>
                        <w:r>
                          <w:rPr>
                            <w:szCs w:val="24"/>
                          </w:rPr>
                          <w:t>vėjo elektrinės.</w:t>
                        </w:r>
                      </w:p>
                    </w:tc>
                  </w:tr>
                </w:tbl>
                <w:p>
                  <w:pPr>
                    <w:suppressAutoHyphens/>
                    <w:ind w:firstLine="312"/>
                    <w:jc w:val="both"/>
                    <w:textAlignment w:val="center"/>
                    <w:rPr>
                      <w:szCs w:val="24"/>
                    </w:rPr>
                  </w:pPr>
                </w:p>
                <w:p>
                  <w:pPr>
                    <w:suppressAutoHyphens/>
                    <w:ind w:firstLine="567"/>
                    <w:jc w:val="both"/>
                    <w:textAlignment w:val="center"/>
                    <w:rPr>
                      <w:szCs w:val="24"/>
                    </w:rPr>
                  </w:pPr>
                  <w:r>
                    <w:rPr>
                      <w:szCs w:val="24"/>
                    </w:rPr>
                    <w:t>Kitų simbolių paaiškinimai pateikiami Reglamente.</w:t>
                  </w:r>
                </w:p>
                <w:p>
                  <w:pPr>
                    <w:suppressAutoHyphens/>
                    <w:ind w:firstLine="567"/>
                    <w:jc w:val="both"/>
                    <w:textAlignment w:val="center"/>
                    <w:rPr>
                      <w:szCs w:val="24"/>
                    </w:rPr>
                  </w:pPr>
                </w:p>
              </w:sdtContent>
            </w:sdt>
          </w:sdtContent>
        </w:sdt>
        <w:sdt>
          <w:sdtPr>
            <w:alias w:val="skyrius"/>
            <w:tag w:val="part_ec7f0d21327a4202b8ac4962cc1429c7"/>
            <w:lock w:val="sdtLocked"/>
            <w:richText/>
          </w:sdtPr>
          <w:sdtContent>
            <w:p>
              <w:pPr>
                <w:keepNext/>
                <w:jc w:val="center"/>
                <w:rPr>
                  <w:b/>
                  <w:bCs/>
                  <w:iCs/>
                  <w:caps/>
                  <w:spacing w:val="-4"/>
                  <w:szCs w:val="24"/>
                  <w:lang w:eastAsia="lt-LT"/>
                </w:rPr>
              </w:pPr>
              <w:r>
                <w:rPr>
                  <w:b/>
                  <w:bCs/>
                  <w:iCs/>
                  <w:caps/>
                  <w:spacing w:val="-4"/>
                  <w:szCs w:val="24"/>
                  <w:lang w:eastAsia="lt-LT"/>
                </w:rPr>
                <w:t xml:space="preserve">V. skyrius </w:t>
              </w:r>
            </w:p>
            <w:p>
              <w:pPr>
                <w:keepNext/>
                <w:jc w:val="center"/>
                <w:rPr>
                  <w:b/>
                  <w:bCs/>
                  <w:iCs/>
                  <w:caps/>
                  <w:spacing w:val="-4"/>
                  <w:szCs w:val="24"/>
                  <w:lang w:eastAsia="lt-LT"/>
                </w:rPr>
              </w:pPr>
              <w:sdt>
                <w:sdtPr>
                  <w:alias w:val="Pavadinimas"/>
                  <w:tag w:val="title_ec7f0d21327a4202b8ac4962cc1429c7"/>
                  <w:lock w:val="sdtLocked"/>
                  <w:richText/>
                </w:sdtPr>
                <w:sdtContent>
                  <w:r>
                    <w:rPr>
                      <w:b/>
                      <w:bCs/>
                      <w:iCs/>
                      <w:caps/>
                      <w:spacing w:val="-4"/>
                      <w:szCs w:val="24"/>
                      <w:lang w:eastAsia="lt-LT"/>
                    </w:rPr>
                    <w:t>Pastato (jo dalies) energinio naudingumo ir pastato (jo dalies) sertifikavimo REIKALAVIMŲ privalomumas</w:t>
                  </w:r>
                </w:sdtContent>
              </w:sdt>
            </w:p>
            <w:p>
              <w:pPr>
                <w:suppressAutoHyphens/>
                <w:ind w:firstLine="567"/>
                <w:jc w:val="both"/>
                <w:textAlignment w:val="center"/>
                <w:rPr>
                  <w:szCs w:val="24"/>
                </w:rPr>
              </w:pPr>
            </w:p>
            <w:sdt>
              <w:sdtPr>
                <w:alias w:val="8 p."/>
                <w:tag w:val="part_9d0998d4691a4ca2970e85f66ab18957"/>
                <w:lock w:val="sdtLocked"/>
                <w:richText/>
              </w:sdtPr>
              <w:sdtContent>
                <w:p>
                  <w:pPr>
                    <w:suppressAutoHyphens/>
                    <w:ind w:firstLine="567"/>
                    <w:jc w:val="both"/>
                    <w:textAlignment w:val="center"/>
                    <w:rPr>
                      <w:szCs w:val="24"/>
                      <w:u w:val="thick"/>
                    </w:rPr>
                  </w:pPr>
                  <w:sdt>
                    <w:sdtPr>
                      <w:alias w:val="Numeris"/>
                      <w:tag w:val="nr_9d0998d4691a4ca2970e85f66ab18957"/>
                      <w:lock w:val="sdtLocked"/>
                      <w:richText/>
                    </w:sdtPr>
                    <w:sdtContent>
                      <w:r>
                        <w:rPr>
                          <w:szCs w:val="24"/>
                        </w:rPr>
                        <w:t>8</w:t>
                      </w:r>
                    </w:sdtContent>
                  </w:sdt>
                  <w:r>
                    <w:rPr>
                      <w:szCs w:val="24"/>
                    </w:rPr>
                    <w:t xml:space="preserve">. Pastatų (jų dalių) energinio naudingumo reikalavimai privalomi Statybos įstatymo [3.1] 51 straipsnio 1 dalyje numatytais atvejais. </w:t>
                  </w:r>
                </w:p>
              </w:sdtContent>
            </w:sdt>
            <w:sdt>
              <w:sdtPr>
                <w:alias w:val="9 p."/>
                <w:tag w:val="part_771ee968b7544ca39019c58766be0aed"/>
                <w:lock w:val="sdtLocked"/>
                <w:richText/>
              </w:sdtPr>
              <w:sdtContent>
                <w:p>
                  <w:pPr>
                    <w:suppressAutoHyphens/>
                    <w:ind w:firstLine="567"/>
                    <w:jc w:val="both"/>
                    <w:textAlignment w:val="center"/>
                    <w:rPr>
                      <w:szCs w:val="24"/>
                    </w:rPr>
                  </w:pPr>
                  <w:sdt>
                    <w:sdtPr>
                      <w:alias w:val="Numeris"/>
                      <w:tag w:val="nr_771ee968b7544ca39019c58766be0aed"/>
                      <w:lock w:val="sdtLocked"/>
                      <w:richText/>
                    </w:sdtPr>
                    <w:sdtContent>
                      <w:r>
                        <w:rPr>
                          <w:szCs w:val="24"/>
                        </w:rPr>
                        <w:t>9</w:t>
                      </w:r>
                    </w:sdtContent>
                  </w:sdt>
                  <w:r>
                    <w:rPr>
                      <w:szCs w:val="24"/>
                    </w:rPr>
                    <w:t xml:space="preserve">. Pastatų (jų dalių) sertifikavimas privalomas Statybos įstatymo [3.1] 51 straipsnio 3 dalyje numatytais atvejais. </w:t>
                  </w:r>
                </w:p>
              </w:sdtContent>
            </w:sdt>
            <w:sdt>
              <w:sdtPr>
                <w:alias w:val="10 p."/>
                <w:tag w:val="part_15ef3a3d69cd4613b179bbd5a6b1715b"/>
                <w:lock w:val="sdtLocked"/>
                <w:richText/>
              </w:sdtPr>
              <w:sdtContent>
                <w:p>
                  <w:pPr>
                    <w:shd w:val="clear" w:color="auto" w:fill="FFFFFF"/>
                    <w:ind w:firstLine="567"/>
                    <w:jc w:val="both"/>
                    <w:textAlignment w:val="center"/>
                    <w:rPr>
                      <w:strike/>
                      <w:szCs w:val="22"/>
                    </w:rPr>
                  </w:pPr>
                  <w:sdt>
                    <w:sdtPr>
                      <w:alias w:val="Numeris"/>
                      <w:tag w:val="nr_15ef3a3d69cd4613b179bbd5a6b1715b"/>
                      <w:lock w:val="sdtLocked"/>
                      <w:richText/>
                    </w:sdtPr>
                    <w:sdtContent>
                      <w:r>
                        <w:rPr>
                          <w:szCs w:val="22"/>
                        </w:rPr>
                        <w:t>10</w:t>
                      </w:r>
                    </w:sdtContent>
                  </w:sdt>
                  <w:r>
                    <w:rPr>
                      <w:szCs w:val="22"/>
                    </w:rPr>
                    <w:t xml:space="preserve">. Statybos įstatymo [3.1] 51 straipsnio 2 dalyje numatytais atvejais pastatų (jų dalių) sertifikavimas neprivalomas ir energinio naudingumo reikalavimai nenustatomi. </w:t>
                  </w:r>
                </w:p>
                <w:p>
                  <w:pPr>
                    <w:keepNext/>
                    <w:jc w:val="center"/>
                    <w:rPr>
                      <w:b/>
                      <w:bCs/>
                      <w:iCs/>
                      <w:caps/>
                      <w:spacing w:val="-4"/>
                      <w:szCs w:val="24"/>
                      <w:lang w:eastAsia="lt-LT"/>
                    </w:rPr>
                  </w:pPr>
                </w:p>
              </w:sdtContent>
            </w:sdt>
          </w:sdtContent>
        </w:sdt>
        <w:sdt>
          <w:sdtPr>
            <w:alias w:val="skyrius"/>
            <w:tag w:val="part_aa18703f0cd84127ae641e75b8435067"/>
            <w:lock w:val="sdtLocked"/>
            <w:richText/>
          </w:sdtPr>
          <w:sdtContent>
            <w:p>
              <w:pPr>
                <w:keepNext/>
                <w:jc w:val="center"/>
                <w:rPr>
                  <w:b/>
                  <w:bCs/>
                  <w:iCs/>
                  <w:caps/>
                  <w:spacing w:val="-4"/>
                  <w:szCs w:val="24"/>
                  <w:lang w:eastAsia="lt-LT"/>
                </w:rPr>
              </w:pPr>
              <w:r>
                <w:rPr>
                  <w:b/>
                  <w:bCs/>
                  <w:iCs/>
                  <w:caps/>
                  <w:spacing w:val="-4"/>
                  <w:szCs w:val="24"/>
                  <w:lang w:eastAsia="lt-LT"/>
                </w:rPr>
                <w:t xml:space="preserve">VI. skyrius </w:t>
              </w:r>
            </w:p>
            <w:p>
              <w:pPr>
                <w:keepNext/>
                <w:jc w:val="center"/>
                <w:rPr>
                  <w:b/>
                  <w:bCs/>
                  <w:iCs/>
                  <w:caps/>
                  <w:spacing w:val="-4"/>
                  <w:szCs w:val="24"/>
                  <w:lang w:eastAsia="lt-LT"/>
                </w:rPr>
              </w:pPr>
              <w:sdt>
                <w:sdtPr>
                  <w:alias w:val="Pavadinimas"/>
                  <w:tag w:val="title_aa18703f0cd84127ae641e75b8435067"/>
                  <w:lock w:val="sdtLocked"/>
                  <w:richText/>
                </w:sdtPr>
                <w:sdtContent>
                  <w:r>
                    <w:rPr>
                      <w:b/>
                      <w:bCs/>
                      <w:iCs/>
                      <w:caps/>
                      <w:spacing w:val="-4"/>
                      <w:szCs w:val="24"/>
                      <w:lang w:eastAsia="lt-LT"/>
                    </w:rPr>
                    <w:t>Pastatų energinio naudingumo vertinimo ir projektavimo pagrindiniai principai</w:t>
                  </w:r>
                </w:sdtContent>
              </w:sdt>
            </w:p>
            <w:p>
              <w:pPr>
                <w:jc w:val="both"/>
                <w:rPr>
                  <w:rFonts w:eastAsia="Calibri"/>
                  <w:szCs w:val="22"/>
                  <w:lang w:eastAsia="lt-LT"/>
                </w:rPr>
              </w:pPr>
            </w:p>
            <w:sdt>
              <w:sdtPr>
                <w:alias w:val="11 p."/>
                <w:tag w:val="part_4216fce283eb4d2faabfb252d52d2988"/>
                <w:lock w:val="sdtLocked"/>
                <w:richText/>
              </w:sdtPr>
              <w:sdtContent>
                <w:p>
                  <w:pPr>
                    <w:tabs>
                      <w:tab w:val="left" w:pos="1845"/>
                    </w:tabs>
                    <w:ind w:firstLine="567"/>
                    <w:jc w:val="both"/>
                    <w:rPr>
                      <w:rFonts w:eastAsia="Calibri"/>
                      <w:szCs w:val="24"/>
                    </w:rPr>
                  </w:pPr>
                  <w:sdt>
                    <w:sdtPr>
                      <w:alias w:val="Numeris"/>
                      <w:tag w:val="nr_4216fce283eb4d2faabfb252d52d2988"/>
                      <w:lock w:val="sdtLocked"/>
                      <w:richText/>
                    </w:sdtPr>
                    <w:sdtContent>
                      <w:r>
                        <w:rPr>
                          <w:rFonts w:eastAsia="Calibri"/>
                          <w:szCs w:val="24"/>
                        </w:rPr>
                        <w:t>11</w:t>
                      </w:r>
                    </w:sdtContent>
                  </w:sdt>
                  <w:r>
                    <w:rPr>
                      <w:rFonts w:eastAsia="Calibri"/>
                      <w:szCs w:val="24"/>
                    </w:rPr>
                    <w:t xml:space="preserve">. Pastatai (jų dalys) pagal energinį naudingumą klasifikuojami į 9 klases: A++, A+, A, B, C, D, E, F, G. A++ klasė laikoma aukščiausia, ji nurodo energijos beveik nevartojantį pastatą (jo dalį).  </w:t>
                  </w:r>
                </w:p>
              </w:sdtContent>
            </w:sdt>
            <w:sdt>
              <w:sdtPr>
                <w:alias w:val="12 p."/>
                <w:tag w:val="part_60be3e0004444026b79146ee71dfba5c"/>
                <w:lock w:val="sdtLocked"/>
                <w:richText/>
              </w:sdtPr>
              <w:sdtContent>
                <w:p>
                  <w:pPr>
                    <w:tabs>
                      <w:tab w:val="left" w:pos="1845"/>
                    </w:tabs>
                    <w:ind w:firstLine="567"/>
                    <w:jc w:val="both"/>
                    <w:rPr>
                      <w:rFonts w:eastAsia="Calibri"/>
                      <w:szCs w:val="24"/>
                    </w:rPr>
                  </w:pPr>
                  <w:sdt>
                    <w:sdtPr>
                      <w:alias w:val="Numeris"/>
                      <w:tag w:val="nr_60be3e0004444026b79146ee71dfba5c"/>
                      <w:lock w:val="sdtLocked"/>
                      <w:richText/>
                    </w:sdtPr>
                    <w:sdtContent>
                      <w:r>
                        <w:rPr>
                          <w:rFonts w:eastAsia="Calibri"/>
                          <w:szCs w:val="24"/>
                        </w:rPr>
                        <w:t>12</w:t>
                      </w:r>
                    </w:sdtContent>
                  </w:sdt>
                  <w:r>
                    <w:rPr>
                      <w:rFonts w:eastAsia="Calibri"/>
                      <w:szCs w:val="24"/>
                    </w:rPr>
                    <w:t>. Pastato (jo dalies) energinio naudingumo klasė nustatoma pagal mėnesinį skaičiavimo metodą Reglamento 2 priede nustatyta tvarka pagal šių pastato (jo dalies) rodiklių vertes: pastato energijos vartojimo efektyvumo rodiklio C</w:t>
                  </w:r>
                  <w:r>
                    <w:rPr>
                      <w:rFonts w:eastAsia="Calibri"/>
                      <w:szCs w:val="24"/>
                      <w:vertAlign w:val="subscript"/>
                    </w:rPr>
                    <w:t xml:space="preserve">1 </w:t>
                  </w:r>
                  <w:r>
                    <w:rPr>
                      <w:rFonts w:eastAsia="Calibri"/>
                      <w:szCs w:val="24"/>
                    </w:rPr>
                    <w:t>vertę, apibūdinančią pirminės neatsinaujinančios energijos vartojimo efektyvumą šildymui, vėdinimui, vėsinimui ir apšvietimui; pastato energijos vartojimo efektyvumo rodiklio C</w:t>
                  </w:r>
                  <w:r>
                    <w:rPr>
                      <w:rFonts w:eastAsia="Calibri"/>
                      <w:szCs w:val="24"/>
                      <w:vertAlign w:val="subscript"/>
                    </w:rPr>
                    <w:t>2</w:t>
                  </w:r>
                  <w:r>
                    <w:rPr>
                      <w:rFonts w:eastAsia="Calibri"/>
                      <w:szCs w:val="24"/>
                    </w:rPr>
                    <w:t xml:space="preserve"> vertę, apibūdinančią pirminės neatsinaujinančios energijos vartojimo efektyvumą karštam buitiniam vandeniui ruošti; pastato atitvarų skaičiuojamųjų savitųjų šilumos nuostolių; mechaninio vėdinimo su rekuperacija sistemos techninių rodiklių; pastato pertvarų ir tarpaukštinių perdenginių šilumines savybes; pastato sandarumo; šiluminės energijos sąnaudas pastatui šildyti; ilginių šiluminių tiltelių šilumos perdavimo koeficientų nustatymo būdą; pastate sunaudojamos energijos dalį iš atsinaujinančių išteklių.</w:t>
                  </w:r>
                </w:p>
              </w:sdtContent>
            </w:sdt>
            <w:sdt>
              <w:sdtPr>
                <w:alias w:val="13 p."/>
                <w:tag w:val="part_d565bf3dd4bd457c9037bc031dc6058d"/>
                <w:lock w:val="sdtLocked"/>
                <w:richText/>
              </w:sdtPr>
              <w:sdtContent>
                <w:p>
                  <w:pPr>
                    <w:ind w:firstLine="567"/>
                    <w:jc w:val="both"/>
                    <w:rPr>
                      <w:rFonts w:eastAsia="Calibri"/>
                      <w:szCs w:val="24"/>
                    </w:rPr>
                  </w:pPr>
                  <w:sdt>
                    <w:sdtPr>
                      <w:alias w:val="Numeris"/>
                      <w:tag w:val="nr_d565bf3dd4bd457c9037bc031dc6058d"/>
                      <w:lock w:val="sdtLocked"/>
                      <w:richText/>
                    </w:sdtPr>
                    <w:sdtContent>
                      <w:r>
                        <w:rPr>
                          <w:rFonts w:eastAsia="Calibri"/>
                          <w:szCs w:val="24"/>
                        </w:rPr>
                        <w:t>13</w:t>
                      </w:r>
                    </w:sdtContent>
                  </w:sdt>
                  <w:r>
                    <w:rPr>
                      <w:rFonts w:eastAsia="Calibri"/>
                      <w:szCs w:val="24"/>
                    </w:rPr>
                    <w:t xml:space="preserve">. F ir G energinio naudingumo klasės pastatai (jų dalys) turi atitikti 15 punkte nustatytus reikalavimus pastato energijos vartojimo efektyvumo rodiklio </w:t>
                  </w:r>
                  <w:r>
                    <w:rPr>
                      <w:rFonts w:eastAsia="Calibri"/>
                      <w:i/>
                      <w:szCs w:val="24"/>
                    </w:rPr>
                    <w:t>C</w:t>
                  </w:r>
                  <w:r>
                    <w:rPr>
                      <w:rFonts w:eastAsia="Calibri"/>
                      <w:i/>
                      <w:szCs w:val="24"/>
                      <w:vertAlign w:val="subscript"/>
                    </w:rPr>
                    <w:t>1</w:t>
                  </w:r>
                  <w:r>
                    <w:rPr>
                      <w:rFonts w:eastAsia="Calibri"/>
                      <w:szCs w:val="24"/>
                    </w:rPr>
                    <w:t xml:space="preserve"> vertei.</w:t>
                  </w:r>
                </w:p>
              </w:sdtContent>
            </w:sdt>
            <w:sdt>
              <w:sdtPr>
                <w:alias w:val="14 p."/>
                <w:tag w:val="part_d76e1e0ca10a4fb7a1eeb9c75505dfce"/>
                <w:lock w:val="sdtLocked"/>
                <w:richText/>
              </w:sdtPr>
              <w:sdtContent>
                <w:p>
                  <w:pPr>
                    <w:tabs>
                      <w:tab w:val="left" w:pos="567"/>
                    </w:tabs>
                    <w:suppressAutoHyphens/>
                    <w:ind w:firstLine="567"/>
                    <w:jc w:val="both"/>
                    <w:rPr>
                      <w:rFonts w:eastAsia="Calibri"/>
                      <w:szCs w:val="24"/>
                      <w:lang w:eastAsia="lt-LT"/>
                    </w:rPr>
                  </w:pPr>
                  <w:sdt>
                    <w:sdtPr>
                      <w:alias w:val="Numeris"/>
                      <w:tag w:val="nr_d76e1e0ca10a4fb7a1eeb9c75505dfce"/>
                      <w:lock w:val="sdtLocked"/>
                      <w:richText/>
                    </w:sdtPr>
                    <w:sdtContent>
                      <w:r>
                        <w:rPr>
                          <w:szCs w:val="24"/>
                          <w:lang w:eastAsia="lt-LT"/>
                        </w:rPr>
                        <w:t>14</w:t>
                      </w:r>
                    </w:sdtContent>
                  </w:sdt>
                  <w:r>
                    <w:rPr>
                      <w:szCs w:val="24"/>
                      <w:lang w:eastAsia="lt-LT"/>
                    </w:rPr>
                    <w:t xml:space="preserve">. </w:t>
                  </w:r>
                  <w:r>
                    <w:rPr>
                      <w:rFonts w:eastAsia="Calibri"/>
                      <w:szCs w:val="24"/>
                      <w:lang w:eastAsia="lt-LT"/>
                    </w:rPr>
                    <w:t>E, D, C, B, A, A+ ir A++ energinio naudingumo klasės pastatams (jų dalims) priskiriamos, jei atitinka visus 1 lentelėje išvardintus reikalavimus:</w:t>
                  </w:r>
                </w:p>
                <w:p>
                  <w:pPr>
                    <w:tabs>
                      <w:tab w:val="left" w:pos="567"/>
                    </w:tabs>
                    <w:suppressAutoHyphens/>
                    <w:jc w:val="both"/>
                    <w:rPr>
                      <w:rFonts w:eastAsia="Calibri"/>
                      <w:szCs w:val="22"/>
                      <w:lang w:eastAsia="lt-LT"/>
                    </w:rPr>
                  </w:pPr>
                </w:p>
                <w:p>
                  <w:pPr>
                    <w:tabs>
                      <w:tab w:val="left" w:pos="567"/>
                    </w:tabs>
                    <w:suppressAutoHyphens/>
                    <w:jc w:val="center"/>
                    <w:rPr>
                      <w:b/>
                      <w:bCs/>
                      <w:lang w:eastAsia="lt-LT"/>
                    </w:rPr>
                  </w:pPr>
                  <w:r>
                    <w:rPr>
                      <w:b/>
                      <w:bCs/>
                      <w:lang w:eastAsia="lt-LT"/>
                    </w:rPr>
                    <w:t>Reikalavimai E, D, C, B, A, A+ ir A++ energinio naudingumo klasės pastatams (jų dalims)</w:t>
                  </w:r>
                </w:p>
                <w:p>
                  <w:pPr>
                    <w:tabs>
                      <w:tab w:val="left" w:pos="567"/>
                    </w:tabs>
                    <w:suppressAutoHyphens/>
                    <w:ind w:firstLine="567"/>
                    <w:jc w:val="right"/>
                    <w:rPr>
                      <w:rFonts w:eastAsia="Calibri"/>
                      <w:szCs w:val="24"/>
                      <w:lang w:eastAsia="lt-LT"/>
                    </w:rPr>
                  </w:pPr>
                  <w:r>
                    <w:rPr>
                      <w:rFonts w:eastAsia="Calibri"/>
                      <w:szCs w:val="24"/>
                      <w:lang w:eastAsia="lt-LT"/>
                    </w:rPr>
                    <w:t>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
                    <w:gridCol w:w="3194"/>
                    <w:gridCol w:w="5846"/>
                  </w:tblGrid>
                  <w:tr>
                    <w:trPr>
                      <w:cantSplit/>
                    </w:trPr>
                    <w:tc>
                      <w:tcPr>
                        <w:tcW w:w="347"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Eil. Nr.</w:t>
                        </w:r>
                      </w:p>
                    </w:tc>
                    <w:tc>
                      <w:tcPr>
                        <w:tcW w:w="1644"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rFonts w:eastAsia="Calibri"/>
                            <w:szCs w:val="24"/>
                            <w:lang w:eastAsia="lt-LT"/>
                          </w:rPr>
                          <w:t>Pastatų (jų dalių) energinio naudingumo klasė</w:t>
                        </w:r>
                      </w:p>
                    </w:tc>
                    <w:tc>
                      <w:tcPr>
                        <w:tcW w:w="300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rFonts w:eastAsia="Calibri"/>
                            <w:szCs w:val="24"/>
                            <w:lang w:eastAsia="lt-LT"/>
                          </w:rPr>
                          <w:t>Reikalavimai atitinkamos energinio naudingumo klasės pastatams (jų dalims)</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1.</w:t>
                        </w:r>
                      </w:p>
                    </w:tc>
                    <w:tc>
                      <w:tcPr>
                        <w:tcW w:w="1644"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E klasės pastatai (jų dalys)</w:t>
                        </w: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1.1.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1.2. pastato (jo dalies) atitvarų skaičiuojamieji savitieji šilumos nuostoliai turi atitikti Reglamento 2 priedo 84 punkto reikalavimus</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2.</w:t>
                        </w:r>
                      </w:p>
                    </w:tc>
                    <w:tc>
                      <w:tcPr>
                        <w:tcW w:w="1644"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D klasės pastatai (jų dalys)</w:t>
                        </w: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2.1.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2.2. pastato (jo dalies) atitvarų skaičiuojamieji savitieji šilumos nuostoliai turi atitikti Reglamento 2 priedo 84 punkto reikalavimus</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3.</w:t>
                        </w:r>
                      </w:p>
                    </w:tc>
                    <w:tc>
                      <w:tcPr>
                        <w:tcW w:w="1644"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C klasės pastatai (jų dalys)</w:t>
                        </w: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3.1. pastato (jo dalies) energijos vartojimo efektyvumo rodiklio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vertė turi atitikti Reglamento 15 punkto reikalavimus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3.2. pastato (jo dalies) atitvarų skaičiuojamieji savitieji šilumos nuostoliai turi atitikti Reglamento 2 priedo 85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3.3. pastato (jo dalies) sandarumas turi atitikti Reglamento X skyriaus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3.4. pastato pirminės energijos sąnaudos turi atitikti Reglamento 2 priedo XXIX skyriaus 93.2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3.5. pastatuose suvartojamas suminis atsinaujinančios pirminės energijos kiekis turi sudaryti ne mažiau kaip 25 % pastatui šildyti suvartojamos neatsinaujinančios pirminės energijos kiekio</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4.</w:t>
                        </w:r>
                      </w:p>
                    </w:tc>
                    <w:tc>
                      <w:tcPr>
                        <w:tcW w:w="1644" w:type="pct"/>
                        <w:vMerge w:val="restar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jc w:val="both"/>
                          <w:rPr>
                            <w:rFonts w:eastAsia="Calibri"/>
                            <w:szCs w:val="24"/>
                            <w:lang w:eastAsia="lt-LT"/>
                          </w:rPr>
                        </w:pPr>
                        <w:r>
                          <w:rPr>
                            <w:rFonts w:eastAsia="Calibri"/>
                            <w:szCs w:val="24"/>
                            <w:lang w:eastAsia="lt-LT"/>
                          </w:rPr>
                          <w:t>B klasės pastatai (jų dalys)</w:t>
                        </w:r>
                      </w:p>
                      <w:p>
                        <w:pPr>
                          <w:tabs>
                            <w:tab w:val="left" w:pos="567"/>
                          </w:tabs>
                          <w:suppressAutoHyphens/>
                          <w:spacing w:line="276" w:lineRule="auto"/>
                          <w:jc w:val="both"/>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4.1.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 </w:t>
                        </w:r>
                      </w:p>
                    </w:tc>
                  </w:tr>
                  <w:tr>
                    <w:trPr>
                      <w:trHeight w:val="964"/>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4.2. pastato (jo dalies) atitvarų skaičiuojamieji savitieji šilumos nuostoliai turi atitikti Reglamento 2 priedo 85 punkto reikalavimus</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4.3. pastato (jo dalies) sandarumas turi atitikti Reglamento X skyriaus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4.4. šiluminės energijos sąnaudos pastatui (jo daliai) šildyti turi atitikti Reglamento 2 priedo XXIX skyriaus 93.1 punkto</w:t>
                        </w:r>
                        <w:r>
                          <w:rPr>
                            <w:rFonts w:eastAsia="Calibri"/>
                            <w:color w:val="FF0000"/>
                            <w:szCs w:val="24"/>
                            <w:lang w:eastAsia="lt-LT"/>
                          </w:rPr>
                          <w:t xml:space="preserve"> </w:t>
                        </w:r>
                        <w:r>
                          <w:rPr>
                            <w:rFonts w:eastAsia="Calibri"/>
                            <w:szCs w:val="24"/>
                            <w:lang w:eastAsia="lt-LT"/>
                          </w:rPr>
                          <w:t xml:space="preserve">reikalavimus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4.5. pastato pirminės energijos sąnaudos turi atitikti Reglamento 2 priedo XXIX skyriaus 93.2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4.6. pastatuose suvartojamas suminis atsinaujinančios pirminės energijos kiekis turi sudaryti ne mažiau kaip 30 % pastatui šildyti suvartojamos neatsinaujinančios pirminės energijos kiekio</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5.</w:t>
                        </w:r>
                      </w:p>
                    </w:tc>
                    <w:tc>
                      <w:tcPr>
                        <w:tcW w:w="1644" w:type="pct"/>
                        <w:vMerge w:val="restar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rPr>
                            <w:rFonts w:eastAsia="Calibri"/>
                            <w:szCs w:val="24"/>
                            <w:lang w:eastAsia="lt-LT"/>
                          </w:rPr>
                        </w:pPr>
                        <w:r>
                          <w:rPr>
                            <w:rFonts w:eastAsia="Calibri"/>
                            <w:szCs w:val="24"/>
                            <w:lang w:eastAsia="lt-LT"/>
                          </w:rPr>
                          <w:t>A klasės pastatai (jų dalys)</w:t>
                        </w:r>
                      </w:p>
                      <w:p>
                        <w:pPr>
                          <w:tabs>
                            <w:tab w:val="left" w:pos="567"/>
                          </w:tabs>
                          <w:suppressAutoHyphens/>
                          <w:spacing w:line="276" w:lineRule="auto"/>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5.1.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5.2. pastato (jo dalies) atitvarų skaičiuojamieji savitieji šilumos nuostoliai turi atitikti Reglamento 2 priedo 86 punkto reikalavimus</w:t>
                        </w:r>
                      </w:p>
                    </w:tc>
                  </w:tr>
                  <w:tr>
                    <w:trPr>
                      <w:trHeight w:val="253"/>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5.3. jei pastate (jo dalyje) įrengta mechaninio vėdinimo su rekuperacija sistema, rekuperatoriaus naudingumo koeficientas turi būti ne mažesnis už 0,65, o rekuperatoriaus ventiliatorių naudojamas elektros energijos kiekis neturi viršyti 0,75 Wh/m³. </w:t>
                        </w:r>
                        <w:r>
                          <w:rPr>
                            <w:szCs w:val="24"/>
                            <w:lang w:eastAsia="lt-LT"/>
                          </w:rPr>
                          <w:t>Šis reikalavimas netaikomas sandėliavimo, garažų, gamybos ir pramonės paskirties pastatams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5.4. pastato (jo dalių) pertvarų ir tarpaukštinių perdenginių šiluminės savybės turi atitikti Reglamento IX skyriaus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5.5. pastato (jo dalies) sandarumas turi atitikti Reglamento X skyriaus reikalavimus</w:t>
                        </w:r>
                      </w:p>
                    </w:tc>
                  </w:tr>
                  <w:tr>
                    <w:trPr>
                      <w:trHeight w:val="956"/>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5.6. šiluminės energijos sąnaudos pastatui (jo daliai) šildyti turi atitikti Reglamento 2 priedo XXIX skyriaus 93.1 punkto reikalavimus</w:t>
                        </w:r>
                      </w:p>
                    </w:tc>
                  </w:tr>
                  <w:tr>
                    <w:trPr>
                      <w:trHeight w:val="956"/>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5.7. pastato pirminės energijos sąnaudos turi atitikti Reglamento 2 priedo XXIX skyriaus 93.2 punkto reikalavimus</w:t>
                        </w:r>
                      </w:p>
                    </w:tc>
                  </w:tr>
                  <w:tr>
                    <w:trPr>
                      <w:trHeight w:val="418"/>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5.8. pastatuose suvartojamas suminis atsinaujinančios pirminės energijos kiekis turi sudaryti ne mažiau kaip 35 % pastatui šildyti suvartojamos neatsinaujinančios pirminės energijos kiekio</w:t>
                        </w:r>
                      </w:p>
                    </w:tc>
                  </w:tr>
                  <w:tr>
                    <w:trPr>
                      <w:trHeight w:val="485"/>
                    </w:trP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6.</w:t>
                        </w:r>
                      </w:p>
                    </w:tc>
                    <w:tc>
                      <w:tcPr>
                        <w:tcW w:w="1644"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A+ klasės pastatai (jų dalys)</w:t>
                        </w: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6.1.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6.2. pastato (jo dalies) atitvarų skaičiuojamieji savitieji šilumos nuostoliai turi atitikti Reglamento 2 priedo 87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6.3. jei pastate (jo dalyje) įrengta mechaninio vėdinimo su rekuperacija sistema, rekuperatoriaus naudingumo koeficientas turi būti ne mažesnis už 0,75 (išskyrus atskirų srautų rekuperatorius, jų naudingumo koeficientas turi būti ne mažesnis kaip 0,68)*, o rekuperatoriaus ventiliatorių naudojamas elektros energijos kiekis neturi viršyti 0,55 Wh/m³. </w:t>
                        </w:r>
                        <w:r>
                          <w:rPr>
                            <w:szCs w:val="24"/>
                            <w:lang w:eastAsia="lt-LT"/>
                          </w:rPr>
                          <w:t>Šis reikalavimas netaikomas sandėliavimo, garažų, gamybos ir pramonės paskirties pastatams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6.4. pastato (jo dalių) pertvarų ir tarpaukštinių perdenginių šiluminės savybės turi atitikti Reglamento IX skyriaus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6.5. pastato (jo dalies) sandarumas turi atitikti Reglamento X skyriaus reikalavimus</w:t>
                        </w:r>
                      </w:p>
                    </w:tc>
                  </w:tr>
                  <w:tr>
                    <w:trPr>
                      <w:trHeight w:val="861"/>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6.6. šiluminės energijos sąnaudos pastatui (jo daliai) šildyti turi atitikti Reglamento 2 priedo XXIX skyriaus 93.1 punkto reikalavimus</w:t>
                        </w:r>
                      </w:p>
                    </w:tc>
                  </w:tr>
                  <w:tr>
                    <w:trPr>
                      <w:trHeight w:val="861"/>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6.7. pastato pirminės energijos sąnaudos turi atitikti Reglamento 2 priedo XXIX skyriaus 93.2 punkto reikalavimus</w:t>
                        </w:r>
                      </w:p>
                    </w:tc>
                  </w:tr>
                  <w:tr>
                    <w:trPr>
                      <w:trHeight w:val="861"/>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6.8. pastatuose suvartojamas suminis atsinaujinančios pirminės energijos kiekis turi sudaryti ne mažiau kaip 40 % pastatui šildyti suvartojamos neatsinaujinančios pirminės energijos kiekio</w:t>
                        </w:r>
                      </w:p>
                    </w:tc>
                  </w:tr>
                  <w:tr>
                    <w:tc>
                      <w:tcPr>
                        <w:tcW w:w="347"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szCs w:val="24"/>
                            <w:lang w:eastAsia="lt-LT"/>
                          </w:rPr>
                        </w:pPr>
                        <w:r>
                          <w:rPr>
                            <w:rFonts w:eastAsia="Calibri"/>
                            <w:szCs w:val="24"/>
                            <w:lang w:eastAsia="lt-LT"/>
                          </w:rPr>
                          <w:t>7.</w:t>
                        </w:r>
                      </w:p>
                    </w:tc>
                    <w:tc>
                      <w:tcPr>
                        <w:tcW w:w="1644" w:type="pct"/>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Energijos beveik nevartojantys pastatai (jų dalys), t. y. A++ klasės pastatai (jų dalys)</w:t>
                        </w: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7.1. pastato (jo dalies) energijos vartojimo efektyvumo rodiklių </w:t>
                        </w:r>
                        <w:r>
                          <w:rPr>
                            <w:rFonts w:eastAsia="Calibri"/>
                            <w:i/>
                            <w:szCs w:val="24"/>
                            <w:lang w:eastAsia="lt-LT"/>
                          </w:rPr>
                          <w:t>C</w:t>
                        </w:r>
                        <w:r>
                          <w:rPr>
                            <w:rFonts w:eastAsia="Calibri"/>
                            <w:i/>
                            <w:szCs w:val="24"/>
                            <w:vertAlign w:val="subscript"/>
                            <w:lang w:eastAsia="lt-LT"/>
                          </w:rPr>
                          <w:t>1</w:t>
                        </w:r>
                        <w:r>
                          <w:rPr>
                            <w:rFonts w:eastAsia="Calibri"/>
                            <w:szCs w:val="24"/>
                            <w:lang w:eastAsia="lt-LT"/>
                          </w:rPr>
                          <w:t xml:space="preserve"> ir </w:t>
                        </w:r>
                        <w:r>
                          <w:rPr>
                            <w:rFonts w:eastAsia="Calibri"/>
                            <w:i/>
                            <w:szCs w:val="24"/>
                            <w:lang w:eastAsia="lt-LT"/>
                          </w:rPr>
                          <w:t>C</w:t>
                        </w:r>
                        <w:r>
                          <w:rPr>
                            <w:rFonts w:eastAsia="Calibri"/>
                            <w:i/>
                            <w:szCs w:val="24"/>
                            <w:vertAlign w:val="subscript"/>
                            <w:lang w:eastAsia="lt-LT"/>
                          </w:rPr>
                          <w:t>2</w:t>
                        </w:r>
                        <w:r>
                          <w:rPr>
                            <w:rFonts w:eastAsia="Calibri"/>
                            <w:szCs w:val="24"/>
                            <w:lang w:eastAsia="lt-LT"/>
                          </w:rPr>
                          <w:t xml:space="preserve"> vertės turi atitikti Reglamento 15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7.2. pastato (jo dalies) atitvarų skaičiuojamieji savitieji šilumos nuostoliai turi atitikti Reglamento 2 priedo 88 punkto reikalavimus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 xml:space="preserve">7.3. jei pastate (jo dalyje) įrengta mechaninio vėdinimo su rekuperacija sistema, rekuperatoriaus naudingumo koeficientas turi būti ne mažesnis už 0,80 (išskyrus atskirų srautų rekuperatorius, jų naudingumo koeficientas turi būti ne mažesnis kaip 0,68)*, o rekuperatoriaus ventiliatorių naudojamas elektros energijos kiekis neturi viršyti 0,45 Wh/m³. </w:t>
                        </w:r>
                        <w:r>
                          <w:rPr>
                            <w:szCs w:val="24"/>
                            <w:lang w:eastAsia="lt-LT"/>
                          </w:rPr>
                          <w:t>Šis reikalavimas netaikomas sandėliavimo, garažų, gamybos ir pramonės paskirties pastatams</w:t>
                        </w:r>
                      </w:p>
                    </w:tc>
                  </w:tr>
                  <w:tr>
                    <w:trPr>
                      <w:trHeight w:val="373"/>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7.4. pastato (jo dalių) pertvarų ir tarpaukštinių perdenginių šiluminės savybės turi atitikti Reglamento IX skyriaus reikalavimus</w:t>
                        </w:r>
                      </w:p>
                    </w:tc>
                  </w:tr>
                  <w:tr>
                    <w:trPr>
                      <w:trHeight w:val="347"/>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7.5. pastato (jo dalies) sandarumas turi atitikti Reglamento X skyriaus reikalavimus</w:t>
                        </w:r>
                      </w:p>
                    </w:tc>
                  </w:tr>
                  <w:tr>
                    <w:trPr>
                      <w:trHeight w:val="943"/>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7.6. šiluminės energijos sąnaudos pastatui (jo daliai) šildyti turi atitikti Reglamento 2 priedo XXIX skyriaus 93.1 punkto</w:t>
                        </w:r>
                        <w:r>
                          <w:rPr>
                            <w:rFonts w:eastAsia="Calibri"/>
                            <w:b/>
                            <w:szCs w:val="24"/>
                            <w:lang w:eastAsia="lt-LT"/>
                          </w:rPr>
                          <w:t xml:space="preserve"> </w:t>
                        </w:r>
                        <w:r>
                          <w:rPr>
                            <w:rFonts w:eastAsia="Calibri"/>
                            <w:szCs w:val="24"/>
                            <w:lang w:eastAsia="lt-LT"/>
                          </w:rPr>
                          <w:t>reikalavimus</w:t>
                        </w:r>
                      </w:p>
                    </w:tc>
                  </w:tr>
                  <w:tr>
                    <w:trPr>
                      <w:trHeight w:val="347"/>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7.8. pastate (jo dalyje) sunaudota energijos dalis iš atsinaujinančių išteklių turi atitikti Reglamento 2 priedo 89 punkto reikalavimus, t. y. didžiąją sunaudojamos energijos dalį turi sudaryti atsinaujinančių išteklių energija</w:t>
                        </w:r>
                      </w:p>
                    </w:tc>
                  </w:tr>
                  <w:tr>
                    <w:trPr>
                      <w:trHeight w:val="347"/>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rPr>
                            <w:rFonts w:eastAsia="Calibri"/>
                            <w:szCs w:val="24"/>
                            <w:lang w:eastAsia="lt-LT"/>
                          </w:rPr>
                        </w:pPr>
                      </w:p>
                    </w:tc>
                    <w:tc>
                      <w:tcPr>
                        <w:tcW w:w="300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rFonts w:eastAsia="Calibri"/>
                            <w:szCs w:val="24"/>
                            <w:lang w:eastAsia="lt-LT"/>
                          </w:rPr>
                          <w:t>7.9. pastato pirminės energijos sąnaudos turi atitikti Reglamento 2 priedo XXIX skyriaus 93.2 punkto reikalavimus</w:t>
                        </w:r>
                      </w:p>
                    </w:tc>
                  </w:tr>
                </w:tbl>
                <w:p/>
                <w:p>
                  <w:pPr>
                    <w:tabs>
                      <w:tab w:val="left" w:pos="567"/>
                    </w:tabs>
                    <w:suppressAutoHyphens/>
                    <w:jc w:val="both"/>
                  </w:pPr>
                  <w:r>
                    <w:rPr>
                      <w:rFonts w:eastAsia="Calibri"/>
                      <w:b/>
                      <w:szCs w:val="24"/>
                      <w:lang w:eastAsia="lt-LT"/>
                    </w:rPr>
                    <w:t xml:space="preserve">* </w:t>
                  </w:r>
                  <w:r>
                    <w:rPr>
                      <w:rFonts w:eastAsia="Calibri"/>
                      <w:szCs w:val="24"/>
                      <w:lang w:eastAsia="lt-LT"/>
                    </w:rPr>
                    <w:t>pastate (jo dalyje), kurio mikroklimatui ir oro kokybei keliami specialūs higienos reikalavimai, galima įrengti atskirų srautų rekuperatorių.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09efa0fecf11e99681cd81dcdca52c">
                    <w:r w:rsidRPr="00532B9F">
                      <w:rPr>
                        <w:rFonts w:ascii="Times New Roman" w:eastAsia="MS Mincho" w:hAnsi="Times New Roman"/>
                        <w:sz w:val="20"/>
                        <w:i/>
                        <w:iCs/>
                        <w:color w:val="0000FF" w:themeColor="hyperlink"/>
                        <w:u w:val="single"/>
                      </w:rPr>
                      <w:t>D1-648</w:t>
                    </w:r>
                  </w:fldSimple>
                  <w:r>
                    <w:rPr>
                      <w:rFonts w:ascii="Times New Roman" w:eastAsia="MS Mincho" w:hAnsi="Times New Roman"/>
                      <w:sz w:val="20"/>
                      <w:i/>
                      <w:iCs/>
                    </w:rPr>
                    <w:t>,
2019-10-29,
paskelbta TAR 2019-11-04, i. k. 2019-17486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15 p."/>
                <w:tag w:val="part_bd429330887c4189ad04fd551c77bd78"/>
                <w:lock w:val="sdtLocked"/>
                <w:richText/>
              </w:sdtPr>
              <w:sdtContent>
                <w:p>
                  <w:pPr>
                    <w:suppressAutoHyphens/>
                    <w:ind w:firstLine="567"/>
                    <w:jc w:val="both"/>
                    <w:rPr>
                      <w:color w:val="000000"/>
                      <w:szCs w:val="24"/>
                      <w:lang w:eastAsia="lt-LT"/>
                    </w:rPr>
                  </w:pPr>
                  <w:sdt>
                    <w:sdtPr>
                      <w:alias w:val="Numeris"/>
                      <w:tag w:val="nr_bd429330887c4189ad04fd551c77bd78"/>
                      <w:lock w:val="sdtLocked"/>
                      <w:richText/>
                    </w:sdtPr>
                    <w:sdtContent>
                      <w:r>
                        <w:rPr>
                          <w:szCs w:val="24"/>
                          <w:lang w:eastAsia="lt-LT"/>
                        </w:rPr>
                        <w:t>15</w:t>
                      </w:r>
                    </w:sdtContent>
                  </w:sdt>
                  <w:r>
                    <w:rPr>
                      <w:szCs w:val="24"/>
                      <w:lang w:eastAsia="lt-LT"/>
                    </w:rPr>
                    <w:t xml:space="preserve">. </w:t>
                  </w:r>
                  <w:r>
                    <w:rPr>
                      <w:color w:val="000000"/>
                      <w:szCs w:val="24"/>
                      <w:lang w:eastAsia="lt-LT"/>
                    </w:rPr>
                    <w:t>Atitinkamos energinio naudingumo klasės pastato (jo dalies) energijos vartojimo efektyvumo rodiklių C</w:t>
                  </w:r>
                  <w:r>
                    <w:rPr>
                      <w:color w:val="000000"/>
                      <w:szCs w:val="24"/>
                      <w:vertAlign w:val="subscript"/>
                      <w:lang w:eastAsia="lt-LT"/>
                    </w:rPr>
                    <w:t>1 </w:t>
                  </w:r>
                  <w:r>
                    <w:rPr>
                      <w:color w:val="000000"/>
                      <w:szCs w:val="24"/>
                      <w:lang w:eastAsia="lt-LT"/>
                    </w:rPr>
                    <w:t>ir C</w:t>
                  </w:r>
                  <w:r>
                    <w:rPr>
                      <w:color w:val="000000"/>
                      <w:szCs w:val="24"/>
                      <w:vertAlign w:val="subscript"/>
                      <w:lang w:eastAsia="lt-LT"/>
                    </w:rPr>
                    <w:t>2</w:t>
                  </w:r>
                  <w:r>
                    <w:rPr>
                      <w:color w:val="000000"/>
                      <w:szCs w:val="24"/>
                      <w:lang w:eastAsia="lt-LT"/>
                    </w:rPr>
                    <w:t> vertės turi atitikti šiuos reikalavimus:</w:t>
                  </w:r>
                </w:p>
                <w:sdt>
                  <w:sdtPr>
                    <w:alias w:val="15.1 pp."/>
                    <w:tag w:val="part_6be0feb49be04feeb7d81ae769fd736e"/>
                    <w:lock w:val="sdtLocked"/>
                    <w:richText/>
                  </w:sdtPr>
                  <w:sdtContent>
                    <w:p>
                      <w:pPr>
                        <w:ind w:left="709"/>
                        <w:jc w:val="both"/>
                        <w:rPr>
                          <w:color w:val="000000"/>
                          <w:szCs w:val="24"/>
                          <w:lang w:eastAsia="lt-LT"/>
                        </w:rPr>
                      </w:pPr>
                      <w:sdt>
                        <w:sdtPr>
                          <w:alias w:val="Numeris"/>
                          <w:tag w:val="nr_6be0feb49be04feeb7d81ae769fd736e"/>
                          <w:lock w:val="sdtLocked"/>
                          <w:richText/>
                        </w:sdtPr>
                        <w:sdtContent>
                          <w:r>
                            <w:rPr>
                              <w:color w:val="000000"/>
                              <w:szCs w:val="24"/>
                              <w:lang w:eastAsia="lt-LT"/>
                            </w:rPr>
                            <w:t>15.1</w:t>
                          </w:r>
                        </w:sdtContent>
                      </w:sdt>
                      <w:r>
                        <w:rPr>
                          <w:color w:val="000000"/>
                          <w:szCs w:val="24"/>
                          <w:lang w:eastAsia="lt-LT"/>
                        </w:rPr>
                        <w:t>. A++ klasės: </w:t>
                      </w:r>
                      <w:r>
                        <w:rPr>
                          <w:i/>
                          <w:iCs/>
                          <w:color w:val="000000"/>
                          <w:szCs w:val="24"/>
                          <w:lang w:eastAsia="lt-LT"/>
                        </w:rPr>
                        <w:t>C</w:t>
                      </w:r>
                      <w:r>
                        <w:rPr>
                          <w:i/>
                          <w:iCs/>
                          <w:color w:val="000000"/>
                          <w:szCs w:val="24"/>
                          <w:vertAlign w:val="subscript"/>
                          <w:lang w:eastAsia="lt-LT"/>
                        </w:rPr>
                        <w:t>1</w:t>
                      </w:r>
                      <w:r>
                        <w:rPr>
                          <w:color w:val="000000"/>
                          <w:szCs w:val="24"/>
                          <w:lang w:eastAsia="lt-LT"/>
                        </w:rPr>
                        <w:t>&lt;0,30 ir </w:t>
                      </w:r>
                      <w:r>
                        <w:rPr>
                          <w:i/>
                          <w:iCs/>
                          <w:color w:val="000000"/>
                          <w:szCs w:val="24"/>
                          <w:lang w:eastAsia="lt-LT"/>
                        </w:rPr>
                        <w:t>C</w:t>
                      </w:r>
                      <w:r>
                        <w:rPr>
                          <w:i/>
                          <w:iCs/>
                          <w:color w:val="000000"/>
                          <w:szCs w:val="24"/>
                          <w:vertAlign w:val="subscript"/>
                          <w:lang w:eastAsia="lt-LT"/>
                        </w:rPr>
                        <w:t>2</w:t>
                      </w:r>
                      <w:r>
                        <w:rPr>
                          <w:color w:val="000000"/>
                          <w:szCs w:val="24"/>
                          <w:lang w:eastAsia="lt-LT"/>
                        </w:rPr>
                        <w:t> ≤ 0,70;</w:t>
                      </w:r>
                    </w:p>
                  </w:sdtContent>
                </w:sdt>
                <w:sdt>
                  <w:sdtPr>
                    <w:alias w:val="15.2 pp."/>
                    <w:tag w:val="part_2e2d9df364294d3c8263306bb0d6cc27"/>
                    <w:lock w:val="sdtLocked"/>
                    <w:richText/>
                  </w:sdtPr>
                  <w:sdtContent>
                    <w:p>
                      <w:pPr>
                        <w:ind w:left="709"/>
                        <w:jc w:val="both"/>
                        <w:rPr>
                          <w:color w:val="000000"/>
                          <w:szCs w:val="24"/>
                          <w:lang w:eastAsia="lt-LT"/>
                        </w:rPr>
                      </w:pPr>
                      <w:sdt>
                        <w:sdtPr>
                          <w:alias w:val="Numeris"/>
                          <w:tag w:val="nr_2e2d9df364294d3c8263306bb0d6cc27"/>
                          <w:lock w:val="sdtLocked"/>
                          <w:richText/>
                        </w:sdtPr>
                        <w:sdtContent>
                          <w:r>
                            <w:rPr>
                              <w:color w:val="000000"/>
                              <w:szCs w:val="24"/>
                              <w:lang w:eastAsia="lt-LT"/>
                            </w:rPr>
                            <w:t>15.2</w:t>
                          </w:r>
                        </w:sdtContent>
                      </w:sdt>
                      <w:r>
                        <w:rPr>
                          <w:color w:val="000000"/>
                          <w:szCs w:val="24"/>
                          <w:lang w:eastAsia="lt-LT"/>
                        </w:rPr>
                        <w:t>. A+ klasės: </w:t>
                      </w:r>
                      <w:r>
                        <w:rPr>
                          <w:i/>
                          <w:iCs/>
                          <w:color w:val="000000"/>
                          <w:szCs w:val="24"/>
                          <w:lang w:eastAsia="lt-LT"/>
                        </w:rPr>
                        <w:t>C</w:t>
                      </w:r>
                      <w:r>
                        <w:rPr>
                          <w:i/>
                          <w:iCs/>
                          <w:color w:val="000000"/>
                          <w:szCs w:val="24"/>
                          <w:vertAlign w:val="subscript"/>
                          <w:lang w:eastAsia="lt-LT"/>
                        </w:rPr>
                        <w:t>1</w:t>
                      </w:r>
                      <w:r>
                        <w:rPr>
                          <w:color w:val="000000"/>
                          <w:szCs w:val="24"/>
                          <w:lang w:eastAsia="lt-LT"/>
                        </w:rPr>
                        <w:t>&lt;0,50 ir </w:t>
                      </w:r>
                      <w:r>
                        <w:rPr>
                          <w:i/>
                          <w:iCs/>
                          <w:color w:val="000000"/>
                          <w:szCs w:val="24"/>
                          <w:lang w:eastAsia="lt-LT"/>
                        </w:rPr>
                        <w:t>C</w:t>
                      </w:r>
                      <w:r>
                        <w:rPr>
                          <w:i/>
                          <w:iCs/>
                          <w:color w:val="000000"/>
                          <w:szCs w:val="24"/>
                          <w:vertAlign w:val="subscript"/>
                          <w:lang w:eastAsia="lt-LT"/>
                        </w:rPr>
                        <w:t>2</w:t>
                      </w:r>
                      <w:r>
                        <w:rPr>
                          <w:color w:val="000000"/>
                          <w:szCs w:val="24"/>
                          <w:lang w:eastAsia="lt-LT"/>
                        </w:rPr>
                        <w:t> ≤ 0,80;</w:t>
                      </w:r>
                    </w:p>
                  </w:sdtContent>
                </w:sdt>
                <w:sdt>
                  <w:sdtPr>
                    <w:alias w:val="15.3 pp."/>
                    <w:tag w:val="part_b938ed7e80214277838a79534c4945bf"/>
                    <w:lock w:val="sdtLocked"/>
                    <w:richText/>
                  </w:sdtPr>
                  <w:sdtContent>
                    <w:p>
                      <w:pPr>
                        <w:ind w:left="709"/>
                        <w:jc w:val="both"/>
                        <w:rPr>
                          <w:color w:val="000000"/>
                          <w:szCs w:val="24"/>
                          <w:lang w:eastAsia="lt-LT"/>
                        </w:rPr>
                      </w:pPr>
                      <w:sdt>
                        <w:sdtPr>
                          <w:alias w:val="Numeris"/>
                          <w:tag w:val="nr_b938ed7e80214277838a79534c4945bf"/>
                          <w:lock w:val="sdtLocked"/>
                          <w:richText/>
                        </w:sdtPr>
                        <w:sdtContent>
                          <w:r>
                            <w:rPr>
                              <w:color w:val="000000"/>
                              <w:szCs w:val="24"/>
                              <w:lang w:eastAsia="lt-LT"/>
                            </w:rPr>
                            <w:t>15.3</w:t>
                          </w:r>
                        </w:sdtContent>
                      </w:sdt>
                      <w:r>
                        <w:rPr>
                          <w:color w:val="000000"/>
                          <w:szCs w:val="24"/>
                          <w:lang w:eastAsia="lt-LT"/>
                        </w:rPr>
                        <w:t>. A klasės: </w:t>
                      </w:r>
                      <w:r>
                        <w:rPr>
                          <w:i/>
                          <w:iCs/>
                          <w:color w:val="000000"/>
                          <w:szCs w:val="24"/>
                          <w:lang w:eastAsia="lt-LT"/>
                        </w:rPr>
                        <w:t>C</w:t>
                      </w:r>
                      <w:r>
                        <w:rPr>
                          <w:i/>
                          <w:iCs/>
                          <w:color w:val="000000"/>
                          <w:szCs w:val="24"/>
                          <w:vertAlign w:val="subscript"/>
                          <w:lang w:eastAsia="lt-LT"/>
                        </w:rPr>
                        <w:t>1</w:t>
                      </w:r>
                      <w:r>
                        <w:rPr>
                          <w:color w:val="000000"/>
                          <w:szCs w:val="24"/>
                          <w:lang w:eastAsia="lt-LT"/>
                        </w:rPr>
                        <w:t>&lt;0,70 ir </w:t>
                      </w:r>
                      <w:r>
                        <w:rPr>
                          <w:i/>
                          <w:iCs/>
                          <w:color w:val="000000"/>
                          <w:szCs w:val="24"/>
                          <w:lang w:eastAsia="lt-LT"/>
                        </w:rPr>
                        <w:t>C</w:t>
                      </w:r>
                      <w:r>
                        <w:rPr>
                          <w:i/>
                          <w:iCs/>
                          <w:color w:val="000000"/>
                          <w:szCs w:val="24"/>
                          <w:vertAlign w:val="subscript"/>
                          <w:lang w:eastAsia="lt-LT"/>
                        </w:rPr>
                        <w:t>2</w:t>
                      </w:r>
                      <w:r>
                        <w:rPr>
                          <w:color w:val="000000"/>
                          <w:szCs w:val="24"/>
                          <w:lang w:eastAsia="lt-LT"/>
                        </w:rPr>
                        <w:t> ≤ 0,85;</w:t>
                      </w:r>
                    </w:p>
                  </w:sdtContent>
                </w:sdt>
                <w:sdt>
                  <w:sdtPr>
                    <w:alias w:val="15.4 pp."/>
                    <w:tag w:val="part_a1df9a549b2a4bc4bc920f89c754f4ee"/>
                    <w:lock w:val="sdtLocked"/>
                    <w:richText/>
                  </w:sdtPr>
                  <w:sdtContent>
                    <w:p>
                      <w:pPr>
                        <w:ind w:left="709"/>
                        <w:jc w:val="both"/>
                        <w:rPr>
                          <w:color w:val="000000"/>
                          <w:szCs w:val="24"/>
                          <w:lang w:eastAsia="lt-LT"/>
                        </w:rPr>
                      </w:pPr>
                      <w:sdt>
                        <w:sdtPr>
                          <w:alias w:val="Numeris"/>
                          <w:tag w:val="nr_a1df9a549b2a4bc4bc920f89c754f4ee"/>
                          <w:lock w:val="sdtLocked"/>
                          <w:richText/>
                        </w:sdtPr>
                        <w:sdtContent>
                          <w:r>
                            <w:rPr>
                              <w:color w:val="000000"/>
                              <w:szCs w:val="24"/>
                              <w:lang w:eastAsia="lt-LT"/>
                            </w:rPr>
                            <w:t>15.4</w:t>
                          </w:r>
                        </w:sdtContent>
                      </w:sdt>
                      <w:r>
                        <w:rPr>
                          <w:color w:val="000000"/>
                          <w:szCs w:val="24"/>
                          <w:lang w:eastAsia="lt-LT"/>
                        </w:rPr>
                        <w:t>. B klasės: </w:t>
                      </w:r>
                      <w:r>
                        <w:rPr>
                          <w:i/>
                          <w:iCs/>
                          <w:color w:val="000000"/>
                          <w:szCs w:val="24"/>
                          <w:lang w:eastAsia="lt-LT"/>
                        </w:rPr>
                        <w:t>C</w:t>
                      </w:r>
                      <w:r>
                        <w:rPr>
                          <w:i/>
                          <w:iCs/>
                          <w:color w:val="000000"/>
                          <w:szCs w:val="24"/>
                          <w:vertAlign w:val="subscript"/>
                          <w:lang w:eastAsia="lt-LT"/>
                        </w:rPr>
                        <w:t>1</w:t>
                      </w:r>
                      <w:r>
                        <w:rPr>
                          <w:color w:val="000000"/>
                          <w:szCs w:val="24"/>
                          <w:lang w:eastAsia="lt-LT"/>
                        </w:rPr>
                        <w:t>&lt; 1,00 ir </w:t>
                      </w:r>
                      <w:r>
                        <w:rPr>
                          <w:i/>
                          <w:iCs/>
                          <w:color w:val="000000"/>
                          <w:szCs w:val="24"/>
                          <w:lang w:eastAsia="lt-LT"/>
                        </w:rPr>
                        <w:t>C</w:t>
                      </w:r>
                      <w:r>
                        <w:rPr>
                          <w:i/>
                          <w:iCs/>
                          <w:color w:val="000000"/>
                          <w:szCs w:val="24"/>
                          <w:vertAlign w:val="subscript"/>
                          <w:lang w:eastAsia="lt-LT"/>
                        </w:rPr>
                        <w:t>2</w:t>
                      </w:r>
                      <w:r>
                        <w:rPr>
                          <w:color w:val="000000"/>
                          <w:szCs w:val="24"/>
                          <w:lang w:eastAsia="lt-LT"/>
                        </w:rPr>
                        <w:t> ≤ 0,99;</w:t>
                      </w:r>
                    </w:p>
                  </w:sdtContent>
                </w:sdt>
                <w:sdt>
                  <w:sdtPr>
                    <w:alias w:val="15.5 pp."/>
                    <w:tag w:val="part_64b737db4bfa4524a30b0f51bd2d23ce"/>
                    <w:lock w:val="sdtLocked"/>
                    <w:richText/>
                  </w:sdtPr>
                  <w:sdtContent>
                    <w:p>
                      <w:pPr>
                        <w:ind w:left="709"/>
                        <w:jc w:val="both"/>
                        <w:rPr>
                          <w:color w:val="000000"/>
                          <w:szCs w:val="24"/>
                          <w:lang w:eastAsia="lt-LT"/>
                        </w:rPr>
                      </w:pPr>
                      <w:sdt>
                        <w:sdtPr>
                          <w:alias w:val="Numeris"/>
                          <w:tag w:val="nr_64b737db4bfa4524a30b0f51bd2d23ce"/>
                          <w:lock w:val="sdtLocked"/>
                          <w:richText/>
                        </w:sdtPr>
                        <w:sdtContent>
                          <w:r>
                            <w:rPr>
                              <w:color w:val="000000"/>
                              <w:szCs w:val="24"/>
                              <w:lang w:eastAsia="lt-LT"/>
                            </w:rPr>
                            <w:t>15.5</w:t>
                          </w:r>
                        </w:sdtContent>
                      </w:sdt>
                      <w:r>
                        <w:rPr>
                          <w:color w:val="000000"/>
                          <w:szCs w:val="24"/>
                          <w:lang w:eastAsia="lt-LT"/>
                        </w:rPr>
                        <w:t>. C klasės: </w:t>
                      </w:r>
                      <w:r>
                        <w:rPr>
                          <w:i/>
                          <w:iCs/>
                          <w:color w:val="000000"/>
                          <w:szCs w:val="24"/>
                          <w:lang w:eastAsia="lt-LT"/>
                        </w:rPr>
                        <w:t>C</w:t>
                      </w:r>
                      <w:r>
                        <w:rPr>
                          <w:i/>
                          <w:iCs/>
                          <w:color w:val="000000"/>
                          <w:szCs w:val="24"/>
                          <w:vertAlign w:val="subscript"/>
                          <w:lang w:eastAsia="lt-LT"/>
                        </w:rPr>
                        <w:t>1</w:t>
                      </w:r>
                      <w:r>
                        <w:rPr>
                          <w:color w:val="000000"/>
                          <w:szCs w:val="24"/>
                          <w:lang w:eastAsia="lt-LT"/>
                        </w:rPr>
                        <w:t>&lt; 1,50;</w:t>
                      </w:r>
                    </w:p>
                  </w:sdtContent>
                </w:sdt>
                <w:sdt>
                  <w:sdtPr>
                    <w:alias w:val="15.6 pp."/>
                    <w:tag w:val="part_6d6c6302419f474398650f49ff4b91c5"/>
                    <w:lock w:val="sdtLocked"/>
                    <w:richText/>
                  </w:sdtPr>
                  <w:sdtContent>
                    <w:p>
                      <w:pPr>
                        <w:ind w:left="709"/>
                        <w:jc w:val="both"/>
                        <w:rPr>
                          <w:color w:val="000000"/>
                          <w:szCs w:val="24"/>
                          <w:lang w:eastAsia="lt-LT"/>
                        </w:rPr>
                      </w:pPr>
                      <w:sdt>
                        <w:sdtPr>
                          <w:alias w:val="Numeris"/>
                          <w:tag w:val="nr_6d6c6302419f474398650f49ff4b91c5"/>
                          <w:lock w:val="sdtLocked"/>
                          <w:richText/>
                        </w:sdtPr>
                        <w:sdtContent>
                          <w:r>
                            <w:rPr>
                              <w:color w:val="000000"/>
                              <w:szCs w:val="24"/>
                              <w:lang w:eastAsia="lt-LT"/>
                            </w:rPr>
                            <w:t>15.6</w:t>
                          </w:r>
                        </w:sdtContent>
                      </w:sdt>
                      <w:r>
                        <w:rPr>
                          <w:color w:val="000000"/>
                          <w:szCs w:val="24"/>
                          <w:lang w:eastAsia="lt-LT"/>
                        </w:rPr>
                        <w:t>. D klasės: </w:t>
                      </w:r>
                      <w:r>
                        <w:rPr>
                          <w:i/>
                          <w:iCs/>
                          <w:color w:val="000000"/>
                          <w:szCs w:val="24"/>
                          <w:lang w:eastAsia="lt-LT"/>
                        </w:rPr>
                        <w:t>C</w:t>
                      </w:r>
                      <w:r>
                        <w:rPr>
                          <w:i/>
                          <w:iCs/>
                          <w:color w:val="000000"/>
                          <w:szCs w:val="24"/>
                          <w:vertAlign w:val="subscript"/>
                          <w:lang w:eastAsia="lt-LT"/>
                        </w:rPr>
                        <w:t>1</w:t>
                      </w:r>
                      <w:r>
                        <w:rPr>
                          <w:color w:val="000000"/>
                          <w:szCs w:val="24"/>
                          <w:lang w:eastAsia="lt-LT"/>
                        </w:rPr>
                        <w:t>&lt; 2,00;</w:t>
                      </w:r>
                    </w:p>
                  </w:sdtContent>
                </w:sdt>
                <w:sdt>
                  <w:sdtPr>
                    <w:alias w:val="15.7 pp."/>
                    <w:tag w:val="part_471b70aa94fe4a07b712341da2062106"/>
                    <w:lock w:val="sdtLocked"/>
                    <w:richText/>
                  </w:sdtPr>
                  <w:sdtContent>
                    <w:p>
                      <w:pPr>
                        <w:tabs>
                          <w:tab w:val="left" w:pos="4837"/>
                        </w:tabs>
                        <w:ind w:left="709"/>
                        <w:jc w:val="both"/>
                        <w:rPr>
                          <w:color w:val="000000"/>
                          <w:szCs w:val="24"/>
                          <w:lang w:eastAsia="lt-LT"/>
                        </w:rPr>
                      </w:pPr>
                      <w:sdt>
                        <w:sdtPr>
                          <w:alias w:val="Numeris"/>
                          <w:tag w:val="nr_471b70aa94fe4a07b712341da2062106"/>
                          <w:lock w:val="sdtLocked"/>
                          <w:richText/>
                        </w:sdtPr>
                        <w:sdtContent>
                          <w:r>
                            <w:rPr>
                              <w:color w:val="000000"/>
                              <w:szCs w:val="24"/>
                              <w:lang w:eastAsia="lt-LT"/>
                            </w:rPr>
                            <w:t>15.7</w:t>
                          </w:r>
                        </w:sdtContent>
                      </w:sdt>
                      <w:r>
                        <w:rPr>
                          <w:color w:val="000000"/>
                          <w:szCs w:val="24"/>
                          <w:lang w:eastAsia="lt-LT"/>
                        </w:rPr>
                        <w:t>. E klasės: </w:t>
                      </w:r>
                      <w:r>
                        <w:rPr>
                          <w:i/>
                          <w:iCs/>
                          <w:color w:val="000000"/>
                          <w:szCs w:val="24"/>
                          <w:lang w:eastAsia="lt-LT"/>
                        </w:rPr>
                        <w:t>C</w:t>
                      </w:r>
                      <w:r>
                        <w:rPr>
                          <w:i/>
                          <w:iCs/>
                          <w:color w:val="000000"/>
                          <w:szCs w:val="24"/>
                          <w:vertAlign w:val="subscript"/>
                          <w:lang w:eastAsia="lt-LT"/>
                        </w:rPr>
                        <w:t>1</w:t>
                      </w:r>
                      <w:r>
                        <w:rPr>
                          <w:color w:val="000000"/>
                          <w:szCs w:val="24"/>
                          <w:lang w:eastAsia="lt-LT"/>
                        </w:rPr>
                        <w:t>&lt; 2,50;</w:t>
                        <w:tab/>
                      </w:r>
                    </w:p>
                  </w:sdtContent>
                </w:sdt>
                <w:sdt>
                  <w:sdtPr>
                    <w:alias w:val="15.8 pp."/>
                    <w:tag w:val="part_481ce231db524d83bec851328919ff8f"/>
                    <w:lock w:val="sdtLocked"/>
                    <w:richText/>
                  </w:sdtPr>
                  <w:sdtContent>
                    <w:p>
                      <w:pPr>
                        <w:ind w:left="709"/>
                        <w:jc w:val="both"/>
                        <w:rPr>
                          <w:color w:val="000000"/>
                          <w:szCs w:val="24"/>
                          <w:lang w:eastAsia="lt-LT"/>
                        </w:rPr>
                      </w:pPr>
                      <w:sdt>
                        <w:sdtPr>
                          <w:alias w:val="Numeris"/>
                          <w:tag w:val="nr_481ce231db524d83bec851328919ff8f"/>
                          <w:lock w:val="sdtLocked"/>
                          <w:richText/>
                        </w:sdtPr>
                        <w:sdtContent>
                          <w:r>
                            <w:rPr>
                              <w:color w:val="000000"/>
                              <w:szCs w:val="24"/>
                              <w:lang w:eastAsia="lt-LT"/>
                            </w:rPr>
                            <w:t>15.8</w:t>
                          </w:r>
                        </w:sdtContent>
                      </w:sdt>
                      <w:r>
                        <w:rPr>
                          <w:color w:val="000000"/>
                          <w:szCs w:val="24"/>
                          <w:lang w:eastAsia="lt-LT"/>
                        </w:rPr>
                        <w:t>. F klasės: </w:t>
                      </w:r>
                      <w:r>
                        <w:rPr>
                          <w:i/>
                          <w:iCs/>
                          <w:color w:val="000000"/>
                          <w:szCs w:val="24"/>
                          <w:lang w:eastAsia="lt-LT"/>
                        </w:rPr>
                        <w:t>C</w:t>
                      </w:r>
                      <w:r>
                        <w:rPr>
                          <w:i/>
                          <w:iCs/>
                          <w:color w:val="000000"/>
                          <w:szCs w:val="24"/>
                          <w:vertAlign w:val="subscript"/>
                          <w:lang w:eastAsia="lt-LT"/>
                        </w:rPr>
                        <w:t>1</w:t>
                      </w:r>
                      <w:r>
                        <w:rPr>
                          <w:color w:val="000000"/>
                          <w:szCs w:val="24"/>
                          <w:lang w:eastAsia="lt-LT"/>
                        </w:rPr>
                        <w:t>&lt; 3,00;</w:t>
                      </w:r>
                    </w:p>
                  </w:sdtContent>
                </w:sdt>
                <w:sdt>
                  <w:sdtPr>
                    <w:alias w:val="15.9 pp."/>
                    <w:tag w:val="part_ac5d304cfaa244b5ad2f582bfbb3ed55"/>
                    <w:lock w:val="sdtLocked"/>
                    <w:richText/>
                  </w:sdtPr>
                  <w:sdtContent>
                    <w:p>
                      <w:pPr>
                        <w:ind w:left="709"/>
                        <w:jc w:val="both"/>
                      </w:pPr>
                      <w:sdt>
                        <w:sdtPr>
                          <w:alias w:val="Numeris"/>
                          <w:tag w:val="nr_ac5d304cfaa244b5ad2f582bfbb3ed55"/>
                          <w:lock w:val="sdtLocked"/>
                          <w:richText/>
                        </w:sdtPr>
                        <w:sdtContent>
                          <w:r>
                            <w:rPr>
                              <w:color w:val="000000"/>
                              <w:szCs w:val="24"/>
                              <w:lang w:eastAsia="lt-LT"/>
                            </w:rPr>
                            <w:t>15.9</w:t>
                          </w:r>
                        </w:sdtContent>
                      </w:sdt>
                      <w:r>
                        <w:rPr>
                          <w:color w:val="000000"/>
                          <w:szCs w:val="24"/>
                          <w:lang w:eastAsia="lt-LT"/>
                        </w:rPr>
                        <w:t>. G klasės: </w:t>
                      </w:r>
                      <w:r>
                        <w:rPr>
                          <w:i/>
                          <w:iCs/>
                          <w:color w:val="000000"/>
                          <w:szCs w:val="24"/>
                          <w:lang w:eastAsia="lt-LT"/>
                        </w:rPr>
                        <w:t>C</w:t>
                      </w:r>
                      <w:r>
                        <w:rPr>
                          <w:i/>
                          <w:iCs/>
                          <w:color w:val="000000"/>
                          <w:szCs w:val="24"/>
                          <w:vertAlign w:val="subscript"/>
                          <w:lang w:eastAsia="lt-LT"/>
                        </w:rPr>
                        <w:t>1</w:t>
                      </w:r>
                      <w:r>
                        <w:rPr>
                          <w:color w:val="000000"/>
                          <w:szCs w:val="24"/>
                          <w:lang w:eastAsia="lt-LT"/>
                        </w:rPr>
                        <w:t>≥ 3,00</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16 p."/>
                <w:tag w:val="part_1b49eeb7d3f746f2831fdda369b6ed98"/>
                <w:lock w:val="sdtLocked"/>
                <w:richText/>
              </w:sdtPr>
              <w:sdtContent>
                <w:p>
                  <w:pPr>
                    <w:ind w:firstLine="567"/>
                    <w:jc w:val="both"/>
                    <w:rPr>
                      <w:rFonts w:eastAsia="Calibri"/>
                      <w:szCs w:val="22"/>
                    </w:rPr>
                  </w:pPr>
                  <w:sdt>
                    <w:sdtPr>
                      <w:alias w:val="Numeris"/>
                      <w:tag w:val="nr_1b49eeb7d3f746f2831fdda369b6ed98"/>
                      <w:lock w:val="sdtLocked"/>
                      <w:richText/>
                    </w:sdtPr>
                    <w:sdtContent>
                      <w:r>
                        <w:rPr>
                          <w:rFonts w:eastAsia="Calibri"/>
                          <w:szCs w:val="22"/>
                        </w:rPr>
                        <w:t>16</w:t>
                      </w:r>
                    </w:sdtContent>
                  </w:sdt>
                  <w:r>
                    <w:rPr>
                      <w:rFonts w:eastAsia="Calibri"/>
                      <w:szCs w:val="22"/>
                    </w:rPr>
                    <w:t>. Lietuvos teritorijoje statomų pastatų (jų dalių) energinio naudingumo projektavimui ir energinio naudingumo sertifikavimui turi būti naudojamos Reglamento 2 priedo 2.6 lentelėje nurodytos vidutinės mėnesio išorės oro temperatūros, Reglamento 2 priedo 2.33–2.35 lentelėse nurodyti bendrosios saulės spinduliuotės duomenys ir Reglamento 2 priedo 2.4 lentelėje nurodytos atitinkamos paskirties pastatų rodiklių vertės.</w:t>
                  </w:r>
                </w:p>
                <w:p>
                  <w:pPr>
                    <w:ind w:firstLine="567"/>
                    <w:jc w:val="both"/>
                    <w:rPr>
                      <w:rFonts w:eastAsia="Calibri"/>
                      <w:szCs w:val="22"/>
                    </w:rPr>
                  </w:pPr>
                </w:p>
              </w:sdtContent>
            </w:sdt>
          </w:sdtContent>
        </w:sdt>
        <w:sdt>
          <w:sdtPr>
            <w:alias w:val="skyrius"/>
            <w:tag w:val="part_20112dfbcbf0446a90465b54067c3b91"/>
            <w:lock w:val="sdtLocked"/>
            <w:richText/>
          </w:sdtPr>
          <w:sdtContent>
            <w:p>
              <w:pPr>
                <w:keepNext/>
                <w:jc w:val="center"/>
                <w:rPr>
                  <w:b/>
                  <w:bCs/>
                  <w:iCs/>
                  <w:caps/>
                  <w:spacing w:val="-4"/>
                  <w:szCs w:val="24"/>
                  <w:lang w:eastAsia="lt-LT"/>
                </w:rPr>
              </w:pPr>
              <w:r>
                <w:rPr>
                  <w:b/>
                  <w:bCs/>
                  <w:iCs/>
                  <w:caps/>
                  <w:spacing w:val="-4"/>
                  <w:szCs w:val="24"/>
                  <w:lang w:eastAsia="lt-LT"/>
                </w:rPr>
                <w:t xml:space="preserve">VII. skyrius </w:t>
              </w:r>
            </w:p>
            <w:p>
              <w:pPr>
                <w:keepNext/>
                <w:jc w:val="center"/>
                <w:rPr>
                  <w:b/>
                  <w:bCs/>
                  <w:iCs/>
                  <w:caps/>
                  <w:spacing w:val="-4"/>
                  <w:szCs w:val="24"/>
                  <w:lang w:eastAsia="lt-LT"/>
                </w:rPr>
              </w:pPr>
              <w:sdt>
                <w:sdtPr>
                  <w:alias w:val="Pavadinimas"/>
                  <w:tag w:val="title_20112dfbcbf0446a90465b54067c3b91"/>
                  <w:lock w:val="sdtLocked"/>
                  <w:richText/>
                </w:sdtPr>
                <w:sdtContent>
                  <w:r>
                    <w:rPr>
                      <w:b/>
                      <w:bCs/>
                      <w:iCs/>
                      <w:caps/>
                      <w:spacing w:val="-4"/>
                      <w:szCs w:val="24"/>
                      <w:lang w:eastAsia="lt-LT"/>
                    </w:rPr>
                    <w:t>Pastatų energinio naudingumo reikalavimai</w:t>
                  </w:r>
                </w:sdtContent>
              </w:sdt>
            </w:p>
            <w:p>
              <w:pPr>
                <w:suppressAutoHyphens/>
                <w:ind w:firstLine="567"/>
                <w:jc w:val="both"/>
                <w:textAlignment w:val="center"/>
                <w:rPr>
                  <w:rFonts w:eastAsia="Calibri"/>
                  <w:szCs w:val="24"/>
                </w:rPr>
              </w:pPr>
            </w:p>
            <w:sdt>
              <w:sdtPr>
                <w:alias w:val="17 p."/>
                <w:tag w:val="part_6bae5b2925d24dc191f70e26d8d38065"/>
                <w:lock w:val="sdtLocked"/>
                <w:richText/>
              </w:sdtPr>
              <w:sdtContent>
                <w:p>
                  <w:pPr>
                    <w:suppressAutoHyphens/>
                    <w:ind w:firstLine="567"/>
                    <w:jc w:val="both"/>
                    <w:textAlignment w:val="center"/>
                    <w:rPr>
                      <w:rFonts w:eastAsia="Calibri"/>
                      <w:szCs w:val="24"/>
                    </w:rPr>
                  </w:pPr>
                  <w:sdt>
                    <w:sdtPr>
                      <w:alias w:val="Numeris"/>
                      <w:tag w:val="nr_6bae5b2925d24dc191f70e26d8d38065"/>
                      <w:lock w:val="sdtLocked"/>
                      <w:richText/>
                    </w:sdtPr>
                    <w:sdtContent>
                      <w:r>
                        <w:rPr>
                          <w:rFonts w:eastAsia="Calibri"/>
                          <w:szCs w:val="24"/>
                        </w:rPr>
                        <w:t>17</w:t>
                      </w:r>
                    </w:sdtContent>
                  </w:sdt>
                  <w:r>
                    <w:rPr>
                      <w:rFonts w:eastAsia="Calibri"/>
                      <w:szCs w:val="24"/>
                    </w:rPr>
                    <w:t>. Naujų pastatų ar pastato dalių, kurių projektavimo sąlygų sąvado patvirtinimo (iki 2010 m. spalio 1 d.) arba visų prisijungimo sąlygų ir specialiųjų reikalavimų išdavimo diena, o kai minėti dokumentai neprivalomi, – projektavimo darbų rangos sutarties pasirašymo diena (kai projektavimas atliekamas rangos būdu) yra po 2006 m. sausio 4 d. [3.10], energinio naudingumo klasė turi būti ne žemesnė kaip C.</w:t>
                  </w:r>
                </w:p>
              </w:sdtContent>
            </w:sdt>
            <w:sdt>
              <w:sdtPr>
                <w:alias w:val="18 p."/>
                <w:tag w:val="part_5c1d5ac84ebb457fba2d78cd78e50430"/>
                <w:lock w:val="sdtLocked"/>
                <w:richText/>
              </w:sdtPr>
              <w:sdtContent>
                <w:p>
                  <w:pPr>
                    <w:suppressAutoHyphens/>
                    <w:ind w:firstLine="567"/>
                    <w:jc w:val="both"/>
                    <w:textAlignment w:val="center"/>
                    <w:rPr>
                      <w:rFonts w:eastAsia="Calibri"/>
                      <w:szCs w:val="24"/>
                    </w:rPr>
                  </w:pPr>
                  <w:sdt>
                    <w:sdtPr>
                      <w:alias w:val="Numeris"/>
                      <w:tag w:val="nr_5c1d5ac84ebb457fba2d78cd78e50430"/>
                      <w:lock w:val="sdtLocked"/>
                      <w:richText/>
                    </w:sdtPr>
                    <w:sdtContent>
                      <w:r>
                        <w:rPr>
                          <w:rFonts w:eastAsia="Calibri"/>
                          <w:szCs w:val="24"/>
                        </w:rPr>
                        <w:t>18</w:t>
                      </w:r>
                    </w:sdtContent>
                  </w:sdt>
                  <w:r>
                    <w:rPr>
                      <w:rFonts w:eastAsia="Calibri"/>
                      <w:szCs w:val="24"/>
                    </w:rPr>
                    <w:t xml:space="preserve">. Statomų pastatų, kuriems leidimas statyti naują statinį ar rašytinis įgalioto valstybės tarnautojo pritarimas statinio projektui išduotas [3.1], kai statybą leidžiantys dokumentai neprivalomi, – statybos darbai pradėti, po 2014 m. sausio 1 d., energinio naudingumo klasė turi būti ne žemesnė kaip B. </w:t>
                  </w:r>
                </w:p>
              </w:sdtContent>
            </w:sdt>
            <w:sdt>
              <w:sdtPr>
                <w:alias w:val="19 p."/>
                <w:tag w:val="part_13c11422031e4e02a283703d8a43ee8c"/>
                <w:lock w:val="sdtLocked"/>
                <w:richText/>
              </w:sdtPr>
              <w:sdtContent>
                <w:p>
                  <w:pPr>
                    <w:suppressAutoHyphens/>
                    <w:ind w:firstLine="567"/>
                    <w:jc w:val="both"/>
                    <w:textAlignment w:val="center"/>
                    <w:rPr>
                      <w:rFonts w:eastAsia="Calibri"/>
                      <w:szCs w:val="24"/>
                    </w:rPr>
                  </w:pPr>
                  <w:sdt>
                    <w:sdtPr>
                      <w:alias w:val="Numeris"/>
                      <w:tag w:val="nr_13c11422031e4e02a283703d8a43ee8c"/>
                      <w:lock w:val="sdtLocked"/>
                      <w:richText/>
                    </w:sdtPr>
                    <w:sdtContent>
                      <w:r>
                        <w:rPr>
                          <w:rFonts w:eastAsia="Calibri"/>
                          <w:szCs w:val="24"/>
                        </w:rPr>
                        <w:t>19</w:t>
                      </w:r>
                    </w:sdtContent>
                  </w:sdt>
                  <w:r>
                    <w:rPr>
                      <w:rFonts w:eastAsia="Calibri"/>
                      <w:szCs w:val="24"/>
                    </w:rPr>
                    <w:t xml:space="preserve">. </w:t>
                  </w:r>
                  <w:r>
                    <w:rPr>
                      <w:szCs w:val="24"/>
                    </w:rPr>
                    <w:t>S</w:t>
                  </w:r>
                  <w:r>
                    <w:rPr>
                      <w:rFonts w:eastAsia="Calibri"/>
                      <w:szCs w:val="24"/>
                    </w:rPr>
                    <w:t>tatomų pastatų</w:t>
                  </w:r>
                  <w:r>
                    <w:rPr>
                      <w:szCs w:val="24"/>
                    </w:rPr>
                    <w:t>, kuriems</w:t>
                  </w:r>
                  <w:r>
                    <w:rPr>
                      <w:rFonts w:eastAsia="Calibri"/>
                      <w:szCs w:val="24"/>
                    </w:rPr>
                    <w:t xml:space="preserve"> prašymas išduoti leidimą</w:t>
                  </w:r>
                  <w:r>
                    <w:rPr>
                      <w:szCs w:val="24"/>
                    </w:rPr>
                    <w:t xml:space="preserve"> statyti naują statinį ar</w:t>
                  </w:r>
                  <w:r>
                    <w:rPr>
                      <w:rFonts w:eastAsia="Calibri"/>
                      <w:szCs w:val="24"/>
                    </w:rPr>
                    <w:t xml:space="preserve"> rašytinį</w:t>
                  </w:r>
                  <w:r>
                    <w:rPr>
                      <w:szCs w:val="24"/>
                    </w:rPr>
                    <w:t xml:space="preserve"> įgalioto valstybės tarnautojo </w:t>
                  </w:r>
                  <w:r>
                    <w:rPr>
                      <w:rFonts w:eastAsia="Calibri"/>
                      <w:szCs w:val="24"/>
                    </w:rPr>
                    <w:t>pritarimą</w:t>
                  </w:r>
                  <w:r>
                    <w:rPr>
                      <w:szCs w:val="24"/>
                    </w:rPr>
                    <w:t xml:space="preserve"> statinio projektui </w:t>
                  </w:r>
                  <w:r>
                    <w:rPr>
                      <w:rFonts w:eastAsia="Calibri"/>
                      <w:szCs w:val="24"/>
                    </w:rPr>
                    <w:t>pateiktas</w:t>
                  </w:r>
                  <w:r>
                    <w:rPr>
                      <w:szCs w:val="24"/>
                    </w:rPr>
                    <w:t xml:space="preserve"> [3.1]</w:t>
                  </w:r>
                  <w:r>
                    <w:rPr>
                      <w:rFonts w:eastAsia="Calibri"/>
                      <w:szCs w:val="24"/>
                    </w:rPr>
                    <w:t xml:space="preserve"> po 2016 m. lapkričio 1 d.</w:t>
                  </w:r>
                  <w:r>
                    <w:rPr>
                      <w:szCs w:val="24"/>
                    </w:rPr>
                    <w:t>, kai statybą leidžiantys dokumentai neprivalomi, – statybos darbai pradėti po 2016 m.</w:t>
                  </w:r>
                  <w:r>
                    <w:rPr>
                      <w:rFonts w:eastAsia="Calibri"/>
                      <w:szCs w:val="24"/>
                    </w:rPr>
                    <w:t xml:space="preserve"> lapkričio</w:t>
                  </w:r>
                  <w:r>
                    <w:rPr>
                      <w:szCs w:val="24"/>
                    </w:rPr>
                    <w:t xml:space="preserve"> 1 d., energinio naudingumo klasė turi būti ne žemesnė kaip A.</w:t>
                  </w:r>
                </w:p>
              </w:sdtContent>
            </w:sdt>
            <w:sdt>
              <w:sdtPr>
                <w:alias w:val="20 p."/>
                <w:tag w:val="part_d619a9bab17c46a9a33723de6169764a"/>
                <w:lock w:val="sdtLocked"/>
                <w:richText/>
              </w:sdtPr>
              <w:sdtContent>
                <w:p>
                  <w:pPr>
                    <w:ind w:firstLine="567"/>
                    <w:jc w:val="both"/>
                    <w:rPr>
                      <w:szCs w:val="24"/>
                    </w:rPr>
                  </w:pPr>
                  <w:sdt>
                    <w:sdtPr>
                      <w:alias w:val="Numeris"/>
                      <w:tag w:val="nr_d619a9bab17c46a9a33723de6169764a"/>
                      <w:lock w:val="sdtLocked"/>
                      <w:richText/>
                    </w:sdtPr>
                    <w:sdtContent>
                      <w:r>
                        <w:rPr>
                          <w:szCs w:val="24"/>
                        </w:rPr>
                        <w:t>20</w:t>
                      </w:r>
                    </w:sdtContent>
                  </w:sdt>
                  <w:r>
                    <w:rPr>
                      <w:szCs w:val="24"/>
                    </w:rPr>
                    <w:t>. Statomų pastatų, kuriems prašymas išduoti leidimą statyti naują statinį pateiktas [3.1] po 2018 m. sausio 1 d., kai statybą leidžiantys dokumentai neprivalomi, – statybos darbai pradėti po 2018 m. sausio 1 d., energinio naudingumo klasė turi būti ne žemesnė kaip 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6264d09d3311e79127a823199cc174">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2017-09-18,
paskelbta TAR 2017-09-19, i. k. 2017-14813            </w:t>
                  </w:r>
                </w:p>
                <w:p/>
              </w:sdtContent>
            </w:sdt>
            <w:sdt>
              <w:sdtPr>
                <w:alias w:val="21 p."/>
                <w:tag w:val="part_264be958d30242e38c1999831d307590"/>
                <w:lock w:val="sdtLocked"/>
                <w:richText/>
              </w:sdtPr>
              <w:sdtContent>
                <w:p>
                  <w:pPr>
                    <w:ind w:firstLine="567"/>
                    <w:jc w:val="both"/>
                    <w:rPr>
                      <w:szCs w:val="24"/>
                    </w:rPr>
                  </w:pPr>
                  <w:sdt>
                    <w:sdtPr>
                      <w:alias w:val="Numeris"/>
                      <w:tag w:val="nr_264be958d30242e38c1999831d307590"/>
                      <w:lock w:val="sdtLocked"/>
                      <w:richText/>
                    </w:sdtPr>
                    <w:sdtContent>
                      <w:r>
                        <w:rPr>
                          <w:szCs w:val="24"/>
                        </w:rPr>
                        <w:t>21</w:t>
                      </w:r>
                    </w:sdtContent>
                  </w:sdt>
                  <w:r>
                    <w:rPr>
                      <w:szCs w:val="24"/>
                    </w:rPr>
                    <w:t>. Statomų pastatų, kuriems prašymas išduoti leidimą statyti naują statinį pateiktas [3.1] po 2021 m. sausio 1 d., kai statybą leidžiantys dokumentai neprivalomi, – statybos darbai pradėti po 2021 m. sausio 1 d., energinio naudingumo klasė turi būti ne žemesnė kaip 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6264d09d3311e79127a823199cc174">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2017-09-18,
paskelbta TAR 2017-09-19, i. k. 2017-14813            </w:t>
                  </w:r>
                </w:p>
                <w:p/>
              </w:sdtContent>
            </w:sdt>
            <w:sdt>
              <w:sdtPr>
                <w:alias w:val="22 p."/>
                <w:tag w:val="part_0ffb57e112a946da9b3511989f7d5514"/>
                <w:lock w:val="sdtLocked"/>
                <w:richText/>
              </w:sdtPr>
              <w:sdtContent>
                <w:p>
                  <w:pPr>
                    <w:suppressAutoHyphens/>
                    <w:ind w:firstLine="567"/>
                    <w:jc w:val="both"/>
                    <w:textAlignment w:val="center"/>
                    <w:rPr>
                      <w:rFonts w:eastAsia="Calibri"/>
                      <w:szCs w:val="24"/>
                    </w:rPr>
                  </w:pPr>
                  <w:sdt>
                    <w:sdtPr>
                      <w:alias w:val="Numeris"/>
                      <w:tag w:val="nr_0ffb57e112a946da9b3511989f7d5514"/>
                      <w:lock w:val="sdtLocked"/>
                      <w:richText/>
                    </w:sdtPr>
                    <w:sdtContent>
                      <w:r>
                        <w:rPr>
                          <w:rFonts w:eastAsia="Calibri"/>
                          <w:szCs w:val="24"/>
                        </w:rPr>
                        <w:t>22</w:t>
                      </w:r>
                    </w:sdtContent>
                  </w:sdt>
                  <w:r>
                    <w:rPr>
                      <w:rFonts w:eastAsia="Calibri"/>
                      <w:szCs w:val="24"/>
                    </w:rPr>
                    <w:t>. Modernizuojami pastatai (jų dalys), kai modernizavimo, kuriuo atkuriamos ar pagerinamos pastato atitvarų ir (ar) jo inžinerinių sistemų fizinės ir energinės savybės, kaina viršija daugiau kaip 25 procentus pastato vertės, neįskaitant žemės sklypo, ant kurio stovi pastatas, vertės, turi atitikti tokius minimalius energinio naudingumo reikalavimus:</w:t>
                  </w:r>
                </w:p>
                <w:sdt>
                  <w:sdtPr>
                    <w:alias w:val="22.1 pp."/>
                    <w:tag w:val="part_a8d979f907e24a18a4679ed629f9ae63"/>
                    <w:lock w:val="sdtLocked"/>
                    <w:richText/>
                  </w:sdtPr>
                  <w:sdtContent>
                    <w:p>
                      <w:pPr>
                        <w:suppressAutoHyphens/>
                        <w:ind w:firstLine="567"/>
                        <w:jc w:val="both"/>
                        <w:textAlignment w:val="center"/>
                        <w:rPr>
                          <w:rFonts w:eastAsia="Calibri"/>
                          <w:szCs w:val="24"/>
                        </w:rPr>
                      </w:pPr>
                      <w:sdt>
                        <w:sdtPr>
                          <w:alias w:val="Numeris"/>
                          <w:tag w:val="nr_a8d979f907e24a18a4679ed629f9ae63"/>
                          <w:lock w:val="sdtLocked"/>
                          <w:richText/>
                        </w:sdtPr>
                        <w:sdtContent>
                          <w:r>
                            <w:rPr>
                              <w:rFonts w:eastAsia="Calibri"/>
                              <w:szCs w:val="24"/>
                            </w:rPr>
                            <w:t>22.1</w:t>
                          </w:r>
                        </w:sdtContent>
                      </w:sdt>
                      <w:r>
                        <w:rPr>
                          <w:rFonts w:eastAsia="Calibri"/>
                          <w:szCs w:val="24"/>
                        </w:rPr>
                        <w:t>. pastatai, kuriems leidimas modernizuoti pastatą (jo dalį) ar rašytinis įgalioto valstybės tarnautojo pritarimas statinio projektui išduotas [3.1] iki 2014 m. sausio 1 d., kai statybą leidžiantys dokumentai neprivalomi, – statybos darbai pradėti iki 2014 m. sausio 1 d., energinio naudingumo klasė turi būti ne žemesnė kaip D;</w:t>
                      </w:r>
                    </w:p>
                  </w:sdtContent>
                </w:sdt>
                <w:sdt>
                  <w:sdtPr>
                    <w:alias w:val="22.2 pp."/>
                    <w:tag w:val="part_1b05b0cec4cf4e5e9463e66c6666a452"/>
                    <w:lock w:val="sdtLocked"/>
                    <w:richText/>
                  </w:sdtPr>
                  <w:sdtContent>
                    <w:p>
                      <w:pPr>
                        <w:ind w:firstLine="567"/>
                        <w:jc w:val="both"/>
                        <w:rPr>
                          <w:rFonts w:eastAsia="Calibri"/>
                          <w:szCs w:val="24"/>
                        </w:rPr>
                      </w:pPr>
                      <w:sdt>
                        <w:sdtPr>
                          <w:alias w:val="Numeris"/>
                          <w:tag w:val="nr_1b05b0cec4cf4e5e9463e66c6666a452"/>
                          <w:lock w:val="sdtLocked"/>
                          <w:richText/>
                        </w:sdtPr>
                        <w:sdtContent>
                          <w:r>
                            <w:rPr>
                              <w:rFonts w:eastAsia="Calibri"/>
                              <w:szCs w:val="24"/>
                            </w:rPr>
                            <w:t>22.2</w:t>
                          </w:r>
                        </w:sdtContent>
                      </w:sdt>
                      <w:r>
                        <w:rPr>
                          <w:rFonts w:eastAsia="Calibri"/>
                          <w:szCs w:val="24"/>
                        </w:rPr>
                        <w:t>. pastatai, kuriems leidimas modernizuoti pastatą (jo dalį) ar rašytinis įgalioto valstybės tarnautojo pritarimas statinio projektui išduotas [3.1] po 2014 m. sausio 1 d., kai statybą leidžiantys dokumentai neprivalomi, – statybos darbai pradėti po 2014 m. sausio 1 d., energinio naudingumo klasė turi būti ne žemesnė kaip C, bet ne žemesnė negu pastato energinio naudingumo klasė iki modernizavimo;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22.3 pp."/>
                    <w:tag w:val="part_e623f979d513479e95013cc24f2bdb70"/>
                    <w:lock w:val="sdtLocked"/>
                    <w:richText/>
                  </w:sdtPr>
                  <w:sdtContent>
                    <w:p>
                      <w:pPr>
                        <w:suppressAutoHyphens/>
                        <w:ind w:firstLine="567"/>
                        <w:jc w:val="both"/>
                        <w:textAlignment w:val="center"/>
                      </w:pPr>
                      <w:sdt>
                        <w:sdtPr>
                          <w:alias w:val="Numeris"/>
                          <w:tag w:val="nr_e623f979d513479e95013cc24f2bdb70"/>
                          <w:lock w:val="sdtLocked"/>
                          <w:richText/>
                        </w:sdtPr>
                        <w:sdtContent>
                          <w:r>
                            <w:rPr>
                              <w:rFonts w:eastAsia="Calibri"/>
                              <w:szCs w:val="24"/>
                            </w:rPr>
                            <w:t>22.3</w:t>
                          </w:r>
                        </w:sdtContent>
                      </w:sdt>
                      <w:r>
                        <w:rPr>
                          <w:rFonts w:eastAsia="Calibri"/>
                          <w:szCs w:val="24"/>
                        </w:rPr>
                        <w:t>. nustatant pastato vertę turi būti taikomas atkuriamosios vertės metodas [3.3];</w:t>
                      </w:r>
                    </w:p>
                  </w:sdtContent>
                </w:sdt>
                <w:sdt>
                  <w:sdtPr>
                    <w:alias w:val="22.4 pp."/>
                    <w:tag w:val="part_42840356dc4c4ad6b512566e128a690a"/>
                    <w:lock w:val="sdtLocked"/>
                    <w:richText/>
                  </w:sdtPr>
                  <w:sdtContent>
                    <w:p>
                      <w:pPr>
                        <w:tabs>
                          <w:tab w:val="left" w:pos="567"/>
                        </w:tabs>
                        <w:ind w:firstLine="567"/>
                        <w:jc w:val="both"/>
                        <w:rPr>
                          <w:rFonts w:eastAsia="Calibri"/>
                          <w:szCs w:val="24"/>
                        </w:rPr>
                      </w:pPr>
                      <w:sdt>
                        <w:sdtPr>
                          <w:alias w:val="Numeris"/>
                          <w:tag w:val="nr_42840356dc4c4ad6b512566e128a690a"/>
                          <w:lock w:val="sdtLocked"/>
                          <w:richText/>
                        </w:sdtPr>
                        <w:sdtContent>
                          <w:r>
                            <w:rPr>
                              <w:szCs w:val="24"/>
                              <w:lang w:val="en-GB" w:eastAsia="en-GB"/>
                            </w:rPr>
                            <w:t>22.4</w:t>
                          </w:r>
                        </w:sdtContent>
                      </w:sdt>
                      <w:r>
                        <w:rPr>
                          <w:szCs w:val="24"/>
                          <w:lang w:val="en-GB" w:eastAsia="en-GB"/>
                        </w:rPr>
                        <w:t xml:space="preserve">. </w:t>
                      </w:r>
                      <w:r>
                        <w:rPr>
                          <w:color w:val="000000"/>
                          <w:szCs w:val="24"/>
                          <w:lang w:val="en-GB" w:eastAsia="en-GB"/>
                        </w:rPr>
                        <w:t xml:space="preserve">pastatai, kuriems leidimas atnaujinti (modernizuoti) pastatą (jo dalį) išduotas nuo 2024 m. sausio 1 d., kai statybą leidžiantys dokumentai neprivalomi, – statybos darbai pradėti nuo 2024 m. sausio 1 d. ir </w:t>
                      </w:r>
                      <w:r>
                        <w:rPr>
                          <w:szCs w:val="24"/>
                          <w:lang w:val="en-GB" w:eastAsia="en-GB"/>
                        </w:rPr>
                        <w:t>finansuojama Lietuvos Respublikos ir (ar) Europos Sąjungos biudžeto lėšomis,</w:t>
                      </w:r>
                      <w:r>
                        <w:rPr>
                          <w:color w:val="000000"/>
                          <w:szCs w:val="24"/>
                          <w:lang w:val="en-GB" w:eastAsia="en-GB"/>
                        </w:rPr>
                        <w:t xml:space="preserve"> energinio naudingumo klasė turi būti ne žemesnė kaip B, išskyrus atvejus, kai pasirašytoje Valstybės </w:t>
                      </w:r>
                      <w:r>
                        <w:rPr>
                          <w:bCs/>
                          <w:color w:val="000000"/>
                          <w:szCs w:val="24"/>
                          <w:lang w:val="en-GB" w:eastAsia="en-GB"/>
                        </w:rPr>
                        <w:t>paramos daugiabučiams namams atnaujinti (modernizuoti) teikimo sutartyje numatyta C energinio naudingumo klasė.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Content>
            </w:sdt>
            <w:sdt>
              <w:sdtPr>
                <w:alias w:val="23 p."/>
                <w:tag w:val="part_ac1935eae2414c458e8a74f7189e853f"/>
                <w:lock w:val="sdtLocked"/>
                <w:richText/>
              </w:sdtPr>
              <w:sdtContent>
                <w:p>
                  <w:pPr>
                    <w:suppressAutoHyphens/>
                    <w:ind w:firstLine="567"/>
                    <w:jc w:val="both"/>
                    <w:textAlignment w:val="center"/>
                    <w:rPr>
                      <w:rFonts w:eastAsia="Calibri"/>
                      <w:szCs w:val="24"/>
                    </w:rPr>
                  </w:pPr>
                  <w:sdt>
                    <w:sdtPr>
                      <w:alias w:val="Numeris"/>
                      <w:tag w:val="nr_ac1935eae2414c458e8a74f7189e853f"/>
                      <w:lock w:val="sdtLocked"/>
                      <w:richText/>
                    </w:sdtPr>
                    <w:sdtContent>
                      <w:r>
                        <w:rPr>
                          <w:rFonts w:eastAsia="Calibri"/>
                          <w:color w:val="000000"/>
                          <w:szCs w:val="24"/>
                        </w:rPr>
                        <w:t>23</w:t>
                      </w:r>
                    </w:sdtContent>
                  </w:sdt>
                  <w:r>
                    <w:rPr>
                      <w:rFonts w:eastAsia="Calibri"/>
                      <w:color w:val="000000"/>
                      <w:szCs w:val="24"/>
                    </w:rPr>
                    <w:t xml:space="preserve">. </w:t>
                  </w:r>
                  <w:r>
                    <w:rPr>
                      <w:color w:val="000000"/>
                      <w:szCs w:val="24"/>
                    </w:rPr>
                    <w:t xml:space="preserve">Kitais negu 22 punkte išvardintais atvejais, </w:t>
                  </w:r>
                  <w:r>
                    <w:rPr>
                      <w:rFonts w:eastAsia="Calibri"/>
                      <w:szCs w:val="24"/>
                    </w:rPr>
                    <w:t>atliekant pastato remontą, kuriuo atliekamas pastatų atitvarų ar jų dalių apšiltinimas, fasado elementų (langų, durų) pakeitimas, keičiamų pastato atitvarų (jų dalių) šiluminės savybės turi atitikti reikalavimus, keliamus C energinio naudingumo klasės pastatų atitvaroms (jų dalims), pateiktus 3 lentelėje.</w:t>
                  </w:r>
                </w:p>
              </w:sdtContent>
            </w:sdt>
            <w:sdt>
              <w:sdtPr>
                <w:alias w:val="24 p."/>
                <w:tag w:val="part_a875d49bbaa24c90b5f29e7da2848a91"/>
                <w:lock w:val="sdtLocked"/>
                <w:richText/>
              </w:sdtPr>
              <w:sdtContent>
                <w:p>
                  <w:pPr>
                    <w:ind w:firstLine="567"/>
                    <w:jc w:val="both"/>
                    <w:rPr>
                      <w:rFonts w:eastAsia="Calibri"/>
                      <w:szCs w:val="24"/>
                    </w:rPr>
                  </w:pPr>
                  <w:sdt>
                    <w:sdtPr>
                      <w:alias w:val="Numeris"/>
                      <w:tag w:val="nr_a875d49bbaa24c90b5f29e7da2848a91"/>
                      <w:lock w:val="sdtLocked"/>
                      <w:richText/>
                    </w:sdtPr>
                    <w:sdtContent>
                      <w:r>
                        <w:rPr>
                          <w:rFonts w:eastAsia="Calibri"/>
                          <w:szCs w:val="24"/>
                        </w:rPr>
                        <w:t>24</w:t>
                      </w:r>
                    </w:sdtContent>
                  </w:sdt>
                  <w:r>
                    <w:rPr>
                      <w:rFonts w:eastAsia="Calibri"/>
                      <w:szCs w:val="24"/>
                    </w:rPr>
                    <w:t>. Jei naujai statomo pastato dalyje įrengta autonominė (kita, negu pastate) šildymo sistema arba autonominė energijos šiai pastato daliai šildyti apskaita, šios pastato dalies energinio naudingumo klasė turi atitikti Reglamento 17–21 punktuose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24-1 p."/>
                <w:tag w:val="part_d0fd7ef5193a4b5f8c1851e3bea6d4a3"/>
                <w:lock w:val="sdtLocked"/>
                <w:richText/>
              </w:sdtPr>
              <w:sdtContent>
                <w:p>
                  <w:pPr>
                    <w:suppressAutoHyphens/>
                    <w:ind w:firstLine="567"/>
                    <w:jc w:val="both"/>
                    <w:rPr>
                      <w:rFonts w:eastAsia="Calibri"/>
                      <w:szCs w:val="24"/>
                    </w:rPr>
                  </w:pPr>
                  <w:sdt>
                    <w:sdtPr>
                      <w:alias w:val="Numeris"/>
                      <w:tag w:val="nr_d0fd7ef5193a4b5f8c1851e3bea6d4a3"/>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szCs w:val="24"/>
                      <w:lang w:eastAsia="lt-LT"/>
                    </w:rPr>
                    <w:t>Kai naujas statybą leidžiantis dokumentas yra privalomas ir išduodamas pagal statybos techninio reglamento STR 1.05.01:2017 „</w:t>
                  </w:r>
                  <w:r>
                    <w:rPr>
                      <w:bCs/>
                      <w:szCs w:val="24"/>
                      <w:shd w:val="clear" w:color="auto" w:fill="FFFFFF"/>
                      <w:lang w:eastAsia="lt-LT"/>
                    </w:rPr>
                    <w:t>Dėl statybos techninio reglamento STR 1.05.01:2017 „Statybą leidžiantys dokumentai. Statybos užbaigimas. Statybos sustabdymas. Savavališkos statybos padarinių šalinimas. Statybos pagal neteisėtai išduotą statybą leidžiantį dokumentą padarinių šalinimas“</w:t>
                  </w:r>
                  <w:r>
                    <w:rPr>
                      <w:szCs w:val="24"/>
                      <w:lang w:eastAsia="lt-LT"/>
                    </w:rPr>
                    <w:t>, patvirtinto Lietuvos Respublikos aplinkos ministro 2016 m. gruodžio 12 d. įsakymu Nr. D1-878 „</w:t>
                  </w:r>
                  <w:r>
                    <w:rPr>
                      <w:bCs/>
                      <w:szCs w:val="24"/>
                      <w:shd w:val="clear" w:color="auto" w:fill="FFFFFF"/>
                      <w:lang w:eastAsia="lt-LT"/>
                    </w:rPr>
                    <w:t>Dėl statybos techninio reglamento STR 1.05.01:2017 „Statybą leidžiantys dokumentai. Statybos užbaigimas. Statybos sustabdymas. Savavališkos statybos padarinių šalinimas. Statybos pagal neteisėtai išduotą statybą leidžiantį dokumentą padarinių šalinimas“ patvirtinimo“,</w:t>
                  </w:r>
                  <w:r>
                    <w:rPr>
                      <w:szCs w:val="24"/>
                      <w:lang w:eastAsia="lt-LT"/>
                    </w:rPr>
                    <w:t xml:space="preserve">  reikalavimus tęsti statybą pakeitus esminius statomo statinio sprendinius, tai statomų pastatų energinio naudingumo klasė turi būti ne žemesnė kaip pirminio prašymo išduoti leidimą statyti naują statinį pateikimo metu.</w:t>
                  </w:r>
                  <w:r>
                    <w:rPr>
                      <w:color w:val="000000"/>
                      <w:szCs w:val="24"/>
                      <w:vertAlign w:val="superscript"/>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
          <w:sdtPr>
            <w:alias w:val="skyrius"/>
            <w:tag w:val="part_f6cdc09cb7254b658ccc8364fcaa3f79"/>
            <w:lock w:val="sdtLocked"/>
            <w:richText/>
          </w:sdtPr>
          <w:sdtContent>
            <w:p>
              <w:pPr>
                <w:keepNext/>
                <w:jc w:val="center"/>
                <w:rPr>
                  <w:b/>
                  <w:bCs/>
                  <w:iCs/>
                  <w:caps/>
                  <w:spacing w:val="-4"/>
                  <w:szCs w:val="24"/>
                  <w:lang w:eastAsia="lt-LT"/>
                </w:rPr>
              </w:pPr>
              <w:r>
                <w:rPr>
                  <w:b/>
                  <w:bCs/>
                  <w:iCs/>
                  <w:caps/>
                  <w:spacing w:val="-4"/>
                  <w:szCs w:val="24"/>
                  <w:lang w:eastAsia="lt-LT"/>
                </w:rPr>
                <w:t xml:space="preserve">VIII. skyrius </w:t>
              </w:r>
            </w:p>
            <w:p>
              <w:pPr>
                <w:keepNext/>
                <w:jc w:val="center"/>
                <w:rPr>
                  <w:b/>
                  <w:bCs/>
                  <w:iCs/>
                  <w:caps/>
                  <w:spacing w:val="-4"/>
                  <w:szCs w:val="24"/>
                  <w:lang w:eastAsia="lt-LT"/>
                </w:rPr>
              </w:pPr>
              <w:sdt>
                <w:sdtPr>
                  <w:alias w:val="Pavadinimas"/>
                  <w:tag w:val="title_f6cdc09cb7254b658ccc8364fcaa3f79"/>
                  <w:lock w:val="sdtLocked"/>
                  <w:richText/>
                </w:sdtPr>
                <w:sdtContent>
                  <w:r>
                    <w:rPr>
                      <w:b/>
                      <w:bCs/>
                      <w:iCs/>
                      <w:caps/>
                      <w:spacing w:val="-4"/>
                      <w:szCs w:val="24"/>
                      <w:lang w:eastAsia="lt-LT"/>
                    </w:rPr>
                    <w:t>Pastato atitvarų projektavimo reikalavimai</w:t>
                  </w:r>
                </w:sdtContent>
              </w:sdt>
            </w:p>
            <w:p>
              <w:pPr>
                <w:ind w:firstLine="567"/>
                <w:jc w:val="both"/>
                <w:rPr>
                  <w:szCs w:val="24"/>
                  <w:lang w:eastAsia="lt-LT"/>
                </w:rPr>
              </w:pPr>
            </w:p>
            <w:sdt>
              <w:sdtPr>
                <w:alias w:val="25 p."/>
                <w:tag w:val="part_6b02860a0dcc4c6daba5a929adb502ce"/>
                <w:lock w:val="sdtLocked"/>
                <w:richText/>
              </w:sdtPr>
              <w:sdtContent>
                <w:p>
                  <w:pPr>
                    <w:ind w:firstLine="567"/>
                    <w:jc w:val="both"/>
                    <w:rPr>
                      <w:szCs w:val="24"/>
                      <w:lang w:eastAsia="lt-LT"/>
                    </w:rPr>
                  </w:pPr>
                  <w:sdt>
                    <w:sdtPr>
                      <w:alias w:val="Numeris"/>
                      <w:tag w:val="nr_6b02860a0dcc4c6daba5a929adb502ce"/>
                      <w:lock w:val="sdtLocked"/>
                      <w:richText/>
                    </w:sdtPr>
                    <w:sdtContent>
                      <w:r>
                        <w:rPr>
                          <w:szCs w:val="24"/>
                          <w:lang w:eastAsia="lt-LT"/>
                        </w:rPr>
                        <w:t>25</w:t>
                      </w:r>
                    </w:sdtContent>
                  </w:sdt>
                  <w:r>
                    <w:rPr>
                      <w:szCs w:val="24"/>
                      <w:lang w:eastAsia="lt-LT"/>
                    </w:rPr>
                    <w:t xml:space="preserve">. Projektuojant pastato (jo dalies) energinį naudingumą, turi būti įvertinta pastato (jo dalies) vidaus šiluminė talpa. </w:t>
                  </w:r>
                </w:p>
                <w:p>
                  <w:pPr>
                    <w:ind w:firstLine="567"/>
                    <w:jc w:val="both"/>
                    <w:rPr>
                      <w:szCs w:val="24"/>
                      <w:lang w:eastAsia="lt-LT"/>
                    </w:rPr>
                  </w:pPr>
                  <w:r>
                    <w:rPr>
                      <w:szCs w:val="24"/>
                      <w:lang w:eastAsia="lt-LT"/>
                    </w:rPr>
                    <w:t>Pastato atitvarų ir vidaus konstrukcijų masyvumo didinimas didina pastato vidaus šiluminę talpą, trumpina pastato šildymo trukmę, mažina energijos sąnaudas pastatui šildyti ir pastato perkaitimą vasaros laikotarpiu [3.21]. Pastato atitvarų ir vidaus konstrukcijų masyvumo didinimas leidžia pasiekti aukštesnę pastato energinio naudingumo klasę. Siekiant suprojektuoti efektyviausius energinio naudingumo požiūriu pastatus (jų dalis), pirmenybė turi būti teikiama masyvioms atitvaroms ir masyvioms pastato (jo dalies) vidaus konstrukcijoms.</w:t>
                  </w:r>
                </w:p>
              </w:sdtContent>
            </w:sdt>
            <w:sdt>
              <w:sdtPr>
                <w:alias w:val="26 p."/>
                <w:tag w:val="part_790ab966eabc4a3a8937efdcb569b764"/>
                <w:lock w:val="sdtLocked"/>
                <w:richText/>
              </w:sdtPr>
              <w:sdtContent>
                <w:p>
                  <w:pPr>
                    <w:ind w:firstLine="567"/>
                    <w:jc w:val="both"/>
                    <w:rPr>
                      <w:szCs w:val="24"/>
                      <w:lang w:eastAsia="lt-LT"/>
                    </w:rPr>
                  </w:pPr>
                  <w:sdt>
                    <w:sdtPr>
                      <w:alias w:val="Numeris"/>
                      <w:tag w:val="nr_790ab966eabc4a3a8937efdcb569b764"/>
                      <w:lock w:val="sdtLocked"/>
                      <w:richText/>
                    </w:sdtPr>
                    <w:sdtContent>
                      <w:r>
                        <w:rPr>
                          <w:szCs w:val="24"/>
                          <w:lang w:eastAsia="lt-LT"/>
                        </w:rPr>
                        <w:t>26</w:t>
                      </w:r>
                    </w:sdtContent>
                  </w:sdt>
                  <w:r>
                    <w:rPr>
                      <w:szCs w:val="24"/>
                      <w:lang w:eastAsia="lt-LT"/>
                    </w:rPr>
                    <w:t>. Projektuojant pastato (jo dalies) energinį naudingumą, turi būti įvertinti skaidrių atitvarų plotai, atitvarų orientacija pasaulio šalių atžvilgiu ir atitvarų apsaugos nuo saulės spinduliuotės priemonių efektyvumas.</w:t>
                  </w:r>
                </w:p>
                <w:p>
                  <w:pPr>
                    <w:ind w:firstLine="567"/>
                    <w:jc w:val="both"/>
                    <w:rPr>
                      <w:szCs w:val="24"/>
                      <w:lang w:eastAsia="lt-LT"/>
                    </w:rPr>
                  </w:pPr>
                  <w:r>
                    <w:rPr>
                      <w:szCs w:val="24"/>
                      <w:lang w:eastAsia="lt-LT"/>
                    </w:rPr>
                    <w:t>Esant dideliems langų, stoglangių, švieslangių ir kitų skaidrių atitvarų plotams, vasaros laikotarpiu dėl saulės spinduliuotės poveikio patalpos gali perkaisti ir atsirasti energijos poreikis pastatui vėsinti [3.21]. Projektuojant pastatus turi būti numatytos šių atitvarų apsaugos nuo saulės spinduliuotės priemonės [3.28], [3.29], kontroliuojami šių atitvarų plotai ir jų orientacija pasaulio šalių atžvilgiu, kad pastato patalpos būtų apsaugotos nuo perkaitimo.</w:t>
                  </w:r>
                </w:p>
              </w:sdtContent>
            </w:sdt>
            <w:sdt>
              <w:sdtPr>
                <w:alias w:val="27 p."/>
                <w:tag w:val="part_735927b040034ee8a63828f5e6eee7ad"/>
                <w:lock w:val="sdtLocked"/>
                <w:richText/>
              </w:sdtPr>
              <w:sdtContent>
                <w:p>
                  <w:pPr>
                    <w:ind w:firstLine="567"/>
                    <w:jc w:val="both"/>
                    <w:rPr>
                      <w:szCs w:val="24"/>
                      <w:lang w:eastAsia="lt-LT"/>
                    </w:rPr>
                  </w:pPr>
                  <w:sdt>
                    <w:sdtPr>
                      <w:alias w:val="Numeris"/>
                      <w:tag w:val="nr_735927b040034ee8a63828f5e6eee7ad"/>
                      <w:lock w:val="sdtLocked"/>
                      <w:richText/>
                    </w:sdtPr>
                    <w:sdtContent>
                      <w:r>
                        <w:rPr>
                          <w:szCs w:val="24"/>
                          <w:lang w:eastAsia="lt-LT"/>
                        </w:rPr>
                        <w:t>27</w:t>
                      </w:r>
                    </w:sdtContent>
                  </w:sdt>
                  <w:r>
                    <w:rPr>
                      <w:szCs w:val="24"/>
                      <w:lang w:eastAsia="lt-LT"/>
                    </w:rPr>
                    <w:t>. Projektuojant pastato (jų dalies) energinį naudingumą, turi būti įvertintos energijos sąnaudos pastatui (jo daliai) vėsinti.</w:t>
                  </w:r>
                </w:p>
                <w:p>
                  <w:pPr>
                    <w:ind w:firstLine="567"/>
                    <w:jc w:val="both"/>
                    <w:rPr>
                      <w:szCs w:val="24"/>
                      <w:lang w:eastAsia="lt-LT"/>
                    </w:rPr>
                  </w:pPr>
                  <w:r>
                    <w:rPr>
                      <w:szCs w:val="24"/>
                      <w:lang w:eastAsia="lt-LT"/>
                    </w:rPr>
                    <w:t>Pastato (jo dalies) norminių energijos sąnaudų skaičiavimuose turi būti priimta, kad energijos sąnaudų pastatui (jo daliai) vėsinti nėra. Jei dėl pastato (jo dalies) projektinių sprendimų atsiranda energijos sąnaudos pastatui vėsinti, pastato (jo dalies) energinis naudingumas mažėja, todėl pastato (jo dalies) projektavimo metu pirmenybė turi būti teikiama projektiniams sprendimams, kuriuos naudojant nereikia energijos vėsinti pastatą (jo dalį) šiltuoju metų laiku.</w:t>
                  </w:r>
                </w:p>
              </w:sdtContent>
            </w:sdt>
            <w:sdt>
              <w:sdtPr>
                <w:alias w:val="28 p."/>
                <w:tag w:val="part_b46b4fe9e4ee431b9142cdb43650bdc6"/>
                <w:lock w:val="sdtLocked"/>
                <w:richText/>
              </w:sdtPr>
              <w:sdtContent>
                <w:p>
                  <w:pPr>
                    <w:ind w:firstLine="567"/>
                    <w:jc w:val="both"/>
                    <w:rPr>
                      <w:szCs w:val="24"/>
                      <w:lang w:eastAsia="lt-LT"/>
                    </w:rPr>
                  </w:pPr>
                  <w:sdt>
                    <w:sdtPr>
                      <w:alias w:val="Numeris"/>
                      <w:tag w:val="nr_b46b4fe9e4ee431b9142cdb43650bdc6"/>
                      <w:lock w:val="sdtLocked"/>
                      <w:richText/>
                    </w:sdtPr>
                    <w:sdtContent>
                      <w:r>
                        <w:rPr>
                          <w:szCs w:val="24"/>
                          <w:lang w:eastAsia="lt-LT"/>
                        </w:rPr>
                        <w:t>28</w:t>
                      </w:r>
                    </w:sdtContent>
                  </w:sdt>
                  <w:r>
                    <w:rPr>
                      <w:szCs w:val="24"/>
                      <w:lang w:eastAsia="lt-LT"/>
                    </w:rPr>
                    <w:t>. Stogų ir perdangų po nešildoma pastoge</w:t>
                  </w:r>
                  <w:r>
                    <w:rPr>
                      <w:i/>
                      <w:szCs w:val="24"/>
                      <w:lang w:eastAsia="lt-LT"/>
                    </w:rPr>
                    <w:t xml:space="preserve"> U</w:t>
                  </w:r>
                  <w:r>
                    <w:rPr>
                      <w:i/>
                      <w:szCs w:val="24"/>
                      <w:vertAlign w:val="subscript"/>
                      <w:lang w:eastAsia="lt-LT"/>
                    </w:rPr>
                    <w:t>r</w:t>
                  </w:r>
                  <w:r>
                    <w:rPr>
                      <w:szCs w:val="24"/>
                      <w:lang w:eastAsia="lt-LT"/>
                    </w:rPr>
                    <w:t xml:space="preserve"> (W/(m²</w:t>
                    <w:sym w:font="Symbol" w:char="F0D7"/>
                    <w:t xml:space="preserve">K)), sienų </w:t>
                  </w:r>
                  <w:r>
                    <w:rPr>
                      <w:i/>
                      <w:szCs w:val="24"/>
                      <w:lang w:eastAsia="lt-LT"/>
                    </w:rPr>
                    <w:t>U</w:t>
                  </w:r>
                  <w:r>
                    <w:rPr>
                      <w:i/>
                      <w:szCs w:val="24"/>
                      <w:vertAlign w:val="subscript"/>
                      <w:lang w:eastAsia="lt-LT"/>
                    </w:rPr>
                    <w:t>w</w:t>
                  </w:r>
                  <w:r>
                    <w:rPr>
                      <w:szCs w:val="24"/>
                      <w:lang w:eastAsia="lt-LT"/>
                    </w:rPr>
                    <w:t xml:space="preserve"> (W/(m²</w:t>
                    <w:sym w:font="Symbol" w:char="F0D7"/>
                    <w:t xml:space="preserve">K)), su išore besiribojančių perdangų </w:t>
                  </w:r>
                  <w:r>
                    <w:rPr>
                      <w:i/>
                      <w:szCs w:val="24"/>
                      <w:lang w:eastAsia="lt-LT"/>
                    </w:rPr>
                    <w:t>U</w:t>
                  </w:r>
                  <w:r>
                    <w:rPr>
                      <w:i/>
                      <w:szCs w:val="24"/>
                      <w:vertAlign w:val="subscript"/>
                      <w:lang w:eastAsia="lt-LT"/>
                    </w:rPr>
                    <w:t>ce</w:t>
                  </w:r>
                  <w:r>
                    <w:rPr>
                      <w:szCs w:val="24"/>
                      <w:lang w:eastAsia="lt-LT"/>
                    </w:rPr>
                    <w:t xml:space="preserve"> (W/(m²</w:t>
                    <w:sym w:font="Symbol" w:char="F0D7"/>
                    <w:t xml:space="preserve">K)), perdangų virš nešildomų rūsių ir pogrindžių </w:t>
                  </w:r>
                  <w:r>
                    <w:rPr>
                      <w:i/>
                      <w:szCs w:val="24"/>
                      <w:lang w:eastAsia="lt-LT"/>
                    </w:rPr>
                    <w:t>U</w:t>
                  </w:r>
                  <w:r>
                    <w:rPr>
                      <w:i/>
                      <w:szCs w:val="24"/>
                      <w:vertAlign w:val="subscript"/>
                      <w:lang w:eastAsia="lt-LT"/>
                    </w:rPr>
                    <w:t xml:space="preserve">cc </w:t>
                  </w:r>
                  <w:r>
                    <w:rPr>
                      <w:szCs w:val="24"/>
                      <w:lang w:eastAsia="lt-LT"/>
                    </w:rPr>
                    <w:t>(W/(m²</w:t>
                    <w:sym w:font="Symbol" w:char="F0D7"/>
                    <w:t xml:space="preserve">K)), su gruntu besiribojančių atitvarų </w:t>
                  </w:r>
                  <w:r>
                    <w:rPr>
                      <w:i/>
                      <w:szCs w:val="24"/>
                      <w:lang w:eastAsia="lt-LT"/>
                    </w:rPr>
                    <w:t>U</w:t>
                  </w:r>
                  <w:r>
                    <w:rPr>
                      <w:i/>
                      <w:szCs w:val="24"/>
                      <w:vertAlign w:val="subscript"/>
                      <w:lang w:eastAsia="lt-LT"/>
                    </w:rPr>
                    <w:t>fg</w:t>
                  </w:r>
                  <w:r>
                    <w:rPr>
                      <w:szCs w:val="24"/>
                      <w:lang w:eastAsia="lt-LT"/>
                    </w:rPr>
                    <w:t xml:space="preserve"> (W/(m²</w:t>
                    <w:sym w:font="Symbol" w:char="F0D7"/>
                    <w:t>K)) projektinė šilumos perdavimo koeficiento vertė turi būti apskaičiuota pagal Reglamento 2 ir 3 priedų reikalavimus. Jei ši vertė didesnė už 1</w:t>
                  </w:r>
                  <w:r>
                    <w:rPr>
                      <w:i/>
                      <w:szCs w:val="24"/>
                      <w:lang w:eastAsia="lt-LT"/>
                    </w:rPr>
                    <w:t xml:space="preserve"> </w:t>
                  </w:r>
                  <w:r>
                    <w:rPr>
                      <w:szCs w:val="24"/>
                      <w:lang w:eastAsia="lt-LT"/>
                    </w:rPr>
                    <w:t>W/(m²</w:t>
                    <w:sym w:font="Symbol" w:char="F0D7"/>
                    <w:t xml:space="preserve">K), ji apskaičiuojama šimtosios dalies tikslumu, jei mažesnė – dviejų reikšminių skaičių tikslumu. </w:t>
                  </w:r>
                </w:p>
              </w:sdtContent>
            </w:sdt>
            <w:sdt>
              <w:sdtPr>
                <w:alias w:val="29 p."/>
                <w:tag w:val="part_c1bb9bbbceec40208f2a584a7cafaf58"/>
                <w:lock w:val="sdtLocked"/>
                <w:richText/>
              </w:sdtPr>
              <w:sdtContent>
                <w:p>
                  <w:pPr>
                    <w:ind w:firstLine="567"/>
                    <w:jc w:val="both"/>
                    <w:rPr>
                      <w:szCs w:val="24"/>
                      <w:lang w:eastAsia="lt-LT"/>
                    </w:rPr>
                  </w:pPr>
                  <w:sdt>
                    <w:sdtPr>
                      <w:alias w:val="Numeris"/>
                      <w:tag w:val="nr_c1bb9bbbceec40208f2a584a7cafaf58"/>
                      <w:lock w:val="sdtLocked"/>
                      <w:richText/>
                    </w:sdtPr>
                    <w:sdtContent>
                      <w:r>
                        <w:rPr>
                          <w:szCs w:val="24"/>
                          <w:lang w:eastAsia="lt-LT"/>
                        </w:rPr>
                        <w:t>29</w:t>
                      </w:r>
                    </w:sdtContent>
                  </w:sdt>
                  <w:r>
                    <w:rPr>
                      <w:szCs w:val="24"/>
                      <w:lang w:eastAsia="lt-LT"/>
                    </w:rPr>
                    <w:t xml:space="preserve">. Durų, vartų, langų, stoglangių, švieslangių ir kitų skaidrių atitvarų šiluminių techninių rodiklių vertės turi būti nustatytos Reglamento 4 priede nurodyta tvarka. Minėtų atitvarų šilumos perdavimo koeficientai turi būti nustatyti dviejų reikšminių skaičių tikslumu. </w:t>
                  </w:r>
                </w:p>
              </w:sdtContent>
            </w:sdt>
            <w:sdt>
              <w:sdtPr>
                <w:alias w:val="30 p."/>
                <w:tag w:val="part_a53d43d51de04a2a9ccfb77441815cad"/>
                <w:lock w:val="sdtLocked"/>
                <w:richText/>
              </w:sdtPr>
              <w:sdtContent>
                <w:p>
                  <w:pPr>
                    <w:ind w:firstLine="567"/>
                    <w:jc w:val="both"/>
                    <w:rPr>
                      <w:szCs w:val="24"/>
                      <w:lang w:eastAsia="lt-LT"/>
                    </w:rPr>
                  </w:pPr>
                  <w:sdt>
                    <w:sdtPr>
                      <w:alias w:val="Numeris"/>
                      <w:tag w:val="nr_a53d43d51de04a2a9ccfb77441815cad"/>
                      <w:lock w:val="sdtLocked"/>
                      <w:richText/>
                    </w:sdtPr>
                    <w:sdtContent>
                      <w:r>
                        <w:rPr>
                          <w:szCs w:val="24"/>
                          <w:lang w:eastAsia="lt-LT"/>
                        </w:rPr>
                        <w:t>30</w:t>
                      </w:r>
                    </w:sdtContent>
                  </w:sdt>
                  <w:r>
                    <w:rPr>
                      <w:szCs w:val="24"/>
                      <w:lang w:eastAsia="lt-LT"/>
                    </w:rPr>
                    <w:t>. Pastatų energinio naudingumo projektavimo ir sertifikavimo skaičiavimuose įvertinami šilumos nuostoliai per šiuos ilginius šiluminius tiltelius:</w:t>
                  </w:r>
                </w:p>
                <w:sdt>
                  <w:sdtPr>
                    <w:alias w:val="30.1 pp."/>
                    <w:tag w:val="part_2b5dca36e4344188aa7ef3e10f27e522"/>
                    <w:lock w:val="sdtLocked"/>
                    <w:richText/>
                  </w:sdtPr>
                  <w:sdtContent>
                    <w:p>
                      <w:pPr>
                        <w:ind w:firstLine="567"/>
                        <w:jc w:val="both"/>
                        <w:rPr>
                          <w:rFonts w:eastAsia="Calibri"/>
                          <w:szCs w:val="24"/>
                        </w:rPr>
                      </w:pPr>
                      <w:sdt>
                        <w:sdtPr>
                          <w:alias w:val="Numeris"/>
                          <w:tag w:val="nr_2b5dca36e4344188aa7ef3e10f27e522"/>
                          <w:lock w:val="sdtLocked"/>
                          <w:richText/>
                        </w:sdtPr>
                        <w:sdtContent>
                          <w:r>
                            <w:rPr>
                              <w:rFonts w:eastAsia="Calibri"/>
                              <w:szCs w:val="22"/>
                            </w:rPr>
                            <w:t>30</w:t>
                          </w:r>
                          <w:r>
                            <w:rPr>
                              <w:rFonts w:eastAsia="Calibri"/>
                              <w:szCs w:val="24"/>
                            </w:rPr>
                            <w:t>.1</w:t>
                          </w:r>
                        </w:sdtContent>
                      </w:sdt>
                      <w:r>
                        <w:rPr>
                          <w:rFonts w:eastAsia="Calibri"/>
                          <w:szCs w:val="24"/>
                        </w:rPr>
                        <w:t>. tarp pastato pamatų ir išorinių sienų;</w:t>
                      </w:r>
                    </w:p>
                  </w:sdtContent>
                </w:sdt>
                <w:sdt>
                  <w:sdtPr>
                    <w:alias w:val="30.2 pp."/>
                    <w:tag w:val="part_eea2078d2c454b3b80c061ba8e34ff0f"/>
                    <w:lock w:val="sdtLocked"/>
                    <w:richText/>
                  </w:sdtPr>
                  <w:sdtContent>
                    <w:p>
                      <w:pPr>
                        <w:ind w:firstLine="567"/>
                        <w:jc w:val="both"/>
                        <w:rPr>
                          <w:rFonts w:eastAsia="Calibri"/>
                          <w:szCs w:val="24"/>
                        </w:rPr>
                      </w:pPr>
                      <w:sdt>
                        <w:sdtPr>
                          <w:alias w:val="Numeris"/>
                          <w:tag w:val="nr_eea2078d2c454b3b80c061ba8e34ff0f"/>
                          <w:lock w:val="sdtLocked"/>
                          <w:richText/>
                        </w:sdtPr>
                        <w:sdtContent>
                          <w:r>
                            <w:rPr>
                              <w:rFonts w:eastAsia="Calibri"/>
                              <w:szCs w:val="22"/>
                            </w:rPr>
                            <w:t>30</w:t>
                          </w:r>
                          <w:r>
                            <w:rPr>
                              <w:rFonts w:eastAsia="Calibri"/>
                              <w:szCs w:val="24"/>
                            </w:rPr>
                            <w:t>.2</w:t>
                          </w:r>
                        </w:sdtContent>
                      </w:sdt>
                      <w:r>
                        <w:rPr>
                          <w:rFonts w:eastAsia="Calibri"/>
                          <w:szCs w:val="24"/>
                        </w:rPr>
                        <w:t>. durų angų perimetru;</w:t>
                      </w:r>
                    </w:p>
                  </w:sdtContent>
                </w:sdt>
                <w:sdt>
                  <w:sdtPr>
                    <w:alias w:val="30.3 pp."/>
                    <w:tag w:val="part_d2b473f47a1843af8fb76b482cabdb7e"/>
                    <w:lock w:val="sdtLocked"/>
                    <w:richText/>
                  </w:sdtPr>
                  <w:sdtContent>
                    <w:p>
                      <w:pPr>
                        <w:ind w:firstLine="567"/>
                        <w:jc w:val="both"/>
                        <w:rPr>
                          <w:rFonts w:eastAsia="Calibri"/>
                          <w:szCs w:val="24"/>
                        </w:rPr>
                      </w:pPr>
                      <w:sdt>
                        <w:sdtPr>
                          <w:alias w:val="Numeris"/>
                          <w:tag w:val="nr_d2b473f47a1843af8fb76b482cabdb7e"/>
                          <w:lock w:val="sdtLocked"/>
                          <w:richText/>
                        </w:sdtPr>
                        <w:sdtContent>
                          <w:r>
                            <w:rPr>
                              <w:rFonts w:eastAsia="Calibri"/>
                              <w:szCs w:val="22"/>
                            </w:rPr>
                            <w:t>30</w:t>
                          </w:r>
                          <w:r>
                            <w:rPr>
                              <w:rFonts w:eastAsia="Calibri"/>
                              <w:szCs w:val="24"/>
                            </w:rPr>
                            <w:t>.3</w:t>
                          </w:r>
                        </w:sdtContent>
                      </w:sdt>
                      <w:r>
                        <w:rPr>
                          <w:rFonts w:eastAsia="Calibri"/>
                          <w:szCs w:val="24"/>
                        </w:rPr>
                        <w:t>.tarp pastato sienų ir stogo;</w:t>
                      </w:r>
                    </w:p>
                  </w:sdtContent>
                </w:sdt>
                <w:sdt>
                  <w:sdtPr>
                    <w:alias w:val="30.4 pp."/>
                    <w:tag w:val="part_fea18631e98241e6ad0c81eff156fb58"/>
                    <w:lock w:val="sdtLocked"/>
                    <w:richText/>
                  </w:sdtPr>
                  <w:sdtContent>
                    <w:p>
                      <w:pPr>
                        <w:ind w:firstLine="567"/>
                        <w:jc w:val="both"/>
                        <w:rPr>
                          <w:rFonts w:eastAsia="Calibri"/>
                          <w:szCs w:val="24"/>
                        </w:rPr>
                      </w:pPr>
                      <w:sdt>
                        <w:sdtPr>
                          <w:alias w:val="Numeris"/>
                          <w:tag w:val="nr_fea18631e98241e6ad0c81eff156fb58"/>
                          <w:lock w:val="sdtLocked"/>
                          <w:richText/>
                        </w:sdtPr>
                        <w:sdtContent>
                          <w:r>
                            <w:rPr>
                              <w:rFonts w:eastAsia="Calibri"/>
                              <w:szCs w:val="22"/>
                            </w:rPr>
                            <w:t>30</w:t>
                          </w:r>
                          <w:r>
                            <w:rPr>
                              <w:rFonts w:eastAsia="Calibri"/>
                              <w:szCs w:val="24"/>
                            </w:rPr>
                            <w:t>.4</w:t>
                          </w:r>
                        </w:sdtContent>
                      </w:sdt>
                      <w:r>
                        <w:rPr>
                          <w:rFonts w:eastAsia="Calibri"/>
                          <w:szCs w:val="24"/>
                        </w:rPr>
                        <w:t>. fasadų išoriniuose ir vidiniuose kampuose;</w:t>
                      </w:r>
                    </w:p>
                  </w:sdtContent>
                </w:sdt>
                <w:sdt>
                  <w:sdtPr>
                    <w:alias w:val="30.5 pp."/>
                    <w:tag w:val="part_5a5ec2112adb42959a7bebae090ff6c2"/>
                    <w:lock w:val="sdtLocked"/>
                    <w:richText/>
                  </w:sdtPr>
                  <w:sdtContent>
                    <w:p>
                      <w:pPr>
                        <w:ind w:firstLine="567"/>
                        <w:jc w:val="both"/>
                        <w:rPr>
                          <w:rFonts w:eastAsia="Calibri"/>
                          <w:szCs w:val="24"/>
                        </w:rPr>
                      </w:pPr>
                      <w:sdt>
                        <w:sdtPr>
                          <w:alias w:val="Numeris"/>
                          <w:tag w:val="nr_5a5ec2112adb42959a7bebae090ff6c2"/>
                          <w:lock w:val="sdtLocked"/>
                          <w:richText/>
                        </w:sdtPr>
                        <w:sdtContent>
                          <w:r>
                            <w:rPr>
                              <w:rFonts w:eastAsia="Calibri"/>
                              <w:szCs w:val="22"/>
                            </w:rPr>
                            <w:t>30</w:t>
                          </w:r>
                          <w:r>
                            <w:rPr>
                              <w:rFonts w:eastAsia="Calibri"/>
                              <w:szCs w:val="24"/>
                            </w:rPr>
                            <w:t>.5</w:t>
                          </w:r>
                        </w:sdtContent>
                      </w:sdt>
                      <w:r>
                        <w:rPr>
                          <w:rFonts w:eastAsia="Calibri"/>
                          <w:szCs w:val="24"/>
                        </w:rPr>
                        <w:t>. balkonų grindų susikirtimo su išorinėmis sienomis vietose;</w:t>
                      </w:r>
                    </w:p>
                  </w:sdtContent>
                </w:sdt>
                <w:sdt>
                  <w:sdtPr>
                    <w:alias w:val="30.6 pp."/>
                    <w:tag w:val="part_64f7fb49fa8b4b2791678460df0cdab1"/>
                    <w:lock w:val="sdtLocked"/>
                    <w:richText/>
                  </w:sdtPr>
                  <w:sdtContent>
                    <w:p>
                      <w:pPr>
                        <w:ind w:firstLine="567"/>
                        <w:jc w:val="both"/>
                        <w:rPr>
                          <w:rFonts w:eastAsia="Calibri"/>
                          <w:szCs w:val="24"/>
                        </w:rPr>
                      </w:pPr>
                      <w:sdt>
                        <w:sdtPr>
                          <w:alias w:val="Numeris"/>
                          <w:tag w:val="nr_64f7fb49fa8b4b2791678460df0cdab1"/>
                          <w:lock w:val="sdtLocked"/>
                          <w:richText/>
                        </w:sdtPr>
                        <w:sdtContent>
                          <w:r>
                            <w:rPr>
                              <w:rFonts w:eastAsia="Calibri"/>
                              <w:szCs w:val="22"/>
                            </w:rPr>
                            <w:t>30</w:t>
                          </w:r>
                          <w:r>
                            <w:rPr>
                              <w:rFonts w:eastAsia="Calibri"/>
                              <w:szCs w:val="24"/>
                            </w:rPr>
                            <w:t>.6</w:t>
                          </w:r>
                        </w:sdtContent>
                      </w:sdt>
                      <w:r>
                        <w:rPr>
                          <w:rFonts w:eastAsia="Calibri"/>
                          <w:szCs w:val="24"/>
                        </w:rPr>
                        <w:t>. tarp perdangų, kurios ribojasi su išore, ir sienų;</w:t>
                      </w:r>
                    </w:p>
                  </w:sdtContent>
                </w:sdt>
                <w:sdt>
                  <w:sdtPr>
                    <w:alias w:val="30.7 pp."/>
                    <w:tag w:val="part_8a0571fc868346ed94e6dfd6be3799cf"/>
                    <w:lock w:val="sdtLocked"/>
                    <w:richText/>
                  </w:sdtPr>
                  <w:sdtContent>
                    <w:p>
                      <w:pPr>
                        <w:ind w:firstLine="567"/>
                        <w:jc w:val="both"/>
                        <w:rPr>
                          <w:rFonts w:eastAsia="Calibri"/>
                          <w:szCs w:val="24"/>
                        </w:rPr>
                      </w:pPr>
                      <w:sdt>
                        <w:sdtPr>
                          <w:alias w:val="Numeris"/>
                          <w:tag w:val="nr_8a0571fc868346ed94e6dfd6be3799cf"/>
                          <w:lock w:val="sdtLocked"/>
                          <w:richText/>
                        </w:sdtPr>
                        <w:sdtContent>
                          <w:r>
                            <w:rPr>
                              <w:rFonts w:eastAsia="Calibri"/>
                              <w:szCs w:val="22"/>
                            </w:rPr>
                            <w:t>30</w:t>
                          </w:r>
                          <w:r>
                            <w:rPr>
                              <w:rFonts w:eastAsia="Calibri"/>
                              <w:szCs w:val="24"/>
                            </w:rPr>
                            <w:t>.7</w:t>
                          </w:r>
                        </w:sdtContent>
                      </w:sdt>
                      <w:r>
                        <w:rPr>
                          <w:rFonts w:eastAsia="Calibri"/>
                          <w:szCs w:val="24"/>
                        </w:rPr>
                        <w:t>. langų, stoglangių, švieslangių ir kitų skaidrių atitvarų angų perimetru.</w:t>
                      </w:r>
                    </w:p>
                  </w:sdtContent>
                </w:sdt>
              </w:sdtContent>
            </w:sdt>
            <w:sdt>
              <w:sdtPr>
                <w:alias w:val="31 p."/>
                <w:tag w:val="part_9fb615e2fdaa427c8a712ab4dd5b6b41"/>
                <w:lock w:val="sdtLocked"/>
                <w:richText/>
              </w:sdtPr>
              <w:sdtContent>
                <w:p>
                  <w:pPr>
                    <w:ind w:firstLine="567"/>
                    <w:jc w:val="both"/>
                    <w:rPr>
                      <w:szCs w:val="24"/>
                    </w:rPr>
                  </w:pPr>
                  <w:sdt>
                    <w:sdtPr>
                      <w:alias w:val="Numeris"/>
                      <w:tag w:val="nr_9fb615e2fdaa427c8a712ab4dd5b6b41"/>
                      <w:lock w:val="sdtLocked"/>
                      <w:richText/>
                    </w:sdtPr>
                    <w:sdtContent>
                      <w:r>
                        <w:rPr>
                          <w:rFonts w:eastAsia="Calibri"/>
                          <w:szCs w:val="24"/>
                        </w:rPr>
                        <w:t>31</w:t>
                      </w:r>
                    </w:sdtContent>
                  </w:sdt>
                  <w:r>
                    <w:rPr>
                      <w:rFonts w:eastAsia="Calibri"/>
                      <w:szCs w:val="24"/>
                    </w:rPr>
                    <w:t xml:space="preserve">. </w:t>
                  </w:r>
                  <w:r>
                    <w:rPr>
                      <w:szCs w:val="24"/>
                    </w:rPr>
                    <w:t>Ilginių šiluminių tiltelių skaičiuojamosios šilumos perdavimo koeficientų vertės nustatomos vienu iš žemiau nurodytų būdų:“;</w:t>
                  </w:r>
                </w:p>
                <w:sdt>
                  <w:sdtPr>
                    <w:alias w:val="31.1 pp."/>
                    <w:tag w:val="part_b4a924043d2e4183b443de3b3b915041"/>
                    <w:lock w:val="sdtLocked"/>
                    <w:richText/>
                  </w:sdtPr>
                  <w:sdtContent>
                    <w:p>
                      <w:pPr>
                        <w:ind w:firstLine="567"/>
                        <w:jc w:val="both"/>
                        <w:rPr>
                          <w:szCs w:val="24"/>
                        </w:rPr>
                      </w:pPr>
                      <w:sdt>
                        <w:sdtPr>
                          <w:alias w:val="Numeris"/>
                          <w:tag w:val="nr_b4a924043d2e4183b443de3b3b915041"/>
                          <w:lock w:val="sdtLocked"/>
                          <w:richText/>
                        </w:sdtPr>
                        <w:sdtContent>
                          <w:r>
                            <w:rPr>
                              <w:rFonts w:eastAsia="Calibri"/>
                              <w:szCs w:val="24"/>
                            </w:rPr>
                            <w:t>31.1</w:t>
                          </w:r>
                        </w:sdtContent>
                      </w:sdt>
                      <w:r>
                        <w:rPr>
                          <w:rFonts w:eastAsia="Calibri"/>
                          <w:szCs w:val="24"/>
                        </w:rPr>
                        <w:t xml:space="preserve">. </w:t>
                      </w:r>
                      <w:r>
                        <w:rPr>
                          <w:szCs w:val="24"/>
                        </w:rPr>
                        <w:t>ilginių šiluminių tiltelių šilumos perdavimo koeficientų vertės apskaičiuojamos</w:t>
                      </w:r>
                      <w:r>
                        <w:rPr>
                          <w:b/>
                          <w:szCs w:val="24"/>
                        </w:rPr>
                        <w:t xml:space="preserve"> </w:t>
                      </w:r>
                      <w:r>
                        <w:rPr>
                          <w:szCs w:val="24"/>
                        </w:rPr>
                        <w:t>pagal LST EN ISO 10211:2008 [3.15] reikalavimus. Skaičiavimuose ilginių šiluminių tiltelių ilgiai turi būti imami pagal išorinius pastato matmenis; langų, stoglangių, švieslangių, kitų skaidrių atitvarų ir durų angų perimetru – pagal mažiausius išorinius angų matmenis; tiltelių ilginiams šilumos perdavimo koeficientams skaičiuoti su gruntu besiribojančių atitvarų šilumos perdavimo koeficiento vertė turi būti nustatyta esant būdingam grindų matmeniui 4 m;</w:t>
                      </w:r>
                    </w:p>
                  </w:sdtContent>
                </w:sdt>
                <w:sdt>
                  <w:sdtPr>
                    <w:alias w:val="31.2 pp."/>
                    <w:tag w:val="part_2045afd536fa470987d8f1254f577a05"/>
                    <w:lock w:val="sdtLocked"/>
                    <w:richText/>
                  </w:sdtPr>
                  <w:sdtContent>
                    <w:p>
                      <w:pPr>
                        <w:ind w:firstLine="629"/>
                        <w:jc w:val="both"/>
                        <w:rPr>
                          <w:rFonts w:eastAsia="Calibri"/>
                          <w:szCs w:val="24"/>
                        </w:rPr>
                      </w:pPr>
                      <w:sdt>
                        <w:sdtPr>
                          <w:alias w:val="Numeris"/>
                          <w:tag w:val="nr_2045afd536fa470987d8f1254f577a05"/>
                          <w:lock w:val="sdtLocked"/>
                          <w:richText/>
                        </w:sdtPr>
                        <w:sdtContent>
                          <w:r>
                            <w:rPr>
                              <w:szCs w:val="24"/>
                            </w:rPr>
                            <w:t>31.2</w:t>
                          </w:r>
                        </w:sdtContent>
                      </w:sdt>
                      <w:r>
                        <w:rPr>
                          <w:szCs w:val="24"/>
                        </w:rPr>
                        <w:t xml:space="preserve">. jei </w:t>
                      </w:r>
                      <w:r>
                        <w:rPr>
                          <w:rFonts w:eastAsia="Calibri"/>
                          <w:szCs w:val="24"/>
                        </w:rPr>
                        <w:t xml:space="preserve">ilginių šiluminių tiltelių šilumos perdavimo koeficientų vertės pagal </w:t>
                      </w:r>
                      <w:r>
                        <w:rPr>
                          <w:szCs w:val="24"/>
                        </w:rPr>
                        <w:t>LST EN ISO 10211:2008 [3.15] reikalavimus</w:t>
                      </w:r>
                      <w:r>
                        <w:rPr>
                          <w:rFonts w:eastAsia="Calibri"/>
                          <w:szCs w:val="24"/>
                        </w:rPr>
                        <w:t xml:space="preserve"> neskaičiuojamos, jos nustatomos vadovaujantis  Reglamento 6 priedo 6.1 lentelės duomenimis;</w:t>
                      </w:r>
                    </w:p>
                  </w:sdtContent>
                </w:sdt>
                <w:sdt>
                  <w:sdtPr>
                    <w:alias w:val="31.3 pp."/>
                    <w:tag w:val="part_a50b1d2f50834a94beb81e0ece6bed8d"/>
                    <w:lock w:val="sdtLocked"/>
                    <w:richText/>
                  </w:sdtPr>
                  <w:sdtContent>
                    <w:p>
                      <w:pPr>
                        <w:ind w:firstLine="629"/>
                        <w:jc w:val="both"/>
                        <w:rPr>
                          <w:szCs w:val="24"/>
                        </w:rPr>
                      </w:pPr>
                      <w:sdt>
                        <w:sdtPr>
                          <w:alias w:val="Numeris"/>
                          <w:tag w:val="nr_a50b1d2f50834a94beb81e0ece6bed8d"/>
                          <w:lock w:val="sdtLocked"/>
                          <w:richText/>
                        </w:sdtPr>
                        <w:sdtContent>
                          <w:r>
                            <w:rPr>
                              <w:szCs w:val="24"/>
                            </w:rPr>
                            <w:t>31.3</w:t>
                          </w:r>
                        </w:sdtContent>
                      </w:sdt>
                      <w:r>
                        <w:rPr>
                          <w:szCs w:val="24"/>
                        </w:rPr>
                        <w:t>. ilginio šiluminio tiltelio šilumos perdavimo koeficiento vertė gali būti nustatyta iš kitų duomenų, kurie atitinka tiltelio įrengimo schemą, ir šie duomenys apskaičiuoti pagal 31.1 papunkčio reikalavimus, taip pat nustatant funkcines tarpines vertes tarp šiuose duomenyse nurodytų ilginių šiluminių tiltelių šilumos perdavimo koeficiento verčių;</w:t>
                      </w:r>
                    </w:p>
                  </w:sdtContent>
                </w:sdt>
                <w:sdt>
                  <w:sdtPr>
                    <w:alias w:val="31.4 pp."/>
                    <w:tag w:val="part_ff4d310eff594d28932938b1750badaf"/>
                    <w:lock w:val="sdtLocked"/>
                    <w:richText/>
                  </w:sdtPr>
                  <w:sdtContent>
                    <w:p>
                      <w:pPr>
                        <w:ind w:firstLine="567"/>
                        <w:jc w:val="both"/>
                        <w:rPr>
                          <w:szCs w:val="24"/>
                        </w:rPr>
                      </w:pPr>
                      <w:sdt>
                        <w:sdtPr>
                          <w:alias w:val="Numeris"/>
                          <w:tag w:val="nr_ff4d310eff594d28932938b1750badaf"/>
                          <w:lock w:val="sdtLocked"/>
                          <w:richText/>
                        </w:sdtPr>
                        <w:sdtContent>
                          <w:r>
                            <w:rPr>
                              <w:szCs w:val="24"/>
                            </w:rPr>
                            <w:t>31.4</w:t>
                          </w:r>
                        </w:sdtContent>
                      </w:sdt>
                      <w:r>
                        <w:rPr>
                          <w:szCs w:val="24"/>
                        </w:rPr>
                        <w:t>. ilginių šiluminių tiltelių projektinės šilumos perdavimo koeficientų vertės turi būti nustatytos dviejų skaičių po kablelio</w:t>
                      </w:r>
                      <w:r>
                        <w:rPr>
                          <w:b/>
                          <w:szCs w:val="24"/>
                        </w:rPr>
                        <w:t xml:space="preserve"> </w:t>
                      </w:r>
                      <w:r>
                        <w:rPr>
                          <w:szCs w:val="24"/>
                        </w:rPr>
                        <w:t>tikslumu.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2 p."/>
                <w:tag w:val="part_a7b95cf85469468298f42d03e4eae878"/>
                <w:lock w:val="sdtLocked"/>
                <w:richText/>
              </w:sdtPr>
              <w:sdtContent>
                <w:p>
                  <w:pPr>
                    <w:ind w:firstLine="567"/>
                    <w:jc w:val="both"/>
                    <w:rPr>
                      <w:szCs w:val="24"/>
                      <w:lang w:eastAsia="lt-LT"/>
                    </w:rPr>
                  </w:pPr>
                  <w:sdt>
                    <w:sdtPr>
                      <w:alias w:val="Numeris"/>
                      <w:tag w:val="nr_a7b95cf85469468298f42d03e4eae878"/>
                      <w:lock w:val="sdtLocked"/>
                      <w:richText/>
                    </w:sdtPr>
                    <w:sdtContent>
                      <w:r>
                        <w:rPr>
                          <w:szCs w:val="24"/>
                          <w:lang w:eastAsia="lt-LT"/>
                        </w:rPr>
                        <w:t>32</w:t>
                      </w:r>
                    </w:sdtContent>
                  </w:sdt>
                  <w:r>
                    <w:rPr>
                      <w:szCs w:val="24"/>
                      <w:lang w:eastAsia="lt-LT"/>
                    </w:rPr>
                    <w:t>. E, D, C, B, A, A+ ir A++ energinio naudingumo klasių pastatų (jų dalių) norminiams savitiesiems šilumos nuostoliams skaičiuoti naudojamos atitinkamai naudingumo klasei 2–7 lentelėse nurodytos rodiklių vertės.</w:t>
                  </w:r>
                </w:p>
                <w:sdt>
                  <w:sdtPr>
                    <w:alias w:val="lentele"/>
                    <w:tag w:val="part_58bc119c03264c3691c4feaec2a0633b"/>
                    <w:lock w:val="sdtLocked"/>
                    <w:richText/>
                  </w:sdtPr>
                  <w:sdtContent>
                    <w:p>
                      <w:pPr>
                        <w:ind w:left="567"/>
                        <w:jc w:val="both"/>
                        <w:rPr>
                          <w:strike/>
                          <w:szCs w:val="22"/>
                          <w:lang w:eastAsia="lt-LT"/>
                        </w:rPr>
                      </w:pPr>
                    </w:p>
                    <w:sdt>
                      <w:sdtPr>
                        <w:alias w:val="Pavadinimas"/>
                        <w:tag w:val="title_58bc119c03264c3691c4feaec2a0633b"/>
                        <w:lock w:val="sdtLocked"/>
                        <w:richText/>
                      </w:sdtPr>
                      <w:sdtContent>
                        <w:p>
                          <w:pPr>
                            <w:jc w:val="center"/>
                            <w:rPr>
                              <w:b/>
                              <w:szCs w:val="24"/>
                              <w:lang w:eastAsia="lt-LT"/>
                            </w:rPr>
                          </w:pPr>
                          <w:sdt>
                            <w:sdtPr>
                              <w:alias w:val="Pavadinimas"/>
                              <w:tag w:val="title_58bc119c03264c3691c4feaec2a0633b"/>
                              <w:lock w:val="sdtLocked"/>
                              <w:richText/>
                            </w:sdtPr>
                            <w:sdtContent>
                              <w:r>
                                <w:rPr>
                                  <w:b/>
                                  <w:szCs w:val="24"/>
                                  <w:lang w:eastAsia="lt-LT"/>
                                </w:rPr>
                                <w:t xml:space="preserve">Šiluminių tiltelių šilumos perdavimo koeficientų </w:t>
                              </w:r>
                              <w:r>
                                <w:rPr>
                                  <w:i/>
                                  <w:szCs w:val="24"/>
                                  <w:lang w:eastAsia="lt-LT"/>
                                </w:rPr>
                                <w:t>Ψ</w:t>
                              </w:r>
                              <w:r>
                                <w:rPr>
                                  <w:i/>
                                  <w:szCs w:val="24"/>
                                  <w:vertAlign w:val="subscript"/>
                                  <w:lang w:eastAsia="lt-LT"/>
                                </w:rPr>
                                <w:t xml:space="preserve"> R</w:t>
                              </w:r>
                              <w:r>
                                <w:rPr>
                                  <w:i/>
                                  <w:szCs w:val="24"/>
                                  <w:lang w:eastAsia="lt-LT"/>
                                </w:rPr>
                                <w:t xml:space="preserve"> </w:t>
                              </w:r>
                              <w:r>
                                <w:rPr>
                                  <w:iCs/>
                                  <w:szCs w:val="24"/>
                                  <w:lang w:eastAsia="lt-LT"/>
                                </w:rPr>
                                <w:t>(</w:t>
                              </w:r>
                              <w:r>
                                <w:rPr>
                                  <w:b/>
                                  <w:szCs w:val="24"/>
                                  <w:lang w:eastAsia="lt-LT"/>
                                </w:rPr>
                                <w:t>W/</w:t>
                              </w:r>
                              <w:r>
                                <w:rPr>
                                  <w:b/>
                                  <w:spacing w:val="-6"/>
                                  <w:szCs w:val="24"/>
                                  <w:lang w:eastAsia="lt-LT"/>
                                </w:rPr>
                                <w:t>(m·K))</w:t>
                              </w:r>
                              <w:r>
                                <w:rPr>
                                  <w:b/>
                                  <w:szCs w:val="24"/>
                                  <w:lang w:eastAsia="lt-LT"/>
                                </w:rPr>
                                <w:t xml:space="preserve"> vertės D ir E energinio naudingumo klasės pastatų (jų dalių) atitvarų norminių savitųjų šilumos nuostolių ir energinio naudingumo rodikliams skaičiuoti</w:t>
                              </w:r>
                            </w:sdtContent>
                          </w:sdt>
                        </w:p>
                      </w:sdtContent>
                    </w:sdt>
                    <w:p>
                      <w:pPr>
                        <w:ind w:firstLine="567"/>
                        <w:jc w:val="right"/>
                        <w:rPr>
                          <w:szCs w:val="24"/>
                          <w:lang w:eastAsia="lt-LT"/>
                        </w:rPr>
                      </w:pPr>
                      <w:r>
                        <w:rPr>
                          <w:szCs w:val="24"/>
                          <w:lang w:eastAsia="lt-LT"/>
                        </w:rPr>
                        <w:t>2 lentelė</w:t>
                      </w:r>
                    </w:p>
                    <w:tbl>
                      <w:tblPr>
                        <w:tblW w:w="9714" w:type="dxa"/>
                        <w:tblInd w:w="108" w:type="dxa"/>
                        <w:tblLook w:val="04A0" w:firstRow="1" w:lastRow="0" w:firstColumn="1" w:lastColumn="0" w:noHBand="0" w:noVBand="1"/>
                      </w:tblPr>
                      <w:tblGrid>
                        <w:gridCol w:w="1296"/>
                        <w:gridCol w:w="1679"/>
                        <w:gridCol w:w="618"/>
                        <w:gridCol w:w="999"/>
                        <w:gridCol w:w="903"/>
                        <w:gridCol w:w="1071"/>
                        <w:gridCol w:w="603"/>
                        <w:gridCol w:w="604"/>
                        <w:gridCol w:w="1000"/>
                        <w:gridCol w:w="941"/>
                      </w:tblGrid>
                      <w:tr>
                        <w:trPr>
                          <w:trHeight w:val="86"/>
                        </w:trPr>
                        <w:tc>
                          <w:tcPr>
                            <w:tcW w:w="0" w:type="auto"/>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2"/>
                              </w:rPr>
                            </w:pPr>
                            <w:r>
                              <w:rPr>
                                <w:rFonts w:eastAsia="Calibri"/>
                                <w:sz w:val="22"/>
                              </w:rPr>
                              <w:t>Eil.</w:t>
                            </w:r>
                          </w:p>
                          <w:p>
                            <w:pPr>
                              <w:spacing w:line="276" w:lineRule="auto"/>
                              <w:jc w:val="center"/>
                              <w:rPr>
                                <w:rFonts w:eastAsia="Calibri"/>
                                <w:sz w:val="22"/>
                              </w:rPr>
                            </w:pPr>
                            <w:r>
                              <w:rPr>
                                <w:rFonts w:eastAsia="Calibri"/>
                                <w:sz w:val="22"/>
                              </w:rPr>
                              <w:t>Nr.</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2"/>
                              </w:rPr>
                            </w:pPr>
                            <w:r>
                              <w:rPr>
                                <w:sz w:val="22"/>
                                <w:lang w:eastAsia="lt-LT"/>
                              </w:rPr>
                              <w:t>Pastato paskirtis pagal Reglamento 2 priedo 2.4 lentelę</w:t>
                            </w:r>
                          </w:p>
                        </w:tc>
                        <w:tc>
                          <w:tcPr>
                            <w:tcW w:w="0" w:type="auto"/>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 w:val="22"/>
                              </w:rPr>
                            </w:pPr>
                            <w:r>
                              <w:rPr>
                                <w:rFonts w:eastAsia="Calibri"/>
                                <w:sz w:val="22"/>
                              </w:rPr>
                              <w:t xml:space="preserve">Stogų </w:t>
                            </w:r>
                            <w:r>
                              <w:rPr>
                                <w:rFonts w:eastAsia="Calibri"/>
                                <w:i/>
                                <w:sz w:val="22"/>
                              </w:rPr>
                              <w:t>U</w:t>
                            </w:r>
                            <w:r>
                              <w:rPr>
                                <w:rFonts w:eastAsia="Calibri"/>
                                <w:i/>
                                <w:sz w:val="22"/>
                                <w:vertAlign w:val="subscript"/>
                              </w:rPr>
                              <w:t>R.r</w:t>
                            </w:r>
                          </w:p>
                        </w:tc>
                        <w:tc>
                          <w:tcPr>
                            <w:tcW w:w="0" w:type="auto"/>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 w:val="22"/>
                              </w:rPr>
                            </w:pPr>
                            <w:r>
                              <w:rPr>
                                <w:rFonts w:eastAsia="Calibri"/>
                                <w:sz w:val="22"/>
                              </w:rPr>
                              <w:t>Perdangų, kurios ribojasi su išore,</w:t>
                            </w:r>
                          </w:p>
                          <w:p>
                            <w:pPr>
                              <w:spacing w:line="276" w:lineRule="auto"/>
                              <w:ind w:left="-57" w:right="-57"/>
                              <w:jc w:val="center"/>
                              <w:rPr>
                                <w:rFonts w:eastAsia="Calibri"/>
                                <w:sz w:val="22"/>
                              </w:rPr>
                            </w:pPr>
                            <w:r>
                              <w:rPr>
                                <w:rFonts w:eastAsia="Calibri"/>
                                <w:i/>
                                <w:sz w:val="22"/>
                              </w:rPr>
                              <w:t>U</w:t>
                            </w:r>
                            <w:r>
                              <w:rPr>
                                <w:rFonts w:eastAsia="Calibri"/>
                                <w:i/>
                                <w:sz w:val="22"/>
                                <w:vertAlign w:val="subscript"/>
                              </w:rPr>
                              <w:t>R.ce</w:t>
                            </w:r>
                          </w:p>
                        </w:tc>
                        <w:tc>
                          <w:tcPr>
                            <w:tcW w:w="0" w:type="auto"/>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 w:val="22"/>
                              </w:rPr>
                            </w:pPr>
                            <w:r>
                              <w:rPr>
                                <w:rFonts w:eastAsia="Calibri"/>
                                <w:sz w:val="22"/>
                              </w:rPr>
                              <w:t>Atitvarų, kurios ribojasi su gruntu,</w:t>
                            </w:r>
                          </w:p>
                          <w:p>
                            <w:pPr>
                              <w:spacing w:line="276" w:lineRule="auto"/>
                              <w:ind w:left="-57" w:right="-57"/>
                              <w:jc w:val="center"/>
                              <w:rPr>
                                <w:rFonts w:eastAsia="Calibri"/>
                                <w:sz w:val="22"/>
                              </w:rPr>
                            </w:pPr>
                            <w:r>
                              <w:rPr>
                                <w:rFonts w:eastAsia="Calibri"/>
                                <w:i/>
                                <w:sz w:val="22"/>
                              </w:rPr>
                              <w:t>U</w:t>
                            </w:r>
                            <w:r>
                              <w:rPr>
                                <w:rFonts w:eastAsia="Calibri"/>
                                <w:i/>
                                <w:sz w:val="22"/>
                                <w:vertAlign w:val="subscript"/>
                              </w:rPr>
                              <w:t>R.fg</w:t>
                            </w:r>
                          </w:p>
                        </w:tc>
                        <w:tc>
                          <w:tcPr>
                            <w:tcW w:w="0" w:type="auto"/>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 w:val="22"/>
                              </w:rPr>
                            </w:pPr>
                            <w:r>
                              <w:rPr>
                                <w:rFonts w:eastAsia="Calibri"/>
                                <w:sz w:val="22"/>
                              </w:rPr>
                              <w:t>Perdangų virš nešildomų rūsių ir pogrindžių</w:t>
                            </w:r>
                          </w:p>
                          <w:p>
                            <w:pPr>
                              <w:spacing w:line="276" w:lineRule="auto"/>
                              <w:ind w:left="-57" w:right="-57"/>
                              <w:jc w:val="center"/>
                              <w:rPr>
                                <w:rFonts w:eastAsia="Calibri"/>
                                <w:sz w:val="22"/>
                              </w:rPr>
                            </w:pPr>
                            <w:r>
                              <w:rPr>
                                <w:rFonts w:eastAsia="Calibri"/>
                                <w:i/>
                                <w:sz w:val="22"/>
                              </w:rPr>
                              <w:t>U</w:t>
                            </w:r>
                            <w:r>
                              <w:rPr>
                                <w:rFonts w:eastAsia="Calibri"/>
                                <w:i/>
                                <w:sz w:val="22"/>
                                <w:vertAlign w:val="subscript"/>
                              </w:rPr>
                              <w:t>R.cc</w:t>
                            </w:r>
                          </w:p>
                        </w:tc>
                        <w:tc>
                          <w:tcPr>
                            <w:tcW w:w="0" w:type="auto"/>
                            <w:tcBorders>
                              <w:top w:val="single" w:sz="4" w:space="0" w:color="auto"/>
                              <w:left w:val="nil"/>
                              <w:bottom w:val="single" w:sz="4" w:space="0" w:color="auto"/>
                              <w:right w:val="single" w:sz="4" w:space="0" w:color="auto"/>
                            </w:tcBorders>
                            <w:vAlign w:val="center"/>
                            <w:hideMark/>
                          </w:tcPr>
                          <w:p>
                            <w:pPr>
                              <w:spacing w:line="276" w:lineRule="auto"/>
                              <w:ind w:left="-113" w:right="-113"/>
                              <w:jc w:val="center"/>
                              <w:rPr>
                                <w:rFonts w:eastAsia="Calibri"/>
                                <w:sz w:val="22"/>
                                <w:vertAlign w:val="subscript"/>
                              </w:rPr>
                            </w:pPr>
                            <w:r>
                              <w:rPr>
                                <w:rFonts w:eastAsia="Calibri"/>
                                <w:sz w:val="22"/>
                              </w:rPr>
                              <w:t xml:space="preserve">Sienų </w:t>
                            </w:r>
                            <w:r>
                              <w:rPr>
                                <w:rFonts w:eastAsia="Calibri"/>
                                <w:i/>
                                <w:sz w:val="22"/>
                              </w:rPr>
                              <w:t>U</w:t>
                            </w:r>
                            <w:r>
                              <w:rPr>
                                <w:rFonts w:eastAsia="Calibri"/>
                                <w:i/>
                                <w:sz w:val="22"/>
                                <w:vertAlign w:val="subscript"/>
                              </w:rPr>
                              <w:t>R.w</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sz w:val="22"/>
                              </w:rPr>
                            </w:pPr>
                            <w:r>
                              <w:rPr>
                                <w:rFonts w:eastAsia="Calibri"/>
                                <w:sz w:val="22"/>
                              </w:rPr>
                              <w:t>Durų ir vartų</w:t>
                            </w:r>
                          </w:p>
                          <w:p>
                            <w:pPr>
                              <w:spacing w:line="276" w:lineRule="auto"/>
                              <w:ind w:left="-113" w:right="-113"/>
                              <w:jc w:val="center"/>
                              <w:rPr>
                                <w:rFonts w:eastAsia="Calibri"/>
                                <w:sz w:val="22"/>
                              </w:rPr>
                            </w:pPr>
                            <w:r>
                              <w:rPr>
                                <w:rFonts w:eastAsia="Calibri"/>
                                <w:i/>
                                <w:sz w:val="22"/>
                              </w:rPr>
                              <w:t>U</w:t>
                            </w:r>
                            <w:r>
                              <w:rPr>
                                <w:rFonts w:eastAsia="Calibri"/>
                                <w:i/>
                                <w:sz w:val="22"/>
                                <w:vertAlign w:val="subscript"/>
                              </w:rPr>
                              <w:t>R.d</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sz w:val="22"/>
                              </w:rPr>
                            </w:pPr>
                            <w:r>
                              <w:rPr>
                                <w:rFonts w:eastAsia="Calibri"/>
                                <w:sz w:val="22"/>
                              </w:rPr>
                              <w:t>Langų, stoglangių, švieslangių ir kitų skaidrių atitvarų</w:t>
                            </w:r>
                          </w:p>
                          <w:p>
                            <w:pPr>
                              <w:spacing w:line="276" w:lineRule="auto"/>
                              <w:ind w:left="-113" w:right="-113"/>
                              <w:jc w:val="center"/>
                              <w:rPr>
                                <w:rFonts w:eastAsia="Calibri"/>
                                <w:sz w:val="22"/>
                              </w:rPr>
                            </w:pPr>
                            <w:r>
                              <w:rPr>
                                <w:rFonts w:eastAsia="Calibri"/>
                                <w:i/>
                                <w:sz w:val="22"/>
                              </w:rPr>
                              <w:t>U</w:t>
                            </w:r>
                            <w:r>
                              <w:rPr>
                                <w:rFonts w:eastAsia="Calibri"/>
                                <w:i/>
                                <w:sz w:val="22"/>
                                <w:vertAlign w:val="subscript"/>
                              </w:rPr>
                              <w:t>R.wda.</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ind w:left="-57" w:right="-57"/>
                              <w:jc w:val="center"/>
                              <w:rPr>
                                <w:rFonts w:eastAsia="Calibri"/>
                                <w:sz w:val="22"/>
                              </w:rPr>
                            </w:pPr>
                            <w:r>
                              <w:rPr>
                                <w:rFonts w:eastAsia="Calibri"/>
                                <w:sz w:val="22"/>
                              </w:rPr>
                              <w:t>Ilginių šiluminių tiltelių</w:t>
                            </w:r>
                          </w:p>
                          <w:p>
                            <w:pPr>
                              <w:spacing w:line="276" w:lineRule="auto"/>
                              <w:ind w:left="-57" w:right="-57"/>
                              <w:jc w:val="center"/>
                              <w:rPr>
                                <w:rFonts w:eastAsia="Calibri"/>
                                <w:sz w:val="22"/>
                              </w:rPr>
                            </w:pPr>
                            <w:r>
                              <w:rPr>
                                <w:rFonts w:eastAsia="Calibri"/>
                                <w:i/>
                                <w:sz w:val="22"/>
                              </w:rPr>
                              <w:t>Ψ</w:t>
                            </w:r>
                            <w:r>
                              <w:rPr>
                                <w:rFonts w:eastAsia="Calibri"/>
                                <w:i/>
                                <w:sz w:val="22"/>
                                <w:vertAlign w:val="subscript"/>
                              </w:rPr>
                              <w:t xml:space="preserve"> R“</w:t>
                            </w:r>
                          </w:p>
                        </w:tc>
                      </w:tr>
                      <w:tr>
                        <w:trPr>
                          <w:trHeight w:val="315"/>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Gyvenamosios paskirties vieno ir dviejų butų pastatai (namai)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0,24</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1,82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1,85</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0,11</w:t>
                            </w:r>
                          </w:p>
                        </w:tc>
                      </w:tr>
                      <w:tr>
                        <w:trPr>
                          <w:trHeight w:val="315"/>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2.</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Kiti gyvenamieji pastatai (namai)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0,25</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0,25</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0,48</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0,39</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0,48</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1,81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1,90</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0,11</w:t>
                            </w:r>
                          </w:p>
                        </w:tc>
                      </w:tr>
                      <w:tr>
                        <w:trPr>
                          <w:trHeight w:val="315"/>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3.</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Administracinės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0,44</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0,57</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0,58</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1,84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2,17</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0,09</w:t>
                            </w:r>
                          </w:p>
                        </w:tc>
                      </w:tr>
                      <w:tr>
                        <w:trPr>
                          <w:trHeight w:val="187"/>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4.</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Mokslo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0,28</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1,73</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1,72</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0,11</w:t>
                            </w:r>
                          </w:p>
                        </w:tc>
                      </w:tr>
                      <w:tr>
                        <w:trPr>
                          <w:trHeight w:val="263"/>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5.</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Gydymo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0,30</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0,57</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0,59</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0,49</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1,73</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0,10</w:t>
                            </w:r>
                          </w:p>
                        </w:tc>
                      </w:tr>
                      <w:tr>
                        <w:trPr>
                          <w:trHeight w:val="240"/>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6.</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Maitinimo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1,76</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0,15</w:t>
                            </w:r>
                          </w:p>
                        </w:tc>
                      </w:tr>
                      <w:tr>
                        <w:trPr>
                          <w:trHeight w:val="277"/>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7.</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Prekybos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1,76</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0,15</w:t>
                            </w:r>
                          </w:p>
                        </w:tc>
                      </w:tr>
                      <w:tr>
                        <w:trPr>
                          <w:trHeight w:val="630"/>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8.</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Sporto paskirties pastatai, išskyrus baseinus</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0,28</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0,53</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1,73</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1,72</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0,11</w:t>
                            </w:r>
                          </w:p>
                        </w:tc>
                      </w:tr>
                      <w:tr>
                        <w:trPr>
                          <w:trHeight w:val="282"/>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9.</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Baseinai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0,25</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0,37</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0,37</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1,73</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1,72</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0,10</w:t>
                            </w:r>
                          </w:p>
                        </w:tc>
                      </w:tr>
                      <w:tr>
                        <w:trPr>
                          <w:trHeight w:val="194"/>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10.</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Kultūros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0,28</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1,73</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0,11</w:t>
                            </w:r>
                          </w:p>
                        </w:tc>
                      </w:tr>
                      <w:tr>
                        <w:trPr>
                          <w:trHeight w:val="284"/>
                        </w:trPr>
                        <w:tc>
                          <w:tcPr>
                            <w:tcW w:w="0" w:type="auto"/>
                            <w:tcBorders>
                              <w:top w:val="nil"/>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11.</w:t>
                              <w:tab/>
                            </w:r>
                          </w:p>
                        </w:tc>
                        <w:tc>
                          <w:tcPr>
                            <w:tcW w:w="0" w:type="auto"/>
                            <w:tcBorders>
                              <w:top w:val="nil"/>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Garažų, gamybos ir pramonės paskirties pastatai</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0,38</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0,32</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1,92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2,05</w:t>
                            </w:r>
                          </w:p>
                        </w:tc>
                        <w:tc>
                          <w:tcPr>
                            <w:tcW w:w="0" w:type="auto"/>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0,12</w:t>
                            </w:r>
                          </w:p>
                        </w:tc>
                      </w:tr>
                      <w:tr>
                        <w:trPr>
                          <w:trHeight w:val="315"/>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12.</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Sandėliavimo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0,38</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0,32</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1,92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2,05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0,12</w:t>
                            </w:r>
                          </w:p>
                        </w:tc>
                      </w:tr>
                      <w:tr>
                        <w:trPr>
                          <w:trHeight w:val="315"/>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13.</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Viešbučių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1,76</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0,15</w:t>
                            </w:r>
                          </w:p>
                        </w:tc>
                      </w:tr>
                      <w:tr>
                        <w:trPr>
                          <w:trHeight w:val="315"/>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14.</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Paslaugų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1,76</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0,15</w:t>
                            </w:r>
                          </w:p>
                        </w:tc>
                      </w:tr>
                      <w:tr>
                        <w:trPr>
                          <w:trHeight w:val="315"/>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15.</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Transporto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0,38</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0,32</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0,60</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0,52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1,92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2,05</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0,12</w:t>
                            </w:r>
                          </w:p>
                        </w:tc>
                      </w:tr>
                      <w:tr>
                        <w:trPr>
                          <w:trHeight w:val="272"/>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16.</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Poilsio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0,22</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0,35</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1,74</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1,76</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0,15</w:t>
                            </w:r>
                          </w:p>
                        </w:tc>
                      </w:tr>
                      <w:tr>
                        <w:trPr>
                          <w:trHeight w:val="158"/>
                        </w:trPr>
                        <w:tc>
                          <w:tcPr>
                            <w:tcW w:w="0" w:type="auto"/>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17.</w:t>
                              <w:tab/>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rPr>
                                <w:rFonts w:eastAsia="Calibri"/>
                                <w:sz w:val="22"/>
                                <w:szCs w:val="22"/>
                              </w:rPr>
                              <w:t>Specialiosios paskirties pastatai</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0,43</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0,34</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0,66</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0,77</w:t>
                            </w:r>
                          </w:p>
                        </w:tc>
                        <w:tc>
                          <w:tcPr>
                            <w:tcW w:w="0" w:type="auto"/>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0,62</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1,71</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1,77</w:t>
                            </w:r>
                          </w:p>
                        </w:tc>
                        <w:tc>
                          <w:tcPr>
                            <w:tcW w:w="0" w:type="auto"/>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 w:val="22"/>
                                <w:szCs w:val="22"/>
                              </w:rPr>
                              <w:t>0,10</w:t>
                            </w:r>
                          </w:p>
                        </w:tc>
                      </w:tr>
                    </w:tbl>
                    <w:p>
                      <w:pPr>
                        <w:ind w:firstLine="567"/>
                        <w:jc w:val="both"/>
                        <w:rPr>
                          <w:strike/>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lentele"/>
                    <w:tag w:val="part_740ad790d8c34705aab509cd853f962e"/>
                    <w:lock w:val="sdtLocked"/>
                    <w:richText/>
                  </w:sdtPr>
                  <w:sdtContent>
                    <w:p>
                      <w:pPr>
                        <w:jc w:val="center"/>
                      </w:pPr>
                      <w:sdt>
                        <w:sdtPr>
                          <w:alias w:val="Pavadinimas"/>
                          <w:tag w:val="title_740ad790d8c34705aab509cd853f962e"/>
                          <w:lock w:val="sdtLocked"/>
                          <w:richText/>
                        </w:sdtPr>
                        <w:sdtContent>
                          <w:sdt>
                            <w:sdtPr>
                              <w:alias w:val="Pavadinimas"/>
                              <w:tag w:val="title_740ad790d8c34705aab509cd853f962e"/>
                              <w:lock w:val="sdtLocked"/>
                              <w:richText/>
                            </w:sdtPr>
                            <w:sdtContent>
                              <w:r>
                                <w:rPr>
                                  <w:b/>
                                  <w:szCs w:val="24"/>
                                </w:rPr>
                                <w:t xml:space="preserve">Pastatų atitvarų šilumos perdavimo koeficientų </w:t>
                              </w:r>
                              <w:r>
                                <w:rPr>
                                  <w:b/>
                                  <w:i/>
                                  <w:szCs w:val="24"/>
                                </w:rPr>
                                <w:t>U</w:t>
                              </w:r>
                              <w:r>
                                <w:rPr>
                                  <w:b/>
                                  <w:i/>
                                  <w:szCs w:val="24"/>
                                  <w:vertAlign w:val="subscript"/>
                                </w:rPr>
                                <w:t>(C,B)</w:t>
                              </w:r>
                              <w:r>
                                <w:rPr>
                                  <w:b/>
                                  <w:szCs w:val="24"/>
                                </w:rPr>
                                <w:t xml:space="preserve"> (W/(m²</w:t>
                                <w:sym w:font="Symbol" w:char="F0D7"/>
                                <w:t xml:space="preserve">K)) vertės C ir B energinio naudingumo klasės pastatų (jų dalių) atitvarų norminių savitųjų šilumos nuostolių ir energinio naudingumo </w:t>
                              </w:r>
                              <w:r>
                                <w:rPr>
                                  <w:b/>
                                  <w:szCs w:val="24"/>
                                  <w:lang w:eastAsia="lt-LT"/>
                                </w:rPr>
                                <w:t>rodikliams skaičiuoti</w:t>
                              </w:r>
                            </w:sdtContent>
                          </w:sdt>
                        </w:sdtContent>
                      </w:sdt>
                    </w:p>
                    <w:p>
                      <w:pPr>
                        <w:ind w:firstLine="8505"/>
                        <w:jc w:val="center"/>
                        <w:rPr>
                          <w:szCs w:val="24"/>
                          <w:lang w:eastAsia="lt-LT"/>
                        </w:rPr>
                      </w:pPr>
                      <w:sdt>
                        <w:sdtPr>
                          <w:alias w:val="Numeris"/>
                          <w:tag w:val="nr_740ad790d8c34705aab509cd853f962e"/>
                          <w:lock w:val="sdtLocked"/>
                          <w:richText/>
                        </w:sdtPr>
                        <w:sdtContent>
                          <w:r>
                            <w:rPr>
                              <w:szCs w:val="24"/>
                              <w:lang w:eastAsia="lt-LT"/>
                            </w:rPr>
                            <w:t>3</w:t>
                          </w:r>
                        </w:sdtContent>
                      </w:sdt>
                      <w:r>
                        <w:rPr>
                          <w:szCs w:val="24"/>
                          <w:lang w:eastAsia="lt-LT"/>
                        </w:rPr>
                        <w:t xml:space="preserve"> lentelė </w:t>
                      </w:r>
                    </w:p>
                    <w:tbl>
                      <w:tblPr>
                        <w:tblW w:w="487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1"/>
                        <w:gridCol w:w="2585"/>
                        <w:gridCol w:w="1028"/>
                        <w:gridCol w:w="769"/>
                        <w:gridCol w:w="667"/>
                        <w:gridCol w:w="1144"/>
                        <w:gridCol w:w="839"/>
                        <w:gridCol w:w="837"/>
                        <w:gridCol w:w="979"/>
                      </w:tblGrid>
                      <w:tr>
                        <w:trPr>
                          <w:cantSplit/>
                          <w:trHeight w:val="240"/>
                        </w:trPr>
                        <w:tc>
                          <w:tcPr>
                            <w:tcW w:w="328" w:type="pct"/>
                            <w:vMerge w:val="restart"/>
                            <w:tcBorders>
                              <w:top w:val="single" w:sz="4" w:space="0" w:color="auto"/>
                              <w:left w:val="single" w:sz="4" w:space="0" w:color="auto"/>
                              <w:right w:val="single" w:sz="4" w:space="0" w:color="auto"/>
                            </w:tcBorders>
                          </w:tcPr>
                          <w:p>
                            <w:pPr>
                              <w:jc w:val="center"/>
                              <w:rPr>
                                <w:szCs w:val="24"/>
                              </w:rPr>
                            </w:pPr>
                            <w:r>
                              <w:rPr>
                                <w:szCs w:val="24"/>
                              </w:rPr>
                              <w:t>Eil. Nr.</w:t>
                            </w:r>
                          </w:p>
                        </w:tc>
                        <w:tc>
                          <w:tcPr>
                            <w:tcW w:w="1365"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Atitvaros rūšis</w:t>
                            </w:r>
                          </w:p>
                        </w:tc>
                        <w:tc>
                          <w:tcPr>
                            <w:tcW w:w="543"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Atitvarą žymintis poraidis</w:t>
                            </w:r>
                          </w:p>
                        </w:tc>
                        <w:tc>
                          <w:tcPr>
                            <w:tcW w:w="758" w:type="pct"/>
                            <w:gridSpan w:val="2"/>
                            <w:vMerge w:val="restart"/>
                            <w:tcBorders>
                              <w:top w:val="single" w:sz="4" w:space="0" w:color="auto"/>
                              <w:left w:val="single" w:sz="4" w:space="0" w:color="auto"/>
                              <w:right w:val="single" w:sz="4" w:space="0" w:color="auto"/>
                            </w:tcBorders>
                            <w:vAlign w:val="center"/>
                            <w:hideMark/>
                          </w:tcPr>
                          <w:p>
                            <w:pPr>
                              <w:spacing w:line="276" w:lineRule="auto"/>
                              <w:jc w:val="center"/>
                              <w:rPr>
                                <w:rFonts w:eastAsia="Calibri"/>
                                <w:szCs w:val="24"/>
                              </w:rPr>
                            </w:pPr>
                            <w:r>
                              <w:rPr>
                                <w:szCs w:val="24"/>
                              </w:rPr>
                              <w:t>Gyvenamieji pastatai</w:t>
                            </w:r>
                          </w:p>
                        </w:tc>
                        <w:tc>
                          <w:tcPr>
                            <w:tcW w:w="2006" w:type="pct"/>
                            <w:gridSpan w:val="4"/>
                            <w:tcBorders>
                              <w:top w:val="single" w:sz="4" w:space="0" w:color="auto"/>
                              <w:left w:val="single" w:sz="4" w:space="0" w:color="auto"/>
                              <w:right w:val="single" w:sz="4" w:space="0" w:color="auto"/>
                            </w:tcBorders>
                          </w:tcPr>
                          <w:p>
                            <w:pPr>
                              <w:spacing w:line="276" w:lineRule="auto"/>
                              <w:jc w:val="center"/>
                              <w:rPr>
                                <w:rFonts w:eastAsia="Calibri"/>
                                <w:szCs w:val="24"/>
                              </w:rPr>
                            </w:pPr>
                            <w:r>
                              <w:rPr>
                                <w:rFonts w:eastAsia="Calibri"/>
                                <w:szCs w:val="24"/>
                              </w:rPr>
                              <w:t>Negyvenamieji pastatai</w:t>
                            </w:r>
                          </w:p>
                        </w:tc>
                      </w:tr>
                      <w:tr>
                        <w:trPr>
                          <w:cantSplit/>
                          <w:trHeight w:val="410"/>
                        </w:trPr>
                        <w:tc>
                          <w:tcPr>
                            <w:tcW w:w="328" w:type="pct"/>
                            <w:vMerge/>
                            <w:tcBorders>
                              <w:left w:val="single" w:sz="4" w:space="0" w:color="auto"/>
                              <w:bottom w:val="single" w:sz="4" w:space="0" w:color="auto"/>
                              <w:right w:val="single" w:sz="4" w:space="0" w:color="auto"/>
                            </w:tcBorders>
                          </w:tcPr>
                          <w:p>
                            <w:pPr>
                              <w:rPr>
                                <w:szCs w:val="24"/>
                              </w:rPr>
                            </w:pPr>
                          </w:p>
                        </w:tc>
                        <w:tc>
                          <w:tcPr>
                            <w:tcW w:w="136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43"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8" w:type="pct"/>
                            <w:gridSpan w:val="2"/>
                            <w:vMerge/>
                            <w:tcBorders>
                              <w:left w:val="single" w:sz="4" w:space="0" w:color="auto"/>
                              <w:bottom w:val="single" w:sz="4" w:space="0" w:color="auto"/>
                              <w:right w:val="single" w:sz="4" w:space="0" w:color="auto"/>
                            </w:tcBorders>
                            <w:vAlign w:val="center"/>
                            <w:hideMark/>
                          </w:tcPr>
                          <w:p>
                            <w:pPr>
                              <w:jc w:val="center"/>
                              <w:rPr>
                                <w:szCs w:val="24"/>
                              </w:rPr>
                            </w:pPr>
                          </w:p>
                        </w:tc>
                        <w:tc>
                          <w:tcPr>
                            <w:tcW w:w="1047"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Viešosios paskirties pastatai</w:t>
                            </w:r>
                            <w:r>
                              <w:rPr>
                                <w:szCs w:val="24"/>
                                <w:vertAlign w:val="superscript"/>
                              </w:rPr>
                              <w:t>1)</w:t>
                            </w:r>
                          </w:p>
                        </w:tc>
                        <w:tc>
                          <w:tcPr>
                            <w:tcW w:w="959"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Pramonės</w:t>
                            </w:r>
                          </w:p>
                          <w:p>
                            <w:pPr>
                              <w:jc w:val="center"/>
                              <w:rPr>
                                <w:szCs w:val="24"/>
                              </w:rPr>
                            </w:pPr>
                            <w:r>
                              <w:rPr>
                                <w:szCs w:val="24"/>
                              </w:rPr>
                              <w:t>pastatai</w:t>
                            </w:r>
                            <w:r>
                              <w:rPr>
                                <w:szCs w:val="24"/>
                                <w:vertAlign w:val="superscript"/>
                              </w:rPr>
                              <w:t>2)</w:t>
                            </w:r>
                          </w:p>
                        </w:tc>
                      </w:tr>
                      <w:tr>
                        <w:trPr>
                          <w:cantSplit/>
                          <w:trHeight w:val="367"/>
                        </w:trPr>
                        <w:tc>
                          <w:tcPr>
                            <w:tcW w:w="328"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1908"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Pastato energinio naudingumo klasė</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C</w:t>
                            </w:r>
                          </w:p>
                        </w:tc>
                        <w:tc>
                          <w:tcPr>
                            <w:tcW w:w="35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B</w:t>
                            </w:r>
                          </w:p>
                        </w:tc>
                        <w:tc>
                          <w:tcPr>
                            <w:tcW w:w="604"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C</w:t>
                            </w:r>
                          </w:p>
                        </w:tc>
                        <w:tc>
                          <w:tcPr>
                            <w:tcW w:w="443"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B</w:t>
                            </w:r>
                          </w:p>
                        </w:tc>
                        <w:tc>
                          <w:tcPr>
                            <w:tcW w:w="442"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C</w:t>
                            </w:r>
                          </w:p>
                        </w:tc>
                        <w:tc>
                          <w:tcPr>
                            <w:tcW w:w="517"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B</w:t>
                            </w:r>
                          </w:p>
                        </w:tc>
                      </w:tr>
                      <w:tr>
                        <w:trPr>
                          <w:cantSplit/>
                          <w:trHeight w:val="187"/>
                        </w:trPr>
                        <w:tc>
                          <w:tcPr>
                            <w:tcW w:w="328" w:type="pct"/>
                            <w:vMerge w:val="restart"/>
                            <w:tcBorders>
                              <w:top w:val="single" w:sz="4" w:space="0" w:color="auto"/>
                              <w:left w:val="single" w:sz="4" w:space="0" w:color="auto"/>
                              <w:right w:val="single" w:sz="4" w:space="0" w:color="auto"/>
                            </w:tcBorders>
                          </w:tcPr>
                          <w:p>
                            <w:pPr>
                              <w:jc w:val="center"/>
                              <w:rPr>
                                <w:szCs w:val="24"/>
                              </w:rPr>
                            </w:pPr>
                            <w:r>
                              <w:rPr>
                                <w:szCs w:val="24"/>
                              </w:rPr>
                              <w:t>2.</w:t>
                            </w:r>
                          </w:p>
                          <w:p>
                            <w:pPr>
                              <w:jc w:val="center"/>
                              <w:rPr>
                                <w:szCs w:val="24"/>
                              </w:rPr>
                            </w:pPr>
                          </w:p>
                        </w:tc>
                        <w:tc>
                          <w:tcPr>
                            <w:tcW w:w="1365" w:type="pct"/>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 xml:space="preserve">Stogai </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w:t>
                            </w:r>
                          </w:p>
                        </w:tc>
                        <w:tc>
                          <w:tcPr>
                            <w:tcW w:w="406"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0,16</w:t>
                            </w:r>
                          </w:p>
                        </w:tc>
                        <w:tc>
                          <w:tcPr>
                            <w:tcW w:w="352" w:type="pct"/>
                            <w:vMerge w:val="restart"/>
                            <w:tcBorders>
                              <w:top w:val="single" w:sz="4" w:space="0" w:color="auto"/>
                              <w:left w:val="single" w:sz="4" w:space="0" w:color="auto"/>
                              <w:right w:val="single" w:sz="4" w:space="0" w:color="auto"/>
                            </w:tcBorders>
                            <w:vAlign w:val="center"/>
                          </w:tcPr>
                          <w:p>
                            <w:pPr>
                              <w:ind w:left="-113" w:right="-113"/>
                              <w:jc w:val="center"/>
                              <w:rPr>
                                <w:szCs w:val="24"/>
                              </w:rPr>
                            </w:pPr>
                            <w:r>
                              <w:rPr>
                                <w:szCs w:val="24"/>
                              </w:rPr>
                              <w:t>0,15</w:t>
                            </w:r>
                          </w:p>
                        </w:tc>
                        <w:tc>
                          <w:tcPr>
                            <w:tcW w:w="604"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w:t>
                              <w:sym w:font="Symbol" w:char="F06B"/>
                            </w:r>
                            <w:r>
                              <w:rPr>
                                <w:szCs w:val="24"/>
                                <w:vertAlign w:val="subscript"/>
                              </w:rPr>
                              <w:t>1</w:t>
                            </w:r>
                            <w:r>
                              <w:rPr>
                                <w:szCs w:val="24"/>
                                <w:vertAlign w:val="superscript"/>
                              </w:rPr>
                              <w:t>5)</w:t>
                            </w:r>
                          </w:p>
                        </w:tc>
                        <w:tc>
                          <w:tcPr>
                            <w:tcW w:w="443" w:type="pct"/>
                            <w:vMerge w:val="restart"/>
                            <w:tcBorders>
                              <w:top w:val="single" w:sz="4" w:space="0" w:color="auto"/>
                              <w:left w:val="single" w:sz="4" w:space="0" w:color="auto"/>
                              <w:right w:val="single" w:sz="4" w:space="0" w:color="auto"/>
                            </w:tcBorders>
                            <w:vAlign w:val="center"/>
                          </w:tcPr>
                          <w:p>
                            <w:pPr>
                              <w:ind w:left="-113" w:right="-113"/>
                              <w:jc w:val="center"/>
                              <w:rPr>
                                <w:szCs w:val="24"/>
                              </w:rPr>
                            </w:pPr>
                            <w:r>
                              <w:rPr>
                                <w:szCs w:val="24"/>
                              </w:rPr>
                              <w:t>0,18·</w:t>
                              <w:sym w:font="Symbol" w:char="F06B"/>
                            </w:r>
                            <w:r>
                              <w:rPr>
                                <w:szCs w:val="24"/>
                                <w:vertAlign w:val="subscript"/>
                              </w:rPr>
                              <w:t>1</w:t>
                            </w:r>
                            <w:r>
                              <w:rPr>
                                <w:szCs w:val="24"/>
                                <w:vertAlign w:val="superscript"/>
                              </w:rPr>
                              <w:t>5)</w:t>
                            </w:r>
                          </w:p>
                        </w:tc>
                        <w:tc>
                          <w:tcPr>
                            <w:tcW w:w="442"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0,25</w:t>
                              <w:sym w:font="Symbol" w:char="F0D7"/>
                              <w:sym w:font="Symbol" w:char="F06B"/>
                            </w:r>
                            <w:r>
                              <w:rPr>
                                <w:szCs w:val="24"/>
                                <w:vertAlign w:val="subscript"/>
                              </w:rPr>
                              <w:t>1</w:t>
                            </w:r>
                            <w:r>
                              <w:rPr>
                                <w:szCs w:val="24"/>
                                <w:vertAlign w:val="superscript"/>
                              </w:rPr>
                              <w:t>5)</w:t>
                            </w:r>
                          </w:p>
                        </w:tc>
                        <w:tc>
                          <w:tcPr>
                            <w:tcW w:w="517" w:type="pct"/>
                            <w:vMerge w:val="restart"/>
                            <w:tcBorders>
                              <w:top w:val="single" w:sz="4" w:space="0" w:color="auto"/>
                              <w:left w:val="single" w:sz="4" w:space="0" w:color="auto"/>
                              <w:right w:val="single" w:sz="4" w:space="0" w:color="auto"/>
                            </w:tcBorders>
                            <w:vAlign w:val="center"/>
                          </w:tcPr>
                          <w:p>
                            <w:pPr>
                              <w:ind w:left="-113" w:right="-113"/>
                              <w:jc w:val="center"/>
                              <w:rPr>
                                <w:szCs w:val="24"/>
                              </w:rPr>
                            </w:pPr>
                            <w:r>
                              <w:rPr>
                                <w:szCs w:val="24"/>
                              </w:rPr>
                              <w:t>0,22·</w:t>
                              <w:sym w:font="Symbol" w:char="F06B"/>
                            </w:r>
                            <w:r>
                              <w:rPr>
                                <w:szCs w:val="24"/>
                                <w:vertAlign w:val="subscript"/>
                              </w:rPr>
                              <w:t>1</w:t>
                            </w:r>
                            <w:r>
                              <w:rPr>
                                <w:szCs w:val="24"/>
                                <w:vertAlign w:val="superscript"/>
                              </w:rPr>
                              <w:t>5)</w:t>
                            </w:r>
                          </w:p>
                        </w:tc>
                      </w:tr>
                      <w:tr>
                        <w:trPr>
                          <w:cantSplit/>
                          <w:trHeight w:val="47"/>
                        </w:trPr>
                        <w:tc>
                          <w:tcPr>
                            <w:tcW w:w="328" w:type="pct"/>
                            <w:vMerge/>
                            <w:tcBorders>
                              <w:left w:val="single" w:sz="4" w:space="0" w:color="auto"/>
                              <w:bottom w:val="single" w:sz="4" w:space="0" w:color="auto"/>
                              <w:right w:val="single" w:sz="4" w:space="0" w:color="auto"/>
                            </w:tcBorders>
                          </w:tcPr>
                          <w:p>
                            <w:pPr>
                              <w:jc w:val="center"/>
                              <w:rPr>
                                <w:szCs w:val="24"/>
                              </w:rPr>
                            </w:pPr>
                          </w:p>
                        </w:tc>
                        <w:tc>
                          <w:tcPr>
                            <w:tcW w:w="1365" w:type="pct"/>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Perdangos</w:t>
                            </w:r>
                            <w:r>
                              <w:rPr>
                                <w:szCs w:val="24"/>
                                <w:vertAlign w:val="superscript"/>
                              </w:rPr>
                              <w:t>6)</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ce</w:t>
                            </w:r>
                          </w:p>
                        </w:tc>
                        <w:tc>
                          <w:tcPr>
                            <w:tcW w:w="406"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2" w:type="pct"/>
                            <w:vMerge/>
                            <w:tcBorders>
                              <w:left w:val="single" w:sz="4" w:space="0" w:color="auto"/>
                              <w:bottom w:val="single" w:sz="4" w:space="0" w:color="auto"/>
                              <w:right w:val="single" w:sz="4" w:space="0" w:color="auto"/>
                            </w:tcBorders>
                          </w:tcPr>
                          <w:p>
                            <w:pPr>
                              <w:rPr>
                                <w:szCs w:val="24"/>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43" w:type="pct"/>
                            <w:vMerge/>
                            <w:tcBorders>
                              <w:left w:val="single" w:sz="4" w:space="0" w:color="auto"/>
                              <w:bottom w:val="single" w:sz="4" w:space="0" w:color="auto"/>
                              <w:right w:val="single" w:sz="4" w:space="0" w:color="auto"/>
                            </w:tcBorders>
                          </w:tcPr>
                          <w:p>
                            <w:pPr>
                              <w:rPr>
                                <w:szCs w:val="24"/>
                              </w:rPr>
                            </w:pPr>
                          </w:p>
                        </w:tc>
                        <w:tc>
                          <w:tcPr>
                            <w:tcW w:w="442"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17" w:type="pct"/>
                            <w:vMerge/>
                            <w:tcBorders>
                              <w:left w:val="single" w:sz="4" w:space="0" w:color="auto"/>
                              <w:bottom w:val="single" w:sz="4" w:space="0" w:color="auto"/>
                              <w:right w:val="single" w:sz="4" w:space="0" w:color="auto"/>
                            </w:tcBorders>
                          </w:tcPr>
                          <w:p>
                            <w:pPr>
                              <w:rPr>
                                <w:szCs w:val="24"/>
                              </w:rPr>
                            </w:pPr>
                          </w:p>
                        </w:tc>
                      </w:tr>
                      <w:tr>
                        <w:trPr>
                          <w:cantSplit/>
                          <w:trHeight w:val="525"/>
                        </w:trPr>
                        <w:tc>
                          <w:tcPr>
                            <w:tcW w:w="328" w:type="pct"/>
                            <w:vMerge w:val="restart"/>
                            <w:tcBorders>
                              <w:top w:val="single" w:sz="4" w:space="0" w:color="auto"/>
                              <w:left w:val="single" w:sz="4" w:space="0" w:color="auto"/>
                              <w:right w:val="single" w:sz="4" w:space="0" w:color="auto"/>
                            </w:tcBorders>
                          </w:tcPr>
                          <w:p>
                            <w:pPr>
                              <w:jc w:val="center"/>
                              <w:rPr>
                                <w:szCs w:val="24"/>
                              </w:rPr>
                            </w:pPr>
                            <w:r>
                              <w:rPr>
                                <w:szCs w:val="24"/>
                              </w:rPr>
                              <w:t>3.</w:t>
                            </w:r>
                          </w:p>
                          <w:p>
                            <w:pPr>
                              <w:jc w:val="center"/>
                              <w:rPr>
                                <w:szCs w:val="24"/>
                              </w:rPr>
                            </w:pPr>
                          </w:p>
                        </w:tc>
                        <w:tc>
                          <w:tcPr>
                            <w:tcW w:w="1365" w:type="pct"/>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Šildomų patalpų atitvaros, kurios ribojasi su gruntu</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fg</w:t>
                            </w:r>
                          </w:p>
                        </w:tc>
                        <w:tc>
                          <w:tcPr>
                            <w:tcW w:w="406"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0,25</w:t>
                            </w:r>
                          </w:p>
                        </w:tc>
                        <w:tc>
                          <w:tcPr>
                            <w:tcW w:w="352" w:type="pct"/>
                            <w:vMerge w:val="restart"/>
                            <w:tcBorders>
                              <w:top w:val="single" w:sz="4" w:space="0" w:color="auto"/>
                              <w:left w:val="single" w:sz="4" w:space="0" w:color="auto"/>
                              <w:right w:val="single" w:sz="4" w:space="0" w:color="auto"/>
                            </w:tcBorders>
                            <w:vAlign w:val="center"/>
                          </w:tcPr>
                          <w:p>
                            <w:pPr>
                              <w:ind w:left="-113" w:right="-113"/>
                              <w:jc w:val="center"/>
                              <w:rPr>
                                <w:szCs w:val="24"/>
                              </w:rPr>
                            </w:pPr>
                            <w:r>
                              <w:rPr>
                                <w:szCs w:val="24"/>
                              </w:rPr>
                              <w:t>0,22</w:t>
                            </w:r>
                          </w:p>
                        </w:tc>
                        <w:tc>
                          <w:tcPr>
                            <w:tcW w:w="604"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trike/>
                                <w:szCs w:val="24"/>
                              </w:rPr>
                            </w:pPr>
                            <w:r>
                              <w:rPr>
                                <w:szCs w:val="24"/>
                              </w:rPr>
                              <w:t>0,3·</w:t>
                              <w:sym w:font="Symbol" w:char="F06B"/>
                            </w:r>
                            <w:r>
                              <w:rPr>
                                <w:szCs w:val="24"/>
                                <w:vertAlign w:val="subscript"/>
                              </w:rPr>
                              <w:t>1</w:t>
                            </w:r>
                            <w:r>
                              <w:rPr>
                                <w:szCs w:val="24"/>
                                <w:vertAlign w:val="superscript"/>
                              </w:rPr>
                              <w:t>5)</w:t>
                            </w:r>
                          </w:p>
                        </w:tc>
                        <w:tc>
                          <w:tcPr>
                            <w:tcW w:w="443" w:type="pct"/>
                            <w:vMerge w:val="restart"/>
                            <w:tcBorders>
                              <w:top w:val="single" w:sz="4" w:space="0" w:color="auto"/>
                              <w:left w:val="single" w:sz="4" w:space="0" w:color="auto"/>
                              <w:right w:val="single" w:sz="4" w:space="0" w:color="auto"/>
                            </w:tcBorders>
                            <w:vAlign w:val="center"/>
                          </w:tcPr>
                          <w:p>
                            <w:pPr>
                              <w:ind w:left="-113" w:right="-113"/>
                              <w:jc w:val="center"/>
                              <w:rPr>
                                <w:szCs w:val="24"/>
                              </w:rPr>
                            </w:pPr>
                            <w:r>
                              <w:rPr>
                                <w:szCs w:val="24"/>
                              </w:rPr>
                              <w:t>0,24·</w:t>
                              <w:sym w:font="Symbol" w:char="F06B"/>
                            </w:r>
                            <w:r>
                              <w:rPr>
                                <w:szCs w:val="24"/>
                                <w:vertAlign w:val="subscript"/>
                              </w:rPr>
                              <w:t>1</w:t>
                            </w:r>
                            <w:r>
                              <w:rPr>
                                <w:szCs w:val="24"/>
                                <w:vertAlign w:val="superscript"/>
                              </w:rPr>
                              <w:t>5)</w:t>
                            </w:r>
                          </w:p>
                        </w:tc>
                        <w:tc>
                          <w:tcPr>
                            <w:tcW w:w="442"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0,4</w:t>
                              <w:sym w:font="Symbol" w:char="F0D7"/>
                              <w:sym w:font="Symbol" w:char="F06B"/>
                            </w:r>
                            <w:r>
                              <w:rPr>
                                <w:szCs w:val="24"/>
                                <w:vertAlign w:val="subscript"/>
                              </w:rPr>
                              <w:t>1</w:t>
                            </w:r>
                            <w:r>
                              <w:rPr>
                                <w:szCs w:val="24"/>
                                <w:vertAlign w:val="superscript"/>
                              </w:rPr>
                              <w:t>5)</w:t>
                            </w:r>
                          </w:p>
                        </w:tc>
                        <w:tc>
                          <w:tcPr>
                            <w:tcW w:w="517" w:type="pct"/>
                            <w:vMerge w:val="restart"/>
                            <w:tcBorders>
                              <w:top w:val="single" w:sz="4" w:space="0" w:color="auto"/>
                              <w:left w:val="single" w:sz="4" w:space="0" w:color="auto"/>
                              <w:right w:val="single" w:sz="4" w:space="0" w:color="auto"/>
                            </w:tcBorders>
                            <w:vAlign w:val="center"/>
                          </w:tcPr>
                          <w:p>
                            <w:pPr>
                              <w:widowControl w:val="0"/>
                              <w:suppressAutoHyphens/>
                              <w:ind w:left="-113" w:right="-113"/>
                              <w:jc w:val="center"/>
                              <w:rPr>
                                <w:rFonts w:eastAsia="Arial Unicode MS"/>
                                <w:szCs w:val="24"/>
                                <w:lang w:eastAsia="lt-LT"/>
                              </w:rPr>
                            </w:pPr>
                            <w:r>
                              <w:rPr>
                                <w:rFonts w:eastAsia="Arial Unicode MS"/>
                                <w:szCs w:val="24"/>
                                <w:lang w:eastAsia="lt-LT"/>
                              </w:rPr>
                              <w:t>0,33·</w:t>
                              <w:sym w:font="Symbol" w:char="F06B"/>
                            </w:r>
                            <w:r>
                              <w:rPr>
                                <w:rFonts w:eastAsia="Arial Unicode MS"/>
                                <w:szCs w:val="24"/>
                                <w:vertAlign w:val="subscript"/>
                                <w:lang w:eastAsia="lt-LT"/>
                              </w:rPr>
                              <w:t>1</w:t>
                            </w:r>
                            <w:r>
                              <w:rPr>
                                <w:rFonts w:eastAsia="Arial Unicode MS"/>
                                <w:szCs w:val="24"/>
                                <w:vertAlign w:val="superscript"/>
                                <w:lang w:eastAsia="lt-LT"/>
                              </w:rPr>
                              <w:t>5)</w:t>
                            </w:r>
                          </w:p>
                        </w:tc>
                      </w:tr>
                      <w:tr>
                        <w:trPr>
                          <w:cantSplit/>
                          <w:trHeight w:val="570"/>
                        </w:trPr>
                        <w:tc>
                          <w:tcPr>
                            <w:tcW w:w="328" w:type="pct"/>
                            <w:vMerge/>
                            <w:tcBorders>
                              <w:left w:val="single" w:sz="4" w:space="0" w:color="auto"/>
                              <w:bottom w:val="single" w:sz="4" w:space="0" w:color="auto"/>
                              <w:right w:val="single" w:sz="4" w:space="0" w:color="auto"/>
                            </w:tcBorders>
                          </w:tcPr>
                          <w:p>
                            <w:pPr>
                              <w:jc w:val="center"/>
                              <w:rPr>
                                <w:szCs w:val="24"/>
                              </w:rPr>
                            </w:pPr>
                          </w:p>
                        </w:tc>
                        <w:tc>
                          <w:tcPr>
                            <w:tcW w:w="1365"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Perdangos virš nešildomų rūsių ir pogrindžių </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cc</w:t>
                            </w:r>
                          </w:p>
                        </w:tc>
                        <w:tc>
                          <w:tcPr>
                            <w:tcW w:w="406"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2" w:type="pct"/>
                            <w:vMerge/>
                            <w:tcBorders>
                              <w:left w:val="single" w:sz="4" w:space="0" w:color="auto"/>
                              <w:bottom w:val="single" w:sz="4" w:space="0" w:color="auto"/>
                              <w:right w:val="single" w:sz="4" w:space="0" w:color="auto"/>
                            </w:tcBorders>
                          </w:tcPr>
                          <w:p>
                            <w:pPr>
                              <w:rPr>
                                <w:szCs w:val="24"/>
                              </w:rPr>
                            </w:pPr>
                          </w:p>
                        </w:tc>
                        <w:tc>
                          <w:tcPr>
                            <w:tcW w:w="604"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43" w:type="pct"/>
                            <w:vMerge/>
                            <w:tcBorders>
                              <w:left w:val="single" w:sz="4" w:space="0" w:color="auto"/>
                              <w:bottom w:val="single" w:sz="4" w:space="0" w:color="auto"/>
                              <w:right w:val="single" w:sz="4" w:space="0" w:color="auto"/>
                            </w:tcBorders>
                          </w:tcPr>
                          <w:p>
                            <w:pPr>
                              <w:rPr>
                                <w:szCs w:val="24"/>
                              </w:rPr>
                            </w:pPr>
                          </w:p>
                        </w:tc>
                        <w:tc>
                          <w:tcPr>
                            <w:tcW w:w="442"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17" w:type="pct"/>
                            <w:vMerge/>
                            <w:tcBorders>
                              <w:left w:val="single" w:sz="4" w:space="0" w:color="auto"/>
                              <w:bottom w:val="single" w:sz="4" w:space="0" w:color="auto"/>
                              <w:right w:val="single" w:sz="4" w:space="0" w:color="auto"/>
                            </w:tcBorders>
                          </w:tcPr>
                          <w:p>
                            <w:pPr>
                              <w:rPr>
                                <w:szCs w:val="24"/>
                              </w:rPr>
                            </w:pPr>
                          </w:p>
                        </w:tc>
                      </w:tr>
                      <w:tr>
                        <w:trPr>
                          <w:trHeight w:val="40"/>
                        </w:trPr>
                        <w:tc>
                          <w:tcPr>
                            <w:tcW w:w="328"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1365" w:type="pct"/>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Sienos</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w:t>
                            </w:r>
                          </w:p>
                        </w:tc>
                        <w:tc>
                          <w:tcPr>
                            <w:tcW w:w="40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0,20</w:t>
                            </w:r>
                          </w:p>
                        </w:tc>
                        <w:tc>
                          <w:tcPr>
                            <w:tcW w:w="352"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0,18</w:t>
                            </w:r>
                          </w:p>
                        </w:tc>
                        <w:tc>
                          <w:tcPr>
                            <w:tcW w:w="604"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0,25·</w:t>
                              <w:sym w:font="Symbol" w:char="F06B"/>
                            </w:r>
                            <w:r>
                              <w:rPr>
                                <w:szCs w:val="24"/>
                                <w:vertAlign w:val="subscript"/>
                              </w:rPr>
                              <w:t>1</w:t>
                            </w:r>
                            <w:r>
                              <w:rPr>
                                <w:szCs w:val="24"/>
                                <w:vertAlign w:val="superscript"/>
                              </w:rPr>
                              <w:t>5)</w:t>
                            </w:r>
                          </w:p>
                        </w:tc>
                        <w:tc>
                          <w:tcPr>
                            <w:tcW w:w="443"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0,22·</w:t>
                              <w:sym w:font="Symbol" w:char="F06B"/>
                            </w:r>
                            <w:r>
                              <w:rPr>
                                <w:szCs w:val="24"/>
                                <w:vertAlign w:val="subscript"/>
                              </w:rPr>
                              <w:t>1</w:t>
                            </w:r>
                            <w:r>
                              <w:rPr>
                                <w:szCs w:val="24"/>
                                <w:vertAlign w:val="superscript"/>
                              </w:rPr>
                              <w:t>5)</w:t>
                            </w:r>
                          </w:p>
                        </w:tc>
                        <w:tc>
                          <w:tcPr>
                            <w:tcW w:w="44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0,3·</w:t>
                              <w:sym w:font="Symbol" w:char="F06B"/>
                            </w:r>
                            <w:r>
                              <w:rPr>
                                <w:szCs w:val="24"/>
                                <w:vertAlign w:val="subscript"/>
                              </w:rPr>
                              <w:t>1</w:t>
                            </w:r>
                            <w:r>
                              <w:rPr>
                                <w:szCs w:val="24"/>
                                <w:vertAlign w:val="superscript"/>
                              </w:rPr>
                              <w:t>5)</w:t>
                            </w:r>
                          </w:p>
                        </w:tc>
                        <w:tc>
                          <w:tcPr>
                            <w:tcW w:w="517"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0,26·</w:t>
                              <w:sym w:font="Symbol" w:char="F06B"/>
                            </w:r>
                            <w:r>
                              <w:rPr>
                                <w:szCs w:val="24"/>
                                <w:vertAlign w:val="subscript"/>
                              </w:rPr>
                              <w:t>1</w:t>
                            </w:r>
                            <w:r>
                              <w:rPr>
                                <w:szCs w:val="24"/>
                                <w:vertAlign w:val="superscript"/>
                              </w:rPr>
                              <w:t>5)</w:t>
                            </w:r>
                          </w:p>
                        </w:tc>
                      </w:tr>
                      <w:tr>
                        <w:tc>
                          <w:tcPr>
                            <w:tcW w:w="328"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w:t>
                            </w:r>
                          </w:p>
                        </w:tc>
                        <w:tc>
                          <w:tcPr>
                            <w:tcW w:w="1365" w:type="pct"/>
                            <w:tcBorders>
                              <w:top w:val="single" w:sz="4" w:space="0" w:color="auto"/>
                              <w:left w:val="single" w:sz="4" w:space="0" w:color="auto"/>
                              <w:bottom w:val="single" w:sz="4" w:space="0" w:color="auto"/>
                              <w:right w:val="single" w:sz="4" w:space="0" w:color="auto"/>
                            </w:tcBorders>
                            <w:hideMark/>
                          </w:tcPr>
                          <w:p>
                            <w:pPr>
                              <w:rPr>
                                <w:szCs w:val="24"/>
                                <w:vertAlign w:val="superscript"/>
                              </w:rPr>
                            </w:pPr>
                            <w:r>
                              <w:rPr>
                                <w:szCs w:val="24"/>
                              </w:rPr>
                              <w:t>Langai</w:t>
                            </w:r>
                            <w:r>
                              <w:rPr>
                                <w:szCs w:val="24"/>
                                <w:vertAlign w:val="superscript"/>
                              </w:rPr>
                              <w:t>7)</w:t>
                            </w:r>
                            <w:r>
                              <w:rPr>
                                <w:szCs w:val="24"/>
                              </w:rPr>
                              <w:t>, stoglangiai, švieslangiai ir kitos skaidrios atitvaros</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wda</w:t>
                            </w:r>
                          </w:p>
                        </w:tc>
                        <w:tc>
                          <w:tcPr>
                            <w:tcW w:w="40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1,6</w:t>
                            </w:r>
                            <w:r>
                              <w:rPr>
                                <w:szCs w:val="24"/>
                                <w:vertAlign w:val="superscript"/>
                              </w:rPr>
                              <w:t>3)</w:t>
                            </w:r>
                          </w:p>
                        </w:tc>
                        <w:tc>
                          <w:tcPr>
                            <w:tcW w:w="352" w:type="pct"/>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1,4</w:t>
                            </w:r>
                            <w:r>
                              <w:rPr>
                                <w:szCs w:val="24"/>
                                <w:vertAlign w:val="superscript"/>
                              </w:rPr>
                              <w:t>3)</w:t>
                            </w:r>
                          </w:p>
                        </w:tc>
                        <w:tc>
                          <w:tcPr>
                            <w:tcW w:w="604" w:type="pct"/>
                            <w:tcBorders>
                              <w:top w:val="single" w:sz="4" w:space="0" w:color="auto"/>
                              <w:left w:val="single" w:sz="4" w:space="0" w:color="auto"/>
                              <w:bottom w:val="single" w:sz="4" w:space="0" w:color="auto"/>
                              <w:right w:val="single" w:sz="4" w:space="0" w:color="auto"/>
                            </w:tcBorders>
                            <w:vAlign w:val="center"/>
                            <w:hideMark/>
                          </w:tcPr>
                          <w:p>
                            <w:pPr>
                              <w:widowControl w:val="0"/>
                              <w:suppressAutoHyphens/>
                              <w:ind w:left="-113" w:right="-113"/>
                              <w:jc w:val="center"/>
                              <w:rPr>
                                <w:rFonts w:eastAsia="Arial Unicode MS"/>
                                <w:szCs w:val="24"/>
                                <w:vertAlign w:val="superscript"/>
                                <w:lang w:eastAsia="lt-LT"/>
                              </w:rPr>
                            </w:pPr>
                            <w:r>
                              <w:rPr>
                                <w:rFonts w:eastAsia="Arial Unicode MS"/>
                                <w:szCs w:val="24"/>
                                <w:lang w:eastAsia="lt-LT"/>
                              </w:rPr>
                              <w:t>1,6·</w:t>
                              <w:sym w:font="Symbol" w:char="F06B"/>
                            </w:r>
                            <w:r>
                              <w:rPr>
                                <w:rFonts w:eastAsia="Arial Unicode MS"/>
                                <w:szCs w:val="24"/>
                                <w:vertAlign w:val="subscript"/>
                                <w:lang w:eastAsia="lt-LT"/>
                              </w:rPr>
                              <w:t>1</w:t>
                            </w:r>
                            <w:r>
                              <w:rPr>
                                <w:rFonts w:eastAsia="Arial Unicode MS"/>
                                <w:szCs w:val="24"/>
                                <w:vertAlign w:val="superscript"/>
                                <w:lang w:eastAsia="lt-LT"/>
                              </w:rPr>
                              <w:t>4),5)</w:t>
                            </w:r>
                          </w:p>
                        </w:tc>
                        <w:tc>
                          <w:tcPr>
                            <w:tcW w:w="443" w:type="pct"/>
                            <w:tcBorders>
                              <w:top w:val="single" w:sz="4" w:space="0" w:color="auto"/>
                              <w:left w:val="single" w:sz="4" w:space="0" w:color="auto"/>
                              <w:bottom w:val="single" w:sz="4" w:space="0" w:color="auto"/>
                              <w:right w:val="single" w:sz="4" w:space="0" w:color="auto"/>
                            </w:tcBorders>
                            <w:vAlign w:val="center"/>
                          </w:tcPr>
                          <w:p>
                            <w:pPr>
                              <w:widowControl w:val="0"/>
                              <w:suppressAutoHyphens/>
                              <w:ind w:left="-113" w:right="-113"/>
                              <w:jc w:val="center"/>
                              <w:rPr>
                                <w:rFonts w:eastAsia="Arial Unicode MS"/>
                                <w:szCs w:val="24"/>
                                <w:vertAlign w:val="superscript"/>
                                <w:lang w:eastAsia="lt-LT"/>
                              </w:rPr>
                            </w:pPr>
                            <w:r>
                              <w:rPr>
                                <w:rFonts w:eastAsia="Arial Unicode MS"/>
                                <w:szCs w:val="24"/>
                                <w:lang w:eastAsia="lt-LT"/>
                              </w:rPr>
                              <w:t>1,4·</w:t>
                              <w:sym w:font="Symbol" w:char="F06B"/>
                            </w:r>
                            <w:r>
                              <w:rPr>
                                <w:rFonts w:eastAsia="Arial Unicode MS"/>
                                <w:szCs w:val="24"/>
                                <w:vertAlign w:val="subscript"/>
                                <w:lang w:eastAsia="lt-LT"/>
                              </w:rPr>
                              <w:t>1</w:t>
                            </w:r>
                            <w:r>
                              <w:rPr>
                                <w:rFonts w:eastAsia="Arial Unicode MS"/>
                                <w:szCs w:val="24"/>
                                <w:vertAlign w:val="superscript"/>
                                <w:lang w:eastAsia="lt-LT"/>
                              </w:rPr>
                              <w:t>4),5)</w:t>
                            </w:r>
                          </w:p>
                        </w:tc>
                        <w:tc>
                          <w:tcPr>
                            <w:tcW w:w="44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1,9</w:t>
                              <w:sym w:font="Symbol" w:char="F0D7"/>
                              <w:sym w:font="Symbol" w:char="F06B"/>
                            </w:r>
                            <w:r>
                              <w:rPr>
                                <w:szCs w:val="24"/>
                                <w:vertAlign w:val="subscript"/>
                              </w:rPr>
                              <w:t>1</w:t>
                            </w:r>
                            <w:r>
                              <w:rPr>
                                <w:szCs w:val="24"/>
                                <w:vertAlign w:val="superscript"/>
                              </w:rPr>
                              <w:t>5)</w:t>
                            </w:r>
                          </w:p>
                        </w:tc>
                        <w:tc>
                          <w:tcPr>
                            <w:tcW w:w="517" w:type="pct"/>
                            <w:tcBorders>
                              <w:top w:val="single" w:sz="4" w:space="0" w:color="auto"/>
                              <w:left w:val="single" w:sz="4" w:space="0" w:color="auto"/>
                              <w:bottom w:val="single" w:sz="4" w:space="0" w:color="auto"/>
                              <w:right w:val="single" w:sz="4" w:space="0" w:color="auto"/>
                            </w:tcBorders>
                            <w:vAlign w:val="center"/>
                          </w:tcPr>
                          <w:p>
                            <w:pPr>
                              <w:ind w:left="-113" w:right="-113"/>
                              <w:jc w:val="center"/>
                              <w:rPr>
                                <w:szCs w:val="24"/>
                              </w:rPr>
                            </w:pPr>
                            <w:r>
                              <w:rPr>
                                <w:szCs w:val="24"/>
                              </w:rPr>
                              <w:t>1,7·</w:t>
                              <w:sym w:font="Symbol" w:char="F06B"/>
                            </w:r>
                            <w:r>
                              <w:rPr>
                                <w:szCs w:val="24"/>
                                <w:vertAlign w:val="subscript"/>
                              </w:rPr>
                              <w:t>1</w:t>
                            </w:r>
                            <w:r>
                              <w:rPr>
                                <w:szCs w:val="24"/>
                                <w:vertAlign w:val="superscript"/>
                              </w:rPr>
                              <w:t>5)</w:t>
                            </w:r>
                          </w:p>
                        </w:tc>
                      </w:tr>
                      <w:tr>
                        <w:tc>
                          <w:tcPr>
                            <w:tcW w:w="328"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6.</w:t>
                            </w:r>
                          </w:p>
                        </w:tc>
                        <w:tc>
                          <w:tcPr>
                            <w:tcW w:w="1365" w:type="pct"/>
                            <w:tcBorders>
                              <w:top w:val="single" w:sz="4" w:space="0" w:color="auto"/>
                              <w:left w:val="single" w:sz="4" w:space="0" w:color="auto"/>
                              <w:bottom w:val="single" w:sz="4" w:space="0" w:color="auto"/>
                              <w:right w:val="single" w:sz="4" w:space="0" w:color="auto"/>
                            </w:tcBorders>
                            <w:hideMark/>
                          </w:tcPr>
                          <w:p>
                            <w:pPr>
                              <w:rPr>
                                <w:szCs w:val="24"/>
                                <w:vertAlign w:val="superscript"/>
                              </w:rPr>
                            </w:pPr>
                            <w:r>
                              <w:rPr>
                                <w:szCs w:val="24"/>
                              </w:rPr>
                              <w:t>Durys, vartai</w:t>
                            </w:r>
                          </w:p>
                        </w:tc>
                        <w:tc>
                          <w:tcPr>
                            <w:tcW w:w="54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d</w:t>
                            </w:r>
                          </w:p>
                        </w:tc>
                        <w:tc>
                          <w:tcPr>
                            <w:tcW w:w="40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1,6</w:t>
                            </w:r>
                          </w:p>
                        </w:tc>
                        <w:tc>
                          <w:tcPr>
                            <w:tcW w:w="352"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1,5</w:t>
                            </w:r>
                          </w:p>
                        </w:tc>
                        <w:tc>
                          <w:tcPr>
                            <w:tcW w:w="604"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trike/>
                                <w:szCs w:val="24"/>
                                <w:vertAlign w:val="superscript"/>
                              </w:rPr>
                            </w:pPr>
                            <w:r>
                              <w:rPr>
                                <w:szCs w:val="24"/>
                              </w:rPr>
                              <w:t>1,9·</w:t>
                              <w:sym w:font="Symbol" w:char="F06B"/>
                            </w:r>
                            <w:r>
                              <w:rPr>
                                <w:szCs w:val="24"/>
                                <w:vertAlign w:val="subscript"/>
                              </w:rPr>
                              <w:t>1</w:t>
                            </w:r>
                            <w:r>
                              <w:rPr>
                                <w:szCs w:val="24"/>
                                <w:vertAlign w:val="superscript"/>
                              </w:rPr>
                              <w:t>5)</w:t>
                            </w:r>
                          </w:p>
                        </w:tc>
                        <w:tc>
                          <w:tcPr>
                            <w:tcW w:w="443"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1,9·</w:t>
                              <w:sym w:font="Symbol" w:char="F06B"/>
                            </w:r>
                            <w:r>
                              <w:rPr>
                                <w:szCs w:val="24"/>
                                <w:vertAlign w:val="subscript"/>
                              </w:rPr>
                              <w:t>1</w:t>
                            </w:r>
                            <w:r>
                              <w:rPr>
                                <w:szCs w:val="24"/>
                                <w:vertAlign w:val="superscript"/>
                              </w:rPr>
                              <w:t>5)</w:t>
                            </w:r>
                          </w:p>
                        </w:tc>
                        <w:tc>
                          <w:tcPr>
                            <w:tcW w:w="44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1,9</w:t>
                              <w:sym w:font="Symbol" w:char="F0D7"/>
                              <w:sym w:font="Symbol" w:char="F06B"/>
                            </w:r>
                            <w:r>
                              <w:rPr>
                                <w:szCs w:val="24"/>
                                <w:vertAlign w:val="subscript"/>
                              </w:rPr>
                              <w:t>1</w:t>
                            </w:r>
                            <w:r>
                              <w:rPr>
                                <w:szCs w:val="24"/>
                                <w:vertAlign w:val="superscript"/>
                              </w:rPr>
                              <w:t>5)</w:t>
                            </w:r>
                          </w:p>
                        </w:tc>
                        <w:tc>
                          <w:tcPr>
                            <w:tcW w:w="517" w:type="pct"/>
                            <w:tcBorders>
                              <w:top w:val="single" w:sz="4" w:space="0" w:color="auto"/>
                              <w:left w:val="single" w:sz="4" w:space="0" w:color="auto"/>
                              <w:bottom w:val="single" w:sz="4" w:space="0" w:color="auto"/>
                              <w:right w:val="single" w:sz="4" w:space="0" w:color="auto"/>
                            </w:tcBorders>
                          </w:tcPr>
                          <w:p>
                            <w:pPr>
                              <w:ind w:left="-113" w:right="-113"/>
                              <w:jc w:val="center"/>
                              <w:rPr>
                                <w:szCs w:val="24"/>
                              </w:rPr>
                            </w:pPr>
                            <w:r>
                              <w:rPr>
                                <w:szCs w:val="24"/>
                              </w:rPr>
                              <w:t>1,9·</w:t>
                              <w:sym w:font="Symbol" w:char="F06B"/>
                            </w:r>
                            <w:r>
                              <w:rPr>
                                <w:szCs w:val="24"/>
                                <w:vertAlign w:val="subscript"/>
                              </w:rPr>
                              <w:t>1</w:t>
                            </w:r>
                            <w:r>
                              <w:rPr>
                                <w:szCs w:val="24"/>
                                <w:vertAlign w:val="superscript"/>
                              </w:rPr>
                              <w:t>5)</w:t>
                            </w:r>
                          </w:p>
                        </w:tc>
                      </w:tr>
                      <w:tr>
                        <w:tc>
                          <w:tcPr>
                            <w:tcW w:w="328"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7.</w:t>
                            </w:r>
                          </w:p>
                        </w:tc>
                        <w:tc>
                          <w:tcPr>
                            <w:tcW w:w="4672" w:type="pct"/>
                            <w:gridSpan w:val="8"/>
                            <w:tcBorders>
                              <w:top w:val="single" w:sz="4" w:space="0" w:color="auto"/>
                              <w:left w:val="single" w:sz="4" w:space="0" w:color="auto"/>
                              <w:bottom w:val="single" w:sz="4" w:space="0" w:color="auto"/>
                              <w:right w:val="single" w:sz="4" w:space="0" w:color="auto"/>
                            </w:tcBorders>
                          </w:tcPr>
                          <w:p>
                            <w:pPr>
                              <w:ind w:firstLine="372"/>
                              <w:jc w:val="both"/>
                              <w:rPr>
                                <w:i/>
                              </w:rPr>
                            </w:pPr>
                            <w:r>
                              <w:rPr>
                                <w:i/>
                              </w:rPr>
                              <w:t>Pastabos:</w:t>
                            </w:r>
                          </w:p>
                          <w:p>
                            <w:pPr>
                              <w:ind w:firstLine="720"/>
                              <w:jc w:val="both"/>
                            </w:pPr>
                            <w:r>
                              <w:rPr>
                                <w:vertAlign w:val="superscript"/>
                              </w:rPr>
                              <w:t>1)</w:t>
                            </w:r>
                            <w:r>
                              <w:t xml:space="preserve"> </w:t>
                            </w:r>
                            <w:r>
                              <w:rPr>
                                <w:lang w:eastAsia="lt-LT"/>
                              </w:rPr>
                              <w:t>pagal Reglamento 2 priedo 2.4 lentelę</w:t>
                            </w:r>
                            <w:r>
                              <w:t xml:space="preserve"> viešosios paskirties pastatams priskiriami: administracinės, prekybos, paslaugų, maitinimo, transporto, kultūros, mokslo, gydymo, poilsio, sporto, viešbučių ir specialiosios paskirties pastatai;</w:t>
                            </w:r>
                          </w:p>
                          <w:p>
                            <w:pPr>
                              <w:ind w:firstLine="720"/>
                              <w:jc w:val="both"/>
                            </w:pPr>
                            <w:r>
                              <w:rPr>
                                <w:vertAlign w:val="superscript"/>
                              </w:rPr>
                              <w:t>2)</w:t>
                            </w:r>
                            <w:r>
                              <w:t xml:space="preserve"> </w:t>
                            </w:r>
                            <w:r>
                              <w:rPr>
                                <w:lang w:eastAsia="lt-LT"/>
                              </w:rPr>
                              <w:t>pagal Reglamento 2 priedo 2.4 lentelę</w:t>
                            </w:r>
                            <w:r>
                              <w:t xml:space="preserve"> pramonės pastatams priskiriami: sandėliavimo, garažų, gamybos ir pramonės paskirties pastatai;</w:t>
                            </w:r>
                          </w:p>
                          <w:p>
                            <w:pPr>
                              <w:ind w:firstLine="720"/>
                              <w:jc w:val="both"/>
                            </w:pPr>
                            <w:r>
                              <w:rPr>
                                <w:vertAlign w:val="superscript"/>
                              </w:rPr>
                              <w:t>3)</w:t>
                            </w:r>
                            <w:r>
                              <w:t xml:space="preserve"> jei gyvenamųjų pastatų suminis langų, stoglangių, švieslangių ir kitų skaidrių atitvarų plotas didesnis už 25 % pastato sienų ploto, visų šių atitvarų (langų, stoglangių, švieslangių ir kitų skaidrių atitvarų) šilumos perdavimo koeficiento </w:t>
                            </w:r>
                            <w:r>
                              <w:rPr>
                                <w:i/>
                              </w:rPr>
                              <w:t>U</w:t>
                            </w:r>
                            <w:r>
                              <w:rPr>
                                <w:i/>
                                <w:vertAlign w:val="subscript"/>
                              </w:rPr>
                              <w:t>(C,B)</w:t>
                            </w:r>
                            <w:r>
                              <w:t xml:space="preserve"> vertė turi būti 1,3 </w:t>
                            </w:r>
                            <w:r>
                              <w:rPr>
                                <w:bCs/>
                              </w:rPr>
                              <w:t>W/(</w:t>
                            </w:r>
                            <w:r>
                              <w:t>m²</w:t>
                              <w:sym w:font="Symbol" w:char="F0D7"/>
                              <w:t>K);</w:t>
                            </w:r>
                          </w:p>
                          <w:p>
                            <w:pPr>
                              <w:ind w:firstLine="720"/>
                              <w:jc w:val="both"/>
                            </w:pPr>
                            <w:r>
                              <w:rPr>
                                <w:vertAlign w:val="superscript"/>
                              </w:rPr>
                              <w:t xml:space="preserve">4) </w:t>
                            </w:r>
                            <w:r>
                              <w:t xml:space="preserve">jei viešosios paskirties pastatų suminis langų, stoglangių, švieslangių ir kitų skaidrių atitvarų plotas didesnis už 35 % pastato sienų ploto, visų šių atitvarų (langų, stoglangių, švieslangių ir kitų skaidrių atitvarų) šilumos perdavimo koeficiento </w:t>
                            </w:r>
                            <w:r>
                              <w:rPr>
                                <w:i/>
                              </w:rPr>
                              <w:t>U</w:t>
                            </w:r>
                            <w:r>
                              <w:rPr>
                                <w:i/>
                                <w:vertAlign w:val="subscript"/>
                              </w:rPr>
                              <w:t>(C,B)</w:t>
                            </w:r>
                            <w:r>
                              <w:t xml:space="preserve"> vertė turi būti 1,3 </w:t>
                            </w:r>
                            <w:r>
                              <w:rPr>
                                <w:bCs/>
                              </w:rPr>
                              <w:t>W/(</w:t>
                            </w:r>
                            <w:r>
                              <w:t>m²</w:t>
                              <w:sym w:font="Symbol" w:char="F0D7"/>
                              <w:t xml:space="preserve">K). Šis reikalavimas netaikomas prekybos paskirties </w:t>
                            </w:r>
                            <w:r>
                              <w:rPr>
                                <w:lang w:eastAsia="lt-LT"/>
                              </w:rPr>
                              <w:t>pagal Reglamento 2 priedo 2.4 lentelę</w:t>
                            </w:r>
                            <w:r>
                              <w:t xml:space="preserve"> pastatų pirmo aukšto langams;</w:t>
                            </w:r>
                          </w:p>
                          <w:p>
                            <w:pPr>
                              <w:ind w:firstLine="720"/>
                              <w:jc w:val="both"/>
                            </w:pPr>
                            <w:r>
                              <w:rPr>
                                <w:vertAlign w:val="superscript"/>
                              </w:rPr>
                              <w:t xml:space="preserve">5) </w:t>
                            </w:r>
                            <w:r>
                              <w:rPr>
                                <w:i/>
                              </w:rPr>
                              <w:sym w:font="Symbol" w:char="F06B"/>
                            </w:r>
                            <w:r>
                              <w:rPr>
                                <w:i/>
                                <w:vertAlign w:val="subscript"/>
                              </w:rPr>
                              <w:t>1</w:t>
                            </w:r>
                            <w:r>
                              <w:rPr>
                                <w:i/>
                              </w:rPr>
                              <w:t xml:space="preserve"> = 20/(</w:t>
                              <w:sym w:font="Symbol" w:char="F071"/>
                            </w:r>
                            <w:r>
                              <w:rPr>
                                <w:i/>
                                <w:vertAlign w:val="subscript"/>
                              </w:rPr>
                              <w:t>iH</w:t>
                            </w:r>
                            <w:r>
                              <w:rPr>
                                <w:i/>
                              </w:rPr>
                              <w:t xml:space="preserve"> – 0,6) </w:t>
                            </w:r>
                            <w:r>
                              <w:t xml:space="preserve">– temperatūros pataisa pramonės, paslaugų, transporto ir specialiosios paskirties </w:t>
                            </w:r>
                            <w:r>
                              <w:rPr>
                                <w:lang w:eastAsia="lt-LT"/>
                              </w:rPr>
                              <w:t>pagal Reglamento 2 priedo 2.4 lentelę</w:t>
                            </w:r>
                            <w:r>
                              <w:t xml:space="preserve"> pastatų atitvaroms, </w:t>
                            </w:r>
                            <w:r>
                              <w:rPr>
                                <w:i/>
                              </w:rPr>
                              <w:sym w:font="Symbol" w:char="F071"/>
                            </w:r>
                            <w:r>
                              <w:rPr>
                                <w:i/>
                                <w:vertAlign w:val="subscript"/>
                              </w:rPr>
                              <w:t xml:space="preserve">iH </w:t>
                            </w:r>
                            <w:r>
                              <w:t xml:space="preserve">– pramonės  paslaugų, transporto ir specialiosios paskirties </w:t>
                            </w:r>
                            <w:r>
                              <w:rPr>
                                <w:lang w:eastAsia="lt-LT"/>
                              </w:rPr>
                              <w:t>pagal Reglamento 2 priedo 2.4 lentelę</w:t>
                            </w:r>
                            <w:r>
                              <w:t xml:space="preserve"> pastatų vidaus temperatūra šildymo sezono metu (°C). Imama iš pastato projekto, o nesant duomenų, imama iš Reglamento 2 priedo 2.4 lentelės; </w:t>
                            </w:r>
                          </w:p>
                          <w:p>
                            <w:pPr>
                              <w:ind w:firstLine="372"/>
                              <w:jc w:val="both"/>
                            </w:pPr>
                            <w:r>
                              <w:rPr>
                                <w:vertAlign w:val="superscript"/>
                              </w:rPr>
                              <w:t>6)</w:t>
                            </w:r>
                            <w:r>
                              <w:t xml:space="preserve"> perdangos virš pravažiavimų ar praėjimų;</w:t>
                            </w:r>
                          </w:p>
                          <w:p>
                            <w:pPr>
                              <w:ind w:firstLine="372"/>
                              <w:jc w:val="both"/>
                              <w:rPr>
                                <w:b/>
                                <w:i/>
                              </w:rPr>
                            </w:pPr>
                            <w:r>
                              <w:rPr>
                                <w:vertAlign w:val="superscript"/>
                              </w:rPr>
                              <w:t>7)</w:t>
                            </w:r>
                            <w:r>
                              <w:t xml:space="preserve"> langų atitvaroms taip pat priskiriamos įstiklintų balkonų, galerijų bei šiltnamių įstiklintos ir neįstiklintos durys.</w:t>
                            </w:r>
                          </w:p>
                        </w:tc>
                      </w:tr>
                    </w:tbl>
                    <w:p>
                      <w:pPr>
                        <w:rPr>
                          <w:strike/>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lentele"/>
                    <w:tag w:val="part_d62cffe58ef1456f8f0be1c5012606fa"/>
                    <w:lock w:val="sdtLocked"/>
                    <w:richText/>
                  </w:sdtPr>
                  <w:sdtContent>
                    <w:p>
                      <w:pPr>
                        <w:jc w:val="center"/>
                      </w:pPr>
                      <w:sdt>
                        <w:sdtPr>
                          <w:alias w:val="Pavadinimas"/>
                          <w:tag w:val="title_d62cffe58ef1456f8f0be1c5012606fa"/>
                          <w:lock w:val="sdtLocked"/>
                          <w:richText/>
                        </w:sdtPr>
                        <w:sdtContent>
                          <w:r>
                            <w:rPr>
                              <w:b/>
                            </w:rPr>
                            <w:t xml:space="preserve">Pastatų atitvarų šilumos perdavimo koeficientų </w:t>
                          </w:r>
                          <w:r>
                            <w:rPr>
                              <w:b/>
                              <w:i/>
                            </w:rPr>
                            <w:t>U</w:t>
                          </w:r>
                          <w:r>
                            <w:rPr>
                              <w:b/>
                              <w:i/>
                              <w:vertAlign w:val="subscript"/>
                            </w:rPr>
                            <w:t>(A)</w:t>
                          </w:r>
                          <w:r>
                            <w:rPr>
                              <w:b/>
                            </w:rPr>
                            <w:t xml:space="preserve"> (W/(m</w:t>
                          </w:r>
                          <w:r>
                            <w:rPr>
                              <w:b/>
                              <w:vertAlign w:val="superscript"/>
                            </w:rPr>
                            <w:t>2</w:t>
                          </w:r>
                          <w:r>
                            <w:rPr>
                              <w:b/>
                            </w:rPr>
                            <w:sym w:font="Symbol" w:char="F0D7"/>
                            <w:t>K)) vertės A energinio naudingumo klasės pastatų (jų dalių) atitvarų norminių savitųjų šilumos nuostolių ir energinio naudingumo rodiklių skaičiavimui</w:t>
                          </w:r>
                        </w:sdtContent>
                      </w:sdt>
                    </w:p>
                    <w:p>
                      <w:pPr>
                        <w:ind w:firstLine="877"/>
                        <w:jc w:val="right"/>
                        <w:rPr>
                          <w:szCs w:val="24"/>
                          <w:lang w:eastAsia="lt-LT"/>
                        </w:rPr>
                      </w:pPr>
                      <w:sdt>
                        <w:sdtPr>
                          <w:alias w:val="Numeris"/>
                          <w:tag w:val="nr_d62cffe58ef1456f8f0be1c5012606fa"/>
                          <w:lock w:val="sdtLocked"/>
                          <w:richText/>
                        </w:sdtPr>
                        <w:sdtContent>
                          <w:r>
                            <w:rPr>
                              <w:szCs w:val="24"/>
                              <w:lang w:eastAsia="lt-LT"/>
                            </w:rPr>
                            <w:t>4</w:t>
                          </w:r>
                        </w:sdtContent>
                      </w:sdt>
                      <w:r>
                        <w:rPr>
                          <w:szCs w:val="24"/>
                          <w:lang w:eastAsia="lt-LT"/>
                        </w:rPr>
                        <w:t xml:space="preserve"> lentelė</w:t>
                      </w:r>
                    </w:p>
                    <w:tbl>
                      <w:tblPr>
                        <w:tblW w:w="4893" w:type="pct"/>
                        <w:tblInd w:w="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168"/>
                        <w:gridCol w:w="1043"/>
                        <w:gridCol w:w="1456"/>
                        <w:gridCol w:w="1584"/>
                        <w:gridCol w:w="1699"/>
                      </w:tblGrid>
                      <w:tr>
                        <w:trPr>
                          <w:cantSplit/>
                          <w:trHeight w:val="240"/>
                        </w:trPr>
                        <w:tc>
                          <w:tcPr>
                            <w:tcW w:w="290" w:type="pct"/>
                            <w:vMerge w:val="restart"/>
                            <w:tcBorders>
                              <w:top w:val="single" w:sz="4" w:space="0" w:color="auto"/>
                              <w:left w:val="single" w:sz="4" w:space="0" w:color="auto"/>
                              <w:right w:val="single" w:sz="4" w:space="0" w:color="auto"/>
                            </w:tcBorders>
                          </w:tcPr>
                          <w:p>
                            <w:pPr>
                              <w:jc w:val="center"/>
                              <w:rPr>
                                <w:szCs w:val="24"/>
                              </w:rPr>
                            </w:pPr>
                            <w:r>
                              <w:rPr>
                                <w:szCs w:val="24"/>
                              </w:rPr>
                              <w:t>Eil. Nr.</w:t>
                            </w:r>
                          </w:p>
                        </w:tc>
                        <w:tc>
                          <w:tcPr>
                            <w:tcW w:w="1673"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Atitvarų apibūdinimas</w:t>
                            </w:r>
                          </w:p>
                        </w:tc>
                        <w:tc>
                          <w:tcPr>
                            <w:tcW w:w="541"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Atitvarą žymintis poraidis</w:t>
                            </w:r>
                          </w:p>
                        </w:tc>
                        <w:tc>
                          <w:tcPr>
                            <w:tcW w:w="755"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Gyvenamieji pastatai</w:t>
                            </w:r>
                          </w:p>
                        </w:tc>
                        <w:tc>
                          <w:tcPr>
                            <w:tcW w:w="1740" w:type="pct"/>
                            <w:gridSpan w:val="2"/>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i/>
                                <w:szCs w:val="24"/>
                              </w:rPr>
                            </w:pPr>
                            <w:r>
                              <w:rPr>
                                <w:rFonts w:eastAsia="Calibri"/>
                                <w:szCs w:val="24"/>
                              </w:rPr>
                              <w:t>Negyvenamieji pastatai</w:t>
                            </w:r>
                          </w:p>
                        </w:tc>
                      </w:tr>
                      <w:tr>
                        <w:trPr>
                          <w:cantSplit/>
                          <w:trHeight w:val="410"/>
                          <w:tblHeader/>
                        </w:trPr>
                        <w:tc>
                          <w:tcPr>
                            <w:tcW w:w="290" w:type="pct"/>
                            <w:vMerge/>
                            <w:tcBorders>
                              <w:left w:val="single" w:sz="4" w:space="0" w:color="auto"/>
                              <w:bottom w:val="single" w:sz="4" w:space="0" w:color="auto"/>
                              <w:right w:val="single" w:sz="4" w:space="0" w:color="auto"/>
                            </w:tcBorders>
                          </w:tcPr>
                          <w:p>
                            <w:pPr>
                              <w:jc w:val="center"/>
                              <w:rPr>
                                <w:szCs w:val="24"/>
                              </w:rPr>
                            </w:pPr>
                          </w:p>
                        </w:tc>
                        <w:tc>
                          <w:tcPr>
                            <w:tcW w:w="1673"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41"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40"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Viešosios paskirties pastatai</w:t>
                            </w:r>
                            <w:r>
                              <w:rPr>
                                <w:szCs w:val="24"/>
                                <w:vertAlign w:val="superscript"/>
                              </w:rPr>
                              <w:t>1)</w:t>
                            </w:r>
                          </w:p>
                        </w:tc>
                        <w:tc>
                          <w:tcPr>
                            <w:tcW w:w="900" w:type="pc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Pramonės</w:t>
                            </w:r>
                          </w:p>
                          <w:p>
                            <w:pPr>
                              <w:jc w:val="both"/>
                              <w:rPr>
                                <w:szCs w:val="24"/>
                                <w:vertAlign w:val="superscript"/>
                              </w:rPr>
                            </w:pPr>
                            <w:r>
                              <w:rPr>
                                <w:szCs w:val="24"/>
                              </w:rPr>
                              <w:t>pastatai</w:t>
                            </w:r>
                            <w:r>
                              <w:rPr>
                                <w:szCs w:val="24"/>
                                <w:vertAlign w:val="superscript"/>
                              </w:rPr>
                              <w:t>2)</w:t>
                            </w:r>
                          </w:p>
                        </w:tc>
                      </w:tr>
                      <w:tr>
                        <w:trPr>
                          <w:cantSplit/>
                          <w:trHeight w:val="271"/>
                        </w:trPr>
                        <w:tc>
                          <w:tcPr>
                            <w:tcW w:w="290" w:type="pct"/>
                            <w:vMerge w:val="restart"/>
                            <w:tcBorders>
                              <w:top w:val="single" w:sz="4" w:space="0" w:color="auto"/>
                              <w:left w:val="single" w:sz="4" w:space="0" w:color="auto"/>
                              <w:right w:val="single" w:sz="4" w:space="0" w:color="auto"/>
                            </w:tcBorders>
                          </w:tcPr>
                          <w:p>
                            <w:pPr>
                              <w:jc w:val="center"/>
                              <w:rPr>
                                <w:szCs w:val="24"/>
                              </w:rPr>
                            </w:pPr>
                            <w:r>
                              <w:rPr>
                                <w:szCs w:val="24"/>
                              </w:rPr>
                              <w:t>1.</w:t>
                            </w:r>
                          </w:p>
                        </w:tc>
                        <w:tc>
                          <w:tcPr>
                            <w:tcW w:w="1673"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 xml:space="preserve">Stogai </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r</w:t>
                            </w:r>
                          </w:p>
                        </w:tc>
                        <w:tc>
                          <w:tcPr>
                            <w:tcW w:w="75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0,14</w:t>
                            </w:r>
                          </w:p>
                        </w:tc>
                        <w:tc>
                          <w:tcPr>
                            <w:tcW w:w="840"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0,15·</w:t>
                              <w:sym w:font="Symbol" w:char="F06B"/>
                            </w:r>
                            <w:r>
                              <w:rPr>
                                <w:szCs w:val="24"/>
                                <w:vertAlign w:val="subscript"/>
                              </w:rPr>
                              <w:t>1</w:t>
                            </w:r>
                            <w:r>
                              <w:rPr>
                                <w:szCs w:val="24"/>
                                <w:vertAlign w:val="superscript"/>
                              </w:rPr>
                              <w:t>5)</w:t>
                            </w:r>
                          </w:p>
                        </w:tc>
                        <w:tc>
                          <w:tcPr>
                            <w:tcW w:w="900"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0,19</w:t>
                              <w:sym w:font="Symbol" w:char="F0D7"/>
                              <w:sym w:font="Symbol" w:char="F06B"/>
                            </w:r>
                            <w:r>
                              <w:rPr>
                                <w:szCs w:val="24"/>
                                <w:vertAlign w:val="subscript"/>
                              </w:rPr>
                              <w:t>1</w:t>
                            </w:r>
                            <w:r>
                              <w:rPr>
                                <w:szCs w:val="24"/>
                                <w:vertAlign w:val="superscript"/>
                              </w:rPr>
                              <w:t>5)</w:t>
                            </w:r>
                          </w:p>
                        </w:tc>
                      </w:tr>
                      <w:tr>
                        <w:trPr>
                          <w:cantSplit/>
                          <w:trHeight w:val="285"/>
                        </w:trPr>
                        <w:tc>
                          <w:tcPr>
                            <w:tcW w:w="290" w:type="pct"/>
                            <w:vMerge/>
                            <w:tcBorders>
                              <w:left w:val="single" w:sz="4" w:space="0" w:color="auto"/>
                              <w:bottom w:val="single" w:sz="4" w:space="0" w:color="auto"/>
                              <w:right w:val="single" w:sz="4" w:space="0" w:color="auto"/>
                            </w:tcBorders>
                          </w:tcPr>
                          <w:p>
                            <w:pPr>
                              <w:jc w:val="center"/>
                              <w:rPr>
                                <w:szCs w:val="24"/>
                              </w:rPr>
                            </w:pPr>
                          </w:p>
                        </w:tc>
                        <w:tc>
                          <w:tcPr>
                            <w:tcW w:w="1673"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Perdangos</w:t>
                            </w:r>
                            <w:r>
                              <w:rPr>
                                <w:szCs w:val="24"/>
                                <w:vertAlign w:val="superscript"/>
                              </w:rPr>
                              <w:t>6)</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ce</w:t>
                            </w:r>
                          </w:p>
                        </w:tc>
                        <w:tc>
                          <w:tcPr>
                            <w:tcW w:w="75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40"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525"/>
                        </w:trPr>
                        <w:tc>
                          <w:tcPr>
                            <w:tcW w:w="290" w:type="pct"/>
                            <w:vMerge w:val="restart"/>
                            <w:tcBorders>
                              <w:top w:val="single" w:sz="4" w:space="0" w:color="auto"/>
                              <w:left w:val="single" w:sz="4" w:space="0" w:color="auto"/>
                              <w:right w:val="single" w:sz="4" w:space="0" w:color="auto"/>
                            </w:tcBorders>
                          </w:tcPr>
                          <w:p>
                            <w:pPr>
                              <w:jc w:val="center"/>
                              <w:rPr>
                                <w:szCs w:val="24"/>
                              </w:rPr>
                            </w:pPr>
                            <w:r>
                              <w:rPr>
                                <w:szCs w:val="24"/>
                              </w:rPr>
                              <w:t>2.</w:t>
                            </w:r>
                          </w:p>
                        </w:tc>
                        <w:tc>
                          <w:tcPr>
                            <w:tcW w:w="1673" w:type="pct"/>
                            <w:tcBorders>
                              <w:top w:val="single" w:sz="4" w:space="0" w:color="auto"/>
                              <w:left w:val="single" w:sz="4" w:space="0" w:color="auto"/>
                              <w:bottom w:val="single" w:sz="4" w:space="0" w:color="auto"/>
                              <w:right w:val="single" w:sz="4" w:space="0" w:color="auto"/>
                            </w:tcBorders>
                            <w:vAlign w:val="center"/>
                            <w:hideMark/>
                          </w:tcPr>
                          <w:p>
                            <w:pPr>
                              <w:jc w:val="both"/>
                              <w:rPr>
                                <w:b/>
                                <w:szCs w:val="24"/>
                                <w:vertAlign w:val="superscript"/>
                              </w:rPr>
                            </w:pPr>
                            <w:r>
                              <w:rPr>
                                <w:szCs w:val="24"/>
                              </w:rPr>
                              <w:t>Šildomų patalpų atitvaros, kurios ribojasi su gruntu</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fg</w:t>
                            </w:r>
                          </w:p>
                        </w:tc>
                        <w:tc>
                          <w:tcPr>
                            <w:tcW w:w="75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0,16</w:t>
                            </w:r>
                          </w:p>
                        </w:tc>
                        <w:tc>
                          <w:tcPr>
                            <w:tcW w:w="840"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0,18</w:t>
                            </w:r>
                          </w:p>
                        </w:tc>
                        <w:tc>
                          <w:tcPr>
                            <w:tcW w:w="900"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0,25</w:t>
                              <w:sym w:font="Symbol" w:char="F0D7"/>
                              <w:sym w:font="Symbol" w:char="F06B"/>
                            </w:r>
                            <w:r>
                              <w:rPr>
                                <w:szCs w:val="24"/>
                                <w:vertAlign w:val="subscript"/>
                              </w:rPr>
                              <w:t>1</w:t>
                            </w:r>
                            <w:r>
                              <w:rPr>
                                <w:szCs w:val="24"/>
                                <w:vertAlign w:val="superscript"/>
                              </w:rPr>
                              <w:t>5)</w:t>
                            </w:r>
                          </w:p>
                        </w:tc>
                      </w:tr>
                      <w:tr>
                        <w:trPr>
                          <w:cantSplit/>
                          <w:trHeight w:val="570"/>
                        </w:trPr>
                        <w:tc>
                          <w:tcPr>
                            <w:tcW w:w="290" w:type="pct"/>
                            <w:vMerge/>
                            <w:tcBorders>
                              <w:left w:val="single" w:sz="4" w:space="0" w:color="auto"/>
                              <w:bottom w:val="single" w:sz="4" w:space="0" w:color="auto"/>
                              <w:right w:val="single" w:sz="4" w:space="0" w:color="auto"/>
                            </w:tcBorders>
                          </w:tcPr>
                          <w:p>
                            <w:pPr>
                              <w:jc w:val="center"/>
                              <w:rPr>
                                <w:szCs w:val="24"/>
                              </w:rPr>
                            </w:pPr>
                          </w:p>
                        </w:tc>
                        <w:tc>
                          <w:tcPr>
                            <w:tcW w:w="1673" w:type="pc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Perdangos virš nešildomų rūsių ir pogrindžių </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cc</w:t>
                            </w:r>
                          </w:p>
                        </w:tc>
                        <w:tc>
                          <w:tcPr>
                            <w:tcW w:w="75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40"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0"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trHeight w:val="223"/>
                        </w:trP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3.</w:t>
                            </w:r>
                          </w:p>
                        </w:tc>
                        <w:tc>
                          <w:tcPr>
                            <w:tcW w:w="1673"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Sienos</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w</w:t>
                            </w:r>
                          </w:p>
                        </w:tc>
                        <w:tc>
                          <w:tcPr>
                            <w:tcW w:w="75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0,15</w:t>
                            </w:r>
                          </w:p>
                        </w:tc>
                        <w:tc>
                          <w:tcPr>
                            <w:tcW w:w="84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0,18·</w:t>
                              <w:sym w:font="Symbol" w:char="F06B"/>
                            </w:r>
                            <w:r>
                              <w:rPr>
                                <w:szCs w:val="24"/>
                                <w:vertAlign w:val="subscript"/>
                              </w:rPr>
                              <w:t>1</w:t>
                            </w:r>
                            <w:r>
                              <w:rPr>
                                <w:szCs w:val="24"/>
                                <w:vertAlign w:val="superscript"/>
                              </w:rPr>
                              <w:t>5)</w:t>
                            </w:r>
                          </w:p>
                        </w:tc>
                        <w:tc>
                          <w:tcPr>
                            <w:tcW w:w="90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0,22</w:t>
                              <w:sym w:font="Symbol" w:char="F0D7"/>
                              <w:sym w:font="Symbol" w:char="F06B"/>
                            </w:r>
                            <w:r>
                              <w:rPr>
                                <w:szCs w:val="24"/>
                                <w:vertAlign w:val="subscript"/>
                              </w:rPr>
                              <w:t>1</w:t>
                            </w:r>
                            <w:r>
                              <w:rPr>
                                <w:szCs w:val="24"/>
                                <w:vertAlign w:val="superscript"/>
                              </w:rPr>
                              <w:t>5)</w:t>
                            </w:r>
                          </w:p>
                        </w:tc>
                      </w:tr>
                      <w:tr>
                        <w:trPr>
                          <w:trHeight w:val="160"/>
                        </w:trP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1673" w:type="pct"/>
                            <w:tcBorders>
                              <w:top w:val="single" w:sz="4" w:space="0" w:color="auto"/>
                              <w:left w:val="single" w:sz="4" w:space="0" w:color="auto"/>
                              <w:bottom w:val="single" w:sz="4" w:space="0" w:color="auto"/>
                              <w:right w:val="single" w:sz="4" w:space="0" w:color="auto"/>
                            </w:tcBorders>
                            <w:hideMark/>
                          </w:tcPr>
                          <w:p>
                            <w:pPr>
                              <w:jc w:val="both"/>
                              <w:rPr>
                                <w:b/>
                                <w:szCs w:val="24"/>
                                <w:vertAlign w:val="superscript"/>
                              </w:rPr>
                            </w:pPr>
                            <w:r>
                              <w:rPr>
                                <w:szCs w:val="24"/>
                              </w:rPr>
                              <w:t>Langai, stoglangiai, švieslangiai ir kitos skaidrios atitvaros</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wda</w:t>
                            </w:r>
                          </w:p>
                        </w:tc>
                        <w:tc>
                          <w:tcPr>
                            <w:tcW w:w="75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1,0</w:t>
                            </w:r>
                          </w:p>
                        </w:tc>
                        <w:tc>
                          <w:tcPr>
                            <w:tcW w:w="84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trike/>
                                <w:szCs w:val="24"/>
                                <w:vertAlign w:val="superscript"/>
                              </w:rPr>
                            </w:pPr>
                            <w:r>
                              <w:rPr>
                                <w:szCs w:val="24"/>
                              </w:rPr>
                              <w:t>1,2·</w:t>
                              <w:sym w:font="Symbol" w:char="F06B"/>
                            </w:r>
                            <w:r>
                              <w:rPr>
                                <w:szCs w:val="24"/>
                                <w:vertAlign w:val="subscript"/>
                              </w:rPr>
                              <w:t>1</w:t>
                            </w:r>
                            <w:r>
                              <w:rPr>
                                <w:szCs w:val="24"/>
                                <w:vertAlign w:val="superscript"/>
                              </w:rPr>
                              <w:t>5)</w:t>
                            </w:r>
                          </w:p>
                        </w:tc>
                        <w:tc>
                          <w:tcPr>
                            <w:tcW w:w="90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1,4</w:t>
                              <w:sym w:font="Symbol" w:char="F0D7"/>
                              <w:sym w:font="Symbol" w:char="F06B"/>
                            </w:r>
                            <w:r>
                              <w:rPr>
                                <w:szCs w:val="24"/>
                                <w:vertAlign w:val="subscript"/>
                              </w:rPr>
                              <w:t>1</w:t>
                            </w:r>
                            <w:r>
                              <w:rPr>
                                <w:szCs w:val="24"/>
                                <w:vertAlign w:val="superscript"/>
                              </w:rPr>
                              <w:t>5)</w:t>
                            </w:r>
                          </w:p>
                        </w:tc>
                      </w:tr>
                      <w:t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w:t>
                            </w:r>
                          </w:p>
                        </w:tc>
                        <w:tc>
                          <w:tcPr>
                            <w:tcW w:w="1673" w:type="pct"/>
                            <w:tcBorders>
                              <w:top w:val="single" w:sz="4" w:space="0" w:color="auto"/>
                              <w:left w:val="single" w:sz="4" w:space="0" w:color="auto"/>
                              <w:bottom w:val="single" w:sz="4" w:space="0" w:color="auto"/>
                              <w:right w:val="single" w:sz="4" w:space="0" w:color="auto"/>
                            </w:tcBorders>
                            <w:hideMark/>
                          </w:tcPr>
                          <w:p>
                            <w:pPr>
                              <w:jc w:val="both"/>
                              <w:rPr>
                                <w:b/>
                                <w:szCs w:val="24"/>
                                <w:vertAlign w:val="superscript"/>
                              </w:rPr>
                            </w:pPr>
                            <w:r>
                              <w:rPr>
                                <w:szCs w:val="24"/>
                              </w:rPr>
                              <w:t>Durys, vartai</w:t>
                            </w:r>
                          </w:p>
                        </w:tc>
                        <w:tc>
                          <w:tcPr>
                            <w:tcW w:w="541"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d</w:t>
                            </w:r>
                          </w:p>
                        </w:tc>
                        <w:tc>
                          <w:tcPr>
                            <w:tcW w:w="75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1,4</w:t>
                            </w:r>
                          </w:p>
                        </w:tc>
                        <w:tc>
                          <w:tcPr>
                            <w:tcW w:w="84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trike/>
                                <w:szCs w:val="24"/>
                                <w:vertAlign w:val="superscript"/>
                              </w:rPr>
                            </w:pPr>
                            <w:r>
                              <w:rPr>
                                <w:szCs w:val="24"/>
                              </w:rPr>
                              <w:t>1,8·</w:t>
                              <w:sym w:font="Symbol" w:char="F06B"/>
                            </w:r>
                            <w:r>
                              <w:rPr>
                                <w:szCs w:val="24"/>
                                <w:vertAlign w:val="subscript"/>
                              </w:rPr>
                              <w:t>1</w:t>
                            </w:r>
                            <w:r>
                              <w:rPr>
                                <w:szCs w:val="24"/>
                                <w:vertAlign w:val="superscript"/>
                              </w:rPr>
                              <w:t>5)</w:t>
                            </w:r>
                          </w:p>
                        </w:tc>
                        <w:tc>
                          <w:tcPr>
                            <w:tcW w:w="900"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1,9</w:t>
                              <w:sym w:font="Symbol" w:char="F0D7"/>
                              <w:sym w:font="Symbol" w:char="F06B"/>
                            </w:r>
                            <w:r>
                              <w:rPr>
                                <w:szCs w:val="24"/>
                                <w:vertAlign w:val="subscript"/>
                              </w:rPr>
                              <w:t>1</w:t>
                            </w:r>
                            <w:r>
                              <w:rPr>
                                <w:szCs w:val="24"/>
                                <w:vertAlign w:val="superscript"/>
                              </w:rPr>
                              <w:t>5)</w:t>
                            </w:r>
                          </w:p>
                        </w:tc>
                      </w:tr>
                    </w:tbl>
                    <w:p>
                      <w:pPr>
                        <w:ind w:firstLine="720"/>
                        <w:jc w:val="both"/>
                        <w:rPr>
                          <w:strike/>
                          <w:spacing w:val="-4"/>
                          <w:szCs w:val="22"/>
                          <w:lang w:eastAsia="lt-LT"/>
                        </w:rPr>
                      </w:pPr>
                      <w:r>
                        <w:rPr>
                          <w:szCs w:val="22"/>
                          <w:vertAlign w:val="superscript"/>
                        </w:rPr>
                        <w:t>1)</w:t>
                      </w:r>
                      <w:r>
                        <w:rPr>
                          <w:szCs w:val="22"/>
                        </w:rPr>
                        <w:t xml:space="preserve">, </w:t>
                      </w:r>
                      <w:r>
                        <w:rPr>
                          <w:szCs w:val="22"/>
                          <w:vertAlign w:val="superscript"/>
                        </w:rPr>
                        <w:t>2)</w:t>
                      </w:r>
                      <w:r>
                        <w:rPr>
                          <w:szCs w:val="22"/>
                        </w:rPr>
                        <w:t xml:space="preserve"> ,</w:t>
                      </w:r>
                      <w:r>
                        <w:rPr>
                          <w:szCs w:val="22"/>
                          <w:vertAlign w:val="superscript"/>
                        </w:rPr>
                        <w:t xml:space="preserve"> 5)</w:t>
                      </w:r>
                      <w:r>
                        <w:rPr>
                          <w:szCs w:val="22"/>
                        </w:rPr>
                        <w:t xml:space="preserve"> ,</w:t>
                      </w:r>
                      <w:r>
                        <w:rPr>
                          <w:szCs w:val="22"/>
                          <w:vertAlign w:val="superscript"/>
                        </w:rPr>
                        <w:t xml:space="preserve"> 6) </w:t>
                      </w:r>
                      <w:r>
                        <w:rPr>
                          <w:szCs w:val="22"/>
                        </w:rPr>
                        <w:t>žr. 3 lentelės 7 punktą.</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lentele"/>
                    <w:tag w:val="part_a4d667f9c1384ccc87cc32feb0ba2e73"/>
                    <w:lock w:val="sdtLocked"/>
                    <w:richText/>
                  </w:sdtPr>
                  <w:sdtContent>
                    <w:p>
                      <w:pPr>
                        <w:tabs>
                          <w:tab w:val="left" w:pos="663"/>
                        </w:tabs>
                        <w:ind w:right="-108"/>
                        <w:jc w:val="center"/>
                      </w:pPr>
                      <w:sdt>
                        <w:sdtPr>
                          <w:alias w:val="Pavadinimas"/>
                          <w:tag w:val="title_a4d667f9c1384ccc87cc32feb0ba2e73"/>
                          <w:lock w:val="sdtLocked"/>
                          <w:richText/>
                        </w:sdtPr>
                        <w:sdtContent>
                          <w:r>
                            <w:rPr>
                              <w:b/>
                            </w:rPr>
                            <w:t xml:space="preserve">Pastatų atitvarų šilumos perdavimo koeficientų </w:t>
                          </w:r>
                          <w:r>
                            <w:rPr>
                              <w:b/>
                              <w:i/>
                            </w:rPr>
                            <w:t>U</w:t>
                          </w:r>
                          <w:r>
                            <w:rPr>
                              <w:b/>
                              <w:i/>
                              <w:vertAlign w:val="subscript"/>
                            </w:rPr>
                            <w:t>(A+)</w:t>
                          </w:r>
                          <w:r>
                            <w:rPr>
                              <w:b/>
                            </w:rPr>
                            <w:t xml:space="preserve"> (W/(m</w:t>
                          </w:r>
                          <w:r>
                            <w:rPr>
                              <w:b/>
                              <w:vertAlign w:val="superscript"/>
                            </w:rPr>
                            <w:t>2</w:t>
                          </w:r>
                          <w:r>
                            <w:rPr>
                              <w:b/>
                            </w:rPr>
                            <w:sym w:font="Symbol" w:char="F0D7"/>
                            <w:t>K)) vertės A+ energinio naudingumo klasės pastatų (jų dalių) atitvarų norminių savitųjų šilumos nuostolių ir energinio naudingumo rodiklių skaičiavimui</w:t>
                          </w:r>
                        </w:sdtContent>
                      </w:sdt>
                    </w:p>
                    <w:p>
                      <w:pPr>
                        <w:tabs>
                          <w:tab w:val="left" w:pos="663"/>
                        </w:tabs>
                        <w:ind w:right="-108" w:firstLine="8505"/>
                        <w:rPr>
                          <w:szCs w:val="24"/>
                        </w:rPr>
                      </w:pPr>
                      <w:sdt>
                        <w:sdtPr>
                          <w:alias w:val="Numeris"/>
                          <w:tag w:val="nr_a4d667f9c1384ccc87cc32feb0ba2e73"/>
                          <w:lock w:val="sdtLocked"/>
                          <w:richText/>
                        </w:sdtPr>
                        <w:sdtContent>
                          <w:r>
                            <w:rPr>
                              <w:szCs w:val="24"/>
                            </w:rPr>
                            <w:t>5</w:t>
                          </w:r>
                        </w:sdtContent>
                      </w:sdt>
                      <w:r>
                        <w:rPr>
                          <w:szCs w:val="24"/>
                        </w:rPr>
                        <w:t xml:space="preserve"> lentelė</w:t>
                      </w:r>
                    </w:p>
                    <w:tbl>
                      <w:tblPr>
                        <w:tblW w:w="4893" w:type="pct"/>
                        <w:tblInd w:w="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296"/>
                        <w:gridCol w:w="1126"/>
                        <w:gridCol w:w="1549"/>
                        <w:gridCol w:w="1443"/>
                        <w:gridCol w:w="1536"/>
                      </w:tblGrid>
                      <w:tr>
                        <w:trPr>
                          <w:trHeight w:val="240"/>
                          <w:tblHeader/>
                        </w:trPr>
                        <w:tc>
                          <w:tcPr>
                            <w:tcW w:w="290"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Eil. Nr. </w:t>
                            </w:r>
                          </w:p>
                        </w:tc>
                        <w:tc>
                          <w:tcPr>
                            <w:tcW w:w="1734"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Atitvarų apibūdinimas</w:t>
                            </w:r>
                          </w:p>
                        </w:tc>
                        <w:tc>
                          <w:tcPr>
                            <w:tcW w:w="593"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Atitvarą žymintis poraidis</w:t>
                            </w:r>
                          </w:p>
                        </w:tc>
                        <w:tc>
                          <w:tcPr>
                            <w:tcW w:w="815"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Gyvenamieji pastatai</w:t>
                            </w:r>
                          </w:p>
                        </w:tc>
                        <w:tc>
                          <w:tcPr>
                            <w:tcW w:w="1567" w:type="pct"/>
                            <w:gridSpan w:val="2"/>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i/>
                                <w:szCs w:val="24"/>
                              </w:rPr>
                            </w:pPr>
                            <w:r>
                              <w:rPr>
                                <w:rFonts w:eastAsia="Calibri"/>
                                <w:szCs w:val="24"/>
                              </w:rPr>
                              <w:t>Negyvenamieji pastatai</w:t>
                            </w:r>
                          </w:p>
                        </w:tc>
                      </w:tr>
                      <w:tr>
                        <w:trPr>
                          <w:trHeight w:val="410"/>
                          <w:tblHeader/>
                        </w:trP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1734"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93"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1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9"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Viešosios paskirties pastatai</w:t>
                            </w:r>
                            <w:r>
                              <w:rPr>
                                <w:szCs w:val="24"/>
                                <w:vertAlign w:val="superscript"/>
                              </w:rPr>
                              <w:t>1)</w:t>
                            </w:r>
                          </w:p>
                        </w:tc>
                        <w:tc>
                          <w:tcPr>
                            <w:tcW w:w="808" w:type="pc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Pramonės</w:t>
                            </w:r>
                          </w:p>
                          <w:p>
                            <w:pPr>
                              <w:ind w:firstLine="62"/>
                              <w:jc w:val="both"/>
                              <w:rPr>
                                <w:szCs w:val="24"/>
                                <w:vertAlign w:val="superscript"/>
                              </w:rPr>
                            </w:pPr>
                            <w:r>
                              <w:rPr>
                                <w:szCs w:val="24"/>
                              </w:rPr>
                              <w:t>pastatai</w:t>
                            </w:r>
                            <w:r>
                              <w:rPr>
                                <w:szCs w:val="24"/>
                                <w:vertAlign w:val="superscript"/>
                              </w:rPr>
                              <w:t>2)</w:t>
                            </w:r>
                          </w:p>
                        </w:tc>
                      </w:tr>
                      <w:tr>
                        <w:trPr>
                          <w:cantSplit/>
                          <w:trHeight w:val="271"/>
                        </w:trPr>
                        <w:tc>
                          <w:tcPr>
                            <w:tcW w:w="290" w:type="pct"/>
                            <w:vMerge w:val="restart"/>
                            <w:tcBorders>
                              <w:top w:val="single" w:sz="4" w:space="0" w:color="auto"/>
                              <w:left w:val="single" w:sz="4" w:space="0" w:color="auto"/>
                              <w:right w:val="single" w:sz="4" w:space="0" w:color="auto"/>
                            </w:tcBorders>
                          </w:tcPr>
                          <w:p>
                            <w:pPr>
                              <w:jc w:val="center"/>
                              <w:rPr>
                                <w:szCs w:val="24"/>
                              </w:rPr>
                            </w:pPr>
                            <w:r>
                              <w:rPr>
                                <w:szCs w:val="24"/>
                              </w:rPr>
                              <w:t>2.</w:t>
                            </w:r>
                          </w:p>
                        </w:tc>
                        <w:tc>
                          <w:tcPr>
                            <w:tcW w:w="1734"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 xml:space="preserve">Stogai </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r</w:t>
                            </w:r>
                          </w:p>
                        </w:tc>
                        <w:tc>
                          <w:tcPr>
                            <w:tcW w:w="81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0,12</w:t>
                            </w:r>
                          </w:p>
                        </w:tc>
                        <w:tc>
                          <w:tcPr>
                            <w:tcW w:w="759"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0,13·</w:t>
                              <w:sym w:font="Symbol" w:char="F06B"/>
                            </w:r>
                            <w:r>
                              <w:rPr>
                                <w:szCs w:val="24"/>
                                <w:vertAlign w:val="subscript"/>
                              </w:rPr>
                              <w:t>1</w:t>
                            </w:r>
                            <w:r>
                              <w:rPr>
                                <w:szCs w:val="24"/>
                                <w:vertAlign w:val="superscript"/>
                              </w:rPr>
                              <w:t>5)</w:t>
                            </w:r>
                          </w:p>
                        </w:tc>
                        <w:tc>
                          <w:tcPr>
                            <w:tcW w:w="808"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0,17</w:t>
                              <w:sym w:font="Symbol" w:char="F0D7"/>
                              <w:sym w:font="Symbol" w:char="F06B"/>
                            </w:r>
                            <w:r>
                              <w:rPr>
                                <w:szCs w:val="24"/>
                                <w:vertAlign w:val="subscript"/>
                              </w:rPr>
                              <w:t>1</w:t>
                            </w:r>
                            <w:r>
                              <w:rPr>
                                <w:szCs w:val="24"/>
                                <w:vertAlign w:val="superscript"/>
                              </w:rPr>
                              <w:t>5)</w:t>
                            </w:r>
                          </w:p>
                        </w:tc>
                      </w:tr>
                      <w:tr>
                        <w:trPr>
                          <w:cantSplit/>
                          <w:trHeight w:val="285"/>
                        </w:trPr>
                        <w:tc>
                          <w:tcPr>
                            <w:tcW w:w="290" w:type="pct"/>
                            <w:vMerge/>
                            <w:tcBorders>
                              <w:left w:val="single" w:sz="4" w:space="0" w:color="auto"/>
                              <w:bottom w:val="single" w:sz="4" w:space="0" w:color="auto"/>
                              <w:right w:val="single" w:sz="4" w:space="0" w:color="auto"/>
                            </w:tcBorders>
                          </w:tcPr>
                          <w:p>
                            <w:pPr>
                              <w:jc w:val="center"/>
                              <w:rPr>
                                <w:szCs w:val="24"/>
                              </w:rPr>
                            </w:pPr>
                          </w:p>
                        </w:tc>
                        <w:tc>
                          <w:tcPr>
                            <w:tcW w:w="1734"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Perdangos</w:t>
                            </w:r>
                            <w:r>
                              <w:rPr>
                                <w:szCs w:val="24"/>
                                <w:vertAlign w:val="superscript"/>
                              </w:rPr>
                              <w:t>6)</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ce</w:t>
                            </w:r>
                          </w:p>
                        </w:tc>
                        <w:tc>
                          <w:tcPr>
                            <w:tcW w:w="81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9"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08"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525"/>
                        </w:trPr>
                        <w:tc>
                          <w:tcPr>
                            <w:tcW w:w="290" w:type="pct"/>
                            <w:vMerge w:val="restart"/>
                            <w:tcBorders>
                              <w:top w:val="single" w:sz="4" w:space="0" w:color="auto"/>
                              <w:left w:val="single" w:sz="4" w:space="0" w:color="auto"/>
                              <w:right w:val="single" w:sz="4" w:space="0" w:color="auto"/>
                            </w:tcBorders>
                          </w:tcPr>
                          <w:p>
                            <w:pPr>
                              <w:jc w:val="center"/>
                              <w:rPr>
                                <w:szCs w:val="24"/>
                              </w:rPr>
                            </w:pPr>
                            <w:r>
                              <w:rPr>
                                <w:szCs w:val="24"/>
                              </w:rPr>
                              <w:t>3.</w:t>
                            </w:r>
                          </w:p>
                        </w:tc>
                        <w:tc>
                          <w:tcPr>
                            <w:tcW w:w="1734" w:type="pct"/>
                            <w:tcBorders>
                              <w:top w:val="single" w:sz="4" w:space="0" w:color="auto"/>
                              <w:left w:val="single" w:sz="4" w:space="0" w:color="auto"/>
                              <w:bottom w:val="single" w:sz="4" w:space="0" w:color="auto"/>
                              <w:right w:val="single" w:sz="4" w:space="0" w:color="auto"/>
                            </w:tcBorders>
                            <w:vAlign w:val="center"/>
                            <w:hideMark/>
                          </w:tcPr>
                          <w:p>
                            <w:pPr>
                              <w:jc w:val="both"/>
                              <w:rPr>
                                <w:b/>
                                <w:szCs w:val="24"/>
                                <w:vertAlign w:val="superscript"/>
                              </w:rPr>
                            </w:pPr>
                            <w:r>
                              <w:rPr>
                                <w:szCs w:val="24"/>
                              </w:rPr>
                              <w:t>Šildomų patalpų atitvaros, kurios ribojasi su gruntu</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fg</w:t>
                            </w:r>
                          </w:p>
                        </w:tc>
                        <w:tc>
                          <w:tcPr>
                            <w:tcW w:w="81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0,14</w:t>
                            </w:r>
                          </w:p>
                        </w:tc>
                        <w:tc>
                          <w:tcPr>
                            <w:tcW w:w="759"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0,16·</w:t>
                              <w:sym w:font="Symbol" w:char="F06B"/>
                            </w:r>
                            <w:r>
                              <w:rPr>
                                <w:szCs w:val="24"/>
                                <w:vertAlign w:val="subscript"/>
                              </w:rPr>
                              <w:t>1</w:t>
                            </w:r>
                            <w:r>
                              <w:rPr>
                                <w:szCs w:val="24"/>
                                <w:vertAlign w:val="superscript"/>
                              </w:rPr>
                              <w:t>5)</w:t>
                            </w:r>
                          </w:p>
                        </w:tc>
                        <w:tc>
                          <w:tcPr>
                            <w:tcW w:w="808"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0,21</w:t>
                              <w:sym w:font="Symbol" w:char="F0D7"/>
                              <w:sym w:font="Symbol" w:char="F06B"/>
                            </w:r>
                            <w:r>
                              <w:rPr>
                                <w:szCs w:val="24"/>
                                <w:vertAlign w:val="subscript"/>
                              </w:rPr>
                              <w:t>1</w:t>
                            </w:r>
                            <w:r>
                              <w:rPr>
                                <w:szCs w:val="24"/>
                                <w:vertAlign w:val="superscript"/>
                              </w:rPr>
                              <w:t>5)</w:t>
                            </w:r>
                          </w:p>
                        </w:tc>
                      </w:tr>
                      <w:tr>
                        <w:trPr>
                          <w:cantSplit/>
                          <w:trHeight w:val="570"/>
                        </w:trPr>
                        <w:tc>
                          <w:tcPr>
                            <w:tcW w:w="290" w:type="pct"/>
                            <w:vMerge/>
                            <w:tcBorders>
                              <w:left w:val="single" w:sz="4" w:space="0" w:color="auto"/>
                              <w:bottom w:val="single" w:sz="4" w:space="0" w:color="auto"/>
                              <w:right w:val="single" w:sz="4" w:space="0" w:color="auto"/>
                            </w:tcBorders>
                          </w:tcPr>
                          <w:p>
                            <w:pPr>
                              <w:jc w:val="center"/>
                              <w:rPr>
                                <w:szCs w:val="24"/>
                              </w:rPr>
                            </w:pPr>
                          </w:p>
                        </w:tc>
                        <w:tc>
                          <w:tcPr>
                            <w:tcW w:w="1734" w:type="pct"/>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Perdangos virš nešildomų rūsių ir pogrindžių </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cc</w:t>
                            </w:r>
                          </w:p>
                        </w:tc>
                        <w:tc>
                          <w:tcPr>
                            <w:tcW w:w="81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9"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08"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trHeight w:val="223"/>
                        </w:trP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1734" w:type="pct"/>
                            <w:tcBorders>
                              <w:top w:val="single" w:sz="4" w:space="0" w:color="auto"/>
                              <w:left w:val="single" w:sz="4" w:space="0" w:color="auto"/>
                              <w:bottom w:val="single" w:sz="4" w:space="0" w:color="auto"/>
                              <w:right w:val="single" w:sz="4" w:space="0" w:color="auto"/>
                            </w:tcBorders>
                            <w:vAlign w:val="center"/>
                            <w:hideMark/>
                          </w:tcPr>
                          <w:p>
                            <w:pPr>
                              <w:jc w:val="both"/>
                              <w:rPr>
                                <w:szCs w:val="24"/>
                                <w:vertAlign w:val="superscript"/>
                              </w:rPr>
                            </w:pPr>
                            <w:r>
                              <w:rPr>
                                <w:szCs w:val="24"/>
                              </w:rPr>
                              <w:t>Sienos</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w</w:t>
                            </w:r>
                          </w:p>
                        </w:tc>
                        <w:tc>
                          <w:tcPr>
                            <w:tcW w:w="81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0,13</w:t>
                            </w:r>
                          </w:p>
                        </w:tc>
                        <w:tc>
                          <w:tcPr>
                            <w:tcW w:w="75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0,15·</w:t>
                              <w:sym w:font="Symbol" w:char="F06B"/>
                            </w:r>
                            <w:r>
                              <w:rPr>
                                <w:szCs w:val="24"/>
                                <w:vertAlign w:val="subscript"/>
                              </w:rPr>
                              <w:t>1</w:t>
                            </w:r>
                            <w:r>
                              <w:rPr>
                                <w:szCs w:val="24"/>
                                <w:vertAlign w:val="superscript"/>
                              </w:rPr>
                              <w:t>5)</w:t>
                            </w:r>
                          </w:p>
                        </w:tc>
                        <w:tc>
                          <w:tcPr>
                            <w:tcW w:w="808"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0,19</w:t>
                              <w:sym w:font="Symbol" w:char="F0D7"/>
                              <w:sym w:font="Symbol" w:char="F06B"/>
                            </w:r>
                            <w:r>
                              <w:rPr>
                                <w:szCs w:val="24"/>
                                <w:vertAlign w:val="subscript"/>
                              </w:rPr>
                              <w:t>1</w:t>
                            </w:r>
                            <w:r>
                              <w:rPr>
                                <w:szCs w:val="24"/>
                                <w:vertAlign w:val="superscript"/>
                              </w:rPr>
                              <w:t>5)</w:t>
                            </w:r>
                          </w:p>
                        </w:tc>
                      </w:tr>
                      <w:tr>
                        <w:trPr>
                          <w:trHeight w:val="160"/>
                        </w:trP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w:t>
                            </w:r>
                          </w:p>
                        </w:tc>
                        <w:tc>
                          <w:tcPr>
                            <w:tcW w:w="1734" w:type="pct"/>
                            <w:tcBorders>
                              <w:top w:val="single" w:sz="4" w:space="0" w:color="auto"/>
                              <w:left w:val="single" w:sz="4" w:space="0" w:color="auto"/>
                              <w:bottom w:val="single" w:sz="4" w:space="0" w:color="auto"/>
                              <w:right w:val="single" w:sz="4" w:space="0" w:color="auto"/>
                            </w:tcBorders>
                            <w:hideMark/>
                          </w:tcPr>
                          <w:p>
                            <w:pPr>
                              <w:jc w:val="both"/>
                              <w:rPr>
                                <w:b/>
                                <w:szCs w:val="24"/>
                                <w:vertAlign w:val="superscript"/>
                              </w:rPr>
                            </w:pPr>
                            <w:r>
                              <w:rPr>
                                <w:szCs w:val="24"/>
                              </w:rPr>
                              <w:t>Langai, stoglangiai, švieslangiai ir kitos skaidrios atitvaros</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wda</w:t>
                            </w:r>
                          </w:p>
                        </w:tc>
                        <w:tc>
                          <w:tcPr>
                            <w:tcW w:w="81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0,9</w:t>
                            </w:r>
                          </w:p>
                        </w:tc>
                        <w:tc>
                          <w:tcPr>
                            <w:tcW w:w="75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1,0·</w:t>
                              <w:sym w:font="Symbol" w:char="F06B"/>
                            </w:r>
                            <w:r>
                              <w:rPr>
                                <w:szCs w:val="24"/>
                                <w:vertAlign w:val="subscript"/>
                              </w:rPr>
                              <w:t>1</w:t>
                            </w:r>
                            <w:r>
                              <w:rPr>
                                <w:szCs w:val="24"/>
                                <w:vertAlign w:val="superscript"/>
                              </w:rPr>
                              <w:t>5)</w:t>
                            </w:r>
                          </w:p>
                        </w:tc>
                        <w:tc>
                          <w:tcPr>
                            <w:tcW w:w="808"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1,1</w:t>
                              <w:sym w:font="Symbol" w:char="F0D7"/>
                              <w:sym w:font="Symbol" w:char="F06B"/>
                            </w:r>
                            <w:r>
                              <w:rPr>
                                <w:szCs w:val="24"/>
                                <w:vertAlign w:val="subscript"/>
                              </w:rPr>
                              <w:t>1</w:t>
                            </w:r>
                            <w:r>
                              <w:rPr>
                                <w:szCs w:val="24"/>
                                <w:vertAlign w:val="superscript"/>
                              </w:rPr>
                              <w:t>5)</w:t>
                            </w:r>
                          </w:p>
                        </w:tc>
                      </w:tr>
                      <w:tr>
                        <w:tc>
                          <w:tcPr>
                            <w:tcW w:w="29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6.</w:t>
                            </w:r>
                          </w:p>
                        </w:tc>
                        <w:tc>
                          <w:tcPr>
                            <w:tcW w:w="1734" w:type="pct"/>
                            <w:tcBorders>
                              <w:top w:val="single" w:sz="4" w:space="0" w:color="auto"/>
                              <w:left w:val="single" w:sz="4" w:space="0" w:color="auto"/>
                              <w:bottom w:val="single" w:sz="4" w:space="0" w:color="auto"/>
                              <w:right w:val="single" w:sz="4" w:space="0" w:color="auto"/>
                            </w:tcBorders>
                            <w:hideMark/>
                          </w:tcPr>
                          <w:p>
                            <w:pPr>
                              <w:jc w:val="both"/>
                              <w:rPr>
                                <w:b/>
                                <w:szCs w:val="24"/>
                                <w:vertAlign w:val="superscript"/>
                              </w:rPr>
                            </w:pPr>
                            <w:r>
                              <w:rPr>
                                <w:szCs w:val="24"/>
                              </w:rPr>
                              <w:t>Durys, vartai</w:t>
                            </w:r>
                          </w:p>
                        </w:tc>
                        <w:tc>
                          <w:tcPr>
                            <w:tcW w:w="593" w:type="pct"/>
                            <w:tcBorders>
                              <w:top w:val="single" w:sz="4" w:space="0" w:color="auto"/>
                              <w:left w:val="single" w:sz="4" w:space="0" w:color="auto"/>
                              <w:bottom w:val="single" w:sz="4" w:space="0" w:color="auto"/>
                              <w:right w:val="single" w:sz="4" w:space="0" w:color="auto"/>
                            </w:tcBorders>
                            <w:vAlign w:val="center"/>
                            <w:hideMark/>
                          </w:tcPr>
                          <w:p>
                            <w:pPr>
                              <w:jc w:val="center"/>
                              <w:rPr>
                                <w:i/>
                                <w:szCs w:val="24"/>
                              </w:rPr>
                            </w:pPr>
                            <w:r>
                              <w:rPr>
                                <w:i/>
                                <w:szCs w:val="24"/>
                              </w:rPr>
                              <w:t>d</w:t>
                            </w:r>
                          </w:p>
                        </w:tc>
                        <w:tc>
                          <w:tcPr>
                            <w:tcW w:w="81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1,3</w:t>
                            </w:r>
                          </w:p>
                        </w:tc>
                        <w:tc>
                          <w:tcPr>
                            <w:tcW w:w="75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trike/>
                                <w:szCs w:val="24"/>
                                <w:vertAlign w:val="superscript"/>
                              </w:rPr>
                            </w:pPr>
                            <w:r>
                              <w:rPr>
                                <w:szCs w:val="24"/>
                              </w:rPr>
                              <w:t>1,6·</w:t>
                              <w:sym w:font="Symbol" w:char="F06B"/>
                            </w:r>
                            <w:r>
                              <w:rPr>
                                <w:szCs w:val="24"/>
                                <w:vertAlign w:val="subscript"/>
                              </w:rPr>
                              <w:t>1</w:t>
                            </w:r>
                            <w:r>
                              <w:rPr>
                                <w:szCs w:val="24"/>
                                <w:vertAlign w:val="superscript"/>
                              </w:rPr>
                              <w:t>5)</w:t>
                            </w:r>
                          </w:p>
                        </w:tc>
                        <w:tc>
                          <w:tcPr>
                            <w:tcW w:w="808"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1,8</w:t>
                              <w:sym w:font="Symbol" w:char="F0D7"/>
                              <w:sym w:font="Symbol" w:char="F06B"/>
                            </w:r>
                            <w:r>
                              <w:rPr>
                                <w:szCs w:val="24"/>
                                <w:vertAlign w:val="subscript"/>
                              </w:rPr>
                              <w:t>1</w:t>
                            </w:r>
                            <w:r>
                              <w:rPr>
                                <w:szCs w:val="24"/>
                                <w:vertAlign w:val="superscript"/>
                              </w:rPr>
                              <w:t>5)</w:t>
                            </w:r>
                          </w:p>
                        </w:tc>
                      </w:tr>
                    </w:tbl>
                    <w:p>
                      <w:pPr>
                        <w:ind w:firstLine="993"/>
                        <w:rPr>
                          <w:rFonts w:eastAsia="Calibri"/>
                          <w:strike/>
                          <w:szCs w:val="22"/>
                        </w:rPr>
                      </w:pPr>
                      <w:r>
                        <w:rPr>
                          <w:szCs w:val="22"/>
                          <w:vertAlign w:val="superscript"/>
                        </w:rPr>
                        <w:t>1)</w:t>
                      </w:r>
                      <w:r>
                        <w:rPr>
                          <w:szCs w:val="22"/>
                        </w:rPr>
                        <w:t xml:space="preserve">, </w:t>
                      </w:r>
                      <w:r>
                        <w:rPr>
                          <w:szCs w:val="22"/>
                          <w:vertAlign w:val="superscript"/>
                        </w:rPr>
                        <w:t>2)</w:t>
                      </w:r>
                      <w:r>
                        <w:rPr>
                          <w:szCs w:val="22"/>
                        </w:rPr>
                        <w:t xml:space="preserve"> ,</w:t>
                      </w:r>
                      <w:r>
                        <w:rPr>
                          <w:szCs w:val="22"/>
                          <w:vertAlign w:val="superscript"/>
                        </w:rPr>
                        <w:t xml:space="preserve"> 5)</w:t>
                      </w:r>
                      <w:r>
                        <w:rPr>
                          <w:szCs w:val="22"/>
                        </w:rPr>
                        <w:t xml:space="preserve"> ,</w:t>
                      </w:r>
                      <w:r>
                        <w:rPr>
                          <w:szCs w:val="22"/>
                          <w:vertAlign w:val="superscript"/>
                        </w:rPr>
                        <w:t xml:space="preserve"> 6) </w:t>
                      </w:r>
                      <w:r>
                        <w:rPr>
                          <w:szCs w:val="22"/>
                        </w:rPr>
                        <w:t>žr. 3 lentelės 7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lentele"/>
                    <w:tag w:val="part_8135de0534af458abb3ceaa97caa6a39"/>
                    <w:lock w:val="sdtLocked"/>
                    <w:richText/>
                  </w:sdtPr>
                  <w:sdtContent>
                    <w:p>
                      <w:pPr>
                        <w:ind w:right="-108"/>
                        <w:jc w:val="center"/>
                      </w:pPr>
                      <w:sdt>
                        <w:sdtPr>
                          <w:alias w:val="Pavadinimas"/>
                          <w:tag w:val="title_8135de0534af458abb3ceaa97caa6a39"/>
                          <w:lock w:val="sdtLocked"/>
                          <w:richText/>
                        </w:sdtPr>
                        <w:sdtContent>
                          <w:r>
                            <w:rPr>
                              <w:b/>
                            </w:rPr>
                            <w:t xml:space="preserve">Pastatų atitvarų šilumos perdavimo koeficientų </w:t>
                          </w:r>
                          <w:r>
                            <w:rPr>
                              <w:b/>
                              <w:i/>
                            </w:rPr>
                            <w:t>U</w:t>
                          </w:r>
                          <w:r>
                            <w:rPr>
                              <w:b/>
                              <w:i/>
                              <w:vertAlign w:val="subscript"/>
                            </w:rPr>
                            <w:t>(A++)</w:t>
                          </w:r>
                          <w:r>
                            <w:rPr>
                              <w:b/>
                            </w:rPr>
                            <w:t xml:space="preserve"> (W/(m</w:t>
                          </w:r>
                          <w:r>
                            <w:rPr>
                              <w:b/>
                              <w:vertAlign w:val="superscript"/>
                            </w:rPr>
                            <w:t>2</w:t>
                          </w:r>
                          <w:r>
                            <w:rPr>
                              <w:b/>
                            </w:rPr>
                            <w:sym w:font="Symbol" w:char="F0D7"/>
                            <w:t>K)) vertės A++ energinio naudingumo klasės pastatų (jų dalių) atitvarų norminių savitųjų šilumos nuostolių ir energinio naudingumo rodiklių skaičiavimui</w:t>
                          </w:r>
                        </w:sdtContent>
                      </w:sdt>
                    </w:p>
                    <w:p>
                      <w:pPr>
                        <w:ind w:right="-108" w:firstLine="8505"/>
                        <w:rPr>
                          <w:szCs w:val="24"/>
                          <w:lang w:eastAsia="lt-LT"/>
                        </w:rPr>
                      </w:pPr>
                      <w:sdt>
                        <w:sdtPr>
                          <w:alias w:val="Numeris"/>
                          <w:tag w:val="nr_8135de0534af458abb3ceaa97caa6a39"/>
                          <w:lock w:val="sdtLocked"/>
                          <w:richText/>
                        </w:sdtPr>
                        <w:sdtContent>
                          <w:r>
                            <w:rPr>
                              <w:szCs w:val="24"/>
                              <w:lang w:eastAsia="lt-LT"/>
                            </w:rPr>
                            <w:t>6</w:t>
                          </w:r>
                        </w:sdtContent>
                      </w:sdt>
                      <w:r>
                        <w:rPr>
                          <w:szCs w:val="24"/>
                          <w:lang w:eastAsia="lt-LT"/>
                        </w:rPr>
                        <w:t xml:space="preserve">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3489"/>
                        <w:gridCol w:w="1117"/>
                        <w:gridCol w:w="1541"/>
                        <w:gridCol w:w="1399"/>
                        <w:gridCol w:w="1397"/>
                      </w:tblGrid>
                      <w:tr>
                        <w:trPr>
                          <w:cantSplit/>
                          <w:trHeight w:val="240"/>
                        </w:trPr>
                        <w:tc>
                          <w:tcPr>
                            <w:tcW w:w="294" w:type="pct"/>
                            <w:vMerge w:val="restart"/>
                            <w:tcBorders>
                              <w:top w:val="single" w:sz="4" w:space="0" w:color="auto"/>
                              <w:left w:val="single" w:sz="4" w:space="0" w:color="auto"/>
                              <w:right w:val="single" w:sz="4" w:space="0" w:color="auto"/>
                            </w:tcBorders>
                          </w:tcPr>
                          <w:p>
                            <w:pPr>
                              <w:jc w:val="center"/>
                              <w:rPr>
                                <w:szCs w:val="22"/>
                              </w:rPr>
                            </w:pPr>
                            <w:r>
                              <w:rPr>
                                <w:szCs w:val="22"/>
                              </w:rPr>
                              <w:t>Eil. Nr.</w:t>
                            </w:r>
                          </w:p>
                        </w:tc>
                        <w:tc>
                          <w:tcPr>
                            <w:tcW w:w="1836"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Atitvarų apibūdinimas</w:t>
                            </w:r>
                          </w:p>
                        </w:tc>
                        <w:tc>
                          <w:tcPr>
                            <w:tcW w:w="588"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Atitvarą žymintis poraidis</w:t>
                            </w:r>
                          </w:p>
                        </w:tc>
                        <w:tc>
                          <w:tcPr>
                            <w:tcW w:w="811"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Gyvenamieji pastatai</w:t>
                            </w:r>
                          </w:p>
                        </w:tc>
                        <w:tc>
                          <w:tcPr>
                            <w:tcW w:w="1471" w:type="pct"/>
                            <w:gridSpan w:val="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szCs w:val="22"/>
                              </w:rPr>
                            </w:pPr>
                            <w:r>
                              <w:rPr>
                                <w:rFonts w:eastAsia="Calibri"/>
                                <w:szCs w:val="22"/>
                              </w:rPr>
                              <w:t>Negyvenamieji pastatai</w:t>
                            </w:r>
                          </w:p>
                        </w:tc>
                      </w:tr>
                      <w:tr>
                        <w:trPr>
                          <w:cantSplit/>
                          <w:trHeight w:val="410"/>
                        </w:trPr>
                        <w:tc>
                          <w:tcPr>
                            <w:tcW w:w="294" w:type="pct"/>
                            <w:vMerge/>
                            <w:tcBorders>
                              <w:left w:val="single" w:sz="4" w:space="0" w:color="auto"/>
                              <w:bottom w:val="single" w:sz="4" w:space="0" w:color="auto"/>
                              <w:right w:val="single" w:sz="4" w:space="0" w:color="auto"/>
                            </w:tcBorders>
                          </w:tcPr>
                          <w:p>
                            <w:pPr>
                              <w:rPr>
                                <w:szCs w:val="22"/>
                              </w:rPr>
                            </w:pPr>
                          </w:p>
                        </w:tc>
                        <w:tc>
                          <w:tcPr>
                            <w:tcW w:w="1836"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588"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811"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736" w:type="pct"/>
                            <w:tcBorders>
                              <w:top w:val="single" w:sz="4" w:space="0" w:color="auto"/>
                              <w:left w:val="single" w:sz="4" w:space="0" w:color="auto"/>
                              <w:bottom w:val="single" w:sz="4" w:space="0" w:color="auto"/>
                              <w:right w:val="single" w:sz="4" w:space="0" w:color="auto"/>
                            </w:tcBorders>
                            <w:vAlign w:val="center"/>
                            <w:hideMark/>
                          </w:tcPr>
                          <w:p>
                            <w:pPr>
                              <w:jc w:val="center"/>
                              <w:rPr>
                                <w:szCs w:val="22"/>
                                <w:vertAlign w:val="superscript"/>
                              </w:rPr>
                            </w:pPr>
                            <w:r>
                              <w:rPr>
                                <w:szCs w:val="22"/>
                              </w:rPr>
                              <w:t>Viešosios paskirties pastatai</w:t>
                            </w:r>
                            <w:r>
                              <w:rPr>
                                <w:szCs w:val="22"/>
                                <w:vertAlign w:val="superscrip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Pramonės</w:t>
                            </w:r>
                          </w:p>
                          <w:p>
                            <w:pPr>
                              <w:jc w:val="both"/>
                              <w:rPr>
                                <w:szCs w:val="22"/>
                                <w:vertAlign w:val="superscript"/>
                              </w:rPr>
                            </w:pPr>
                            <w:r>
                              <w:rPr>
                                <w:szCs w:val="22"/>
                              </w:rPr>
                              <w:t>pastatai</w:t>
                            </w:r>
                            <w:r>
                              <w:rPr>
                                <w:szCs w:val="22"/>
                                <w:vertAlign w:val="superscript"/>
                              </w:rPr>
                              <w:t>2)</w:t>
                            </w:r>
                          </w:p>
                        </w:tc>
                      </w:tr>
                      <w:tr>
                        <w:trPr>
                          <w:cantSplit/>
                          <w:trHeight w:val="271"/>
                        </w:trPr>
                        <w:tc>
                          <w:tcPr>
                            <w:tcW w:w="294" w:type="pct"/>
                            <w:vMerge w:val="restart"/>
                            <w:tcBorders>
                              <w:top w:val="single" w:sz="4" w:space="0" w:color="auto"/>
                              <w:left w:val="single" w:sz="4" w:space="0" w:color="auto"/>
                              <w:right w:val="single" w:sz="4" w:space="0" w:color="auto"/>
                            </w:tcBorders>
                          </w:tcPr>
                          <w:p>
                            <w:pPr>
                              <w:jc w:val="center"/>
                              <w:rPr>
                                <w:szCs w:val="22"/>
                              </w:rPr>
                            </w:pPr>
                            <w:r>
                              <w:rPr>
                                <w:szCs w:val="22"/>
                              </w:rPr>
                              <w:t>1.</w:t>
                            </w:r>
                          </w:p>
                        </w:tc>
                        <w:tc>
                          <w:tcPr>
                            <w:tcW w:w="1836" w:type="pct"/>
                            <w:tcBorders>
                              <w:top w:val="single" w:sz="4" w:space="0" w:color="auto"/>
                              <w:left w:val="single" w:sz="4" w:space="0" w:color="auto"/>
                              <w:bottom w:val="single" w:sz="4" w:space="0" w:color="auto"/>
                              <w:right w:val="single" w:sz="4" w:space="0" w:color="auto"/>
                            </w:tcBorders>
                            <w:vAlign w:val="center"/>
                            <w:hideMark/>
                          </w:tcPr>
                          <w:p>
                            <w:pPr>
                              <w:jc w:val="both"/>
                              <w:rPr>
                                <w:szCs w:val="22"/>
                                <w:vertAlign w:val="superscript"/>
                              </w:rPr>
                            </w:pPr>
                            <w:r>
                              <w:rPr>
                                <w:szCs w:val="22"/>
                              </w:rPr>
                              <w:t xml:space="preserve">Stogai </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r</w:t>
                            </w:r>
                          </w:p>
                        </w:tc>
                        <w:tc>
                          <w:tcPr>
                            <w:tcW w:w="811"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w:t>
                            </w:r>
                          </w:p>
                        </w:tc>
                        <w:tc>
                          <w:tcPr>
                            <w:tcW w:w="736"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0,11·</w:t>
                              <w:sym w:font="Symbol" w:char="F06B"/>
                            </w:r>
                            <w:r>
                              <w:rPr>
                                <w:szCs w:val="24"/>
                                <w:vertAlign w:val="subscript"/>
                              </w:rPr>
                              <w:t>1</w:t>
                            </w:r>
                            <w:r>
                              <w:rPr>
                                <w:szCs w:val="24"/>
                                <w:vertAlign w:val="superscript"/>
                              </w:rPr>
                              <w:t>5)</w:t>
                            </w:r>
                          </w:p>
                        </w:tc>
                        <w:tc>
                          <w:tcPr>
                            <w:tcW w:w="73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0,15</w:t>
                              <w:sym w:font="Symbol" w:char="F0D7"/>
                              <w:sym w:font="Symbol" w:char="F06B"/>
                            </w:r>
                            <w:r>
                              <w:rPr>
                                <w:szCs w:val="24"/>
                                <w:vertAlign w:val="subscript"/>
                              </w:rPr>
                              <w:t>1</w:t>
                            </w:r>
                            <w:r>
                              <w:rPr>
                                <w:szCs w:val="24"/>
                                <w:vertAlign w:val="superscript"/>
                              </w:rPr>
                              <w:t>5)</w:t>
                            </w:r>
                          </w:p>
                        </w:tc>
                      </w:tr>
                      <w:tr>
                        <w:trPr>
                          <w:cantSplit/>
                          <w:trHeight w:val="285"/>
                        </w:trPr>
                        <w:tc>
                          <w:tcPr>
                            <w:tcW w:w="294" w:type="pct"/>
                            <w:vMerge/>
                            <w:tcBorders>
                              <w:left w:val="single" w:sz="4" w:space="0" w:color="auto"/>
                              <w:bottom w:val="single" w:sz="4" w:space="0" w:color="auto"/>
                              <w:right w:val="single" w:sz="4" w:space="0" w:color="auto"/>
                            </w:tcBorders>
                          </w:tcPr>
                          <w:p>
                            <w:pPr>
                              <w:jc w:val="center"/>
                              <w:rPr>
                                <w:szCs w:val="22"/>
                              </w:rPr>
                            </w:pPr>
                          </w:p>
                        </w:tc>
                        <w:tc>
                          <w:tcPr>
                            <w:tcW w:w="1836" w:type="pct"/>
                            <w:tcBorders>
                              <w:top w:val="single" w:sz="4" w:space="0" w:color="auto"/>
                              <w:left w:val="single" w:sz="4" w:space="0" w:color="auto"/>
                              <w:bottom w:val="single" w:sz="4" w:space="0" w:color="auto"/>
                              <w:right w:val="single" w:sz="4" w:space="0" w:color="auto"/>
                            </w:tcBorders>
                            <w:vAlign w:val="center"/>
                            <w:hideMark/>
                          </w:tcPr>
                          <w:p>
                            <w:pPr>
                              <w:jc w:val="both"/>
                              <w:rPr>
                                <w:szCs w:val="22"/>
                                <w:vertAlign w:val="superscript"/>
                              </w:rPr>
                            </w:pPr>
                            <w:r>
                              <w:rPr>
                                <w:szCs w:val="22"/>
                              </w:rPr>
                              <w:t>Perdangos</w:t>
                            </w:r>
                            <w:r>
                              <w:rPr>
                                <w:szCs w:val="22"/>
                                <w:vertAlign w:val="superscript"/>
                              </w:rPr>
                              <w:t>6)</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ce</w:t>
                            </w:r>
                          </w:p>
                        </w:tc>
                        <w:tc>
                          <w:tcPr>
                            <w:tcW w:w="811"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736"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r>
                      <w:tr>
                        <w:trPr>
                          <w:cantSplit/>
                          <w:trHeight w:val="525"/>
                        </w:trPr>
                        <w:tc>
                          <w:tcPr>
                            <w:tcW w:w="294" w:type="pct"/>
                            <w:vMerge w:val="restart"/>
                            <w:tcBorders>
                              <w:top w:val="single" w:sz="4" w:space="0" w:color="auto"/>
                              <w:left w:val="single" w:sz="4" w:space="0" w:color="auto"/>
                              <w:right w:val="single" w:sz="4" w:space="0" w:color="auto"/>
                            </w:tcBorders>
                          </w:tcPr>
                          <w:p>
                            <w:pPr>
                              <w:jc w:val="center"/>
                              <w:rPr>
                                <w:szCs w:val="22"/>
                              </w:rPr>
                            </w:pPr>
                            <w:r>
                              <w:rPr>
                                <w:szCs w:val="22"/>
                              </w:rPr>
                              <w:t>2.</w:t>
                            </w:r>
                          </w:p>
                        </w:tc>
                        <w:tc>
                          <w:tcPr>
                            <w:tcW w:w="1836" w:type="pct"/>
                            <w:tcBorders>
                              <w:top w:val="single" w:sz="4" w:space="0" w:color="auto"/>
                              <w:left w:val="single" w:sz="4" w:space="0" w:color="auto"/>
                              <w:bottom w:val="single" w:sz="4" w:space="0" w:color="auto"/>
                              <w:right w:val="single" w:sz="4" w:space="0" w:color="auto"/>
                            </w:tcBorders>
                            <w:vAlign w:val="center"/>
                            <w:hideMark/>
                          </w:tcPr>
                          <w:p>
                            <w:pPr>
                              <w:jc w:val="both"/>
                              <w:rPr>
                                <w:b/>
                                <w:szCs w:val="22"/>
                                <w:vertAlign w:val="superscript"/>
                              </w:rPr>
                            </w:pPr>
                            <w:r>
                              <w:rPr>
                                <w:szCs w:val="22"/>
                              </w:rPr>
                              <w:t>Šildomų patalpų atitvaros, kurios ribojasi su gruntu</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fg</w:t>
                            </w:r>
                          </w:p>
                        </w:tc>
                        <w:tc>
                          <w:tcPr>
                            <w:tcW w:w="811"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0,12</w:t>
                            </w:r>
                          </w:p>
                        </w:tc>
                        <w:tc>
                          <w:tcPr>
                            <w:tcW w:w="736"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0,14·</w:t>
                              <w:sym w:font="Symbol" w:char="F06B"/>
                            </w:r>
                            <w:r>
                              <w:rPr>
                                <w:szCs w:val="24"/>
                                <w:vertAlign w:val="subscript"/>
                              </w:rPr>
                              <w:t>1</w:t>
                            </w:r>
                            <w:r>
                              <w:rPr>
                                <w:szCs w:val="24"/>
                                <w:vertAlign w:val="superscript"/>
                              </w:rPr>
                              <w:t>5)</w:t>
                            </w:r>
                          </w:p>
                        </w:tc>
                        <w:tc>
                          <w:tcPr>
                            <w:tcW w:w="735" w:type="pct"/>
                            <w:vMerge w:val="restar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0,18</w:t>
                              <w:sym w:font="Symbol" w:char="F0D7"/>
                              <w:sym w:font="Symbol" w:char="F06B"/>
                            </w:r>
                            <w:r>
                              <w:rPr>
                                <w:szCs w:val="24"/>
                                <w:vertAlign w:val="subscript"/>
                              </w:rPr>
                              <w:t>1</w:t>
                            </w:r>
                            <w:r>
                              <w:rPr>
                                <w:szCs w:val="24"/>
                                <w:vertAlign w:val="superscript"/>
                              </w:rPr>
                              <w:t>5)</w:t>
                            </w:r>
                          </w:p>
                        </w:tc>
                      </w:tr>
                      <w:tr>
                        <w:trPr>
                          <w:cantSplit/>
                          <w:trHeight w:val="570"/>
                        </w:trPr>
                        <w:tc>
                          <w:tcPr>
                            <w:tcW w:w="294" w:type="pct"/>
                            <w:vMerge/>
                            <w:tcBorders>
                              <w:left w:val="single" w:sz="4" w:space="0" w:color="auto"/>
                              <w:bottom w:val="single" w:sz="4" w:space="0" w:color="auto"/>
                              <w:right w:val="single" w:sz="4" w:space="0" w:color="auto"/>
                            </w:tcBorders>
                          </w:tcPr>
                          <w:p>
                            <w:pPr>
                              <w:jc w:val="center"/>
                              <w:rPr>
                                <w:szCs w:val="22"/>
                              </w:rPr>
                            </w:pPr>
                          </w:p>
                        </w:tc>
                        <w:tc>
                          <w:tcPr>
                            <w:tcW w:w="1836" w:type="pct"/>
                            <w:tcBorders>
                              <w:top w:val="single" w:sz="4" w:space="0" w:color="auto"/>
                              <w:left w:val="single" w:sz="4" w:space="0" w:color="auto"/>
                              <w:bottom w:val="single" w:sz="4" w:space="0" w:color="auto"/>
                              <w:right w:val="single" w:sz="4" w:space="0" w:color="auto"/>
                            </w:tcBorders>
                            <w:vAlign w:val="center"/>
                            <w:hideMark/>
                          </w:tcPr>
                          <w:p>
                            <w:pPr>
                              <w:jc w:val="both"/>
                              <w:rPr>
                                <w:szCs w:val="22"/>
                              </w:rPr>
                            </w:pPr>
                            <w:r>
                              <w:rPr>
                                <w:szCs w:val="22"/>
                              </w:rPr>
                              <w:t xml:space="preserve">Perdangos virš nešildomų rūsių ir pogrindžių </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cc</w:t>
                            </w:r>
                          </w:p>
                        </w:tc>
                        <w:tc>
                          <w:tcPr>
                            <w:tcW w:w="811"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736"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rPr>
                                <w:szCs w:val="22"/>
                              </w:rPr>
                            </w:pPr>
                          </w:p>
                        </w:tc>
                      </w:tr>
                      <w:tr>
                        <w:trPr>
                          <w:trHeight w:val="223"/>
                        </w:trPr>
                        <w:tc>
                          <w:tcPr>
                            <w:tcW w:w="294" w:type="pct"/>
                            <w:tcBorders>
                              <w:top w:val="single" w:sz="4" w:space="0" w:color="auto"/>
                              <w:left w:val="single" w:sz="4" w:space="0" w:color="auto"/>
                              <w:bottom w:val="single" w:sz="4" w:space="0" w:color="auto"/>
                              <w:right w:val="single" w:sz="4" w:space="0" w:color="auto"/>
                            </w:tcBorders>
                          </w:tcPr>
                          <w:p>
                            <w:pPr>
                              <w:jc w:val="center"/>
                              <w:rPr>
                                <w:szCs w:val="22"/>
                              </w:rPr>
                            </w:pPr>
                            <w:r>
                              <w:rPr>
                                <w:szCs w:val="22"/>
                              </w:rPr>
                              <w:t>3.</w:t>
                            </w:r>
                          </w:p>
                        </w:tc>
                        <w:tc>
                          <w:tcPr>
                            <w:tcW w:w="1836" w:type="pct"/>
                            <w:tcBorders>
                              <w:top w:val="single" w:sz="4" w:space="0" w:color="auto"/>
                              <w:left w:val="single" w:sz="4" w:space="0" w:color="auto"/>
                              <w:bottom w:val="single" w:sz="4" w:space="0" w:color="auto"/>
                              <w:right w:val="single" w:sz="4" w:space="0" w:color="auto"/>
                            </w:tcBorders>
                            <w:vAlign w:val="center"/>
                            <w:hideMark/>
                          </w:tcPr>
                          <w:p>
                            <w:pPr>
                              <w:jc w:val="both"/>
                              <w:rPr>
                                <w:szCs w:val="22"/>
                                <w:vertAlign w:val="superscript"/>
                              </w:rPr>
                            </w:pPr>
                            <w:r>
                              <w:rPr>
                                <w:szCs w:val="22"/>
                              </w:rPr>
                              <w:t>Sienos</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w</w:t>
                            </w:r>
                          </w:p>
                        </w:tc>
                        <w:tc>
                          <w:tcPr>
                            <w:tcW w:w="811"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0,11</w:t>
                            </w:r>
                          </w:p>
                        </w:tc>
                        <w:tc>
                          <w:tcPr>
                            <w:tcW w:w="73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0,12·</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0,17</w:t>
                              <w:sym w:font="Symbol" w:char="F0D7"/>
                              <w:sym w:font="Symbol" w:char="F06B"/>
                            </w:r>
                            <w:r>
                              <w:rPr>
                                <w:szCs w:val="24"/>
                                <w:vertAlign w:val="subscript"/>
                              </w:rPr>
                              <w:t>1</w:t>
                            </w:r>
                            <w:r>
                              <w:rPr>
                                <w:szCs w:val="24"/>
                                <w:vertAlign w:val="superscript"/>
                              </w:rPr>
                              <w:t>5)</w:t>
                            </w:r>
                          </w:p>
                        </w:tc>
                      </w:tr>
                      <w:tr>
                        <w:trPr>
                          <w:trHeight w:val="160"/>
                        </w:trPr>
                        <w:tc>
                          <w:tcPr>
                            <w:tcW w:w="294" w:type="pct"/>
                            <w:tcBorders>
                              <w:top w:val="single" w:sz="4" w:space="0" w:color="auto"/>
                              <w:left w:val="single" w:sz="4" w:space="0" w:color="auto"/>
                              <w:bottom w:val="single" w:sz="4" w:space="0" w:color="auto"/>
                              <w:right w:val="single" w:sz="4" w:space="0" w:color="auto"/>
                            </w:tcBorders>
                          </w:tcPr>
                          <w:p>
                            <w:pPr>
                              <w:jc w:val="center"/>
                              <w:rPr>
                                <w:szCs w:val="22"/>
                              </w:rPr>
                            </w:pPr>
                            <w:r>
                              <w:rPr>
                                <w:szCs w:val="22"/>
                              </w:rPr>
                              <w:t>4.</w:t>
                            </w:r>
                          </w:p>
                        </w:tc>
                        <w:tc>
                          <w:tcPr>
                            <w:tcW w:w="1836" w:type="pct"/>
                            <w:tcBorders>
                              <w:top w:val="single" w:sz="4" w:space="0" w:color="auto"/>
                              <w:left w:val="single" w:sz="4" w:space="0" w:color="auto"/>
                              <w:bottom w:val="single" w:sz="4" w:space="0" w:color="auto"/>
                              <w:right w:val="single" w:sz="4" w:space="0" w:color="auto"/>
                            </w:tcBorders>
                            <w:hideMark/>
                          </w:tcPr>
                          <w:p>
                            <w:pPr>
                              <w:jc w:val="both"/>
                              <w:rPr>
                                <w:b/>
                                <w:szCs w:val="22"/>
                                <w:vertAlign w:val="superscript"/>
                              </w:rPr>
                            </w:pPr>
                            <w:r>
                              <w:rPr>
                                <w:szCs w:val="22"/>
                              </w:rPr>
                              <w:t>Langai, stoglangiai, švieslangiai ir kitos skaidrios atitvaros</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wda</w:t>
                            </w:r>
                          </w:p>
                        </w:tc>
                        <w:tc>
                          <w:tcPr>
                            <w:tcW w:w="811"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0,8</w:t>
                            </w:r>
                          </w:p>
                        </w:tc>
                        <w:tc>
                          <w:tcPr>
                            <w:tcW w:w="73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0,9·</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w:t>
                              <w:sym w:font="Symbol" w:char="F0D7"/>
                              <w:sym w:font="Symbol" w:char="F06B"/>
                            </w:r>
                            <w:r>
                              <w:rPr>
                                <w:szCs w:val="24"/>
                                <w:vertAlign w:val="subscript"/>
                              </w:rPr>
                              <w:t>1</w:t>
                            </w:r>
                            <w:r>
                              <w:rPr>
                                <w:szCs w:val="24"/>
                                <w:vertAlign w:val="superscript"/>
                              </w:rPr>
                              <w:t>5)</w:t>
                            </w:r>
                          </w:p>
                        </w:tc>
                      </w:tr>
                      <w:tr>
                        <w:tc>
                          <w:tcPr>
                            <w:tcW w:w="294" w:type="pct"/>
                            <w:tcBorders>
                              <w:top w:val="single" w:sz="4" w:space="0" w:color="auto"/>
                              <w:left w:val="single" w:sz="4" w:space="0" w:color="auto"/>
                              <w:bottom w:val="single" w:sz="4" w:space="0" w:color="auto"/>
                              <w:right w:val="single" w:sz="4" w:space="0" w:color="auto"/>
                            </w:tcBorders>
                          </w:tcPr>
                          <w:p>
                            <w:pPr>
                              <w:jc w:val="center"/>
                              <w:rPr>
                                <w:szCs w:val="22"/>
                              </w:rPr>
                            </w:pPr>
                            <w:r>
                              <w:rPr>
                                <w:szCs w:val="22"/>
                              </w:rPr>
                              <w:t>5.</w:t>
                            </w:r>
                          </w:p>
                        </w:tc>
                        <w:tc>
                          <w:tcPr>
                            <w:tcW w:w="1836" w:type="pct"/>
                            <w:tcBorders>
                              <w:top w:val="single" w:sz="4" w:space="0" w:color="auto"/>
                              <w:left w:val="single" w:sz="4" w:space="0" w:color="auto"/>
                              <w:bottom w:val="single" w:sz="4" w:space="0" w:color="auto"/>
                              <w:right w:val="single" w:sz="4" w:space="0" w:color="auto"/>
                            </w:tcBorders>
                            <w:hideMark/>
                          </w:tcPr>
                          <w:p>
                            <w:pPr>
                              <w:jc w:val="both"/>
                              <w:rPr>
                                <w:b/>
                                <w:szCs w:val="22"/>
                                <w:vertAlign w:val="superscript"/>
                              </w:rPr>
                            </w:pPr>
                            <w:r>
                              <w:rPr>
                                <w:szCs w:val="22"/>
                              </w:rPr>
                              <w:t>Durys, vartai</w:t>
                            </w:r>
                          </w:p>
                        </w:tc>
                        <w:tc>
                          <w:tcPr>
                            <w:tcW w:w="58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d</w:t>
                            </w:r>
                          </w:p>
                        </w:tc>
                        <w:tc>
                          <w:tcPr>
                            <w:tcW w:w="811"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1,2</w:t>
                            </w:r>
                          </w:p>
                        </w:tc>
                        <w:tc>
                          <w:tcPr>
                            <w:tcW w:w="736"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vertAlign w:val="superscript"/>
                              </w:rPr>
                            </w:pPr>
                            <w:r>
                              <w:rPr>
                                <w:szCs w:val="24"/>
                              </w:rPr>
                              <w:t>1,4·</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szCs w:val="24"/>
                              </w:rPr>
                            </w:pPr>
                            <w:r>
                              <w:rPr>
                                <w:szCs w:val="24"/>
                              </w:rPr>
                              <w:t>1,7</w:t>
                              <w:sym w:font="Symbol" w:char="F0D7"/>
                              <w:sym w:font="Symbol" w:char="F06B"/>
                            </w:r>
                            <w:r>
                              <w:rPr>
                                <w:szCs w:val="24"/>
                                <w:vertAlign w:val="subscript"/>
                              </w:rPr>
                              <w:t>1</w:t>
                            </w:r>
                            <w:r>
                              <w:rPr>
                                <w:szCs w:val="24"/>
                                <w:vertAlign w:val="superscript"/>
                              </w:rPr>
                              <w:t>5)</w:t>
                            </w:r>
                          </w:p>
                        </w:tc>
                      </w:tr>
                    </w:tbl>
                    <w:p>
                      <w:pPr>
                        <w:ind w:firstLine="993"/>
                        <w:rPr>
                          <w:strike/>
                          <w:szCs w:val="22"/>
                          <w:lang w:eastAsia="lt-LT"/>
                        </w:rPr>
                      </w:pPr>
                      <w:r>
                        <w:rPr>
                          <w:szCs w:val="22"/>
                          <w:vertAlign w:val="superscript"/>
                        </w:rPr>
                        <w:t>1)</w:t>
                      </w:r>
                      <w:r>
                        <w:rPr>
                          <w:szCs w:val="22"/>
                        </w:rPr>
                        <w:t xml:space="preserve">, </w:t>
                      </w:r>
                      <w:r>
                        <w:rPr>
                          <w:szCs w:val="22"/>
                          <w:vertAlign w:val="superscript"/>
                        </w:rPr>
                        <w:t>2)</w:t>
                      </w:r>
                      <w:r>
                        <w:rPr>
                          <w:szCs w:val="22"/>
                        </w:rPr>
                        <w:t xml:space="preserve"> ,</w:t>
                      </w:r>
                      <w:r>
                        <w:rPr>
                          <w:szCs w:val="22"/>
                          <w:vertAlign w:val="superscript"/>
                        </w:rPr>
                        <w:t xml:space="preserve"> 5)</w:t>
                      </w:r>
                      <w:r>
                        <w:rPr>
                          <w:szCs w:val="22"/>
                        </w:rPr>
                        <w:t xml:space="preserve"> ,</w:t>
                      </w:r>
                      <w:r>
                        <w:rPr>
                          <w:szCs w:val="22"/>
                          <w:vertAlign w:val="superscript"/>
                        </w:rPr>
                        <w:t xml:space="preserve"> 6) </w:t>
                      </w:r>
                      <w:r>
                        <w:rPr>
                          <w:szCs w:val="22"/>
                        </w:rPr>
                        <w:t>žr. 3 lentelės 7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lentele"/>
                    <w:tag w:val="part_b983266bf2a84457a2edcd6fee511aee"/>
                    <w:lock w:val="sdtLocked"/>
                    <w:richText/>
                  </w:sdtPr>
                  <w:sdtContent>
                    <w:p>
                      <w:pPr>
                        <w:jc w:val="center"/>
                        <w:rPr>
                          <w:b/>
                          <w:szCs w:val="24"/>
                          <w:lang w:eastAsia="lt-LT"/>
                        </w:rPr>
                      </w:pPr>
                      <w:sdt>
                        <w:sdtPr>
                          <w:alias w:val="Pavadinimas"/>
                          <w:tag w:val="title_b983266bf2a84457a2edcd6fee511aee"/>
                          <w:lock w:val="sdtLocked"/>
                          <w:richText/>
                        </w:sdtPr>
                        <w:sdtContent>
                          <w:r>
                            <w:rPr>
                              <w:b/>
                              <w:bCs/>
                              <w:szCs w:val="24"/>
                              <w:lang w:eastAsia="lt-LT"/>
                            </w:rPr>
                            <w:t>Ilginių šilumos tiltelių šilumos perdavimo koeficientų vertės pastatų</w:t>
                          </w:r>
                          <w:r>
                            <w:rPr>
                              <w:b/>
                              <w:szCs w:val="24"/>
                              <w:lang w:eastAsia="lt-LT"/>
                            </w:rPr>
                            <w:t xml:space="preserve"> (jų dalių)</w:t>
                          </w:r>
                          <w:r>
                            <w:rPr>
                              <w:b/>
                              <w:bCs/>
                              <w:szCs w:val="24"/>
                              <w:lang w:eastAsia="lt-LT"/>
                            </w:rPr>
                            <w:t xml:space="preserve"> atitvarų norminių savitųjų šilumos nuostolių </w:t>
                          </w:r>
                          <w:r>
                            <w:rPr>
                              <w:b/>
                              <w:szCs w:val="24"/>
                              <w:lang w:eastAsia="lt-LT"/>
                            </w:rPr>
                            <w:t>ir energinio naudingumo rodiklių skaičiavimui</w:t>
                          </w:r>
                        </w:sdtContent>
                      </w:sdt>
                    </w:p>
                    <w:p>
                      <w:pPr>
                        <w:ind w:firstLine="567"/>
                        <w:jc w:val="right"/>
                        <w:rPr>
                          <w:szCs w:val="24"/>
                          <w:lang w:eastAsia="lt-LT"/>
                        </w:rPr>
                      </w:pPr>
                      <w:r>
                        <w:rPr>
                          <w:szCs w:val="24"/>
                          <w:lang w:eastAsia="lt-LT"/>
                        </w:rPr>
                        <w:t>7 lentelė</w:t>
                      </w:r>
                    </w:p>
                    <w:tbl>
                      <w:tblPr>
                        <w:tblW w:w="5000" w:type="pct"/>
                        <w:tblLook w:val="04A0" w:firstRow="1" w:lastRow="0" w:firstColumn="1" w:lastColumn="0" w:noHBand="0" w:noVBand="1"/>
                      </w:tblPr>
                      <w:tblGrid>
                        <w:gridCol w:w="903"/>
                        <w:gridCol w:w="3769"/>
                        <w:gridCol w:w="1308"/>
                        <w:gridCol w:w="1343"/>
                        <w:gridCol w:w="1203"/>
                        <w:gridCol w:w="1188"/>
                      </w:tblGrid>
                      <w:tr>
                        <w:trPr>
                          <w:trHeight w:val="63"/>
                        </w:trPr>
                        <w:tc>
                          <w:tcPr>
                            <w:tcW w:w="430" w:type="pct"/>
                            <w:vMerge w:val="restart"/>
                            <w:tcBorders>
                              <w:top w:val="single" w:sz="4" w:space="0" w:color="auto"/>
                              <w:left w:val="single" w:sz="4" w:space="0" w:color="auto"/>
                              <w:bottom w:val="single" w:sz="4" w:space="0" w:color="auto"/>
                              <w:right w:val="nil"/>
                            </w:tcBorders>
                            <w:vAlign w:val="center"/>
                            <w:hideMark/>
                          </w:tcPr>
                          <w:p>
                            <w:pPr>
                              <w:spacing w:line="276" w:lineRule="auto"/>
                              <w:jc w:val="center"/>
                              <w:rPr>
                                <w:rFonts w:eastAsia="Calibri"/>
                                <w:szCs w:val="22"/>
                              </w:rPr>
                            </w:pPr>
                            <w:r>
                              <w:rPr>
                                <w:rFonts w:eastAsia="Calibri"/>
                                <w:szCs w:val="22"/>
                              </w:rPr>
                              <w:t>Eil. Nr.</w:t>
                            </w:r>
                          </w:p>
                        </w:tc>
                        <w:tc>
                          <w:tcPr>
                            <w:tcW w:w="2044"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Ilginio šiluminio tiltelio apibūdinimas</w:t>
                            </w:r>
                          </w:p>
                        </w:tc>
                        <w:tc>
                          <w:tcPr>
                            <w:tcW w:w="658"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Tiltelį žymintis poraidis</w:t>
                            </w:r>
                          </w:p>
                        </w:tc>
                        <w:tc>
                          <w:tcPr>
                            <w:tcW w:w="678" w:type="pct"/>
                            <w:vMerge w:val="restar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Gyvenamieji pastatai</w:t>
                            </w:r>
                          </w:p>
                        </w:tc>
                        <w:tc>
                          <w:tcPr>
                            <w:tcW w:w="1190"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Negyvenamieji pastatai</w:t>
                            </w:r>
                          </w:p>
                        </w:tc>
                      </w:tr>
                      <w:tr>
                        <w:trPr>
                          <w:trHeight w:val="208"/>
                        </w:trPr>
                        <w:tc>
                          <w:tcPr>
                            <w:tcW w:w="430" w:type="pct"/>
                            <w:vMerge/>
                            <w:tcBorders>
                              <w:top w:val="single" w:sz="4" w:space="0" w:color="auto"/>
                              <w:left w:val="single" w:sz="4" w:space="0" w:color="auto"/>
                              <w:bottom w:val="single" w:sz="4" w:space="0" w:color="auto"/>
                              <w:right w:val="nil"/>
                            </w:tcBorders>
                            <w:vAlign w:val="center"/>
                            <w:hideMark/>
                          </w:tcPr>
                          <w:p>
                            <w:pPr>
                              <w:rPr>
                                <w:rFonts w:eastAsia="Calibri"/>
                                <w:szCs w:val="22"/>
                              </w:rPr>
                            </w:pPr>
                          </w:p>
                        </w:tc>
                        <w:tc>
                          <w:tcPr>
                            <w:tcW w:w="2044"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65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678" w:type="pct"/>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59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Viešosios paskirties</w:t>
                            </w:r>
                          </w:p>
                          <w:p>
                            <w:pPr>
                              <w:jc w:val="center"/>
                              <w:rPr>
                                <w:szCs w:val="22"/>
                                <w:vertAlign w:val="superscript"/>
                              </w:rPr>
                            </w:pPr>
                            <w:r>
                              <w:rPr>
                                <w:szCs w:val="22"/>
                              </w:rPr>
                              <w:t>pastatai</w:t>
                            </w:r>
                            <w:r>
                              <w:rPr>
                                <w:szCs w:val="22"/>
                                <w:vertAlign w:val="superscript"/>
                              </w:rPr>
                              <w:t>1)</w:t>
                            </w:r>
                          </w:p>
                        </w:tc>
                        <w:tc>
                          <w:tcPr>
                            <w:tcW w:w="591" w:type="pct"/>
                            <w:tcBorders>
                              <w:top w:val="single" w:sz="4" w:space="0" w:color="auto"/>
                              <w:left w:val="single" w:sz="4" w:space="0" w:color="auto"/>
                              <w:bottom w:val="single" w:sz="4" w:space="0" w:color="auto"/>
                              <w:right w:val="single" w:sz="4" w:space="0" w:color="auto"/>
                            </w:tcBorders>
                            <w:vAlign w:val="center"/>
                            <w:hideMark/>
                          </w:tcPr>
                          <w:p>
                            <w:pPr>
                              <w:jc w:val="center"/>
                              <w:rPr>
                                <w:szCs w:val="22"/>
                                <w:vertAlign w:val="superscript"/>
                              </w:rPr>
                            </w:pPr>
                            <w:r>
                              <w:rPr>
                                <w:szCs w:val="22"/>
                              </w:rPr>
                              <w:t>Pramonės pastatai</w:t>
                            </w:r>
                            <w:r>
                              <w:rPr>
                                <w:szCs w:val="22"/>
                                <w:vertAlign w:val="superscript"/>
                              </w:rPr>
                              <w:t>2)</w:t>
                            </w:r>
                          </w:p>
                        </w:tc>
                      </w:tr>
                      <w:tr>
                        <w:trPr>
                          <w:trHeight w:val="264"/>
                        </w:trPr>
                        <w:tc>
                          <w:tcPr>
                            <w:tcW w:w="5000" w:type="pct"/>
                            <w:gridSpan w:val="6"/>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b/>
                                <w:bCs/>
                                <w:szCs w:val="22"/>
                              </w:rPr>
                            </w:pPr>
                            <w:r>
                              <w:rPr>
                                <w:rFonts w:eastAsia="Calibri"/>
                                <w:b/>
                                <w:bCs/>
                                <w:szCs w:val="22"/>
                              </w:rPr>
                              <w:t xml:space="preserve">Ilginių šilumos tiltelių šilumos perdavimo koeficientų </w:t>
                            </w:r>
                            <w:r>
                              <w:rPr>
                                <w:rFonts w:eastAsia="Calibri"/>
                                <w:i/>
                                <w:szCs w:val="22"/>
                              </w:rPr>
                              <w:sym w:font="Symbol" w:char="F059"/>
                            </w:r>
                            <w:r>
                              <w:rPr>
                                <w:rFonts w:eastAsia="Calibri"/>
                                <w:i/>
                                <w:szCs w:val="22"/>
                                <w:vertAlign w:val="subscript"/>
                              </w:rPr>
                              <w:t>(C,B)</w:t>
                            </w:r>
                            <w:r>
                              <w:rPr>
                                <w:rFonts w:eastAsia="Calibri"/>
                                <w:szCs w:val="22"/>
                              </w:rPr>
                              <w:t xml:space="preserve"> </w:t>
                            </w:r>
                            <w:r>
                              <w:rPr>
                                <w:rFonts w:eastAsia="Calibri"/>
                                <w:b/>
                                <w:bCs/>
                                <w:szCs w:val="22"/>
                              </w:rPr>
                              <w:t>(W/(m</w:t>
                            </w:r>
                            <w:r>
                              <w:rPr>
                                <w:rFonts w:eastAsia="Calibri"/>
                                <w:b/>
                                <w:bCs/>
                                <w:szCs w:val="22"/>
                                <w:vertAlign w:val="superscript"/>
                              </w:rPr>
                              <w:t>.</w:t>
                            </w:r>
                            <w:r>
                              <w:rPr>
                                <w:rFonts w:eastAsia="Calibri"/>
                                <w:b/>
                                <w:bCs/>
                                <w:szCs w:val="22"/>
                              </w:rPr>
                              <w:t>K)) vertės C ir B energinio</w:t>
                            </w:r>
                          </w:p>
                          <w:p>
                            <w:pPr>
                              <w:spacing w:line="276" w:lineRule="auto"/>
                              <w:jc w:val="center"/>
                              <w:rPr>
                                <w:rFonts w:eastAsia="Calibri"/>
                                <w:b/>
                                <w:bCs/>
                                <w:szCs w:val="22"/>
                              </w:rPr>
                            </w:pPr>
                            <w:r>
                              <w:rPr>
                                <w:rFonts w:eastAsia="Calibri"/>
                                <w:b/>
                                <w:bCs/>
                                <w:szCs w:val="22"/>
                              </w:rPr>
                              <w:t>naudingumo klasės pastatų</w:t>
                            </w:r>
                            <w:r>
                              <w:rPr>
                                <w:rFonts w:eastAsia="Calibri"/>
                                <w:b/>
                                <w:szCs w:val="22"/>
                              </w:rPr>
                              <w:t xml:space="preserve"> (jų dalių)</w:t>
                            </w:r>
                            <w:r>
                              <w:rPr>
                                <w:rFonts w:eastAsia="Calibri"/>
                                <w:b/>
                                <w:bCs/>
                                <w:szCs w:val="22"/>
                              </w:rPr>
                              <w:t xml:space="preserve"> atitvarų norminių savitųjų šilumos nuostolių skaičiavimui</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pastato pamatų ir išorinių sienų</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f-w</w:t>
                            </w:r>
                          </w:p>
                        </w:tc>
                        <w:tc>
                          <w:tcPr>
                            <w:tcW w:w="678" w:type="pct"/>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szCs w:val="22"/>
                              </w:rPr>
                            </w:pPr>
                            <w:r>
                              <w:rPr>
                                <w:rFonts w:eastAsia="Calibri"/>
                                <w:szCs w:val="22"/>
                              </w:rPr>
                              <w:t>0,18</w:t>
                            </w:r>
                          </w:p>
                          <w:p>
                            <w:pPr>
                              <w:spacing w:line="276" w:lineRule="auto"/>
                              <w:jc w:val="center"/>
                              <w:rPr>
                                <w:rFonts w:eastAsia="Calibri"/>
                                <w:szCs w:val="22"/>
                              </w:rPr>
                            </w:pPr>
                          </w:p>
                        </w:tc>
                        <w:tc>
                          <w:tcPr>
                            <w:tcW w:w="599" w:type="pct"/>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szCs w:val="22"/>
                              </w:rPr>
                            </w:pPr>
                            <w:r>
                              <w:rPr>
                                <w:rFonts w:eastAsia="Calibri"/>
                                <w:szCs w:val="22"/>
                              </w:rPr>
                              <w:t>0,2</w:t>
                            </w:r>
                          </w:p>
                          <w:p>
                            <w:pPr>
                              <w:spacing w:line="276" w:lineRule="auto"/>
                              <w:jc w:val="center"/>
                              <w:rPr>
                                <w:rFonts w:eastAsia="Calibri"/>
                                <w:szCs w:val="22"/>
                              </w:rPr>
                            </w:pPr>
                          </w:p>
                        </w:tc>
                        <w:tc>
                          <w:tcPr>
                            <w:tcW w:w="591" w:type="pct"/>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szCs w:val="22"/>
                              </w:rPr>
                            </w:pPr>
                            <w:r>
                              <w:rPr>
                                <w:rFonts w:eastAsia="Calibri"/>
                                <w:szCs w:val="22"/>
                              </w:rPr>
                              <w:t>0,25</w:t>
                            </w:r>
                          </w:p>
                          <w:p>
                            <w:pPr>
                              <w:spacing w:line="276" w:lineRule="auto"/>
                              <w:jc w:val="cente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2.</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Aplink langų angas sienose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wdp</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3.</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Aplink durų angas sienose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dp</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4.</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pastato sienų ir stogo</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w-r</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5.</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Fasadų išoriniuose ir vidiniuose kampuose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c</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6.</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Balkonų grindų susikirtimo vietose su išorinėmis sienomis</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bc-w</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7.</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perdangų, kurios ribojasi su išore, ir sienų</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c-w</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8.</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Stoglangių, švieslangių ir kitų skaidrių atitvarų angų perimetru</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s</w:t>
                            </w:r>
                          </w:p>
                        </w:tc>
                        <w:tc>
                          <w:tcPr>
                            <w:tcW w:w="678"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9"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91" w:type="pct"/>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trHeight w:val="264"/>
                        </w:trPr>
                        <w:tc>
                          <w:tcPr>
                            <w:tcW w:w="5000" w:type="pct"/>
                            <w:gridSpan w:val="6"/>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b/>
                                <w:szCs w:val="22"/>
                              </w:rPr>
                            </w:pPr>
                            <w:r>
                              <w:rPr>
                                <w:rFonts w:eastAsia="Calibri"/>
                                <w:b/>
                                <w:bCs/>
                                <w:szCs w:val="22"/>
                              </w:rPr>
                              <w:t xml:space="preserve">Ilginių šilumos tiltelių šilumos perdavimo koeficientų </w:t>
                            </w:r>
                            <w:r>
                              <w:rPr>
                                <w:rFonts w:eastAsia="Calibri"/>
                                <w:b/>
                                <w:i/>
                                <w:szCs w:val="22"/>
                              </w:rPr>
                              <w:sym w:font="Symbol" w:char="F059"/>
                            </w:r>
                            <w:r>
                              <w:rPr>
                                <w:rFonts w:eastAsia="Calibri"/>
                                <w:b/>
                                <w:i/>
                                <w:szCs w:val="22"/>
                                <w:vertAlign w:val="subscript"/>
                              </w:rPr>
                              <w:t>(A)</w:t>
                            </w:r>
                            <w:r>
                              <w:rPr>
                                <w:rFonts w:eastAsia="Calibri"/>
                                <w:b/>
                                <w:szCs w:val="22"/>
                              </w:rPr>
                              <w:t xml:space="preserve">, </w:t>
                            </w:r>
                            <w:r>
                              <w:rPr>
                                <w:rFonts w:eastAsia="Calibri"/>
                                <w:b/>
                                <w:i/>
                                <w:szCs w:val="22"/>
                              </w:rPr>
                              <w:sym w:font="Symbol" w:char="F059"/>
                            </w:r>
                            <w:r>
                              <w:rPr>
                                <w:rFonts w:eastAsia="Calibri"/>
                                <w:b/>
                                <w:i/>
                                <w:szCs w:val="22"/>
                                <w:vertAlign w:val="subscript"/>
                              </w:rPr>
                              <w:t>(A+)</w:t>
                            </w:r>
                            <w:r>
                              <w:rPr>
                                <w:rFonts w:eastAsia="Calibri"/>
                                <w:b/>
                                <w:szCs w:val="22"/>
                              </w:rPr>
                              <w:t xml:space="preserve">, </w:t>
                            </w:r>
                            <w:r>
                              <w:rPr>
                                <w:rFonts w:eastAsia="Calibri"/>
                                <w:b/>
                                <w:i/>
                                <w:szCs w:val="22"/>
                              </w:rPr>
                              <w:sym w:font="Symbol" w:char="F059"/>
                            </w:r>
                            <w:r>
                              <w:rPr>
                                <w:rFonts w:eastAsia="Calibri"/>
                                <w:b/>
                                <w:i/>
                                <w:szCs w:val="22"/>
                                <w:vertAlign w:val="subscript"/>
                              </w:rPr>
                              <w:t>(A++)</w:t>
                            </w:r>
                            <w:r>
                              <w:rPr>
                                <w:rFonts w:eastAsia="Calibri"/>
                                <w:b/>
                                <w:bCs/>
                                <w:szCs w:val="22"/>
                              </w:rPr>
                              <w:t xml:space="preserve"> (W/(m</w:t>
                            </w:r>
                            <w:r>
                              <w:rPr>
                                <w:rFonts w:eastAsia="Calibri"/>
                                <w:b/>
                                <w:bCs/>
                                <w:szCs w:val="22"/>
                                <w:vertAlign w:val="superscript"/>
                              </w:rPr>
                              <w:t>.</w:t>
                            </w:r>
                            <w:r>
                              <w:rPr>
                                <w:rFonts w:eastAsia="Calibri"/>
                                <w:b/>
                                <w:bCs/>
                                <w:szCs w:val="22"/>
                              </w:rPr>
                              <w:t>K)) vertės A, A+ ir A++ energinio naudingumo klasės pastatų</w:t>
                            </w:r>
                            <w:r>
                              <w:rPr>
                                <w:rFonts w:eastAsia="Calibri"/>
                                <w:b/>
                                <w:szCs w:val="22"/>
                              </w:rPr>
                              <w:t xml:space="preserve"> (jų dalių)</w:t>
                            </w:r>
                            <w:r>
                              <w:rPr>
                                <w:rFonts w:eastAsia="Calibri"/>
                                <w:b/>
                                <w:bCs/>
                                <w:szCs w:val="22"/>
                              </w:rPr>
                              <w:t xml:space="preserve"> atitvarų norminių savitųjų šilumos nuostolių </w:t>
                            </w:r>
                            <w:r>
                              <w:rPr>
                                <w:rFonts w:eastAsia="Calibri"/>
                                <w:b/>
                                <w:szCs w:val="22"/>
                              </w:rPr>
                              <w:t>ir energinio naudingumo rodiklių skaičiavimui</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9.</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pastato pamatų ir išorinių sienų</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 xml:space="preserve">f-w  </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0,1</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0,1</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0,1</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10.</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Aplink langų angas sienose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wdp</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11.</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Aplink išorinių įėjimo durų angas sienose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dp</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12.</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pastato sienų ir stogo</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w-r</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13.</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Fasadų išoriniuose ir vidiniuose kampuose</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c</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14.</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Balkonų grindų susikirtimo vietose su išorinėmis sienomis</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i/>
                                <w:szCs w:val="22"/>
                              </w:rPr>
                              <w:t>bc-w</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0,01</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0,01</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0,01</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15.</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Tarp perdangų, kurios ribojasi su išore, ir sienų</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c-w</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w:t>
                            </w:r>
                          </w:p>
                        </w:tc>
                      </w:tr>
                      <w:tr>
                        <w:trPr>
                          <w:trHeight w:val="264"/>
                        </w:trPr>
                        <w:tc>
                          <w:tcPr>
                            <w:tcW w:w="430" w:type="pct"/>
                            <w:tcBorders>
                              <w:top w:val="single" w:sz="4" w:space="0" w:color="auto"/>
                              <w:left w:val="single" w:sz="4" w:space="0" w:color="auto"/>
                              <w:bottom w:val="single" w:sz="4" w:space="0" w:color="auto"/>
                              <w:right w:val="single" w:sz="4" w:space="0" w:color="auto"/>
                            </w:tcBorders>
                            <w:noWrap/>
                            <w:vAlign w:val="center"/>
                          </w:tcPr>
                          <w:p>
                            <w:pPr>
                              <w:spacing w:line="276" w:lineRule="auto"/>
                              <w:ind w:left="720" w:hanging="360"/>
                              <w:jc w:val="both"/>
                              <w:rPr>
                                <w:rFonts w:eastAsia="Calibri"/>
                                <w:szCs w:val="22"/>
                              </w:rPr>
                            </w:pPr>
                            <w:r>
                              <w:rPr>
                                <w:rFonts w:eastAsia="Calibri"/>
                                <w:szCs w:val="22"/>
                              </w:rPr>
                              <w:t>16.</w:t>
                              <w:tab/>
                            </w:r>
                          </w:p>
                        </w:tc>
                        <w:tc>
                          <w:tcPr>
                            <w:tcW w:w="2044"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rFonts w:eastAsia="Calibri"/>
                                <w:szCs w:val="22"/>
                              </w:rPr>
                              <w:t>Stoglangių, švieslangių ir kitų skaidrių atitvarų angų perimetru</w:t>
                            </w:r>
                          </w:p>
                        </w:tc>
                        <w:tc>
                          <w:tcPr>
                            <w:tcW w:w="658" w:type="pc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s</w:t>
                            </w:r>
                          </w:p>
                        </w:tc>
                        <w:tc>
                          <w:tcPr>
                            <w:tcW w:w="67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c>
                          <w:tcPr>
                            <w:tcW w:w="5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rFonts w:eastAsia="Calibri"/>
                                <w:szCs w:val="22"/>
                              </w:rPr>
                              <w:t>0,05</w:t>
                            </w:r>
                          </w:p>
                        </w:tc>
                      </w:tr>
                    </w:tbl>
                    <w:p>
                      <w:pPr>
                        <w:tabs>
                          <w:tab w:val="num" w:pos="360"/>
                        </w:tabs>
                        <w:jc w:val="both"/>
                        <w:rPr>
                          <w:rFonts w:eastAsia="Calibri"/>
                          <w:szCs w:val="22"/>
                        </w:rPr>
                      </w:pPr>
                    </w:p>
                  </w:sdtContent>
                </w:sdt>
              </w:sdtContent>
            </w:sdt>
            <w:sdt>
              <w:sdtPr>
                <w:alias w:val="33 p."/>
                <w:tag w:val="part_fa9774e657e141288a72a83dbd237344"/>
                <w:lock w:val="sdtLocked"/>
                <w:richText/>
              </w:sdtPr>
              <w:sdtContent>
                <w:p>
                  <w:pPr>
                    <w:tabs>
                      <w:tab w:val="left" w:pos="567"/>
                    </w:tabs>
                    <w:suppressAutoHyphens/>
                    <w:ind w:firstLine="567"/>
                    <w:jc w:val="both"/>
                    <w:rPr>
                      <w:b/>
                      <w:bCs/>
                      <w:iCs/>
                      <w:caps/>
                      <w:spacing w:val="-4"/>
                      <w:szCs w:val="24"/>
                      <w:lang w:eastAsia="lt-LT"/>
                    </w:rPr>
                  </w:pPr>
                  <w:sdt>
                    <w:sdtPr>
                      <w:alias w:val="Numeris"/>
                      <w:tag w:val="nr_fa9774e657e141288a72a83dbd237344"/>
                      <w:lock w:val="sdtLocked"/>
                      <w:richText/>
                    </w:sdtPr>
                    <w:sdtContent>
                      <w:r>
                        <w:rPr>
                          <w:color w:val="000000"/>
                          <w:szCs w:val="24"/>
                          <w:lang w:eastAsia="lt-LT"/>
                        </w:rPr>
                        <w:t>33</w:t>
                      </w:r>
                    </w:sdtContent>
                  </w:sdt>
                  <w:r>
                    <w:rPr>
                      <w:color w:val="000000"/>
                      <w:szCs w:val="24"/>
                      <w:lang w:eastAsia="lt-LT"/>
                    </w:rPr>
                    <w:t>. Naujai projektuojamų pastatų atitvaras ar jos dalis leidžiama projektuoti su blogesnėmis šiluminėmis savybėmis, negu šios savybės reglamentuotos atitinkamos energinio naudingumo klasės pastatų (jų dalių) norminiams savitiesiems šilumos nuostoliams skaičiuoti (žr. 3 ̶ 6 lenteles), užtikrinant atitvarų drėgminę būklę pagal Reglamento XII skyriaus reikalavimus. Siekiant atitinkamos energinio naudingumo klasės pastato (jo dalies) atitvarų projektinių savitųjų šilumos nuostolių atitikties norminiams nuostoliams, kitų pastato (jo dalies) atitvarų šiluminės savybės turi būti pagerintos tiek, kad kompensuotų blogesnių šiluminių savybių atitvarų savitųjų šilumos nuostolių padidėjimą.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e41db9ed0f004ff5a80431e72417e291"/>
            <w:lock w:val="sdtLocked"/>
            <w:richText/>
          </w:sdtPr>
          <w:sdtContent>
            <w:p>
              <w:pPr>
                <w:keepNext/>
                <w:jc w:val="center"/>
                <w:rPr>
                  <w:b/>
                  <w:bCs/>
                  <w:iCs/>
                  <w:caps/>
                  <w:spacing w:val="-4"/>
                  <w:szCs w:val="24"/>
                  <w:lang w:eastAsia="lt-LT"/>
                </w:rPr>
              </w:pPr>
              <w:r>
                <w:rPr>
                  <w:b/>
                  <w:bCs/>
                  <w:iCs/>
                  <w:caps/>
                  <w:spacing w:val="-4"/>
                  <w:szCs w:val="24"/>
                  <w:lang w:eastAsia="lt-LT"/>
                </w:rPr>
                <w:t>IX. skyrius</w:t>
              </w:r>
            </w:p>
            <w:p>
              <w:pPr>
                <w:keepNext/>
                <w:jc w:val="center"/>
                <w:rPr>
                  <w:b/>
                  <w:bCs/>
                  <w:iCs/>
                  <w:caps/>
                  <w:spacing w:val="-4"/>
                  <w:szCs w:val="24"/>
                  <w:lang w:eastAsia="lt-LT"/>
                </w:rPr>
              </w:pPr>
              <w:sdt>
                <w:sdtPr>
                  <w:alias w:val="Pavadinimas"/>
                  <w:tag w:val="title_e41db9ed0f004ff5a80431e72417e291"/>
                  <w:lock w:val="sdtLocked"/>
                  <w:richText/>
                </w:sdtPr>
                <w:sdtContent>
                  <w:r>
                    <w:rPr>
                      <w:b/>
                      <w:bCs/>
                      <w:iCs/>
                      <w:caps/>
                      <w:spacing w:val="-4"/>
                      <w:szCs w:val="24"/>
                      <w:lang w:eastAsia="lt-LT"/>
                    </w:rPr>
                    <w:t>Pastatų (jo dalių) su atskiromis (autonominėmis) šildymo sistemomis arba atskiromis (autonominėmis) energijos vartojimo pastatui (jo daliai) šildyti apskaitomis projektavimo reikalavimai</w:t>
                  </w:r>
                </w:sdtContent>
              </w:sdt>
            </w:p>
            <w:p>
              <w:pPr>
                <w:ind w:firstLine="567"/>
                <w:jc w:val="both"/>
                <w:rPr>
                  <w:rFonts w:eastAsia="Calibri"/>
                  <w:szCs w:val="24"/>
                </w:rPr>
              </w:pPr>
            </w:p>
            <w:sdt>
              <w:sdtPr>
                <w:alias w:val="34 p."/>
                <w:tag w:val="part_dff28a0733c9421ab8b3f7a61983a176"/>
                <w:lock w:val="sdtLocked"/>
                <w:richText/>
              </w:sdtPr>
              <w:sdtContent>
                <w:p>
                  <w:pPr>
                    <w:ind w:firstLine="567"/>
                    <w:jc w:val="both"/>
                    <w:rPr>
                      <w:rFonts w:eastAsia="Calibri"/>
                      <w:color w:val="000000" w:themeColor="text1"/>
                      <w:szCs w:val="24"/>
                    </w:rPr>
                  </w:pPr>
                  <w:sdt>
                    <w:sdtPr>
                      <w:alias w:val="Numeris"/>
                      <w:tag w:val="nr_dff28a0733c9421ab8b3f7a61983a176"/>
                      <w:lock w:val="sdtLocked"/>
                      <w:richText/>
                    </w:sdtPr>
                    <w:sdtContent>
                      <w:r>
                        <w:rPr>
                          <w:rFonts w:eastAsia="Calibri"/>
                          <w:color w:val="000000" w:themeColor="text1"/>
                          <w:szCs w:val="24"/>
                        </w:rPr>
                        <w:t>34</w:t>
                      </w:r>
                    </w:sdtContent>
                  </w:sdt>
                  <w:r>
                    <w:rPr>
                      <w:rFonts w:eastAsia="Calibri"/>
                      <w:color w:val="000000" w:themeColor="text1"/>
                      <w:szCs w:val="24"/>
                    </w:rPr>
                    <w:t xml:space="preserve">. </w:t>
                  </w:r>
                  <w:r>
                    <w:rPr>
                      <w:rFonts w:eastAsia="Calibri"/>
                      <w:color w:val="000000"/>
                      <w:szCs w:val="24"/>
                      <w:lang w:eastAsia="lt-LT"/>
                    </w:rPr>
                    <w:t xml:space="preserve">Naujų pastatų, kurie apibūdinti Reglamento 18–21 punktuose, pertvarų ir tarpaukštinių perdenginių, skiriančių tos pačios paskirties šildomus pastatus (jų dalis) su atskiromis (autonominėmis) šildymo sistemomis arba atskira (autonomine) energijos vartojimo pastatui (jo daliai) šildyti apskaita, vidutinė šilumos perdavimo koeficiento vertė neturi būti didesnė už norminę, nurodytą 9 lentelėje. 9 lentelėje nurodyti reikalavimai netaikomi, jei pastatuose (jų dalyse) su atskiromis šildymo sistemomis arba atskiromis energijos vartojimo pastatui (jo daliai) šildyti apskaitomis šildymo sistemos reguliavimo įtaisai neleidžia pastato šildymo laikotarpiu daugiau kaip 4 </w:t>
                  </w:r>
                  <w:r>
                    <w:rPr>
                      <w:b/>
                      <w:bCs/>
                      <w:color w:val="000000"/>
                      <w:szCs w:val="24"/>
                      <w:shd w:val="clear" w:color="auto" w:fill="FFFFFF"/>
                      <w:lang w:eastAsia="lt-LT"/>
                    </w:rPr>
                    <w:t>°</w:t>
                  </w:r>
                  <w:r>
                    <w:rPr>
                      <w:bCs/>
                      <w:color w:val="000000"/>
                      <w:szCs w:val="24"/>
                      <w:shd w:val="clear" w:color="auto" w:fill="FFFFFF"/>
                      <w:lang w:eastAsia="lt-LT"/>
                    </w:rPr>
                    <w:t>C</w:t>
                  </w:r>
                  <w:r>
                    <w:rPr>
                      <w:rFonts w:eastAsia="Calibri"/>
                      <w:color w:val="000000"/>
                      <w:szCs w:val="24"/>
                      <w:lang w:eastAsia="lt-LT"/>
                    </w:rPr>
                    <w:t xml:space="preserve"> sumažinti patalpų temperatūros lyginant su vidaus temperatūra šildymo sezono metu </w:t>
                  </w:r>
                  <w:r>
                    <w:rPr>
                      <w:rFonts w:eastAsia="Calibri"/>
                      <w:i/>
                      <w:color w:val="000000"/>
                      <w:szCs w:val="24"/>
                      <w:lang w:eastAsia="lt-LT"/>
                    </w:rPr>
                    <w:t>θ</w:t>
                  </w:r>
                  <w:r>
                    <w:rPr>
                      <w:rFonts w:eastAsia="Calibri"/>
                      <w:i/>
                      <w:color w:val="000000"/>
                      <w:szCs w:val="24"/>
                      <w:vertAlign w:val="subscript"/>
                      <w:lang w:eastAsia="lt-LT"/>
                    </w:rPr>
                    <w:t>iH</w:t>
                  </w:r>
                  <w:r>
                    <w:rPr>
                      <w:rFonts w:eastAsia="Calibri"/>
                      <w:color w:val="000000"/>
                      <w:szCs w:val="24"/>
                      <w:lang w:eastAsia="lt-LT"/>
                    </w:rPr>
                    <w:t xml:space="preserve"> (</w:t>
                  </w:r>
                  <w:r>
                    <w:rPr>
                      <w:b/>
                      <w:bCs/>
                      <w:color w:val="000000"/>
                      <w:szCs w:val="24"/>
                      <w:shd w:val="clear" w:color="auto" w:fill="FFFFFF"/>
                      <w:lang w:eastAsia="lt-LT"/>
                    </w:rPr>
                    <w:t>°</w:t>
                  </w:r>
                  <w:r>
                    <w:rPr>
                      <w:bCs/>
                      <w:color w:val="000000"/>
                      <w:szCs w:val="24"/>
                      <w:shd w:val="clear" w:color="auto" w:fill="FFFFFF"/>
                      <w:lang w:eastAsia="lt-LT"/>
                    </w:rPr>
                    <w:t>C</w:t>
                  </w:r>
                  <w:r>
                    <w:rPr>
                      <w:rFonts w:eastAsia="Calibri"/>
                      <w:color w:val="000000"/>
                      <w:szCs w:val="24"/>
                      <w:lang w:eastAsia="lt-LT"/>
                    </w:rPr>
                    <w:t>), kuri nurodyta Reglamento 2 priedo 2.4 lentelėje</w:t>
                  </w:r>
                  <w:r>
                    <w:rPr>
                      <w:rFonts w:eastAsia="Calibri"/>
                      <w:szCs w:val="24"/>
                      <w:lang w:eastAsia="lt-LT"/>
                    </w:rPr>
                    <w:t>, tačiau ši išlyga netaikoma, jeigu šildymo sezono metu yra galimybė išjungti šildymo įrangą.</w:t>
                  </w:r>
                  <w:r>
                    <w:rPr>
                      <w:rFonts w:eastAsia="Calibri"/>
                      <w:color w:val="000000"/>
                      <w:szCs w:val="24"/>
                      <w:lang w:eastAsia="lt-LT"/>
                    </w:rPr>
                    <w:t xml:space="preserve"> Per pertvaras ir perdenginius susidaro energijos nuostoliai dėl skirtingos pastato vartotojų elgsenos skirtingose pastato dalyse ir šie nuostoliai neturi būti įskaičiuoti į pastato (jo dalies) atitvarų savituosius šilumos nuostolius ir pastato (jo dalies) energijos sąnaudas</w:t>
                  </w:r>
                  <w:r>
                    <w:rPr>
                      <w:rFonts w:eastAsia="Calibri"/>
                      <w:color w:val="000000" w:themeColor="text1"/>
                      <w:szCs w:val="24"/>
                    </w:rPr>
                    <w:t>.</w:t>
                  </w:r>
                </w:p>
                <w:p>
                  <w:pPr>
                    <w:jc w:val="center"/>
                    <w:rPr>
                      <w:b/>
                      <w:color w:val="000000" w:themeColor="text1"/>
                      <w:szCs w:val="24"/>
                      <w:lang w:eastAsia="lt-LT"/>
                    </w:rPr>
                  </w:pPr>
                </w:p>
                <w:sdt>
                  <w:sdtPr>
                    <w:alias w:val="lentele"/>
                    <w:tag w:val="part_7cde6e40583147a9a30a4f52ac222b65"/>
                    <w:lock w:val="sdtLocked"/>
                    <w:richText/>
                  </w:sdtPr>
                  <w:sdtContent>
                    <w:p>
                      <w:pPr>
                        <w:tabs>
                          <w:tab w:val="left" w:pos="1134"/>
                        </w:tabs>
                        <w:jc w:val="center"/>
                      </w:pPr>
                      <w:sdt>
                        <w:sdtPr>
                          <w:alias w:val="Pavadinimas"/>
                          <w:tag w:val="title_7cde6e40583147a9a30a4f52ac222b65"/>
                          <w:lock w:val="sdtLocked"/>
                          <w:richText/>
                        </w:sdtPr>
                        <w:sdtContent>
                          <w:r>
                            <w:rPr>
                              <w:b/>
                            </w:rPr>
                            <w:t xml:space="preserve">Pertvarų ir tarpaukštinių perdenginių, skiriančių naujus pastatus (jų dalis) su atskiromis (autonominėmis) šildymo sistemomis arba atskiromis (autonominėmis) energijos vartojimo pastatui (jo daliai) šildyti apskaitomis, šilumos perdavimo koeficientų </w:t>
                          </w:r>
                          <w:r>
                            <w:rPr>
                              <w:b/>
                              <w:i/>
                            </w:rPr>
                            <w:t>U</w:t>
                          </w:r>
                          <w:r>
                            <w:rPr>
                              <w:b/>
                              <w:i/>
                              <w:vertAlign w:val="subscript"/>
                            </w:rPr>
                            <w:t>2</w:t>
                          </w:r>
                          <w:r>
                            <w:rPr>
                              <w:b/>
                            </w:rPr>
                            <w:t xml:space="preserve"> (W/(m</w:t>
                          </w:r>
                          <w:r>
                            <w:rPr>
                              <w:b/>
                              <w:vertAlign w:val="superscript"/>
                            </w:rPr>
                            <w:t>2</w:t>
                          </w:r>
                          <w:r>
                            <w:rPr>
                              <w:b/>
                            </w:rPr>
                            <w:sym w:font="Symbol" w:char="F0D7"/>
                            <w:t>K)) norminės vertės</w:t>
                          </w:r>
                        </w:sdtContent>
                      </w:sdt>
                    </w:p>
                    <w:p>
                      <w:pPr>
                        <w:tabs>
                          <w:tab w:val="left" w:pos="1134"/>
                        </w:tabs>
                        <w:ind w:left="993" w:firstLine="7512"/>
                        <w:jc w:val="both"/>
                        <w:rPr>
                          <w:szCs w:val="24"/>
                          <w:lang w:eastAsia="lt-LT"/>
                        </w:rPr>
                      </w:pPr>
                      <w:sdt>
                        <w:sdtPr>
                          <w:alias w:val="Numeris"/>
                          <w:tag w:val="nr_7cde6e40583147a9a30a4f52ac222b65"/>
                          <w:lock w:val="sdtLocked"/>
                          <w:richText/>
                        </w:sdtPr>
                        <w:sdtContent>
                          <w:r>
                            <w:rPr>
                              <w:szCs w:val="24"/>
                              <w:lang w:eastAsia="lt-LT"/>
                            </w:rPr>
                            <w:t>9</w:t>
                          </w:r>
                        </w:sdtContent>
                      </w:sdt>
                      <w:r>
                        <w:rPr>
                          <w:szCs w:val="24"/>
                          <w:lang w:eastAsia="lt-LT"/>
                        </w:rPr>
                        <w:t xml:space="preserve">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3354"/>
                        <w:gridCol w:w="1397"/>
                        <w:gridCol w:w="1537"/>
                        <w:gridCol w:w="1258"/>
                        <w:gridCol w:w="1397"/>
                      </w:tblGrid>
                      <w:tr>
                        <w:trPr>
                          <w:cantSplit/>
                          <w:trHeight w:val="240"/>
                        </w:trPr>
                        <w:tc>
                          <w:tcPr>
                            <w:tcW w:w="294"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Eil. Nr.</w:t>
                            </w:r>
                          </w:p>
                        </w:tc>
                        <w:tc>
                          <w:tcPr>
                            <w:tcW w:w="1765" w:type="pct"/>
                            <w:vMerge w:val="restart"/>
                            <w:tcBorders>
                              <w:top w:val="single" w:sz="4" w:space="0" w:color="auto"/>
                              <w:left w:val="single" w:sz="4" w:space="0" w:color="auto"/>
                              <w:right w:val="single" w:sz="4" w:space="0" w:color="auto"/>
                            </w:tcBorders>
                            <w:vAlign w:val="center"/>
                            <w:hideMark/>
                          </w:tcPr>
                          <w:p>
                            <w:pPr>
                              <w:jc w:val="center"/>
                              <w:rPr>
                                <w:color w:val="000000"/>
                                <w:szCs w:val="24"/>
                              </w:rPr>
                            </w:pPr>
                            <w:r>
                              <w:rPr>
                                <w:color w:val="000000"/>
                                <w:szCs w:val="24"/>
                              </w:rPr>
                              <w:t>Pastato elementai</w:t>
                            </w:r>
                          </w:p>
                        </w:tc>
                        <w:tc>
                          <w:tcPr>
                            <w:tcW w:w="735" w:type="pct"/>
                            <w:vMerge w:val="restart"/>
                            <w:tcBorders>
                              <w:top w:val="single" w:sz="4" w:space="0" w:color="auto"/>
                              <w:left w:val="single" w:sz="4" w:space="0" w:color="auto"/>
                              <w:right w:val="single" w:sz="4" w:space="0" w:color="auto"/>
                            </w:tcBorders>
                            <w:vAlign w:val="center"/>
                            <w:hideMark/>
                          </w:tcPr>
                          <w:p>
                            <w:pPr>
                              <w:jc w:val="center"/>
                              <w:rPr>
                                <w:color w:val="000000"/>
                                <w:szCs w:val="24"/>
                              </w:rPr>
                            </w:pPr>
                            <w:r>
                              <w:rPr>
                                <w:color w:val="000000"/>
                                <w:szCs w:val="24"/>
                              </w:rPr>
                              <w:t>Pastato (jo dalies) energinio naudingumo klasė</w:t>
                            </w:r>
                          </w:p>
                        </w:tc>
                        <w:tc>
                          <w:tcPr>
                            <w:tcW w:w="809" w:type="pct"/>
                            <w:vMerge w:val="restart"/>
                            <w:tcBorders>
                              <w:top w:val="single" w:sz="4" w:space="0" w:color="auto"/>
                              <w:left w:val="single" w:sz="4" w:space="0" w:color="auto"/>
                              <w:right w:val="single" w:sz="4" w:space="0" w:color="auto"/>
                            </w:tcBorders>
                            <w:vAlign w:val="center"/>
                            <w:hideMark/>
                          </w:tcPr>
                          <w:p>
                            <w:pPr>
                              <w:jc w:val="center"/>
                              <w:rPr>
                                <w:color w:val="000000"/>
                                <w:szCs w:val="24"/>
                              </w:rPr>
                            </w:pPr>
                            <w:r>
                              <w:rPr>
                                <w:color w:val="000000"/>
                                <w:szCs w:val="24"/>
                              </w:rPr>
                              <w:t>Gyvenamieji pastatai</w:t>
                            </w:r>
                          </w:p>
                        </w:tc>
                        <w:tc>
                          <w:tcPr>
                            <w:tcW w:w="1397" w:type="pct"/>
                            <w:gridSpan w:val="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i/>
                                <w:color w:val="000000"/>
                                <w:szCs w:val="24"/>
                              </w:rPr>
                            </w:pPr>
                            <w:r>
                              <w:rPr>
                                <w:rFonts w:eastAsia="Calibri"/>
                                <w:color w:val="000000"/>
                                <w:szCs w:val="24"/>
                              </w:rPr>
                              <w:t>Negyvenamieji pastatai</w:t>
                            </w:r>
                          </w:p>
                        </w:tc>
                      </w:tr>
                      <w:tr>
                        <w:trPr>
                          <w:cantSplit/>
                          <w:trHeight w:val="828"/>
                        </w:trPr>
                        <w:tc>
                          <w:tcPr>
                            <w:tcW w:w="294" w:type="pct"/>
                            <w:vMerge/>
                            <w:tcBorders>
                              <w:left w:val="single" w:sz="4" w:space="0" w:color="auto"/>
                              <w:bottom w:val="single" w:sz="4" w:space="0" w:color="auto"/>
                              <w:right w:val="single" w:sz="4" w:space="0" w:color="auto"/>
                            </w:tcBorders>
                          </w:tcPr>
                          <w:p>
                            <w:pPr>
                              <w:jc w:val="center"/>
                              <w:rPr>
                                <w:color w:val="000000"/>
                                <w:szCs w:val="24"/>
                              </w:rPr>
                            </w:pPr>
                          </w:p>
                        </w:tc>
                        <w:tc>
                          <w:tcPr>
                            <w:tcW w:w="1765" w:type="pct"/>
                            <w:vMerge/>
                            <w:tcBorders>
                              <w:left w:val="single" w:sz="4" w:space="0" w:color="auto"/>
                              <w:bottom w:val="single" w:sz="4" w:space="0" w:color="auto"/>
                              <w:right w:val="single" w:sz="4" w:space="0" w:color="auto"/>
                            </w:tcBorders>
                            <w:vAlign w:val="center"/>
                            <w:hideMark/>
                          </w:tcPr>
                          <w:p>
                            <w:pPr>
                              <w:rPr>
                                <w:color w:val="000000"/>
                                <w:szCs w:val="24"/>
                              </w:rPr>
                            </w:pPr>
                          </w:p>
                        </w:tc>
                        <w:tc>
                          <w:tcPr>
                            <w:tcW w:w="735" w:type="pct"/>
                            <w:vMerge/>
                            <w:tcBorders>
                              <w:left w:val="single" w:sz="4" w:space="0" w:color="auto"/>
                              <w:bottom w:val="single" w:sz="4" w:space="0" w:color="auto"/>
                              <w:right w:val="single" w:sz="4" w:space="0" w:color="auto"/>
                            </w:tcBorders>
                            <w:vAlign w:val="center"/>
                            <w:hideMark/>
                          </w:tcPr>
                          <w:p>
                            <w:pPr>
                              <w:jc w:val="center"/>
                              <w:rPr>
                                <w:color w:val="000000"/>
                                <w:szCs w:val="24"/>
                              </w:rPr>
                            </w:pPr>
                          </w:p>
                        </w:tc>
                        <w:tc>
                          <w:tcPr>
                            <w:tcW w:w="809" w:type="pct"/>
                            <w:vMerge/>
                            <w:tcBorders>
                              <w:left w:val="single" w:sz="4" w:space="0" w:color="auto"/>
                              <w:bottom w:val="single" w:sz="4" w:space="0" w:color="auto"/>
                              <w:right w:val="single" w:sz="4" w:space="0" w:color="auto"/>
                            </w:tcBorders>
                            <w:vAlign w:val="center"/>
                            <w:hideMark/>
                          </w:tcPr>
                          <w:p>
                            <w:pPr>
                              <w:jc w:val="center"/>
                              <w:rPr>
                                <w:color w:val="000000"/>
                                <w:szCs w:val="24"/>
                              </w:rPr>
                            </w:pPr>
                          </w:p>
                        </w:tc>
                        <w:tc>
                          <w:tcPr>
                            <w:tcW w:w="662"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vertAlign w:val="superscript"/>
                              </w:rPr>
                            </w:pPr>
                            <w:r>
                              <w:rPr>
                                <w:color w:val="000000"/>
                                <w:szCs w:val="24"/>
                              </w:rPr>
                              <w:t>Viešosios paskirties pastatai</w:t>
                            </w:r>
                            <w:r>
                              <w:rPr>
                                <w:color w:val="000000"/>
                                <w:szCs w:val="24"/>
                                <w:vertAlign w:val="superscrip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vertAlign w:val="superscript"/>
                              </w:rPr>
                            </w:pPr>
                            <w:r>
                              <w:rPr>
                                <w:color w:val="000000"/>
                                <w:szCs w:val="24"/>
                              </w:rPr>
                              <w:t>Pramonės pastatai</w:t>
                            </w:r>
                            <w:r>
                              <w:rPr>
                                <w:color w:val="000000"/>
                                <w:szCs w:val="24"/>
                                <w:vertAlign w:val="superscript"/>
                              </w:rPr>
                              <w:t>2)</w:t>
                            </w:r>
                          </w:p>
                        </w:tc>
                      </w:tr>
                      <w:tr>
                        <w:trPr>
                          <w:cantSplit/>
                          <w:trHeight w:val="161"/>
                        </w:trPr>
                        <w:tc>
                          <w:tcPr>
                            <w:tcW w:w="294" w:type="pct"/>
                            <w:vMerge w:val="restart"/>
                            <w:tcBorders>
                              <w:left w:val="single" w:sz="4" w:space="0" w:color="auto"/>
                              <w:right w:val="single" w:sz="4" w:space="0" w:color="auto"/>
                            </w:tcBorders>
                          </w:tcPr>
                          <w:p>
                            <w:pPr>
                              <w:jc w:val="center"/>
                              <w:rPr>
                                <w:color w:val="000000"/>
                                <w:szCs w:val="24"/>
                              </w:rPr>
                            </w:pPr>
                            <w:r>
                              <w:rPr>
                                <w:color w:val="000000"/>
                                <w:szCs w:val="24"/>
                              </w:rPr>
                              <w:t>1.</w:t>
                            </w:r>
                          </w:p>
                        </w:tc>
                        <w:tc>
                          <w:tcPr>
                            <w:tcW w:w="1765" w:type="pct"/>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Pertvaros</w:t>
                            </w:r>
                          </w:p>
                        </w:tc>
                        <w:tc>
                          <w:tcPr>
                            <w:tcW w:w="73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4"/>
                              </w:rPr>
                            </w:pPr>
                            <w:r>
                              <w:rPr>
                                <w:rFonts w:eastAsia="Calibri"/>
                                <w:color w:val="000000"/>
                                <w:szCs w:val="24"/>
                              </w:rPr>
                              <w:t>A</w:t>
                            </w:r>
                          </w:p>
                        </w:tc>
                        <w:tc>
                          <w:tcPr>
                            <w:tcW w:w="80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0,5</w:t>
                            </w:r>
                          </w:p>
                        </w:tc>
                        <w:tc>
                          <w:tcPr>
                            <w:tcW w:w="66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szCs w:val="24"/>
                              </w:rPr>
                              <w:t>0,6·</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0,73·</w:t>
                              <w:sym w:font="Symbol" w:char="F06B"/>
                            </w:r>
                            <w:r>
                              <w:rPr>
                                <w:color w:val="000000"/>
                                <w:szCs w:val="24"/>
                                <w:vertAlign w:val="subscript"/>
                              </w:rPr>
                              <w:t>1</w:t>
                            </w:r>
                            <w:r>
                              <w:rPr>
                                <w:color w:val="000000"/>
                                <w:szCs w:val="24"/>
                                <w:vertAlign w:val="superscript"/>
                              </w:rPr>
                              <w:t>5)</w:t>
                            </w:r>
                          </w:p>
                        </w:tc>
                      </w:tr>
                      <w:tr>
                        <w:trPr>
                          <w:cantSplit/>
                          <w:trHeight w:val="241"/>
                        </w:trPr>
                        <w:tc>
                          <w:tcPr>
                            <w:tcW w:w="294" w:type="pct"/>
                            <w:vMerge/>
                            <w:tcBorders>
                              <w:left w:val="single" w:sz="4" w:space="0" w:color="auto"/>
                              <w:right w:val="single" w:sz="4" w:space="0" w:color="auto"/>
                            </w:tcBorders>
                          </w:tcPr>
                          <w:p>
                            <w:pPr>
                              <w:jc w:val="center"/>
                              <w:rPr>
                                <w:color w:val="000000"/>
                                <w:szCs w:val="24"/>
                              </w:rPr>
                            </w:pPr>
                          </w:p>
                        </w:tc>
                        <w:tc>
                          <w:tcPr>
                            <w:tcW w:w="1765"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73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4"/>
                              </w:rPr>
                            </w:pPr>
                            <w:r>
                              <w:rPr>
                                <w:rFonts w:eastAsia="Calibri"/>
                                <w:color w:val="000000"/>
                                <w:szCs w:val="24"/>
                              </w:rPr>
                              <w:t>A+</w:t>
                            </w:r>
                          </w:p>
                        </w:tc>
                        <w:tc>
                          <w:tcPr>
                            <w:tcW w:w="80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0,43</w:t>
                            </w:r>
                          </w:p>
                        </w:tc>
                        <w:tc>
                          <w:tcPr>
                            <w:tcW w:w="66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szCs w:val="24"/>
                              </w:rPr>
                              <w:t>0,5·</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0,63·</w:t>
                              <w:sym w:font="Symbol" w:char="F06B"/>
                            </w:r>
                            <w:r>
                              <w:rPr>
                                <w:color w:val="000000"/>
                                <w:szCs w:val="24"/>
                                <w:vertAlign w:val="subscript"/>
                              </w:rPr>
                              <w:t>1</w:t>
                            </w:r>
                            <w:r>
                              <w:rPr>
                                <w:color w:val="000000"/>
                                <w:szCs w:val="24"/>
                                <w:vertAlign w:val="superscript"/>
                              </w:rPr>
                              <w:t>5)</w:t>
                            </w:r>
                          </w:p>
                        </w:tc>
                      </w:tr>
                      <w:tr>
                        <w:trPr>
                          <w:cantSplit/>
                          <w:trHeight w:val="241"/>
                        </w:trPr>
                        <w:tc>
                          <w:tcPr>
                            <w:tcW w:w="294" w:type="pct"/>
                            <w:vMerge/>
                            <w:tcBorders>
                              <w:left w:val="single" w:sz="4" w:space="0" w:color="auto"/>
                              <w:bottom w:val="single" w:sz="4" w:space="0" w:color="auto"/>
                              <w:right w:val="single" w:sz="4" w:space="0" w:color="auto"/>
                            </w:tcBorders>
                          </w:tcPr>
                          <w:p>
                            <w:pPr>
                              <w:jc w:val="center"/>
                              <w:rPr>
                                <w:color w:val="000000"/>
                                <w:szCs w:val="24"/>
                              </w:rPr>
                            </w:pPr>
                          </w:p>
                        </w:tc>
                        <w:tc>
                          <w:tcPr>
                            <w:tcW w:w="1765"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73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4"/>
                              </w:rPr>
                            </w:pPr>
                            <w:r>
                              <w:rPr>
                                <w:rFonts w:eastAsia="Calibri"/>
                                <w:color w:val="000000"/>
                                <w:szCs w:val="24"/>
                              </w:rPr>
                              <w:t>A++</w:t>
                            </w:r>
                          </w:p>
                        </w:tc>
                        <w:tc>
                          <w:tcPr>
                            <w:tcW w:w="80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0,37</w:t>
                            </w:r>
                          </w:p>
                        </w:tc>
                        <w:tc>
                          <w:tcPr>
                            <w:tcW w:w="66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szCs w:val="24"/>
                              </w:rPr>
                              <w:t>0,4·</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0,57·</w:t>
                              <w:sym w:font="Symbol" w:char="F06B"/>
                            </w:r>
                            <w:r>
                              <w:rPr>
                                <w:color w:val="000000"/>
                                <w:szCs w:val="24"/>
                                <w:vertAlign w:val="subscript"/>
                              </w:rPr>
                              <w:t>1</w:t>
                            </w:r>
                            <w:r>
                              <w:rPr>
                                <w:color w:val="000000"/>
                                <w:szCs w:val="24"/>
                                <w:vertAlign w:val="superscript"/>
                              </w:rPr>
                              <w:t>5)</w:t>
                            </w:r>
                          </w:p>
                        </w:tc>
                      </w:tr>
                      <w:tr>
                        <w:trPr>
                          <w:cantSplit/>
                          <w:trHeight w:val="255"/>
                        </w:trPr>
                        <w:tc>
                          <w:tcPr>
                            <w:tcW w:w="294"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2.</w:t>
                            </w:r>
                          </w:p>
                        </w:tc>
                        <w:tc>
                          <w:tcPr>
                            <w:tcW w:w="1765" w:type="pct"/>
                            <w:vMerge w:val="restart"/>
                            <w:tcBorders>
                              <w:top w:val="single" w:sz="4" w:space="0" w:color="auto"/>
                              <w:left w:val="single" w:sz="4" w:space="0" w:color="auto"/>
                              <w:bottom w:val="single" w:sz="4" w:space="0" w:color="auto"/>
                              <w:right w:val="single" w:sz="4" w:space="0" w:color="auto"/>
                            </w:tcBorders>
                            <w:vAlign w:val="center"/>
                            <w:hideMark/>
                          </w:tcPr>
                          <w:p>
                            <w:pPr>
                              <w:jc w:val="both"/>
                              <w:rPr>
                                <w:color w:val="000000"/>
                                <w:szCs w:val="24"/>
                              </w:rPr>
                            </w:pPr>
                            <w:r>
                              <w:rPr>
                                <w:color w:val="000000"/>
                                <w:szCs w:val="24"/>
                              </w:rPr>
                              <w:t>Tarpaukštiniai perdenginiai</w:t>
                            </w:r>
                          </w:p>
                        </w:tc>
                        <w:tc>
                          <w:tcPr>
                            <w:tcW w:w="735" w:type="pct"/>
                            <w:tcBorders>
                              <w:top w:val="single" w:sz="4" w:space="0" w:color="auto"/>
                              <w:left w:val="single" w:sz="4" w:space="0" w:color="auto"/>
                              <w:right w:val="single" w:sz="4" w:space="0" w:color="auto"/>
                            </w:tcBorders>
                            <w:vAlign w:val="center"/>
                          </w:tcPr>
                          <w:p>
                            <w:pPr>
                              <w:spacing w:line="276" w:lineRule="auto"/>
                              <w:jc w:val="center"/>
                              <w:rPr>
                                <w:rFonts w:eastAsia="Calibri"/>
                                <w:strike/>
                                <w:color w:val="000000"/>
                                <w:szCs w:val="24"/>
                              </w:rPr>
                            </w:pPr>
                            <w:r>
                              <w:rPr>
                                <w:rFonts w:eastAsia="Calibri"/>
                                <w:color w:val="000000"/>
                                <w:szCs w:val="24"/>
                              </w:rPr>
                              <w:t>A</w:t>
                            </w:r>
                          </w:p>
                        </w:tc>
                        <w:tc>
                          <w:tcPr>
                            <w:tcW w:w="809" w:type="pct"/>
                            <w:tcBorders>
                              <w:top w:val="single" w:sz="4" w:space="0" w:color="auto"/>
                              <w:left w:val="single" w:sz="4" w:space="0" w:color="auto"/>
                              <w:right w:val="single" w:sz="4" w:space="0" w:color="auto"/>
                            </w:tcBorders>
                            <w:vAlign w:val="center"/>
                          </w:tcPr>
                          <w:p>
                            <w:pPr>
                              <w:ind w:left="-113" w:right="-113"/>
                              <w:jc w:val="center"/>
                              <w:rPr>
                                <w:strike/>
                                <w:color w:val="000000"/>
                                <w:szCs w:val="24"/>
                              </w:rPr>
                            </w:pPr>
                            <w:r>
                              <w:rPr>
                                <w:color w:val="000000"/>
                                <w:szCs w:val="24"/>
                              </w:rPr>
                              <w:t>0,47</w:t>
                            </w:r>
                          </w:p>
                        </w:tc>
                        <w:tc>
                          <w:tcPr>
                            <w:tcW w:w="662" w:type="pct"/>
                            <w:tcBorders>
                              <w:top w:val="single" w:sz="4" w:space="0" w:color="auto"/>
                              <w:left w:val="single" w:sz="4" w:space="0" w:color="auto"/>
                              <w:right w:val="single" w:sz="4" w:space="0" w:color="auto"/>
                            </w:tcBorders>
                            <w:vAlign w:val="center"/>
                          </w:tcPr>
                          <w:p>
                            <w:pPr>
                              <w:ind w:left="-113" w:right="-113"/>
                              <w:jc w:val="center"/>
                              <w:rPr>
                                <w:strike/>
                                <w:color w:val="000000"/>
                                <w:szCs w:val="24"/>
                              </w:rPr>
                            </w:pPr>
                            <w:r>
                              <w:rPr>
                                <w:szCs w:val="24"/>
                              </w:rPr>
                              <w:t>0,5·</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right w:val="single" w:sz="4" w:space="0" w:color="auto"/>
                            </w:tcBorders>
                            <w:vAlign w:val="center"/>
                          </w:tcPr>
                          <w:p>
                            <w:pPr>
                              <w:ind w:left="-113" w:right="-113"/>
                              <w:jc w:val="center"/>
                              <w:rPr>
                                <w:strike/>
                                <w:color w:val="000000"/>
                                <w:szCs w:val="24"/>
                              </w:rPr>
                            </w:pPr>
                            <w:r>
                              <w:rPr>
                                <w:color w:val="000000"/>
                                <w:szCs w:val="24"/>
                              </w:rPr>
                              <w:t>0,63·</w:t>
                              <w:sym w:font="Symbol" w:char="F06B"/>
                            </w:r>
                            <w:r>
                              <w:rPr>
                                <w:color w:val="000000"/>
                                <w:szCs w:val="24"/>
                                <w:vertAlign w:val="subscript"/>
                              </w:rPr>
                              <w:t>1</w:t>
                            </w:r>
                            <w:r>
                              <w:rPr>
                                <w:color w:val="000000"/>
                                <w:szCs w:val="24"/>
                                <w:vertAlign w:val="superscript"/>
                              </w:rPr>
                              <w:t>5)</w:t>
                            </w:r>
                          </w:p>
                        </w:tc>
                      </w:tr>
                      <w:tr>
                        <w:trPr>
                          <w:cantSplit/>
                          <w:trHeight w:val="241"/>
                        </w:trPr>
                        <w:tc>
                          <w:tcPr>
                            <w:tcW w:w="294" w:type="pct"/>
                            <w:vMerge/>
                            <w:tcBorders>
                              <w:left w:val="single" w:sz="4" w:space="0" w:color="auto"/>
                              <w:right w:val="single" w:sz="4" w:space="0" w:color="auto"/>
                            </w:tcBorders>
                          </w:tcPr>
                          <w:p>
                            <w:pPr>
                              <w:rPr>
                                <w:color w:val="000000"/>
                                <w:szCs w:val="24"/>
                              </w:rPr>
                            </w:pPr>
                          </w:p>
                        </w:tc>
                        <w:tc>
                          <w:tcPr>
                            <w:tcW w:w="1765"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73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4"/>
                              </w:rPr>
                            </w:pPr>
                            <w:r>
                              <w:rPr>
                                <w:rFonts w:eastAsia="Calibri"/>
                                <w:color w:val="000000"/>
                                <w:szCs w:val="24"/>
                              </w:rPr>
                              <w:t>A+</w:t>
                            </w:r>
                          </w:p>
                        </w:tc>
                        <w:tc>
                          <w:tcPr>
                            <w:tcW w:w="80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0,4</w:t>
                            </w:r>
                          </w:p>
                        </w:tc>
                        <w:tc>
                          <w:tcPr>
                            <w:tcW w:w="66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szCs w:val="24"/>
                              </w:rPr>
                              <w:t>0,43·</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0,57·</w:t>
                              <w:sym w:font="Symbol" w:char="F06B"/>
                            </w:r>
                            <w:r>
                              <w:rPr>
                                <w:color w:val="000000"/>
                                <w:szCs w:val="24"/>
                                <w:vertAlign w:val="subscript"/>
                              </w:rPr>
                              <w:t>1</w:t>
                            </w:r>
                            <w:r>
                              <w:rPr>
                                <w:color w:val="000000"/>
                                <w:szCs w:val="24"/>
                                <w:vertAlign w:val="superscript"/>
                              </w:rPr>
                              <w:t>5)</w:t>
                            </w:r>
                          </w:p>
                        </w:tc>
                      </w:tr>
                      <w:tr>
                        <w:trPr>
                          <w:cantSplit/>
                          <w:trHeight w:val="241"/>
                        </w:trPr>
                        <w:tc>
                          <w:tcPr>
                            <w:tcW w:w="294" w:type="pct"/>
                            <w:vMerge/>
                            <w:tcBorders>
                              <w:left w:val="single" w:sz="4" w:space="0" w:color="auto"/>
                              <w:bottom w:val="single" w:sz="4" w:space="0" w:color="auto"/>
                              <w:right w:val="single" w:sz="4" w:space="0" w:color="auto"/>
                            </w:tcBorders>
                          </w:tcPr>
                          <w:p>
                            <w:pPr>
                              <w:rPr>
                                <w:color w:val="000000"/>
                                <w:szCs w:val="24"/>
                              </w:rPr>
                            </w:pPr>
                          </w:p>
                        </w:tc>
                        <w:tc>
                          <w:tcPr>
                            <w:tcW w:w="1765"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73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4"/>
                              </w:rPr>
                            </w:pPr>
                            <w:r>
                              <w:rPr>
                                <w:rFonts w:eastAsia="Calibri"/>
                                <w:color w:val="000000"/>
                                <w:szCs w:val="24"/>
                              </w:rPr>
                              <w:t>A++</w:t>
                            </w:r>
                          </w:p>
                        </w:tc>
                        <w:tc>
                          <w:tcPr>
                            <w:tcW w:w="809"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0,33</w:t>
                            </w:r>
                          </w:p>
                        </w:tc>
                        <w:tc>
                          <w:tcPr>
                            <w:tcW w:w="662"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szCs w:val="24"/>
                              </w:rPr>
                              <w:t>0,37·</w:t>
                              <w:sym w:font="Symbol" w:char="F06B"/>
                            </w:r>
                            <w:r>
                              <w:rPr>
                                <w:szCs w:val="24"/>
                                <w:vertAlign w:val="subscript"/>
                              </w:rPr>
                              <w:t>1</w:t>
                            </w:r>
                            <w:r>
                              <w:rPr>
                                <w:szCs w:val="24"/>
                                <w:vertAlign w:val="superscript"/>
                              </w:rPr>
                              <w:t>5)</w:t>
                            </w:r>
                          </w:p>
                        </w:tc>
                        <w:tc>
                          <w:tcPr>
                            <w:tcW w:w="735" w:type="pct"/>
                            <w:tcBorders>
                              <w:top w:val="single" w:sz="4" w:space="0" w:color="auto"/>
                              <w:left w:val="single" w:sz="4" w:space="0" w:color="auto"/>
                              <w:bottom w:val="single" w:sz="4" w:space="0" w:color="auto"/>
                              <w:right w:val="single" w:sz="4" w:space="0" w:color="auto"/>
                            </w:tcBorders>
                            <w:vAlign w:val="center"/>
                            <w:hideMark/>
                          </w:tcPr>
                          <w:p>
                            <w:pPr>
                              <w:ind w:left="-113" w:right="-113"/>
                              <w:jc w:val="center"/>
                              <w:rPr>
                                <w:color w:val="000000"/>
                                <w:szCs w:val="24"/>
                              </w:rPr>
                            </w:pPr>
                            <w:r>
                              <w:rPr>
                                <w:color w:val="000000"/>
                                <w:szCs w:val="24"/>
                              </w:rPr>
                              <w:t>0,5·</w:t>
                              <w:sym w:font="Symbol" w:char="F06B"/>
                            </w:r>
                            <w:r>
                              <w:rPr>
                                <w:color w:val="000000"/>
                                <w:szCs w:val="24"/>
                                <w:vertAlign w:val="subscript"/>
                              </w:rPr>
                              <w:t>1</w:t>
                            </w:r>
                            <w:r>
                              <w:rPr>
                                <w:color w:val="000000"/>
                                <w:szCs w:val="24"/>
                                <w:vertAlign w:val="superscript"/>
                              </w:rPr>
                              <w:t>5)</w:t>
                            </w:r>
                          </w:p>
                        </w:tc>
                      </w:tr>
                    </w:tbl>
                    <w:p>
                      <w:pPr>
                        <w:tabs>
                          <w:tab w:val="left" w:pos="1134"/>
                        </w:tabs>
                        <w:ind w:left="993"/>
                        <w:jc w:val="both"/>
                      </w:pPr>
                      <w:r>
                        <w:rPr>
                          <w:szCs w:val="22"/>
                          <w:vertAlign w:val="superscript"/>
                        </w:rPr>
                        <w:t>1)</w:t>
                      </w:r>
                      <w:r>
                        <w:rPr>
                          <w:szCs w:val="22"/>
                        </w:rPr>
                        <w:t xml:space="preserve">, </w:t>
                      </w:r>
                      <w:r>
                        <w:rPr>
                          <w:szCs w:val="22"/>
                          <w:vertAlign w:val="superscript"/>
                        </w:rPr>
                        <w:t>2)</w:t>
                      </w:r>
                      <w:r>
                        <w:rPr>
                          <w:szCs w:val="22"/>
                        </w:rPr>
                        <w:t xml:space="preserve"> ,</w:t>
                      </w:r>
                      <w:r>
                        <w:rPr>
                          <w:szCs w:val="22"/>
                          <w:vertAlign w:val="superscript"/>
                        </w:rPr>
                        <w:t xml:space="preserve"> 5) </w:t>
                      </w:r>
                      <w:r>
                        <w:rPr>
                          <w:szCs w:val="22"/>
                        </w:rPr>
                        <w:t>žr. 3 lentelės 7 punktą.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
              <w:sdtPr>
                <w:alias w:val="35 p."/>
                <w:tag w:val="part_0a5f36f8f32b42b1ac1bf30ecd638fb8"/>
                <w:lock w:val="sdtLocked"/>
                <w:richText/>
              </w:sdtPr>
              <w:sdtContent>
                <w:p>
                  <w:pPr>
                    <w:ind w:firstLine="567"/>
                    <w:jc w:val="both"/>
                    <w:rPr>
                      <w:rFonts w:eastAsia="Calibri"/>
                      <w:szCs w:val="24"/>
                    </w:rPr>
                  </w:pPr>
                  <w:sdt>
                    <w:sdtPr>
                      <w:alias w:val="Numeris"/>
                      <w:tag w:val="nr_0a5f36f8f32b42b1ac1bf30ecd638fb8"/>
                      <w:lock w:val="sdtLocked"/>
                      <w:richText/>
                    </w:sdtPr>
                    <w:sdtContent>
                      <w:r>
                        <w:rPr>
                          <w:rFonts w:eastAsia="Calibri"/>
                          <w:szCs w:val="24"/>
                        </w:rPr>
                        <w:t>35</w:t>
                      </w:r>
                    </w:sdtContent>
                  </w:sdt>
                  <w:r>
                    <w:rPr>
                      <w:rFonts w:eastAsia="Calibri"/>
                      <w:szCs w:val="24"/>
                    </w:rPr>
                    <w:t>. Naujų gyvenamosios paskirties pastatų pertvarų ir perdenginių tarp gyvenamosios ir viešosios arba pramonės paskirties pastatų (jų dalių), skiriančių šiuos skirtingos paskirties pastatus (jo dalis) su atskiromis šildymo sistemomis arba atskira energijos vartojimo pastato daliai šildyti apskaita, šilumos perdavimo koeficiento vertė neturi būti didesnė už nurodytą 9 lentelės 3 skiltyje. Per minėtas pertvaras ir perdenginius susidaro energijos nuostoliai dėl skirtingos pastato vartotojų elgsenos skirtingose pastato dalyse ir šie nuostoliai neturi būti įskaičiuoti į pastato (jo dalies) atitvarų savituosius šilumos nuostolius ir pastato (jo dalies) energijos sąnaudas.</w:t>
                  </w:r>
                </w:p>
              </w:sdtContent>
            </w:sdt>
            <w:sdt>
              <w:sdtPr>
                <w:alias w:val="36 p."/>
                <w:tag w:val="part_d0303431296d430c976d1151df0fb6ad"/>
                <w:lock w:val="sdtLocked"/>
                <w:richText/>
              </w:sdtPr>
              <w:sdtContent>
                <w:p>
                  <w:pPr>
                    <w:ind w:firstLine="567"/>
                    <w:jc w:val="both"/>
                    <w:rPr>
                      <w:rFonts w:eastAsia="Calibri"/>
                      <w:szCs w:val="24"/>
                    </w:rPr>
                  </w:pPr>
                  <w:sdt>
                    <w:sdtPr>
                      <w:alias w:val="Numeris"/>
                      <w:tag w:val="nr_d0303431296d430c976d1151df0fb6ad"/>
                      <w:lock w:val="sdtLocked"/>
                      <w:richText/>
                    </w:sdtPr>
                    <w:sdtContent>
                      <w:r>
                        <w:rPr>
                          <w:rFonts w:eastAsia="Calibri"/>
                          <w:szCs w:val="24"/>
                        </w:rPr>
                        <w:t>36</w:t>
                      </w:r>
                    </w:sdtContent>
                  </w:sdt>
                  <w:r>
                    <w:rPr>
                      <w:rFonts w:eastAsia="Calibri"/>
                      <w:szCs w:val="24"/>
                    </w:rPr>
                    <w:t>. Naujų viešosios paskirties pastatų pertvarų ir perdenginių tarp gyvenamosios ir viešosios arba pramonės paskirties pastatų (jų dalių), skiriančių šiuos skirtingos paskirties pastatus (jo dalis) su atskiromis šildymo sistemomis arba atskira energijos vartojimo pastato daliai šildyti apskaita, šilumos perdavimo koeficiento vertė neturi būti didesnė už nurodytą 9 lentelės 4 skiltyje. Per minėtas pertvaras ir perdenginius susidaro energijos nuostoliai dėl skirtingos pastato vartotojų elgsenos skirtingose pastato dalyse ir šie nuostoliai neturi būti įskaičiuoti į pastato (jo dalies) atitvarų savituosius šilumos nuostolius ir pastato (jo dalies) energijos sąnaudas.</w:t>
                  </w:r>
                </w:p>
              </w:sdtContent>
            </w:sdt>
            <w:sdt>
              <w:sdtPr>
                <w:alias w:val="37 p."/>
                <w:tag w:val="part_5727dafa706845a0b3f1774405da4a0d"/>
                <w:lock w:val="sdtLocked"/>
                <w:richText/>
              </w:sdtPr>
              <w:sdtContent>
                <w:p>
                  <w:pPr>
                    <w:ind w:firstLine="567"/>
                    <w:jc w:val="both"/>
                    <w:rPr>
                      <w:b/>
                      <w:caps/>
                      <w:szCs w:val="24"/>
                      <w:lang w:eastAsia="lt-LT"/>
                    </w:rPr>
                  </w:pPr>
                  <w:sdt>
                    <w:sdtPr>
                      <w:alias w:val="Numeris"/>
                      <w:tag w:val="nr_5727dafa706845a0b3f1774405da4a0d"/>
                      <w:lock w:val="sdtLocked"/>
                      <w:richText/>
                    </w:sdtPr>
                    <w:sdtContent>
                      <w:r>
                        <w:rPr>
                          <w:szCs w:val="24"/>
                          <w:lang w:eastAsia="lt-LT"/>
                        </w:rPr>
                        <w:t>37</w:t>
                      </w:r>
                    </w:sdtContent>
                  </w:sdt>
                  <w:r>
                    <w:rPr>
                      <w:szCs w:val="24"/>
                      <w:lang w:eastAsia="lt-LT"/>
                    </w:rPr>
                    <w:t>. Naujų pastatų pertvarų ir tarpaukštinių perdenginių, skiriančių pastato dalis, kuriose įrengta autonominė šildymo sistema arba autonominė energijos vartojimo šildymui apskaita, projektinės šilumos perdavimo koeficiento vertės skaičiavimui turi būti naudojamos deklaruojamosios termoizoliacinių statybos produktų šilumos laidumo koeficientų vertės, o ne projektinės.</w:t>
                  </w:r>
                </w:p>
                <w:p>
                  <w:pPr>
                    <w:keepNext/>
                    <w:jc w:val="center"/>
                    <w:rPr>
                      <w:b/>
                      <w:bCs/>
                      <w:iCs/>
                      <w:caps/>
                      <w:spacing w:val="-4"/>
                      <w:szCs w:val="24"/>
                      <w:lang w:eastAsia="lt-LT"/>
                    </w:rPr>
                  </w:pPr>
                </w:p>
              </w:sdtContent>
            </w:sdt>
          </w:sdtContent>
        </w:sdt>
        <w:sdt>
          <w:sdtPr>
            <w:alias w:val="skyrius"/>
            <w:tag w:val="part_5a6c05752e894002baa7b9a69b2492bb"/>
            <w:lock w:val="sdtLocked"/>
            <w:richText/>
          </w:sdtPr>
          <w:sdtContent>
            <w:p>
              <w:pPr>
                <w:keepNext/>
                <w:jc w:val="center"/>
                <w:rPr>
                  <w:b/>
                  <w:bCs/>
                  <w:iCs/>
                  <w:caps/>
                  <w:spacing w:val="-4"/>
                  <w:szCs w:val="24"/>
                  <w:lang w:eastAsia="lt-LT"/>
                </w:rPr>
              </w:pPr>
              <w:r>
                <w:rPr>
                  <w:b/>
                  <w:bCs/>
                  <w:iCs/>
                  <w:caps/>
                  <w:spacing w:val="-4"/>
                  <w:szCs w:val="24"/>
                  <w:lang w:eastAsia="lt-LT"/>
                </w:rPr>
                <w:t>X. skyrius</w:t>
              </w:r>
            </w:p>
            <w:p>
              <w:pPr>
                <w:keepNext/>
                <w:jc w:val="center"/>
                <w:rPr>
                  <w:b/>
                  <w:bCs/>
                  <w:iCs/>
                  <w:caps/>
                  <w:spacing w:val="-4"/>
                  <w:szCs w:val="24"/>
                  <w:lang w:eastAsia="lt-LT"/>
                </w:rPr>
              </w:pPr>
              <w:sdt>
                <w:sdtPr>
                  <w:alias w:val="Pavadinimas"/>
                  <w:tag w:val="title_5a6c05752e894002baa7b9a69b2492bb"/>
                  <w:lock w:val="sdtLocked"/>
                  <w:richText/>
                </w:sdtPr>
                <w:sdtContent>
                  <w:r>
                    <w:rPr>
                      <w:b/>
                      <w:bCs/>
                      <w:iCs/>
                      <w:caps/>
                      <w:spacing w:val="-4"/>
                      <w:szCs w:val="24"/>
                      <w:lang w:eastAsia="lt-LT"/>
                    </w:rPr>
                    <w:t>Pastatų sandarumo reikalavimai</w:t>
                  </w:r>
                </w:sdtContent>
              </w:sdt>
            </w:p>
            <w:p>
              <w:pPr>
                <w:ind w:firstLine="567"/>
                <w:jc w:val="both"/>
                <w:rPr>
                  <w:szCs w:val="24"/>
                  <w:lang w:eastAsia="lt-LT"/>
                </w:rPr>
              </w:pPr>
            </w:p>
            <w:sdt>
              <w:sdtPr>
                <w:alias w:val="38 p."/>
                <w:tag w:val="part_9c98ae594cfd4f988b4da9e03099dbe2"/>
                <w:lock w:val="sdtLocked"/>
                <w:richText/>
              </w:sdtPr>
              <w:sdtContent>
                <w:p>
                  <w:pPr>
                    <w:suppressAutoHyphens/>
                    <w:ind w:firstLine="567"/>
                    <w:jc w:val="both"/>
                    <w:rPr>
                      <w:szCs w:val="24"/>
                      <w:lang w:eastAsia="lt-LT"/>
                    </w:rPr>
                  </w:pPr>
                  <w:sdt>
                    <w:sdtPr>
                      <w:alias w:val="Numeris"/>
                      <w:tag w:val="nr_9c98ae594cfd4f988b4da9e03099dbe2"/>
                      <w:lock w:val="sdtLocked"/>
                      <w:richText/>
                    </w:sdtPr>
                    <w:sdtContent>
                      <w:r>
                        <w:rPr>
                          <w:lang w:eastAsia="lt-LT"/>
                        </w:rPr>
                        <w:t>38</w:t>
                      </w:r>
                    </w:sdtContent>
                  </w:sdt>
                  <w:r>
                    <w:rPr>
                      <w:lang w:eastAsia="lt-LT"/>
                    </w:rPr>
                    <w:t xml:space="preserve">. </w:t>
                  </w:r>
                  <w:r>
                    <w:rPr>
                      <w:szCs w:val="24"/>
                      <w:lang w:eastAsia="lt-LT"/>
                    </w:rPr>
                    <w:t>C, B, A, A+ arba A++ energinio naudingumo klasės pastatai (jų dalys) turi būti suprojektuoti, kad jų sandarumas pagal LST EN ISO 9972:2015 [3.19] sandarumo bandymo sąlygų reikalavimus, esant 50 Pa slėgių skirtumui tarp pastato vidaus ir išorės, neviršytų 10 lentelėje nurodytų oro apykaitos verčių. Šis reikalavimas netaikomas atvejams, nustatytiems Reglamento 2 priedo 90.6 ir 90.7 papunkčiuose.</w:t>
                  </w:r>
                </w:p>
                <w:p>
                  <w:pPr>
                    <w:suppressAutoHyphens/>
                    <w:ind w:firstLine="567"/>
                    <w:jc w:val="both"/>
                    <w:rPr>
                      <w:szCs w:val="24"/>
                      <w:lang w:eastAsia="lt-LT"/>
                    </w:rPr>
                  </w:pPr>
                </w:p>
                <w:p>
                  <w:pPr>
                    <w:ind w:firstLine="567"/>
                    <w:jc w:val="center"/>
                    <w:rPr>
                      <w:b/>
                      <w:szCs w:val="24"/>
                      <w:lang w:eastAsia="lt-LT"/>
                    </w:rPr>
                  </w:pPr>
                  <w:r>
                    <w:rPr>
                      <w:b/>
                      <w:bCs/>
                      <w:szCs w:val="24"/>
                      <w:lang w:eastAsia="lt-LT"/>
                    </w:rPr>
                    <w:t>Norminės oro apykaitos </w:t>
                  </w:r>
                  <w:r>
                    <w:rPr>
                      <w:b/>
                      <w:bCs/>
                      <w:i/>
                      <w:iCs/>
                      <w:szCs w:val="24"/>
                      <w:lang w:eastAsia="lt-LT"/>
                    </w:rPr>
                    <w:t>n</w:t>
                  </w:r>
                  <w:r>
                    <w:rPr>
                      <w:b/>
                      <w:bCs/>
                      <w:i/>
                      <w:iCs/>
                      <w:szCs w:val="24"/>
                      <w:vertAlign w:val="subscript"/>
                      <w:lang w:eastAsia="lt-LT"/>
                    </w:rPr>
                    <w:t>50.N</w:t>
                  </w:r>
                  <w:r>
                    <w:rPr>
                      <w:b/>
                      <w:bCs/>
                      <w:i/>
                      <w:iCs/>
                      <w:szCs w:val="24"/>
                      <w:lang w:eastAsia="lt-LT"/>
                    </w:rPr>
                    <w:t> </w:t>
                  </w:r>
                  <w:r>
                    <w:rPr>
                      <w:b/>
                      <w:bCs/>
                      <w:szCs w:val="24"/>
                      <w:lang w:eastAsia="lt-LT"/>
                    </w:rPr>
                    <w:t>(1/h) vertės esant 50 Pa slėgių skirtumui</w:t>
                  </w:r>
                </w:p>
                <w:p>
                  <w:pPr>
                    <w:ind w:left="993" w:firstLine="7229"/>
                    <w:jc w:val="right"/>
                    <w:rPr>
                      <w:szCs w:val="24"/>
                      <w:lang w:eastAsia="lt-LT"/>
                    </w:rPr>
                  </w:pPr>
                  <w:r>
                    <w:rPr>
                      <w:szCs w:val="24"/>
                      <w:lang w:eastAsia="lt-LT"/>
                    </w:rPr>
                    <w:t>10 lentelė</w:t>
                  </w:r>
                </w:p>
                <w:tbl>
                  <w:tblPr>
                    <w:tblW w:w="5000" w:type="pct"/>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570"/>
                    <w:gridCol w:w="4191"/>
                    <w:gridCol w:w="2427"/>
                    <w:gridCol w:w="2526"/>
                  </w:tblGrid>
                  <w:tr>
                    <w:trPr>
                      <w:trHeight w:val="433"/>
                    </w:trPr>
                    <w:tc>
                      <w:tcPr>
                        <w:tcW w:w="294" w:type="pct"/>
                        <w:noWrap/>
                        <w:tcMar>
                          <w:top w:w="0" w:type="dxa"/>
                          <w:left w:w="108" w:type="dxa"/>
                          <w:bottom w:w="0" w:type="dxa"/>
                          <w:right w:w="108" w:type="dxa"/>
                        </w:tcMar>
                        <w:vAlign w:val="center"/>
                        <w:hideMark/>
                      </w:tcPr>
                      <w:p>
                        <w:pPr>
                          <w:spacing w:line="276" w:lineRule="atLeast"/>
                          <w:jc w:val="center"/>
                          <w:rPr>
                            <w:szCs w:val="24"/>
                            <w:lang w:eastAsia="lt-LT"/>
                          </w:rPr>
                        </w:pPr>
                        <w:r>
                          <w:rPr>
                            <w:szCs w:val="24"/>
                            <w:lang w:eastAsia="lt-LT"/>
                          </w:rPr>
                          <w:t>Eil.</w:t>
                        </w:r>
                      </w:p>
                      <w:p>
                        <w:pPr>
                          <w:spacing w:line="276" w:lineRule="atLeast"/>
                          <w:jc w:val="center"/>
                          <w:rPr>
                            <w:szCs w:val="24"/>
                            <w:lang w:eastAsia="lt-LT"/>
                          </w:rPr>
                        </w:pPr>
                        <w:r>
                          <w:rPr>
                            <w:szCs w:val="24"/>
                            <w:lang w:eastAsia="lt-LT"/>
                          </w:rPr>
                          <w:t>Nr.</w:t>
                        </w:r>
                      </w:p>
                    </w:tc>
                    <w:tc>
                      <w:tcPr>
                        <w:tcW w:w="2157" w:type="pct"/>
                        <w:tcMar>
                          <w:top w:w="0" w:type="dxa"/>
                          <w:left w:w="108" w:type="dxa"/>
                          <w:bottom w:w="0" w:type="dxa"/>
                          <w:right w:w="108" w:type="dxa"/>
                        </w:tcMar>
                        <w:vAlign w:val="center"/>
                        <w:hideMark/>
                      </w:tcPr>
                      <w:p>
                        <w:pPr>
                          <w:spacing w:line="276" w:lineRule="atLeast"/>
                          <w:jc w:val="center"/>
                          <w:rPr>
                            <w:szCs w:val="24"/>
                            <w:lang w:eastAsia="lt-LT"/>
                          </w:rPr>
                        </w:pPr>
                        <w:r>
                          <w:rPr>
                            <w:szCs w:val="24"/>
                            <w:lang w:eastAsia="lt-LT"/>
                          </w:rPr>
                          <w:t>Pastato paskirtis pagal Reglamento 2 priedo 2.4 lentelę</w:t>
                        </w:r>
                      </w:p>
                    </w:tc>
                    <w:tc>
                      <w:tcPr>
                        <w:tcW w:w="1249" w:type="pct"/>
                        <w:tcMar>
                          <w:top w:w="0" w:type="dxa"/>
                          <w:left w:w="108" w:type="dxa"/>
                          <w:bottom w:w="0" w:type="dxa"/>
                          <w:right w:w="108" w:type="dxa"/>
                        </w:tcMar>
                        <w:vAlign w:val="center"/>
                        <w:hideMark/>
                      </w:tcPr>
                      <w:p>
                        <w:pPr>
                          <w:spacing w:line="276" w:lineRule="atLeast"/>
                          <w:jc w:val="center"/>
                          <w:rPr>
                            <w:szCs w:val="24"/>
                            <w:lang w:eastAsia="lt-LT"/>
                          </w:rPr>
                        </w:pPr>
                        <w:r>
                          <w:rPr>
                            <w:szCs w:val="24"/>
                            <w:lang w:eastAsia="lt-LT"/>
                          </w:rPr>
                          <w:t>Pastato energinio</w:t>
                        </w:r>
                      </w:p>
                      <w:p>
                        <w:pPr>
                          <w:spacing w:line="276" w:lineRule="atLeast"/>
                          <w:jc w:val="center"/>
                          <w:rPr>
                            <w:szCs w:val="24"/>
                            <w:lang w:eastAsia="lt-LT"/>
                          </w:rPr>
                        </w:pPr>
                        <w:r>
                          <w:rPr>
                            <w:szCs w:val="24"/>
                            <w:lang w:eastAsia="lt-LT"/>
                          </w:rPr>
                          <w:t>naudingumo klasė</w:t>
                        </w:r>
                      </w:p>
                    </w:tc>
                    <w:tc>
                      <w:tcPr>
                        <w:tcW w:w="1299" w:type="pct"/>
                        <w:tcMar>
                          <w:top w:w="0" w:type="dxa"/>
                          <w:left w:w="108" w:type="dxa"/>
                          <w:bottom w:w="0" w:type="dxa"/>
                          <w:right w:w="108" w:type="dxa"/>
                        </w:tcMar>
                        <w:vAlign w:val="center"/>
                        <w:hideMark/>
                      </w:tcPr>
                      <w:p>
                        <w:pPr>
                          <w:spacing w:line="276" w:lineRule="atLeast"/>
                          <w:jc w:val="center"/>
                          <w:rPr>
                            <w:szCs w:val="24"/>
                            <w:lang w:eastAsia="lt-LT"/>
                          </w:rPr>
                        </w:pPr>
                        <w:r>
                          <w:rPr>
                            <w:i/>
                            <w:iCs/>
                            <w:szCs w:val="24"/>
                            <w:lang w:eastAsia="lt-LT"/>
                          </w:rPr>
                          <w:t>n</w:t>
                        </w:r>
                        <w:r>
                          <w:rPr>
                            <w:i/>
                            <w:iCs/>
                            <w:szCs w:val="24"/>
                            <w:vertAlign w:val="subscript"/>
                            <w:lang w:eastAsia="lt-LT"/>
                          </w:rPr>
                          <w:t>50.N</w:t>
                        </w:r>
                        <w:r>
                          <w:rPr>
                            <w:szCs w:val="24"/>
                            <w:lang w:eastAsia="lt-LT"/>
                          </w:rPr>
                          <w:t>,</w:t>
                        </w:r>
                      </w:p>
                      <w:p>
                        <w:pPr>
                          <w:spacing w:line="276" w:lineRule="atLeast"/>
                          <w:jc w:val="center"/>
                          <w:rPr>
                            <w:szCs w:val="24"/>
                            <w:lang w:eastAsia="lt-LT"/>
                          </w:rPr>
                        </w:pPr>
                        <w:r>
                          <w:rPr>
                            <w:szCs w:val="24"/>
                            <w:lang w:eastAsia="lt-LT"/>
                          </w:rPr>
                          <w:t>(1/h)</w:t>
                        </w:r>
                      </w:p>
                    </w:tc>
                  </w:tr>
                  <w:tr>
                    <w:trPr>
                      <w:trHeight w:val="157"/>
                    </w:trPr>
                    <w:tc>
                      <w:tcPr>
                        <w:tcW w:w="294" w:type="pct"/>
                        <w:vMerge w:val="restart"/>
                        <w:noWrap/>
                        <w:tcMar>
                          <w:top w:w="0" w:type="dxa"/>
                          <w:left w:w="108" w:type="dxa"/>
                          <w:bottom w:w="0" w:type="dxa"/>
                          <w:right w:w="108" w:type="dxa"/>
                        </w:tcMar>
                        <w:vAlign w:val="center"/>
                        <w:hideMark/>
                      </w:tcPr>
                      <w:p>
                        <w:pPr>
                          <w:spacing w:line="157" w:lineRule="atLeast"/>
                          <w:jc w:val="center"/>
                          <w:rPr>
                            <w:szCs w:val="24"/>
                            <w:lang w:eastAsia="lt-LT"/>
                          </w:rPr>
                        </w:pPr>
                        <w:r>
                          <w:rPr>
                            <w:szCs w:val="24"/>
                            <w:lang w:eastAsia="lt-LT"/>
                          </w:rPr>
                          <w:t>1.</w:t>
                        </w:r>
                      </w:p>
                    </w:tc>
                    <w:tc>
                      <w:tcPr>
                        <w:tcW w:w="2157" w:type="pct"/>
                        <w:vMerge w:val="restart"/>
                        <w:tcMar>
                          <w:top w:w="0" w:type="dxa"/>
                          <w:left w:w="108" w:type="dxa"/>
                          <w:bottom w:w="0" w:type="dxa"/>
                          <w:right w:w="108" w:type="dxa"/>
                        </w:tcMar>
                        <w:vAlign w:val="center"/>
                        <w:hideMark/>
                      </w:tcPr>
                      <w:p>
                        <w:pPr>
                          <w:spacing w:line="157" w:lineRule="atLeast"/>
                          <w:jc w:val="both"/>
                          <w:rPr>
                            <w:szCs w:val="24"/>
                            <w:lang w:eastAsia="lt-LT"/>
                          </w:rPr>
                        </w:pPr>
                        <w:r>
                          <w:rPr>
                            <w:szCs w:val="24"/>
                            <w:lang w:eastAsia="lt-LT"/>
                          </w:rPr>
                          <w:t>Gyvenamosios, administracinės, mokslo ir gydymo</w:t>
                        </w:r>
                      </w:p>
                    </w:tc>
                    <w:tc>
                      <w:tcPr>
                        <w:tcW w:w="1249" w:type="pct"/>
                        <w:tcMar>
                          <w:top w:w="0" w:type="dxa"/>
                          <w:left w:w="108" w:type="dxa"/>
                          <w:bottom w:w="0" w:type="dxa"/>
                          <w:right w:w="108" w:type="dxa"/>
                        </w:tcMar>
                        <w:vAlign w:val="center"/>
                        <w:hideMark/>
                      </w:tcPr>
                      <w:p>
                        <w:pPr>
                          <w:spacing w:line="157" w:lineRule="atLeast"/>
                          <w:jc w:val="center"/>
                          <w:rPr>
                            <w:szCs w:val="24"/>
                            <w:lang w:eastAsia="lt-LT"/>
                          </w:rPr>
                        </w:pPr>
                        <w:r>
                          <w:rPr>
                            <w:szCs w:val="24"/>
                            <w:lang w:eastAsia="lt-LT"/>
                          </w:rPr>
                          <w:t>C</w:t>
                        </w:r>
                      </w:p>
                    </w:tc>
                    <w:tc>
                      <w:tcPr>
                        <w:tcW w:w="1299" w:type="pct"/>
                        <w:tcMar>
                          <w:top w:w="0" w:type="dxa"/>
                          <w:left w:w="108" w:type="dxa"/>
                          <w:bottom w:w="0" w:type="dxa"/>
                          <w:right w:w="108" w:type="dxa"/>
                        </w:tcMar>
                        <w:vAlign w:val="center"/>
                        <w:hideMark/>
                      </w:tcPr>
                      <w:p>
                        <w:pPr>
                          <w:spacing w:line="157" w:lineRule="atLeast"/>
                          <w:jc w:val="center"/>
                          <w:rPr>
                            <w:szCs w:val="24"/>
                            <w:lang w:eastAsia="lt-LT"/>
                          </w:rPr>
                        </w:pPr>
                        <w:r>
                          <w:rPr>
                            <w:szCs w:val="24"/>
                            <w:lang w:eastAsia="lt-LT"/>
                          </w:rPr>
                          <w:t>2,00</w:t>
                        </w:r>
                      </w:p>
                    </w:tc>
                  </w:tr>
                  <w:tr>
                    <w:trPr>
                      <w:trHeight w:val="345"/>
                    </w:trPr>
                    <w:tc>
                      <w:tcPr>
                        <w:tcW w:w="294" w:type="pct"/>
                        <w:vMerge/>
                        <w:vAlign w:val="center"/>
                        <w:hideMark/>
                      </w:tcPr>
                      <w:p>
                        <w:pPr>
                          <w:rPr>
                            <w:szCs w:val="24"/>
                            <w:lang w:eastAsia="lt-LT"/>
                          </w:rPr>
                        </w:pPr>
                      </w:p>
                    </w:tc>
                    <w:tc>
                      <w:tcPr>
                        <w:tcW w:w="2157" w:type="pct"/>
                        <w:vMerge/>
                        <w:vAlign w:val="center"/>
                        <w:hideMark/>
                      </w:tcPr>
                      <w:p>
                        <w:pPr>
                          <w:rPr>
                            <w:szCs w:val="24"/>
                            <w:lang w:eastAsia="lt-LT"/>
                          </w:rPr>
                        </w:pPr>
                      </w:p>
                    </w:tc>
                    <w:tc>
                      <w:tcPr>
                        <w:tcW w:w="1249" w:type="pct"/>
                        <w:tcMar>
                          <w:top w:w="0" w:type="dxa"/>
                          <w:left w:w="108" w:type="dxa"/>
                          <w:bottom w:w="0" w:type="dxa"/>
                          <w:right w:w="108" w:type="dxa"/>
                        </w:tcMar>
                        <w:vAlign w:val="center"/>
                        <w:hideMark/>
                      </w:tcPr>
                      <w:p>
                        <w:pPr>
                          <w:spacing w:line="276" w:lineRule="atLeast"/>
                          <w:jc w:val="center"/>
                          <w:rPr>
                            <w:szCs w:val="24"/>
                            <w:lang w:eastAsia="lt-LT"/>
                          </w:rPr>
                        </w:pPr>
                        <w:r>
                          <w:rPr>
                            <w:szCs w:val="24"/>
                            <w:lang w:eastAsia="lt-LT"/>
                          </w:rPr>
                          <w:t>B</w:t>
                        </w:r>
                      </w:p>
                    </w:tc>
                    <w:tc>
                      <w:tcPr>
                        <w:tcW w:w="1299" w:type="pct"/>
                        <w:tcMar>
                          <w:top w:w="0" w:type="dxa"/>
                          <w:left w:w="108" w:type="dxa"/>
                          <w:bottom w:w="0" w:type="dxa"/>
                          <w:right w:w="108" w:type="dxa"/>
                        </w:tcMar>
                        <w:vAlign w:val="center"/>
                        <w:hideMark/>
                      </w:tcPr>
                      <w:p>
                        <w:pPr>
                          <w:spacing w:line="276" w:lineRule="atLeast"/>
                          <w:jc w:val="center"/>
                          <w:rPr>
                            <w:szCs w:val="24"/>
                            <w:lang w:eastAsia="lt-LT"/>
                          </w:rPr>
                        </w:pPr>
                        <w:r>
                          <w:rPr>
                            <w:szCs w:val="24"/>
                            <w:lang w:eastAsia="lt-LT"/>
                          </w:rPr>
                          <w:t>1,50</w:t>
                        </w:r>
                      </w:p>
                    </w:tc>
                  </w:tr>
                  <w:tr>
                    <w:trPr>
                      <w:trHeight w:val="44"/>
                    </w:trPr>
                    <w:tc>
                      <w:tcPr>
                        <w:tcW w:w="294" w:type="pct"/>
                        <w:vMerge/>
                        <w:vAlign w:val="center"/>
                        <w:hideMark/>
                      </w:tcPr>
                      <w:p>
                        <w:pPr>
                          <w:rPr>
                            <w:szCs w:val="24"/>
                            <w:lang w:eastAsia="lt-LT"/>
                          </w:rPr>
                        </w:pPr>
                      </w:p>
                    </w:tc>
                    <w:tc>
                      <w:tcPr>
                        <w:tcW w:w="2157" w:type="pct"/>
                        <w:vMerge/>
                        <w:vAlign w:val="center"/>
                        <w:hideMark/>
                      </w:tcPr>
                      <w:p>
                        <w:pPr>
                          <w:rPr>
                            <w:szCs w:val="24"/>
                            <w:lang w:eastAsia="lt-LT"/>
                          </w:rPr>
                        </w:pPr>
                      </w:p>
                    </w:tc>
                    <w:tc>
                      <w:tcPr>
                        <w:tcW w:w="124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A</w:t>
                        </w:r>
                      </w:p>
                    </w:tc>
                    <w:tc>
                      <w:tcPr>
                        <w:tcW w:w="129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1,00</w:t>
                        </w:r>
                      </w:p>
                    </w:tc>
                  </w:tr>
                  <w:tr>
                    <w:trPr>
                      <w:trHeight w:val="44"/>
                    </w:trPr>
                    <w:tc>
                      <w:tcPr>
                        <w:tcW w:w="294" w:type="pct"/>
                        <w:vMerge/>
                        <w:vAlign w:val="center"/>
                        <w:hideMark/>
                      </w:tcPr>
                      <w:p>
                        <w:pPr>
                          <w:rPr>
                            <w:szCs w:val="24"/>
                            <w:lang w:eastAsia="lt-LT"/>
                          </w:rPr>
                        </w:pPr>
                      </w:p>
                    </w:tc>
                    <w:tc>
                      <w:tcPr>
                        <w:tcW w:w="2157" w:type="pct"/>
                        <w:vMerge/>
                        <w:vAlign w:val="center"/>
                        <w:hideMark/>
                      </w:tcPr>
                      <w:p>
                        <w:pPr>
                          <w:rPr>
                            <w:szCs w:val="24"/>
                            <w:lang w:eastAsia="lt-LT"/>
                          </w:rPr>
                        </w:pPr>
                      </w:p>
                    </w:tc>
                    <w:tc>
                      <w:tcPr>
                        <w:tcW w:w="124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A+, A++</w:t>
                        </w:r>
                      </w:p>
                    </w:tc>
                    <w:tc>
                      <w:tcPr>
                        <w:tcW w:w="129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0,60</w:t>
                        </w:r>
                      </w:p>
                    </w:tc>
                  </w:tr>
                  <w:tr>
                    <w:trPr>
                      <w:trHeight w:val="44"/>
                    </w:trPr>
                    <w:tc>
                      <w:tcPr>
                        <w:tcW w:w="294" w:type="pct"/>
                        <w:vMerge w:val="restart"/>
                        <w:noWrap/>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2.</w:t>
                        </w:r>
                      </w:p>
                    </w:tc>
                    <w:tc>
                      <w:tcPr>
                        <w:tcW w:w="2157" w:type="pct"/>
                        <w:vMerge w:val="restart"/>
                        <w:tcMar>
                          <w:top w:w="0" w:type="dxa"/>
                          <w:left w:w="108" w:type="dxa"/>
                          <w:bottom w:w="0" w:type="dxa"/>
                          <w:right w:w="108" w:type="dxa"/>
                        </w:tcMar>
                        <w:vAlign w:val="center"/>
                        <w:hideMark/>
                      </w:tcPr>
                      <w:p>
                        <w:pPr>
                          <w:spacing w:line="44" w:lineRule="atLeast"/>
                          <w:jc w:val="both"/>
                          <w:rPr>
                            <w:szCs w:val="24"/>
                            <w:lang w:eastAsia="lt-LT"/>
                          </w:rPr>
                        </w:pPr>
                        <w:r>
                          <w:rPr>
                            <w:szCs w:val="24"/>
                            <w:lang w:eastAsia="lt-LT"/>
                          </w:rPr>
                          <w:t>Maitinimo, prekybos, kultūros, viešbučių, paslaugų</w:t>
                        </w:r>
                        <w:r>
                          <w:rPr>
                            <w:szCs w:val="24"/>
                            <w:vertAlign w:val="superscript"/>
                            <w:lang w:eastAsia="lt-LT"/>
                          </w:rPr>
                          <w:t>1)</w:t>
                        </w:r>
                        <w:r>
                          <w:rPr>
                            <w:szCs w:val="24"/>
                            <w:lang w:eastAsia="lt-LT"/>
                          </w:rPr>
                          <w:t>, sporto, transporto</w:t>
                        </w:r>
                        <w:r>
                          <w:rPr>
                            <w:szCs w:val="24"/>
                            <w:vertAlign w:val="superscript"/>
                            <w:lang w:eastAsia="lt-LT"/>
                          </w:rPr>
                          <w:t>1)</w:t>
                        </w:r>
                        <w:r>
                          <w:rPr>
                            <w:szCs w:val="24"/>
                            <w:lang w:eastAsia="lt-LT"/>
                          </w:rPr>
                          <w:t>, specialioji</w:t>
                        </w:r>
                        <w:r>
                          <w:rPr>
                            <w:szCs w:val="24"/>
                            <w:vertAlign w:val="superscript"/>
                            <w:lang w:eastAsia="lt-LT"/>
                          </w:rPr>
                          <w:t>1)</w:t>
                        </w:r>
                        <w:r>
                          <w:rPr>
                            <w:szCs w:val="24"/>
                            <w:lang w:eastAsia="lt-LT"/>
                          </w:rPr>
                          <w:t> ir poilsio</w:t>
                        </w:r>
                      </w:p>
                    </w:tc>
                    <w:tc>
                      <w:tcPr>
                        <w:tcW w:w="124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C, B</w:t>
                        </w:r>
                      </w:p>
                    </w:tc>
                    <w:tc>
                      <w:tcPr>
                        <w:tcW w:w="1299" w:type="pct"/>
                        <w:tcMar>
                          <w:top w:w="0" w:type="dxa"/>
                          <w:left w:w="108" w:type="dxa"/>
                          <w:bottom w:w="0" w:type="dxa"/>
                          <w:right w:w="108" w:type="dxa"/>
                        </w:tcMar>
                        <w:vAlign w:val="center"/>
                        <w:hideMark/>
                      </w:tcPr>
                      <w:p>
                        <w:pPr>
                          <w:spacing w:line="44" w:lineRule="atLeast"/>
                          <w:jc w:val="center"/>
                          <w:rPr>
                            <w:szCs w:val="24"/>
                            <w:lang w:eastAsia="lt-LT"/>
                          </w:rPr>
                        </w:pPr>
                        <w:r>
                          <w:rPr>
                            <w:szCs w:val="24"/>
                            <w:lang w:eastAsia="lt-LT"/>
                          </w:rPr>
                          <w:t>2,00</w:t>
                        </w:r>
                        <w:r>
                          <w:rPr>
                            <w:bCs/>
                            <w:szCs w:val="24"/>
                            <w:vertAlign w:val="superscript"/>
                            <w:lang w:eastAsia="lt-LT"/>
                          </w:rPr>
                          <w:t>2)</w:t>
                        </w:r>
                      </w:p>
                    </w:tc>
                  </w:tr>
                  <w:tr>
                    <w:trPr>
                      <w:trHeight w:val="47"/>
                    </w:trPr>
                    <w:tc>
                      <w:tcPr>
                        <w:tcW w:w="294" w:type="pct"/>
                        <w:vMerge/>
                        <w:vAlign w:val="center"/>
                        <w:hideMark/>
                      </w:tcPr>
                      <w:p>
                        <w:pPr>
                          <w:rPr>
                            <w:szCs w:val="24"/>
                            <w:lang w:eastAsia="lt-LT"/>
                          </w:rPr>
                        </w:pPr>
                      </w:p>
                    </w:tc>
                    <w:tc>
                      <w:tcPr>
                        <w:tcW w:w="2157" w:type="pct"/>
                        <w:vMerge/>
                        <w:vAlign w:val="center"/>
                        <w:hideMark/>
                      </w:tcPr>
                      <w:p>
                        <w:pPr>
                          <w:rPr>
                            <w:szCs w:val="24"/>
                            <w:lang w:eastAsia="lt-LT"/>
                          </w:rPr>
                        </w:pPr>
                      </w:p>
                    </w:tc>
                    <w:tc>
                      <w:tcPr>
                        <w:tcW w:w="1249" w:type="pct"/>
                        <w:tcMar>
                          <w:top w:w="0" w:type="dxa"/>
                          <w:left w:w="108" w:type="dxa"/>
                          <w:bottom w:w="0" w:type="dxa"/>
                          <w:right w:w="108" w:type="dxa"/>
                        </w:tcMar>
                        <w:vAlign w:val="center"/>
                        <w:hideMark/>
                      </w:tcPr>
                      <w:p>
                        <w:pPr>
                          <w:spacing w:line="47" w:lineRule="atLeast"/>
                          <w:jc w:val="center"/>
                          <w:rPr>
                            <w:szCs w:val="24"/>
                            <w:lang w:eastAsia="lt-LT"/>
                          </w:rPr>
                        </w:pPr>
                        <w:r>
                          <w:rPr>
                            <w:szCs w:val="24"/>
                            <w:lang w:eastAsia="lt-LT"/>
                          </w:rPr>
                          <w:t>A</w:t>
                        </w:r>
                      </w:p>
                    </w:tc>
                    <w:tc>
                      <w:tcPr>
                        <w:tcW w:w="1299" w:type="pct"/>
                        <w:tcMar>
                          <w:top w:w="0" w:type="dxa"/>
                          <w:left w:w="108" w:type="dxa"/>
                          <w:bottom w:w="0" w:type="dxa"/>
                          <w:right w:w="108" w:type="dxa"/>
                        </w:tcMar>
                        <w:vAlign w:val="center"/>
                        <w:hideMark/>
                      </w:tcPr>
                      <w:p>
                        <w:pPr>
                          <w:spacing w:line="47" w:lineRule="atLeast"/>
                          <w:jc w:val="center"/>
                          <w:rPr>
                            <w:szCs w:val="24"/>
                            <w:lang w:eastAsia="lt-LT"/>
                          </w:rPr>
                        </w:pPr>
                        <w:r>
                          <w:rPr>
                            <w:szCs w:val="24"/>
                            <w:lang w:eastAsia="lt-LT"/>
                          </w:rPr>
                          <w:t>1,50</w:t>
                        </w:r>
                        <w:r>
                          <w:rPr>
                            <w:bCs/>
                            <w:szCs w:val="24"/>
                            <w:vertAlign w:val="superscript"/>
                            <w:lang w:eastAsia="lt-LT"/>
                          </w:rPr>
                          <w:t>2</w:t>
                        </w:r>
                        <w:r>
                          <w:rPr>
                            <w:szCs w:val="24"/>
                            <w:vertAlign w:val="superscript"/>
                            <w:lang w:eastAsia="lt-LT"/>
                          </w:rPr>
                          <w:t>)</w:t>
                        </w:r>
                      </w:p>
                    </w:tc>
                  </w:tr>
                  <w:tr>
                    <w:trPr>
                      <w:trHeight w:val="47"/>
                    </w:trPr>
                    <w:tc>
                      <w:tcPr>
                        <w:tcW w:w="294" w:type="pct"/>
                        <w:vMerge/>
                        <w:vAlign w:val="center"/>
                        <w:hideMark/>
                      </w:tcPr>
                      <w:p>
                        <w:pPr>
                          <w:rPr>
                            <w:szCs w:val="24"/>
                            <w:lang w:eastAsia="lt-LT"/>
                          </w:rPr>
                        </w:pPr>
                      </w:p>
                    </w:tc>
                    <w:tc>
                      <w:tcPr>
                        <w:tcW w:w="2157" w:type="pct"/>
                        <w:vMerge/>
                        <w:vAlign w:val="center"/>
                        <w:hideMark/>
                      </w:tcPr>
                      <w:p>
                        <w:pPr>
                          <w:rPr>
                            <w:szCs w:val="24"/>
                            <w:lang w:eastAsia="lt-LT"/>
                          </w:rPr>
                        </w:pPr>
                      </w:p>
                    </w:tc>
                    <w:tc>
                      <w:tcPr>
                        <w:tcW w:w="1249" w:type="pct"/>
                        <w:tcMar>
                          <w:top w:w="0" w:type="dxa"/>
                          <w:left w:w="108" w:type="dxa"/>
                          <w:bottom w:w="0" w:type="dxa"/>
                          <w:right w:w="108" w:type="dxa"/>
                        </w:tcMar>
                        <w:vAlign w:val="center"/>
                        <w:hideMark/>
                      </w:tcPr>
                      <w:p>
                        <w:pPr>
                          <w:spacing w:line="47" w:lineRule="atLeast"/>
                          <w:jc w:val="center"/>
                          <w:rPr>
                            <w:szCs w:val="24"/>
                            <w:lang w:eastAsia="lt-LT"/>
                          </w:rPr>
                        </w:pPr>
                        <w:r>
                          <w:rPr>
                            <w:szCs w:val="24"/>
                            <w:lang w:eastAsia="lt-LT"/>
                          </w:rPr>
                          <w:t>A+ ir A++</w:t>
                        </w:r>
                      </w:p>
                    </w:tc>
                    <w:tc>
                      <w:tcPr>
                        <w:tcW w:w="1299" w:type="pct"/>
                        <w:tcMar>
                          <w:top w:w="0" w:type="dxa"/>
                          <w:left w:w="108" w:type="dxa"/>
                          <w:bottom w:w="0" w:type="dxa"/>
                          <w:right w:w="108" w:type="dxa"/>
                        </w:tcMar>
                        <w:vAlign w:val="center"/>
                        <w:hideMark/>
                      </w:tcPr>
                      <w:p>
                        <w:pPr>
                          <w:spacing w:line="47" w:lineRule="atLeast"/>
                          <w:jc w:val="center"/>
                          <w:rPr>
                            <w:szCs w:val="24"/>
                            <w:lang w:eastAsia="lt-LT"/>
                          </w:rPr>
                        </w:pPr>
                        <w:r>
                          <w:rPr>
                            <w:szCs w:val="24"/>
                            <w:lang w:eastAsia="lt-LT"/>
                          </w:rPr>
                          <w:t>1,00</w:t>
                        </w:r>
                        <w:r>
                          <w:rPr>
                            <w:bCs/>
                            <w:szCs w:val="24"/>
                            <w:vertAlign w:val="superscript"/>
                            <w:lang w:eastAsia="lt-LT"/>
                          </w:rPr>
                          <w:t>2)</w:t>
                        </w:r>
                      </w:p>
                    </w:tc>
                  </w:tr>
                  <w:tr>
                    <w:trPr>
                      <w:trHeight w:val="556"/>
                    </w:trPr>
                    <w:tc>
                      <w:tcPr>
                        <w:tcW w:w="294" w:type="pct"/>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4706" w:type="pct"/>
                        <w:gridSpan w:val="3"/>
                        <w:tcMar>
                          <w:top w:w="0" w:type="dxa"/>
                          <w:left w:w="108" w:type="dxa"/>
                          <w:bottom w:w="0" w:type="dxa"/>
                          <w:right w:w="108" w:type="dxa"/>
                        </w:tcMar>
                        <w:hideMark/>
                      </w:tcPr>
                      <w:p>
                        <w:pPr>
                          <w:ind w:left="1"/>
                          <w:jc w:val="both"/>
                          <w:rPr>
                            <w:szCs w:val="24"/>
                            <w:lang w:eastAsia="lt-LT"/>
                          </w:rPr>
                        </w:pPr>
                        <w:r>
                          <w:rPr>
                            <w:bCs/>
                            <w:i/>
                            <w:iCs/>
                            <w:szCs w:val="24"/>
                            <w:lang w:eastAsia="lt-LT"/>
                          </w:rPr>
                          <w:t>Pastabos:</w:t>
                        </w:r>
                      </w:p>
                      <w:p>
                        <w:pPr>
                          <w:ind w:left="1" w:firstLine="567"/>
                          <w:jc w:val="both"/>
                          <w:rPr>
                            <w:szCs w:val="24"/>
                            <w:lang w:eastAsia="lt-LT"/>
                          </w:rPr>
                        </w:pPr>
                        <w:r>
                          <w:rPr>
                            <w:szCs w:val="24"/>
                            <w:vertAlign w:val="superscript"/>
                            <w:lang w:eastAsia="lt-LT"/>
                          </w:rPr>
                          <w:t>1)</w:t>
                        </w:r>
                        <w:r>
                          <w:rPr>
                            <w:szCs w:val="24"/>
                            <w:lang w:eastAsia="lt-LT"/>
                          </w:rPr>
                          <w:t xml:space="preserve"> paslaugų, transporto ir specialiosios paskirties </w:t>
                        </w:r>
                        <w:r>
                          <w:rPr>
                            <w:lang w:eastAsia="lt-LT"/>
                          </w:rPr>
                          <w:t>pagal Reglamento 2 priedo 2.4 lentelę</w:t>
                        </w:r>
                        <w:r>
                          <w:t xml:space="preserve"> </w:t>
                        </w:r>
                        <w:r>
                          <w:rPr>
                            <w:szCs w:val="24"/>
                            <w:lang w:eastAsia="lt-LT"/>
                          </w:rPr>
                          <w:t>pastatų šildomoms patalpoms, kuriose įrengti vartai tarp šių patalpų ir išorės arba bet kurio tipo nešildomų patalpų (šiltnamio, įstiklintų galerijų, nešildomo pastato, nešildomų apšiltintų patalpų), sandarumo reikalavimai nekeliami;</w:t>
                        </w:r>
                      </w:p>
                      <w:p>
                        <w:pPr>
                          <w:ind w:left="1" w:firstLine="567"/>
                          <w:jc w:val="both"/>
                          <w:rPr>
                            <w:szCs w:val="24"/>
                            <w:lang w:eastAsia="lt-LT"/>
                          </w:rPr>
                        </w:pPr>
                        <w:r>
                          <w:rPr>
                            <w:szCs w:val="24"/>
                            <w:vertAlign w:val="superscript"/>
                            <w:lang w:eastAsia="lt-LT"/>
                          </w:rPr>
                          <w:t>2)</w:t>
                        </w:r>
                        <w:r>
                          <w:rPr>
                            <w:szCs w:val="24"/>
                            <w:lang w:eastAsia="lt-LT"/>
                          </w:rPr>
                          <w:t xml:space="preserve"> paslaugų, transporto ir specialiosios paskirties </w:t>
                        </w:r>
                        <w:r>
                          <w:rPr>
                            <w:lang w:eastAsia="lt-LT"/>
                          </w:rPr>
                          <w:t>pagal Reglamento 2 priedo 2.4 lentelę</w:t>
                        </w:r>
                        <w:r>
                          <w:t xml:space="preserve"> </w:t>
                        </w:r>
                        <w:r>
                          <w:rPr>
                            <w:szCs w:val="24"/>
                            <w:lang w:eastAsia="lt-LT"/>
                          </w:rPr>
                          <w:t>pastatams šis reikalavimas taikomas tai pastato daliai, kurioje nėra vartų tarp šildomų patalpų ir išorės arba bet kurio tipo nešildomų patalpų (šiltnamio, įstiklintų galerijų, nešildomo pastato, nešildomų apšiltintų patalpų).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39 p."/>
                <w:tag w:val="part_fe603eb526ab47858f50d16505420f9b"/>
                <w:lock w:val="sdtLocked"/>
                <w:richText/>
              </w:sdtPr>
              <w:sdtContent>
                <w:p>
                  <w:pPr>
                    <w:ind w:firstLine="567"/>
                    <w:jc w:val="both"/>
                  </w:pPr>
                  <w:sdt>
                    <w:sdtPr>
                      <w:alias w:val="Numeris"/>
                      <w:tag w:val="nr_fe603eb526ab47858f50d16505420f9b"/>
                      <w:lock w:val="sdtLocked"/>
                      <w:richText/>
                    </w:sdtPr>
                    <w:sdtContent>
                      <w:r>
                        <w:rPr>
                          <w:lang w:eastAsia="lt-LT"/>
                        </w:rPr>
                        <w:t>39</w:t>
                      </w:r>
                    </w:sdtContent>
                  </w:sdt>
                  <w:r>
                    <w:rPr>
                      <w:lang w:eastAsia="lt-LT"/>
                    </w:rPr>
                    <w:t xml:space="preserve">. </w:t>
                  </w:r>
                  <w:r>
                    <w:rPr>
                      <w:szCs w:val="24"/>
                      <w:lang w:eastAsia="lt-LT"/>
                    </w:rPr>
                    <w:t xml:space="preserve">Sandarumas turi būti matuojamas baigtame statyti pastate prieš atliekant pastato energinio naudingumo sertifikavimą. Pastato sandarumo matavimo metu pastate turi būti baigti visi statybos darbai, kurie gali pabloginti pastato sandarumo rodiklius. </w:t>
                  </w:r>
                  <w:r>
                    <w:rPr>
                      <w:szCs w:val="24"/>
                      <w:shd w:val="clear" w:color="auto" w:fill="FFFFFF"/>
                      <w:lang w:eastAsia="lt-LT"/>
                    </w:rPr>
                    <w:t>Laiko tarpas tarp pastato sandarumo bandymų protokole nurodytos sandarumo matavimo datos ir pastato energinio naudingumo sertifikato išdavimo datos turi būti ne didesnis nei 1 metai.</w:t>
                  </w:r>
                  <w:r>
                    <w:rPr>
                      <w:b/>
                      <w:bCs/>
                      <w:szCs w:val="24"/>
                      <w:shd w:val="clear" w:color="auto" w:fill="FFFFFF"/>
                      <w:lang w:eastAsia="lt-LT"/>
                    </w:rPr>
                    <w:t xml:space="preserve"> </w:t>
                  </w:r>
                  <w:r>
                    <w:rPr>
                      <w:szCs w:val="24"/>
                      <w:lang w:eastAsia="lt-LT"/>
                    </w:rPr>
                    <w:t xml:space="preserve">, </w:t>
                  </w:r>
                  <w:r>
                    <w:rPr>
                      <w:rFonts w:eastAsia="Calibri"/>
                      <w:szCs w:val="24"/>
                      <w:lang w:eastAsia="lt-LT"/>
                    </w:rPr>
                    <w:t>Visų paskirčių A, A+ ir A++ energinio naudingumo klasių pastatų</w:t>
                  </w:r>
                  <w:r>
                    <w:rPr>
                      <w:szCs w:val="24"/>
                      <w:lang w:eastAsia="lt-LT"/>
                    </w:rPr>
                    <w:t xml:space="preserve"> sandarumas turi būti išmatuotas, </w:t>
                  </w:r>
                  <w:r>
                    <w:rPr>
                      <w:szCs w:val="24"/>
                      <w:shd w:val="clear" w:color="auto" w:fill="FFFFFF"/>
                      <w:lang w:eastAsia="lt-LT"/>
                    </w:rPr>
                    <w:t xml:space="preserve">išskyrus </w:t>
                  </w:r>
                  <w:r>
                    <w:rPr>
                      <w:szCs w:val="24"/>
                      <w:lang w:eastAsia="lt-LT"/>
                    </w:rPr>
                    <w:t>Reglamento 2 priedo 90.6 ir 90.7 papunkčiuose numatytus atvejus</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40 p."/>
                <w:tag w:val="part_b92de7e5057a4caca342021bb6f01e9a"/>
                <w:lock w:val="sdtLocked"/>
                <w:richText/>
              </w:sdtPr>
              <w:sdtContent>
                <w:p>
                  <w:pPr>
                    <w:ind w:firstLine="567"/>
                    <w:jc w:val="both"/>
                    <w:rPr>
                      <w:rFonts w:eastAsia="Calibri"/>
                      <w:szCs w:val="24"/>
                    </w:rPr>
                  </w:pPr>
                  <w:sdt>
                    <w:sdtPr>
                      <w:alias w:val="Numeris"/>
                      <w:tag w:val="nr_b92de7e5057a4caca342021bb6f01e9a"/>
                      <w:lock w:val="sdtLocked"/>
                      <w:richText/>
                    </w:sdtPr>
                    <w:sdtContent>
                      <w:r>
                        <w:rPr>
                          <w:lang w:eastAsia="lt-LT"/>
                        </w:rPr>
                        <w:t>40</w:t>
                      </w:r>
                    </w:sdtContent>
                  </w:sdt>
                  <w:r>
                    <w:rPr>
                      <w:lang w:eastAsia="lt-LT"/>
                    </w:rPr>
                    <w:t xml:space="preserve">. </w:t>
                  </w:r>
                  <w:r>
                    <w:rPr>
                      <w:rFonts w:eastAsia="Calibri"/>
                      <w:szCs w:val="28"/>
                    </w:rPr>
                    <w:t xml:space="preserve">Kitų, negu nurodyta 39 punkte, C ir B energinio naudingumo klasės pastatų oro apykaitos pastate </w:t>
                  </w:r>
                  <w:r>
                    <w:rPr>
                      <w:rFonts w:eastAsia="Calibri"/>
                      <w:i/>
                      <w:szCs w:val="28"/>
                    </w:rPr>
                    <w:t>n</w:t>
                  </w:r>
                  <w:r>
                    <w:rPr>
                      <w:rFonts w:eastAsia="Calibri"/>
                      <w:i/>
                      <w:szCs w:val="28"/>
                      <w:vertAlign w:val="subscript"/>
                    </w:rPr>
                    <w:t xml:space="preserve">50 </w:t>
                  </w:r>
                  <w:r>
                    <w:rPr>
                      <w:rFonts w:eastAsia="Calibri"/>
                      <w:szCs w:val="28"/>
                    </w:rPr>
                    <w:t>vertė (h</w:t>
                  </w:r>
                  <w:r>
                    <w:rPr>
                      <w:rFonts w:eastAsia="Calibri"/>
                      <w:szCs w:val="28"/>
                      <w:vertAlign w:val="superscript"/>
                    </w:rPr>
                    <w:t>-1</w:t>
                  </w:r>
                  <w:r>
                    <w:rPr>
                      <w:rFonts w:eastAsia="Calibri"/>
                      <w:szCs w:val="28"/>
                    </w:rPr>
                    <w:t>) gali būti apskaičiuota pagal Reglamento 2 priedo 26.1 papunkčio reikalavimus; ji neturi būti didesnė už nurodytą 10 lentelėje. Jei apskaičiuotoji sandarumo vertė neatitinka 10 lentelės reikalavimų, turi būti atlikti pastato sandarumo matavimai pagal LST EN ISO 9972:2015 [3.19] nurodytą bandymų metodą. Jei išmatuotas pastato sandarumas neatitinka 10 lentelės reikalavimų, pastato negalima priskirti C arba B energinio naudingumo klasei.</w:t>
                  </w:r>
                  <w:r>
                    <w:rPr>
                      <w:szCs w:val="24"/>
                    </w:rPr>
                    <w:t xml:space="preserve"> </w:t>
                  </w:r>
                  <w:r>
                    <w:rPr>
                      <w:szCs w:val="28"/>
                      <w:lang w:eastAsia="lt-LT"/>
                    </w:rPr>
                    <w:t xml:space="preserve">Šis reikalavimas netaikomas atvejams, nustatytiems Reglamento 2 priedo 90.6 ir 90.7 </w:t>
                  </w:r>
                  <w:r>
                    <w:rPr>
                      <w:szCs w:val="24"/>
                      <w:lang w:eastAsia="lt-LT"/>
                    </w:rPr>
                    <w:t>papunkčiuose</w:t>
                  </w:r>
                  <w:r>
                    <w:rPr>
                      <w:szCs w:val="28"/>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41 p."/>
                <w:tag w:val="part_52d00f2786b54718ac39771f6c133c4e"/>
                <w:lock w:val="sdtLocked"/>
                <w:richText/>
              </w:sdtPr>
              <w:sdtContent>
                <w:p>
                  <w:pPr>
                    <w:tabs>
                      <w:tab w:val="left" w:pos="851"/>
                    </w:tabs>
                    <w:ind w:firstLine="567"/>
                    <w:jc w:val="both"/>
                    <w:rPr>
                      <w:rFonts w:eastAsia="Calibri"/>
                      <w:szCs w:val="24"/>
                    </w:rPr>
                  </w:pPr>
                  <w:sdt>
                    <w:sdtPr>
                      <w:alias w:val="Numeris"/>
                      <w:tag w:val="nr_52d00f2786b54718ac39771f6c133c4e"/>
                      <w:lock w:val="sdtLocked"/>
                      <w:richText/>
                    </w:sdtPr>
                    <w:sdtContent>
                      <w:r>
                        <w:rPr>
                          <w:color w:val="000000"/>
                          <w:szCs w:val="24"/>
                          <w:lang w:eastAsia="lt-LT"/>
                        </w:rPr>
                        <w:t>41</w:t>
                      </w:r>
                    </w:sdtContent>
                  </w:sdt>
                  <w:r>
                    <w:rPr>
                      <w:color w:val="000000"/>
                      <w:szCs w:val="24"/>
                      <w:lang w:eastAsia="lt-LT"/>
                    </w:rPr>
                    <w:t xml:space="preserve">. </w:t>
                  </w:r>
                  <w:r>
                    <w:rPr>
                      <w:color w:val="000000"/>
                    </w:rPr>
                    <w:t>Kai keliami reikalavimai pastato sandarumo matavimams, šiuos matavimus turi atlikti bandymams pagal LST EN ISO 9972:2015 [3.19] reikalavimus akredituotos laboratorijos. Bandymai turi būti atlikti pagal abu standarte LST EN ISO 9972:2015 [3.19] nurodytus padidinto ir sumažinto slėgio bandymų metodus. Pastato sandarumo atitiktis atitinkamos energinio naudingumo klasės reikalavimams gali būti patvirtinta tik jeigu kiekvienu iš bandymo standarte nurodytu padidinto ir sumažinto slėgio bandymų metodu nustatyta oro apykaitos n50 vertė neviršija 10 lentelėje nurodytos n</w:t>
                  </w:r>
                  <w:r>
                    <w:rPr>
                      <w:color w:val="000000"/>
                      <w:vertAlign w:val="subscript"/>
                    </w:rPr>
                    <w:t xml:space="preserve">50.N </w:t>
                  </w:r>
                  <w:r>
                    <w:rPr>
                      <w:color w:val="000000"/>
                    </w:rPr>
                    <w:t>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09efa0fecf11e99681cd81dcdca52c">
                    <w:r w:rsidRPr="00532B9F">
                      <w:rPr>
                        <w:rFonts w:ascii="Times New Roman" w:eastAsia="MS Mincho" w:hAnsi="Times New Roman"/>
                        <w:sz w:val="20"/>
                        <w:i/>
                        <w:iCs/>
                        <w:color w:val="0000FF" w:themeColor="hyperlink"/>
                        <w:u w:val="single"/>
                      </w:rPr>
                      <w:t>D1-648</w:t>
                    </w:r>
                  </w:fldSimple>
                  <w:r>
                    <w:rPr>
                      <w:rFonts w:ascii="Times New Roman" w:eastAsia="MS Mincho" w:hAnsi="Times New Roman"/>
                      <w:sz w:val="20"/>
                      <w:i/>
                      <w:iCs/>
                    </w:rPr>
                    <w:t>,
2019-10-29,
paskelbta TAR 2019-11-04, i. k. 2019-17486            </w:t>
                  </w:r>
                </w:p>
                <w:p/>
              </w:sdtContent>
            </w:sdt>
            <w:sdt>
              <w:sdtPr>
                <w:alias w:val="42 p."/>
                <w:tag w:val="part_68a391d4c8434df5bfcdbc2b87c26ba9"/>
                <w:lock w:val="sdtLocked"/>
                <w:richText/>
              </w:sdtPr>
              <w:sdtContent>
                <w:p>
                  <w:pPr>
                    <w:ind w:firstLine="600"/>
                    <w:jc w:val="both"/>
                    <w:rPr>
                      <w:rFonts w:eastAsia="Calibri"/>
                      <w:szCs w:val="24"/>
                    </w:rPr>
                  </w:pPr>
                  <w:sdt>
                    <w:sdtPr>
                      <w:alias w:val="Numeris"/>
                      <w:tag w:val="nr_68a391d4c8434df5bfcdbc2b87c26ba9"/>
                      <w:lock w:val="sdtLocked"/>
                      <w:richText/>
                    </w:sdtPr>
                    <w:sdtContent>
                      <w:r>
                        <w:rPr>
                          <w:rFonts w:eastAsia="Calibri"/>
                          <w:szCs w:val="24"/>
                        </w:rPr>
                        <w:t>42</w:t>
                      </w:r>
                    </w:sdtContent>
                  </w:sdt>
                  <w:r>
                    <w:rPr>
                      <w:rFonts w:eastAsia="Calibri"/>
                      <w:szCs w:val="24"/>
                    </w:rPr>
                    <w:t>. Pastatų (jų dalių) sandarumo matavimo tvarka nustatyta Reglamento 2 priedo XXVII skyriuje.</w:t>
                  </w:r>
                </w:p>
                <w:p>
                  <w:pPr>
                    <w:keepNext/>
                    <w:jc w:val="center"/>
                    <w:rPr>
                      <w:b/>
                      <w:bCs/>
                      <w:iCs/>
                      <w:caps/>
                      <w:spacing w:val="-4"/>
                      <w:szCs w:val="24"/>
                      <w:lang w:eastAsia="lt-LT"/>
                    </w:rPr>
                  </w:pPr>
                </w:p>
              </w:sdtContent>
            </w:sdt>
          </w:sdtContent>
        </w:sdt>
        <w:sdt>
          <w:sdtPr>
            <w:alias w:val="skyrius"/>
            <w:tag w:val="part_54604cd870274fb2a4f33075c8f75662"/>
            <w:lock w:val="sdtLocked"/>
            <w:richText/>
          </w:sdtPr>
          <w:sdtContent>
            <w:p>
              <w:pPr>
                <w:keepNext/>
                <w:jc w:val="center"/>
                <w:rPr>
                  <w:b/>
                  <w:bCs/>
                  <w:iCs/>
                  <w:caps/>
                  <w:spacing w:val="-4"/>
                  <w:szCs w:val="24"/>
                  <w:lang w:eastAsia="lt-LT"/>
                </w:rPr>
              </w:pPr>
              <w:r>
                <w:rPr>
                  <w:b/>
                  <w:bCs/>
                  <w:iCs/>
                  <w:caps/>
                  <w:spacing w:val="-4"/>
                  <w:szCs w:val="24"/>
                  <w:lang w:eastAsia="lt-LT"/>
                </w:rPr>
                <w:t>XI. skyrius</w:t>
              </w:r>
            </w:p>
            <w:p>
              <w:pPr>
                <w:keepNext/>
                <w:jc w:val="center"/>
                <w:rPr>
                  <w:b/>
                  <w:bCs/>
                  <w:iCs/>
                  <w:caps/>
                  <w:spacing w:val="-4"/>
                  <w:szCs w:val="24"/>
                  <w:lang w:eastAsia="lt-LT"/>
                </w:rPr>
              </w:pPr>
              <w:sdt>
                <w:sdtPr>
                  <w:alias w:val="Pavadinimas"/>
                  <w:tag w:val="title_54604cd870274fb2a4f33075c8f75662"/>
                  <w:lock w:val="sdtLocked"/>
                  <w:richText/>
                </w:sdtPr>
                <w:sdtContent>
                  <w:r>
                    <w:rPr>
                      <w:b/>
                      <w:bCs/>
                      <w:iCs/>
                      <w:caps/>
                      <w:spacing w:val="-4"/>
                      <w:szCs w:val="24"/>
                      <w:lang w:eastAsia="lt-LT"/>
                    </w:rPr>
                    <w:t xml:space="preserve">Su pastato energiniu naudingumu susiję pastato inžinerinių sistemų projektavimo reikalavimai </w:t>
                  </w:r>
                </w:sdtContent>
              </w:sdt>
            </w:p>
            <w:p>
              <w:pPr>
                <w:suppressAutoHyphens/>
                <w:ind w:firstLine="567"/>
                <w:jc w:val="both"/>
                <w:textAlignment w:val="center"/>
                <w:rPr>
                  <w:rFonts w:eastAsia="Calibri"/>
                  <w:szCs w:val="24"/>
                </w:rPr>
              </w:pPr>
            </w:p>
            <w:sdt>
              <w:sdtPr>
                <w:alias w:val="43 p."/>
                <w:tag w:val="part_c1c71fcbb7884659b7e9f72a5b91056a"/>
                <w:lock w:val="sdtLocked"/>
                <w:richText/>
              </w:sdtPr>
              <w:sdtContent>
                <w:p>
                  <w:pPr>
                    <w:suppressAutoHyphens/>
                    <w:ind w:firstLine="567"/>
                    <w:jc w:val="both"/>
                    <w:textAlignment w:val="center"/>
                    <w:rPr>
                      <w:rFonts w:eastAsia="Calibri"/>
                      <w:szCs w:val="24"/>
                    </w:rPr>
                  </w:pPr>
                  <w:sdt>
                    <w:sdtPr>
                      <w:alias w:val="Numeris"/>
                      <w:tag w:val="nr_c1c71fcbb7884659b7e9f72a5b91056a"/>
                      <w:lock w:val="sdtLocked"/>
                      <w:richText/>
                    </w:sdtPr>
                    <w:sdtContent>
                      <w:r>
                        <w:rPr>
                          <w:rFonts w:eastAsia="Calibri"/>
                          <w:szCs w:val="24"/>
                        </w:rPr>
                        <w:t>43</w:t>
                      </w:r>
                    </w:sdtContent>
                  </w:sdt>
                  <w:r>
                    <w:rPr>
                      <w:rFonts w:eastAsia="Calibri"/>
                      <w:szCs w:val="24"/>
                    </w:rPr>
                    <w:t>. Projektuojant naujus pastatus (jų dalis), turi būti įvertinta didelio naudingumo ir (ar) iš atsinaujinančių energijos šaltinių gaunamos energijos naudojimą užtikrinančių statinio inžinerinių sistemų naudojimo galimybė ir projekte pateikti pagrindiniai motyvai, pagrindžiantys pasirinktus projekto sprendinius.</w:t>
                  </w:r>
                </w:p>
              </w:sdtContent>
            </w:sdt>
            <w:sdt>
              <w:sdtPr>
                <w:alias w:val="44 p."/>
                <w:tag w:val="part_27a43b80704f4d94bdcbab5423d09375"/>
                <w:lock w:val="sdtLocked"/>
                <w:richText/>
              </w:sdtPr>
              <w:sdtContent>
                <w:p>
                  <w:pPr>
                    <w:suppressAutoHyphens/>
                    <w:ind w:firstLine="567"/>
                    <w:jc w:val="both"/>
                    <w:textAlignment w:val="center"/>
                    <w:rPr>
                      <w:rFonts w:eastAsia="Calibri"/>
                      <w:szCs w:val="22"/>
                    </w:rPr>
                  </w:pPr>
                  <w:sdt>
                    <w:sdtPr>
                      <w:alias w:val="Numeris"/>
                      <w:tag w:val="nr_27a43b80704f4d94bdcbab5423d09375"/>
                      <w:lock w:val="sdtLocked"/>
                      <w:richText/>
                    </w:sdtPr>
                    <w:sdtContent>
                      <w:r>
                        <w:rPr>
                          <w:rFonts w:eastAsia="Calibri"/>
                          <w:szCs w:val="24"/>
                        </w:rPr>
                        <w:t>44</w:t>
                      </w:r>
                    </w:sdtContent>
                  </w:sdt>
                  <w:r>
                    <w:rPr>
                      <w:rFonts w:eastAsia="Calibri"/>
                      <w:szCs w:val="24"/>
                    </w:rPr>
                    <w:t xml:space="preserve">. Projektuojant efektyviausias energinio naudingumo požiūriu pastato (jo dalies) inžinerines sistemas, pirmenybė turi būti teikiama sistemoms, kuriose energijos gamybai naudojamo energijos šaltinio neatsinaujinančios pirminės energijos faktoriaus vertė mažiausia, atsinaujinančios pirminės energijos faktoriaus vertė didžiausia, o šiose sistemose esančių įrenginių naudingo veiksmo koeficientas didžiausias. </w:t>
                  </w:r>
                </w:p>
              </w:sdtContent>
            </w:sdt>
            <w:sdt>
              <w:sdtPr>
                <w:alias w:val="45 p."/>
                <w:tag w:val="part_99d4eaf0b8b1435fa58a1b17b4136f36"/>
                <w:lock w:val="sdtLocked"/>
                <w:richText/>
              </w:sdtPr>
              <w:sdtContent>
                <w:p>
                  <w:pPr>
                    <w:suppressAutoHyphens/>
                    <w:ind w:firstLine="567"/>
                    <w:jc w:val="both"/>
                    <w:textAlignment w:val="center"/>
                    <w:rPr>
                      <w:rFonts w:eastAsia="Calibri"/>
                      <w:szCs w:val="24"/>
                    </w:rPr>
                  </w:pPr>
                  <w:sdt>
                    <w:sdtPr>
                      <w:alias w:val="Numeris"/>
                      <w:tag w:val="nr_99d4eaf0b8b1435fa58a1b17b4136f36"/>
                      <w:lock w:val="sdtLocked"/>
                      <w:richText/>
                    </w:sdtPr>
                    <w:sdtContent>
                      <w:r>
                        <w:rPr>
                          <w:rFonts w:eastAsia="Calibri"/>
                          <w:szCs w:val="24"/>
                        </w:rPr>
                        <w:t>45</w:t>
                      </w:r>
                    </w:sdtContent>
                  </w:sdt>
                  <w:r>
                    <w:rPr>
                      <w:rFonts w:eastAsia="Calibri"/>
                      <w:szCs w:val="24"/>
                    </w:rPr>
                    <w:t>. Pastato (jo dalies) apšvietimo sistemos energinio naudingumo projektavimo reikalavimai:</w:t>
                  </w:r>
                </w:p>
                <w:sdt>
                  <w:sdtPr>
                    <w:alias w:val="45.1 pp."/>
                    <w:tag w:val="part_cf2715fc277646e89368d1fadf92162c"/>
                    <w:lock w:val="sdtLocked"/>
                    <w:richText/>
                  </w:sdtPr>
                  <w:sdtContent>
                    <w:p>
                      <w:pPr>
                        <w:suppressAutoHyphens/>
                        <w:ind w:firstLine="567"/>
                        <w:jc w:val="both"/>
                        <w:textAlignment w:val="center"/>
                        <w:rPr>
                          <w:rFonts w:eastAsia="Calibri"/>
                          <w:szCs w:val="24"/>
                        </w:rPr>
                      </w:pPr>
                      <w:sdt>
                        <w:sdtPr>
                          <w:alias w:val="Numeris"/>
                          <w:tag w:val="nr_cf2715fc277646e89368d1fadf92162c"/>
                          <w:lock w:val="sdtLocked"/>
                          <w:richText/>
                        </w:sdtPr>
                        <w:sdtContent>
                          <w:r>
                            <w:rPr>
                              <w:rFonts w:eastAsia="Calibri"/>
                              <w:szCs w:val="24"/>
                            </w:rPr>
                            <w:t>45.1</w:t>
                          </w:r>
                        </w:sdtContent>
                      </w:sdt>
                      <w:r>
                        <w:rPr>
                          <w:rFonts w:eastAsia="Calibri"/>
                          <w:szCs w:val="24"/>
                        </w:rPr>
                        <w:t xml:space="preserve">. projektuojant apšvietimo sistemas, pirmenybė turi būti teikiama įrangai, kurios </w:t>
                      </w:r>
                      <w:r>
                        <w:rPr>
                          <w:rFonts w:eastAsia="Calibri"/>
                          <w:bCs/>
                          <w:szCs w:val="24"/>
                        </w:rPr>
                        <w:t xml:space="preserve">efektyvumo rodiklio </w:t>
                      </w:r>
                      <w:r>
                        <w:rPr>
                          <w:rFonts w:eastAsia="Calibri"/>
                          <w:i/>
                          <w:szCs w:val="24"/>
                        </w:rPr>
                        <w:t>η</w:t>
                      </w:r>
                      <w:r>
                        <w:rPr>
                          <w:rFonts w:eastAsia="Calibri"/>
                          <w:i/>
                          <w:szCs w:val="24"/>
                          <w:vertAlign w:val="subscript"/>
                        </w:rPr>
                        <w:t>E</w:t>
                      </w:r>
                      <w:r>
                        <w:rPr>
                          <w:rFonts w:eastAsia="Calibri"/>
                          <w:bCs/>
                          <w:szCs w:val="24"/>
                        </w:rPr>
                        <w:t xml:space="preserve"> (lm/W) </w:t>
                      </w:r>
                      <w:r>
                        <w:rPr>
                          <w:rFonts w:eastAsia="Calibri"/>
                          <w:szCs w:val="24"/>
                        </w:rPr>
                        <w:t>[3.27] vertės didesnės;</w:t>
                      </w:r>
                    </w:p>
                  </w:sdtContent>
                </w:sdt>
                <w:sdt>
                  <w:sdtPr>
                    <w:alias w:val="45.2 pp."/>
                    <w:tag w:val="part_c73a1b7b836a4178a2f84dd440cc93e3"/>
                    <w:lock w:val="sdtLocked"/>
                    <w:richText/>
                  </w:sdtPr>
                  <w:sdtContent>
                    <w:p>
                      <w:pPr>
                        <w:suppressAutoHyphens/>
                        <w:ind w:firstLine="567"/>
                        <w:jc w:val="both"/>
                        <w:textAlignment w:val="center"/>
                        <w:rPr>
                          <w:rFonts w:eastAsia="Calibri"/>
                          <w:szCs w:val="24"/>
                        </w:rPr>
                      </w:pPr>
                      <w:sdt>
                        <w:sdtPr>
                          <w:alias w:val="Numeris"/>
                          <w:tag w:val="nr_c73a1b7b836a4178a2f84dd440cc93e3"/>
                          <w:lock w:val="sdtLocked"/>
                          <w:richText/>
                        </w:sdtPr>
                        <w:sdtContent>
                          <w:r>
                            <w:rPr>
                              <w:rFonts w:eastAsia="Calibri"/>
                              <w:szCs w:val="24"/>
                            </w:rPr>
                            <w:t>45.2</w:t>
                          </w:r>
                        </w:sdtContent>
                      </w:sdt>
                      <w:r>
                        <w:rPr>
                          <w:rFonts w:eastAsia="Calibri"/>
                          <w:szCs w:val="24"/>
                        </w:rPr>
                        <w:t xml:space="preserve">. apšvietimo sistemos elektros energijos sąnaudoms skaičiuoti turi būti naudojamos 11 lentelėje nurodytos </w:t>
                      </w:r>
                      <w:r>
                        <w:rPr>
                          <w:rFonts w:eastAsia="Calibri"/>
                          <w:bCs/>
                          <w:szCs w:val="24"/>
                        </w:rPr>
                        <w:t xml:space="preserve">apšvietimo įrangos efektyvumo rodiklio </w:t>
                      </w:r>
                      <w:r>
                        <w:rPr>
                          <w:rFonts w:eastAsia="Calibri"/>
                          <w:i/>
                          <w:szCs w:val="24"/>
                        </w:rPr>
                        <w:t>η</w:t>
                      </w:r>
                      <w:r>
                        <w:rPr>
                          <w:rFonts w:eastAsia="Calibri"/>
                          <w:i/>
                          <w:szCs w:val="24"/>
                          <w:vertAlign w:val="subscript"/>
                        </w:rPr>
                        <w:t>E</w:t>
                      </w:r>
                      <w:r>
                        <w:rPr>
                          <w:rFonts w:eastAsia="Calibri"/>
                          <w:bCs/>
                          <w:szCs w:val="24"/>
                        </w:rPr>
                        <w:t xml:space="preserve"> (lm/W) </w:t>
                      </w:r>
                      <w:r>
                        <w:rPr>
                          <w:rFonts w:eastAsia="Calibri"/>
                          <w:szCs w:val="24"/>
                        </w:rPr>
                        <w:t xml:space="preserve">vertės. </w:t>
                      </w:r>
                    </w:p>
                    <w:p>
                      <w:pPr>
                        <w:jc w:val="center"/>
                        <w:rPr>
                          <w:rFonts w:eastAsia="Calibri"/>
                          <w:b/>
                          <w:szCs w:val="24"/>
                        </w:rPr>
                      </w:pPr>
                    </w:p>
                  </w:sdtContent>
                </w:sdt>
                <w:sdt>
                  <w:sdtPr>
                    <w:alias w:val="lentele"/>
                    <w:tag w:val="part_c41e3f75f7c54cf28b44ed741b996fcb"/>
                    <w:lock w:val="sdtLocked"/>
                    <w:richText/>
                  </w:sdtPr>
                  <w:sdtContent>
                    <w:p>
                      <w:pPr>
                        <w:jc w:val="center"/>
                        <w:rPr>
                          <w:rFonts w:eastAsia="Calibri"/>
                          <w:b/>
                          <w:szCs w:val="24"/>
                        </w:rPr>
                      </w:pPr>
                      <w:sdt>
                        <w:sdtPr>
                          <w:alias w:val="Pavadinimas"/>
                          <w:tag w:val="title_c41e3f75f7c54cf28b44ed741b996fcb"/>
                          <w:lock w:val="sdtLocked"/>
                          <w:richText/>
                        </w:sdtPr>
                        <w:sdtContent>
                          <w:r>
                            <w:rPr>
                              <w:rFonts w:eastAsia="Calibri"/>
                              <w:b/>
                              <w:szCs w:val="24"/>
                            </w:rPr>
                            <w:t xml:space="preserve">Apšvietimo įrangos efektyvumo rodiklio </w:t>
                          </w:r>
                          <w:r>
                            <w:rPr>
                              <w:rFonts w:eastAsia="Calibri"/>
                              <w:b/>
                              <w:i/>
                              <w:szCs w:val="24"/>
                            </w:rPr>
                            <w:t>η</w:t>
                          </w:r>
                          <w:r>
                            <w:rPr>
                              <w:rFonts w:eastAsia="Calibri"/>
                              <w:b/>
                              <w:i/>
                              <w:szCs w:val="24"/>
                              <w:vertAlign w:val="subscript"/>
                            </w:rPr>
                            <w:t>E</w:t>
                          </w:r>
                          <w:r>
                            <w:rPr>
                              <w:rFonts w:eastAsia="Calibri"/>
                              <w:b/>
                              <w:szCs w:val="24"/>
                            </w:rPr>
                            <w:t xml:space="preserve"> (Lm/W) vertės</w:t>
                          </w:r>
                        </w:sdtContent>
                      </w:sdt>
                    </w:p>
                    <w:p>
                      <w:pPr>
                        <w:suppressAutoHyphens/>
                        <w:ind w:firstLine="600"/>
                        <w:jc w:val="right"/>
                        <w:textAlignment w:val="center"/>
                        <w:rPr>
                          <w:rFonts w:eastAsia="Calibri"/>
                          <w:szCs w:val="24"/>
                        </w:rPr>
                      </w:pPr>
                      <w:r>
                        <w:rPr>
                          <w:rFonts w:eastAsia="Calibri"/>
                          <w:szCs w:val="24"/>
                        </w:rPr>
                        <w:t>11 lentelė</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0"/>
                        <w:gridCol w:w="1224"/>
                      </w:tblGrid>
                      <w:tr>
                        <w:tc>
                          <w:tcPr>
                            <w:tcW w:w="43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Patalpų apšvietimo įrangos apibūdinimas</w:t>
                            </w:r>
                          </w:p>
                        </w:tc>
                        <w:tc>
                          <w:tcPr>
                            <w:tcW w:w="63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i/>
                                <w:szCs w:val="24"/>
                              </w:rPr>
                              <w:t>η</w:t>
                            </w:r>
                            <w:r>
                              <w:rPr>
                                <w:rFonts w:eastAsia="Calibri"/>
                                <w:i/>
                                <w:szCs w:val="24"/>
                                <w:vertAlign w:val="subscript"/>
                              </w:rPr>
                              <w:t>E</w:t>
                            </w:r>
                            <w:r>
                              <w:rPr>
                                <w:rFonts w:eastAsia="Calibri"/>
                                <w:szCs w:val="24"/>
                              </w:rPr>
                              <w:t>,</w:t>
                            </w:r>
                          </w:p>
                          <w:p>
                            <w:pPr>
                              <w:spacing w:line="276" w:lineRule="auto"/>
                              <w:jc w:val="both"/>
                              <w:rPr>
                                <w:rFonts w:eastAsia="Calibri"/>
                                <w:szCs w:val="24"/>
                              </w:rPr>
                            </w:pPr>
                            <w:r>
                              <w:rPr>
                                <w:rFonts w:eastAsia="Calibri"/>
                                <w:szCs w:val="24"/>
                              </w:rPr>
                              <w:t>lm/W</w:t>
                            </w:r>
                          </w:p>
                        </w:tc>
                      </w:tr>
                      <w:tr>
                        <w:tc>
                          <w:tcPr>
                            <w:tcW w:w="4370" w:type="pct"/>
                            <w:tcBorders>
                              <w:top w:val="single" w:sz="4" w:space="0" w:color="auto"/>
                              <w:left w:val="single" w:sz="4" w:space="0" w:color="auto"/>
                              <w:bottom w:val="single" w:sz="4" w:space="0" w:color="auto"/>
                              <w:right w:val="single" w:sz="4" w:space="0" w:color="auto"/>
                            </w:tcBorders>
                            <w:hideMark/>
                          </w:tcPr>
                          <w:p>
                            <w:pPr>
                              <w:spacing w:line="276" w:lineRule="auto"/>
                              <w:ind w:left="240" w:hanging="240"/>
                              <w:jc w:val="both"/>
                              <w:rPr>
                                <w:rFonts w:eastAsia="Calibri"/>
                                <w:szCs w:val="24"/>
                              </w:rPr>
                            </w:pPr>
                            <w:r>
                              <w:rPr>
                                <w:rFonts w:eastAsia="Calibri"/>
                                <w:szCs w:val="24"/>
                              </w:rPr>
                              <w:t>Šviestuvai su kaitrinėmis lempomis</w:t>
                            </w:r>
                          </w:p>
                        </w:tc>
                        <w:tc>
                          <w:tcPr>
                            <w:tcW w:w="63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15</w:t>
                            </w:r>
                          </w:p>
                        </w:tc>
                      </w:tr>
                      <w:tr>
                        <w:tc>
                          <w:tcPr>
                            <w:tcW w:w="437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Šviestuvai su halogeninėmis ar liuminescencinėmis (įskaitant „taupiąsias“) lempomis</w:t>
                            </w:r>
                          </w:p>
                        </w:tc>
                        <w:tc>
                          <w:tcPr>
                            <w:tcW w:w="63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50</w:t>
                            </w:r>
                          </w:p>
                        </w:tc>
                      </w:tr>
                      <w:tr>
                        <w:tc>
                          <w:tcPr>
                            <w:tcW w:w="437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Šviestuvai su šviesos diodų (LED) lempomis</w:t>
                            </w:r>
                          </w:p>
                        </w:tc>
                        <w:tc>
                          <w:tcPr>
                            <w:tcW w:w="630"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rFonts w:eastAsia="Calibri"/>
                                <w:szCs w:val="24"/>
                              </w:rPr>
                              <w:t>150</w:t>
                            </w:r>
                          </w:p>
                        </w:tc>
                      </w:tr>
                    </w:tbl>
                    <w:p>
                      <w:pPr>
                        <w:ind w:firstLine="567"/>
                        <w:jc w:val="both"/>
                        <w:rPr>
                          <w:rFonts w:eastAsia="Calibri"/>
                          <w:szCs w:val="24"/>
                        </w:rPr>
                      </w:pPr>
                    </w:p>
                  </w:sdtContent>
                </w:sdt>
              </w:sdtContent>
            </w:sdt>
            <w:sdt>
              <w:sdtPr>
                <w:alias w:val="46 p."/>
                <w:tag w:val="part_cfc5a3e91b1445f6a4562f8b198d5105"/>
                <w:lock w:val="sdtLocked"/>
                <w:richText/>
              </w:sdtPr>
              <w:sdtContent>
                <w:p>
                  <w:pPr>
                    <w:ind w:firstLine="567"/>
                    <w:jc w:val="both"/>
                    <w:rPr>
                      <w:rFonts w:eastAsia="Calibri"/>
                      <w:szCs w:val="24"/>
                    </w:rPr>
                  </w:pPr>
                  <w:sdt>
                    <w:sdtPr>
                      <w:alias w:val="Numeris"/>
                      <w:tag w:val="nr_cfc5a3e91b1445f6a4562f8b198d5105"/>
                      <w:lock w:val="sdtLocked"/>
                      <w:richText/>
                    </w:sdtPr>
                    <w:sdtContent>
                      <w:r>
                        <w:rPr>
                          <w:rFonts w:eastAsia="Calibri"/>
                          <w:szCs w:val="24"/>
                        </w:rPr>
                        <w:t>46</w:t>
                      </w:r>
                    </w:sdtContent>
                  </w:sdt>
                  <w:r>
                    <w:rPr>
                      <w:rFonts w:eastAsia="Calibri"/>
                      <w:szCs w:val="24"/>
                    </w:rPr>
                    <w:t>. Pastato (jo dalies) šildymo sistemos energinio naudingumo projektavimo reikalavimai:</w:t>
                  </w:r>
                </w:p>
                <w:sdt>
                  <w:sdtPr>
                    <w:alias w:val="46.1 pp."/>
                    <w:tag w:val="part_22d87da58b4d48878807ce8e5a93dfac"/>
                    <w:lock w:val="sdtLocked"/>
                    <w:richText/>
                  </w:sdtPr>
                  <w:sdtContent>
                    <w:p>
                      <w:pPr>
                        <w:suppressAutoHyphens/>
                        <w:ind w:firstLine="567"/>
                        <w:jc w:val="both"/>
                        <w:textAlignment w:val="center"/>
                        <w:rPr>
                          <w:rFonts w:eastAsia="Calibri"/>
                          <w:szCs w:val="24"/>
                        </w:rPr>
                      </w:pPr>
                      <w:sdt>
                        <w:sdtPr>
                          <w:alias w:val="Numeris"/>
                          <w:tag w:val="nr_22d87da58b4d48878807ce8e5a93dfac"/>
                          <w:lock w:val="sdtLocked"/>
                          <w:richText/>
                        </w:sdtPr>
                        <w:sdtContent>
                          <w:r>
                            <w:rPr>
                              <w:rFonts w:eastAsia="Calibri"/>
                              <w:szCs w:val="24"/>
                            </w:rPr>
                            <w:t>46.1</w:t>
                          </w:r>
                        </w:sdtContent>
                      </w:sdt>
                      <w:r>
                        <w:rPr>
                          <w:rFonts w:eastAsia="Calibri"/>
                          <w:szCs w:val="24"/>
                        </w:rPr>
                        <w:t>. šildymo sistemų projektiniuose sprendimuose pirmenybė turi būti teikiama šilumos šaltiniams, kurių naudingumo koeficientas didžiausias, šilumos šaltinio naudojamo energijos šaltinio neatsinaujinančios pirminės energijos faktoriaus vertė mažiausia, o atsinaujinančios pirminės energijos faktoriaus vertė didžiausia;</w:t>
                      </w:r>
                    </w:p>
                  </w:sdtContent>
                </w:sdt>
                <w:sdt>
                  <w:sdtPr>
                    <w:alias w:val="46.2 pp."/>
                    <w:tag w:val="part_fa313c0ac8634fdba4a6e5e45493df9b"/>
                    <w:lock w:val="sdtLocked"/>
                    <w:richText/>
                  </w:sdtPr>
                  <w:sdtContent>
                    <w:p>
                      <w:pPr>
                        <w:suppressAutoHyphens/>
                        <w:ind w:firstLine="567"/>
                        <w:jc w:val="both"/>
                        <w:textAlignment w:val="center"/>
                        <w:rPr>
                          <w:rFonts w:eastAsia="Calibri"/>
                          <w:szCs w:val="24"/>
                        </w:rPr>
                      </w:pPr>
                      <w:sdt>
                        <w:sdtPr>
                          <w:alias w:val="Numeris"/>
                          <w:tag w:val="nr_fa313c0ac8634fdba4a6e5e45493df9b"/>
                          <w:lock w:val="sdtLocked"/>
                          <w:richText/>
                        </w:sdtPr>
                        <w:sdtContent>
                          <w:r>
                            <w:rPr>
                              <w:rFonts w:eastAsia="Calibri"/>
                              <w:szCs w:val="24"/>
                            </w:rPr>
                            <w:t>46.2</w:t>
                          </w:r>
                        </w:sdtContent>
                      </w:sdt>
                      <w:r>
                        <w:rPr>
                          <w:rFonts w:eastAsia="Calibri"/>
                          <w:szCs w:val="24"/>
                        </w:rPr>
                        <w:t>. šildymo sistemų projektiniuose sprendimuose pirmenybė turi būti teikiama šildymo sistemos reguliavimo įtaisams, apimantiems viso pastato patalpų šildymo reguliavimą, su termostatiniais šildymo prietaisų ventiliais ir patalpų arba išorės termostatu;</w:t>
                      </w:r>
                    </w:p>
                  </w:sdtContent>
                </w:sdt>
                <w:sdt>
                  <w:sdtPr>
                    <w:alias w:val="46.3 pp."/>
                    <w:tag w:val="part_f7fa905251064394b6ec95e73ff79767"/>
                    <w:lock w:val="sdtLocked"/>
                    <w:richText/>
                  </w:sdtPr>
                  <w:sdtContent>
                    <w:p>
                      <w:pPr>
                        <w:suppressAutoHyphens/>
                        <w:ind w:firstLine="567"/>
                        <w:jc w:val="both"/>
                        <w:textAlignment w:val="center"/>
                        <w:rPr>
                          <w:rFonts w:eastAsia="Calibri"/>
                          <w:szCs w:val="24"/>
                        </w:rPr>
                      </w:pPr>
                      <w:sdt>
                        <w:sdtPr>
                          <w:alias w:val="Numeris"/>
                          <w:tag w:val="nr_f7fa905251064394b6ec95e73ff79767"/>
                          <w:lock w:val="sdtLocked"/>
                          <w:richText/>
                        </w:sdtPr>
                        <w:sdtContent>
                          <w:r>
                            <w:rPr>
                              <w:rFonts w:eastAsia="Calibri"/>
                              <w:szCs w:val="24"/>
                            </w:rPr>
                            <w:t>46.3</w:t>
                          </w:r>
                        </w:sdtContent>
                      </w:sdt>
                      <w:r>
                        <w:rPr>
                          <w:rFonts w:eastAsia="Calibri"/>
                          <w:szCs w:val="24"/>
                        </w:rPr>
                        <w:t>. atitinkamos energinio naudingumo klasės pastato (jo dalies) projektinės metinės šiluminės energijos sąnaudos pastatui (jo daliai) šildyti turi atitikti Reglamento 2 priedo XXIX skyriaus reikalavimus.</w:t>
                      </w:r>
                    </w:p>
                  </w:sdtContent>
                </w:sdt>
              </w:sdtContent>
            </w:sdt>
            <w:sdt>
              <w:sdtPr>
                <w:alias w:val="47 p."/>
                <w:tag w:val="part_0556d6311dfb44ab80ed7716cb832f3f"/>
                <w:lock w:val="sdtLocked"/>
                <w:richText/>
              </w:sdtPr>
              <w:sdtContent>
                <w:p>
                  <w:pPr>
                    <w:ind w:firstLine="567"/>
                    <w:jc w:val="both"/>
                    <w:rPr>
                      <w:rFonts w:eastAsia="Calibri"/>
                      <w:szCs w:val="24"/>
                    </w:rPr>
                  </w:pPr>
                  <w:sdt>
                    <w:sdtPr>
                      <w:alias w:val="Numeris"/>
                      <w:tag w:val="nr_0556d6311dfb44ab80ed7716cb832f3f"/>
                      <w:lock w:val="sdtLocked"/>
                      <w:richText/>
                    </w:sdtPr>
                    <w:sdtContent>
                      <w:r>
                        <w:rPr>
                          <w:rFonts w:eastAsia="Calibri"/>
                          <w:szCs w:val="24"/>
                        </w:rPr>
                        <w:t>47</w:t>
                      </w:r>
                    </w:sdtContent>
                  </w:sdt>
                  <w:r>
                    <w:rPr>
                      <w:rFonts w:eastAsia="Calibri"/>
                      <w:szCs w:val="24"/>
                    </w:rPr>
                    <w:t>. Pastato (jo dalies) karšto buitinio vandens ruošimo sistemos energinio naudingumo projektavimo reikalavimai:</w:t>
                  </w:r>
                </w:p>
                <w:sdt>
                  <w:sdtPr>
                    <w:alias w:val="47.1 pp."/>
                    <w:tag w:val="part_ea511b6ad52740b781efe71000314cd3"/>
                    <w:lock w:val="sdtLocked"/>
                    <w:richText/>
                  </w:sdtPr>
                  <w:sdtContent>
                    <w:p>
                      <w:pPr>
                        <w:suppressAutoHyphens/>
                        <w:ind w:firstLine="567"/>
                        <w:jc w:val="both"/>
                        <w:textAlignment w:val="center"/>
                        <w:rPr>
                          <w:rFonts w:eastAsia="Calibri"/>
                          <w:szCs w:val="24"/>
                        </w:rPr>
                      </w:pPr>
                      <w:sdt>
                        <w:sdtPr>
                          <w:alias w:val="Numeris"/>
                          <w:tag w:val="nr_ea511b6ad52740b781efe71000314cd3"/>
                          <w:lock w:val="sdtLocked"/>
                          <w:richText/>
                        </w:sdtPr>
                        <w:sdtContent>
                          <w:r>
                            <w:rPr>
                              <w:rFonts w:eastAsia="Calibri"/>
                              <w:szCs w:val="24"/>
                            </w:rPr>
                            <w:t>47.1</w:t>
                          </w:r>
                        </w:sdtContent>
                      </w:sdt>
                      <w:r>
                        <w:rPr>
                          <w:rFonts w:eastAsia="Calibri"/>
                          <w:szCs w:val="24"/>
                        </w:rPr>
                        <w:t>. karšto buitinio vandens ruošimo sistemų projektiniuose sprendimuose pirmenybė turi būti teikiama karšto vandens ruošimo įrangai, kurios naudingumo koeficientas didžiausias, įrangos naudojamo energijos šaltinio neatsinaujinančios pirminės energijos faktoriaus vertė mažiausia, o atsinaujinančios pirminės energijos faktoriaus vertė didžiausia;</w:t>
                      </w:r>
                    </w:p>
                  </w:sdtContent>
                </w:sdt>
                <w:sdt>
                  <w:sdtPr>
                    <w:alias w:val="47.2 pp."/>
                    <w:tag w:val="part_89b68fed4e934de6802f0b51ddb6c513"/>
                    <w:lock w:val="sdtLocked"/>
                    <w:richText/>
                  </w:sdtPr>
                  <w:sdtContent>
                    <w:p>
                      <w:pPr>
                        <w:suppressAutoHyphens/>
                        <w:ind w:firstLine="567"/>
                        <w:jc w:val="both"/>
                        <w:textAlignment w:val="center"/>
                        <w:rPr>
                          <w:rFonts w:eastAsia="Calibri"/>
                          <w:szCs w:val="24"/>
                        </w:rPr>
                      </w:pPr>
                      <w:sdt>
                        <w:sdtPr>
                          <w:alias w:val="Numeris"/>
                          <w:tag w:val="nr_89b68fed4e934de6802f0b51ddb6c513"/>
                          <w:lock w:val="sdtLocked"/>
                          <w:richText/>
                        </w:sdtPr>
                        <w:sdtContent>
                          <w:r>
                            <w:rPr>
                              <w:rFonts w:eastAsia="Calibri"/>
                              <w:szCs w:val="24"/>
                            </w:rPr>
                            <w:t>47.2</w:t>
                          </w:r>
                        </w:sdtContent>
                      </w:sdt>
                      <w:r>
                        <w:rPr>
                          <w:rFonts w:eastAsia="Calibri"/>
                          <w:szCs w:val="24"/>
                        </w:rPr>
                        <w:t>. karšto buitinio vandens ruošimo sistemų projektiniuose sprendimuose pirmenybė turi būti teikiama sistemoms be cirkuliacinio kontūro (be vamzdynų tarp karšto vandens ruošimo įrangos ir paskirstymo stovų bei paskirstymo stovų vamzdynų [3.24]) ir į vartotojo elgseną reaguojantiems šių sistemų reguliavimo įtaisams;</w:t>
                      </w:r>
                    </w:p>
                  </w:sdtContent>
                </w:sdt>
                <w:sdt>
                  <w:sdtPr>
                    <w:alias w:val="47.3 pp."/>
                    <w:tag w:val="part_73c2ea34e0c94515a97d7dfa643247b0"/>
                    <w:lock w:val="sdtLocked"/>
                    <w:richText/>
                  </w:sdtPr>
                  <w:sdtContent>
                    <w:p>
                      <w:pPr>
                        <w:suppressAutoHyphens/>
                        <w:ind w:firstLine="567"/>
                        <w:jc w:val="both"/>
                        <w:textAlignment w:val="center"/>
                        <w:rPr>
                          <w:rFonts w:eastAsia="Calibri"/>
                          <w:szCs w:val="24"/>
                        </w:rPr>
                      </w:pPr>
                      <w:sdt>
                        <w:sdtPr>
                          <w:alias w:val="Numeris"/>
                          <w:tag w:val="nr_73c2ea34e0c94515a97d7dfa643247b0"/>
                          <w:lock w:val="sdtLocked"/>
                          <w:richText/>
                        </w:sdtPr>
                        <w:sdtContent>
                          <w:r>
                            <w:rPr>
                              <w:rFonts w:eastAsia="Calibri"/>
                              <w:szCs w:val="24"/>
                            </w:rPr>
                            <w:t>47.3</w:t>
                          </w:r>
                        </w:sdtContent>
                      </w:sdt>
                      <w:r>
                        <w:rPr>
                          <w:rFonts w:eastAsia="Calibri"/>
                          <w:szCs w:val="24"/>
                        </w:rPr>
                        <w:t>. atitinkamos energinio naudingumo klasės pastato karšto buitinio vandens ruošimo sistemos energijos vartojimo efektyvumo rodiklio vertė C</w:t>
                      </w:r>
                      <w:r>
                        <w:rPr>
                          <w:rFonts w:eastAsia="Calibri"/>
                          <w:szCs w:val="24"/>
                          <w:vertAlign w:val="subscript"/>
                        </w:rPr>
                        <w:t>2</w:t>
                      </w:r>
                      <w:r>
                        <w:rPr>
                          <w:rFonts w:eastAsia="Calibri"/>
                          <w:szCs w:val="24"/>
                        </w:rPr>
                        <w:t xml:space="preserve"> turi atitikti Reglamento 14 ir 15 punktų reikalavimus.</w:t>
                      </w:r>
                    </w:p>
                  </w:sdtContent>
                </w:sdt>
                <w:sdt>
                  <w:sdtPr>
                    <w:alias w:val="48 p."/>
                    <w:tag w:val="part_991a1de0780e4b2aaf751605ed8e8d01"/>
                    <w:lock w:val="sdtLocked"/>
                    <w:richText/>
                  </w:sdtPr>
                  <w:sdtContent>
                    <w:p>
                      <w:pPr>
                        <w:ind w:firstLine="567"/>
                        <w:jc w:val="both"/>
                        <w:rPr>
                          <w:rFonts w:eastAsia="Calibri"/>
                          <w:szCs w:val="24"/>
                        </w:rPr>
                      </w:pPr>
                      <w:sdt>
                        <w:sdtPr>
                          <w:alias w:val="Numeris"/>
                          <w:tag w:val="nr_991a1de0780e4b2aaf751605ed8e8d01"/>
                          <w:lock w:val="sdtLocked"/>
                          <w:richText/>
                        </w:sdtPr>
                        <w:sdtContent>
                          <w:r>
                            <w:rPr>
                              <w:rFonts w:eastAsia="Calibri"/>
                              <w:szCs w:val="24"/>
                            </w:rPr>
                            <w:t>48</w:t>
                          </w:r>
                        </w:sdtContent>
                      </w:sdt>
                      <w:r>
                        <w:rPr>
                          <w:rFonts w:eastAsia="Calibri"/>
                          <w:szCs w:val="24"/>
                        </w:rPr>
                        <w:t>. Pastato (jo dalies) vėdinimo sistemos energinio naudingumo projektavimo reikalavimai:</w:t>
                      </w:r>
                    </w:p>
                    <w:sdt>
                      <w:sdtPr>
                        <w:alias w:val="48.1 pp."/>
                        <w:tag w:val="part_4a980d17f2ad46bbb96ee7371c46e12d"/>
                        <w:lock w:val="sdtLocked"/>
                        <w:richText/>
                      </w:sdtPr>
                      <w:sdtContent>
                        <w:p>
                          <w:pPr>
                            <w:suppressAutoHyphens/>
                            <w:ind w:firstLine="567"/>
                            <w:jc w:val="both"/>
                            <w:textAlignment w:val="center"/>
                            <w:rPr>
                              <w:rFonts w:eastAsia="Calibri"/>
                              <w:szCs w:val="24"/>
                            </w:rPr>
                          </w:pPr>
                          <w:sdt>
                            <w:sdtPr>
                              <w:alias w:val="Numeris"/>
                              <w:tag w:val="nr_4a980d17f2ad46bbb96ee7371c46e12d"/>
                              <w:lock w:val="sdtLocked"/>
                              <w:richText/>
                            </w:sdtPr>
                            <w:sdtContent>
                              <w:r>
                                <w:rPr>
                                  <w:rFonts w:eastAsia="Calibri"/>
                                  <w:szCs w:val="24"/>
                                </w:rPr>
                                <w:t>48.1</w:t>
                              </w:r>
                            </w:sdtContent>
                          </w:sdt>
                          <w:r>
                            <w:rPr>
                              <w:rFonts w:eastAsia="Calibri"/>
                              <w:szCs w:val="24"/>
                            </w:rPr>
                            <w:t>. mechaninių vėdinimo sistemų projektiniuose sprendimuose pirmenybė turi būti teikiama vėdinimo sistemų įrenginiams, kurių naudingumo koeficientas didžiausias, vėdinimo įrenginio naudojamo energijos šaltinio neatsinaujinančios pirminės energijos faktoriaus vertė mažiausia, o atsinaujinančios pirminės energijos faktoriaus vertė didžiausia;</w:t>
                          </w:r>
                        </w:p>
                      </w:sdtContent>
                    </w:sdt>
                    <w:sdt>
                      <w:sdtPr>
                        <w:alias w:val="48.2 pp."/>
                        <w:tag w:val="part_5af4237af01d4b6bb44a3b19b64d2e59"/>
                        <w:lock w:val="sdtLocked"/>
                        <w:richText/>
                      </w:sdtPr>
                      <w:sdtContent>
                        <w:p>
                          <w:pPr>
                            <w:suppressAutoHyphens/>
                            <w:ind w:firstLine="567"/>
                            <w:jc w:val="both"/>
                            <w:textAlignment w:val="center"/>
                            <w:rPr>
                              <w:rFonts w:eastAsia="Calibri"/>
                              <w:szCs w:val="24"/>
                            </w:rPr>
                          </w:pPr>
                          <w:sdt>
                            <w:sdtPr>
                              <w:alias w:val="Numeris"/>
                              <w:tag w:val="nr_5af4237af01d4b6bb44a3b19b64d2e59"/>
                              <w:lock w:val="sdtLocked"/>
                              <w:richText/>
                            </w:sdtPr>
                            <w:sdtContent>
                              <w:r>
                                <w:rPr>
                                  <w:rFonts w:eastAsia="Calibri"/>
                                  <w:szCs w:val="24"/>
                                </w:rPr>
                                <w:t>48.2</w:t>
                              </w:r>
                            </w:sdtContent>
                          </w:sdt>
                          <w:r>
                            <w:rPr>
                              <w:rFonts w:eastAsia="Calibri"/>
                              <w:szCs w:val="24"/>
                            </w:rPr>
                            <w:t>. jei pastate (jo dalyje) įrengta mechaninio vėdinimo su rekuperacija sistema, atitinkamos energinio naudingumo klasės pastato (jo dalies) rekuperatoriaus naudingumo koeficiento vertė [3.21] ir rekuperatoriaus ventiliatorių sunaudojamas elektros energijos kiekis turi atitikti Reglamento 14 punkto reikalavimus.</w:t>
                          </w:r>
                        </w:p>
                      </w:sdtContent>
                    </w:sdt>
                  </w:sdtContent>
                </w:sdt>
                <w:sdt>
                  <w:sdtPr>
                    <w:alias w:val="49 p."/>
                    <w:tag w:val="part_ca75e14f297640c9b15ddb72ec38d15f"/>
                    <w:lock w:val="sdtLocked"/>
                    <w:richText/>
                  </w:sdtPr>
                  <w:sdtContent>
                    <w:p>
                      <w:pPr>
                        <w:ind w:firstLine="567"/>
                        <w:jc w:val="both"/>
                        <w:rPr>
                          <w:rFonts w:eastAsia="Calibri"/>
                          <w:szCs w:val="24"/>
                        </w:rPr>
                      </w:pPr>
                      <w:sdt>
                        <w:sdtPr>
                          <w:alias w:val="Numeris"/>
                          <w:tag w:val="nr_ca75e14f297640c9b15ddb72ec38d15f"/>
                          <w:lock w:val="sdtLocked"/>
                          <w:richText/>
                        </w:sdtPr>
                        <w:sdtContent>
                          <w:r>
                            <w:rPr>
                              <w:rFonts w:eastAsia="Calibri"/>
                              <w:szCs w:val="24"/>
                            </w:rPr>
                            <w:t>49</w:t>
                          </w:r>
                        </w:sdtContent>
                      </w:sdt>
                      <w:r>
                        <w:rPr>
                          <w:rFonts w:eastAsia="Calibri"/>
                          <w:szCs w:val="24"/>
                        </w:rPr>
                        <w:t>. Projektuojant pastato (jo dalies) inžinerines sistemas, vartojančias atsinaujinančių išteklių energiją, pagamintą iš biokuro, saulės kolektoriuose [3.25], [3.26], vėjo elektrinėse, hidroelektrinėse ir kt., turi būti įvertinta, kad šių sistemų pagamintas didesnis negu pastate (jo dalyje) suvartojamas energijos kiekis, į pastato (jo dalies) projektines neatsinaujinančios ir atsinaujinančios pirminės energijos sąnaudas neįskaitomas (t. y. šis didesnis energijos kiekiai pastato (jo dalies) energinio naudingumo rodikliams įtakos neturi).</w:t>
                      </w:r>
                    </w:p>
                  </w:sdtContent>
                </w:sdt>
                <w:sdt>
                  <w:sdtPr>
                    <w:alias w:val="50 p."/>
                    <w:tag w:val="part_172f9a0872944fe39251e84baa228798"/>
                    <w:lock w:val="sdtLocked"/>
                    <w:richText/>
                  </w:sdtPr>
                  <w:sdtContent>
                    <w:p>
                      <w:pPr>
                        <w:ind w:firstLine="567"/>
                        <w:jc w:val="both"/>
                        <w:rPr>
                          <w:rFonts w:eastAsia="Calibri"/>
                          <w:szCs w:val="24"/>
                        </w:rPr>
                      </w:pPr>
                      <w:sdt>
                        <w:sdtPr>
                          <w:alias w:val="Numeris"/>
                          <w:tag w:val="nr_172f9a0872944fe39251e84baa228798"/>
                          <w:lock w:val="sdtLocked"/>
                          <w:richText/>
                        </w:sdtPr>
                        <w:sdtContent>
                          <w:r>
                            <w:rPr>
                              <w:rFonts w:eastAsia="Calibri"/>
                              <w:szCs w:val="24"/>
                            </w:rPr>
                            <w:t>50</w:t>
                          </w:r>
                        </w:sdtContent>
                      </w:sdt>
                      <w:r>
                        <w:rPr>
                          <w:rFonts w:eastAsia="Calibri"/>
                          <w:szCs w:val="24"/>
                        </w:rPr>
                        <w:t>. Pastato (jo dalies) inžinerinių sistemų norminės neatsinaujinančios pirminės energijos sąnaudos naudojamos nustatant pastato (jo dalies) energijos efektyvumo vartojimo rodiklių C</w:t>
                      </w:r>
                      <w:r>
                        <w:rPr>
                          <w:rFonts w:eastAsia="Calibri"/>
                          <w:szCs w:val="24"/>
                          <w:vertAlign w:val="subscript"/>
                        </w:rPr>
                        <w:t>1</w:t>
                      </w:r>
                      <w:r>
                        <w:rPr>
                          <w:rFonts w:eastAsia="Calibri"/>
                          <w:szCs w:val="24"/>
                        </w:rPr>
                        <w:t xml:space="preserve"> ir C</w:t>
                      </w:r>
                      <w:r>
                        <w:rPr>
                          <w:rFonts w:eastAsia="Calibri"/>
                          <w:szCs w:val="24"/>
                          <w:vertAlign w:val="subscript"/>
                        </w:rPr>
                        <w:t>2</w:t>
                      </w:r>
                      <w:r>
                        <w:rPr>
                          <w:rFonts w:eastAsia="Calibri"/>
                          <w:szCs w:val="24"/>
                        </w:rPr>
                        <w:t xml:space="preserve"> vertes, pagal kurias pastatui (jo daliai) priskiriama energinio naudingumo klasė. Pastato (jo dalies) inžinerinių sistemų projektinės neatsinaujinančios pirminės energijos sąnaudos gali būti didesnės už normines ir tai nelaikoma reikalavimų pažeidimu, tačiau daro poveikį pastatą (jo dalį) priskiriant energinio naudingumo klasei.</w:t>
                      </w:r>
                    </w:p>
                    <w:p>
                      <w:pPr>
                        <w:keepNext/>
                        <w:jc w:val="center"/>
                        <w:rPr>
                          <w:b/>
                          <w:bCs/>
                          <w:iCs/>
                          <w:caps/>
                          <w:spacing w:val="-4"/>
                          <w:szCs w:val="24"/>
                          <w:lang w:eastAsia="lt-LT"/>
                        </w:rPr>
                      </w:pPr>
                    </w:p>
                  </w:sdtContent>
                </w:sdt>
              </w:sdtContent>
            </w:sdt>
          </w:sdtContent>
        </w:sdt>
        <w:sdt>
          <w:sdtPr>
            <w:alias w:val="skyrius"/>
            <w:tag w:val="part_425765db30c740dbbbf406a4aec2fa4c"/>
            <w:lock w:val="sdtLocked"/>
            <w:richText/>
          </w:sdtPr>
          <w:sdtContent>
            <w:p>
              <w:pPr>
                <w:keepNext/>
                <w:jc w:val="center"/>
                <w:rPr>
                  <w:b/>
                  <w:bCs/>
                  <w:iCs/>
                  <w:caps/>
                  <w:spacing w:val="-4"/>
                  <w:szCs w:val="24"/>
                  <w:lang w:eastAsia="lt-LT"/>
                </w:rPr>
              </w:pPr>
              <w:r>
                <w:rPr>
                  <w:b/>
                  <w:bCs/>
                  <w:iCs/>
                  <w:caps/>
                  <w:spacing w:val="-4"/>
                  <w:szCs w:val="24"/>
                  <w:lang w:eastAsia="lt-LT"/>
                </w:rPr>
                <w:t>XII. skyrius</w:t>
              </w:r>
            </w:p>
            <w:p>
              <w:pPr>
                <w:keepNext/>
                <w:jc w:val="center"/>
                <w:rPr>
                  <w:b/>
                  <w:bCs/>
                  <w:iCs/>
                  <w:caps/>
                  <w:spacing w:val="-4"/>
                  <w:szCs w:val="24"/>
                  <w:lang w:eastAsia="lt-LT"/>
                </w:rPr>
              </w:pPr>
              <w:sdt>
                <w:sdtPr>
                  <w:alias w:val="Pavadinimas"/>
                  <w:tag w:val="title_425765db30c740dbbbf406a4aec2fa4c"/>
                  <w:lock w:val="sdtLocked"/>
                  <w:richText/>
                </w:sdtPr>
                <w:sdtContent>
                  <w:r>
                    <w:rPr>
                      <w:b/>
                      <w:bCs/>
                      <w:iCs/>
                      <w:caps/>
                      <w:spacing w:val="-4"/>
                      <w:szCs w:val="24"/>
                      <w:lang w:eastAsia="lt-LT"/>
                    </w:rPr>
                    <w:t>Atitvarų drėgminės būklės projektavimo reikalavimai</w:t>
                  </w:r>
                </w:sdtContent>
              </w:sdt>
            </w:p>
            <w:p>
              <w:pPr>
                <w:ind w:firstLine="567"/>
                <w:jc w:val="both"/>
                <w:rPr>
                  <w:szCs w:val="24"/>
                  <w:lang w:eastAsia="lt-LT"/>
                </w:rPr>
              </w:pPr>
            </w:p>
            <w:sdt>
              <w:sdtPr>
                <w:alias w:val="51 p."/>
                <w:tag w:val="part_156a4debec154be2993765356c2cf216"/>
                <w:lock w:val="sdtLocked"/>
                <w:richText/>
              </w:sdtPr>
              <w:sdtContent>
                <w:p>
                  <w:pPr>
                    <w:ind w:firstLine="567"/>
                    <w:jc w:val="both"/>
                    <w:rPr>
                      <w:szCs w:val="24"/>
                      <w:lang w:eastAsia="lt-LT"/>
                    </w:rPr>
                  </w:pPr>
                  <w:sdt>
                    <w:sdtPr>
                      <w:alias w:val="Numeris"/>
                      <w:tag w:val="nr_156a4debec154be2993765356c2cf216"/>
                      <w:lock w:val="sdtLocked"/>
                      <w:richText/>
                    </w:sdtPr>
                    <w:sdtContent>
                      <w:r>
                        <w:rPr>
                          <w:szCs w:val="24"/>
                          <w:lang w:eastAsia="lt-LT"/>
                        </w:rPr>
                        <w:t>51</w:t>
                      </w:r>
                    </w:sdtContent>
                  </w:sdt>
                  <w:r>
                    <w:rPr>
                      <w:szCs w:val="24"/>
                      <w:lang w:eastAsia="lt-LT"/>
                    </w:rPr>
                    <w:t xml:space="preserve">. Pastatų atitvarų drėgminės būklės projektavimui naudojamas </w:t>
                  </w:r>
                  <w:r>
                    <w:rPr>
                      <w:bCs/>
                      <w:szCs w:val="24"/>
                      <w:lang w:eastAsia="lt-LT"/>
                    </w:rPr>
                    <w:t>LST EN ISO 13788:2002</w:t>
                  </w:r>
                  <w:r>
                    <w:rPr>
                      <w:szCs w:val="24"/>
                      <w:lang w:eastAsia="lt-LT"/>
                    </w:rPr>
                    <w:t xml:space="preserve"> [3.38] nurodytas skaičiavimo metodas arba tikslesni, nenuostoviąsias drėgminės būklės kitimo sąlygas įvertinantys skaičiavimo metodai. Jei atitvarų drėgminės būklės projektavimui naudojami keli skaičiavimo metodai, pirmenybė turi būti teikiama metodui, kuriuo gaunamas rezultatas su mažiausia rizika. Šiems projektiniams skaičiavimams turi būti naudojami Reglamento 9 priede nurodyti duomenys.</w:t>
                  </w:r>
                </w:p>
              </w:sdtContent>
            </w:sdt>
            <w:sdt>
              <w:sdtPr>
                <w:alias w:val="52 p."/>
                <w:tag w:val="part_94929c71cefd42b788fbcd4771690184"/>
                <w:lock w:val="sdtLocked"/>
                <w:richText/>
              </w:sdtPr>
              <w:sdtContent>
                <w:p>
                  <w:pPr>
                    <w:ind w:firstLine="567"/>
                    <w:jc w:val="both"/>
                    <w:rPr>
                      <w:szCs w:val="24"/>
                      <w:lang w:eastAsia="lt-LT"/>
                    </w:rPr>
                  </w:pPr>
                  <w:sdt>
                    <w:sdtPr>
                      <w:alias w:val="Numeris"/>
                      <w:tag w:val="nr_94929c71cefd42b788fbcd4771690184"/>
                      <w:lock w:val="sdtLocked"/>
                      <w:richText/>
                    </w:sdtPr>
                    <w:sdtContent>
                      <w:r>
                        <w:rPr>
                          <w:szCs w:val="24"/>
                          <w:lang w:eastAsia="lt-LT"/>
                        </w:rPr>
                        <w:t>52</w:t>
                      </w:r>
                    </w:sdtContent>
                  </w:sdt>
                  <w:r>
                    <w:rPr>
                      <w:szCs w:val="24"/>
                      <w:lang w:eastAsia="lt-LT"/>
                    </w:rPr>
                    <w:t xml:space="preserve">. Bet kurį metų mėnesį didžiausias leistinas drėgmės kiekis atitvarose esančiuose statybos produktuose </w:t>
                  </w:r>
                  <w:r>
                    <w:rPr>
                      <w:i/>
                      <w:szCs w:val="24"/>
                      <w:lang w:eastAsia="lt-LT"/>
                    </w:rPr>
                    <w:t>u</w:t>
                  </w:r>
                  <w:r>
                    <w:rPr>
                      <w:i/>
                      <w:szCs w:val="24"/>
                      <w:vertAlign w:val="subscript"/>
                      <w:lang w:eastAsia="lt-LT"/>
                    </w:rPr>
                    <w:t>max</w:t>
                  </w:r>
                  <w:r>
                    <w:rPr>
                      <w:szCs w:val="24"/>
                      <w:vertAlign w:val="subscript"/>
                      <w:lang w:eastAsia="lt-LT"/>
                    </w:rPr>
                    <w:t xml:space="preserve"> </w:t>
                  </w:r>
                  <w:r>
                    <w:rPr>
                      <w:szCs w:val="24"/>
                      <w:lang w:eastAsia="lt-LT"/>
                    </w:rPr>
                    <w:t>(kg/kg), apskaičiuotas pagal [3.38] reikalavimus, neturi būti didesnis už nurodytą Reglamento 9 priede.</w:t>
                  </w:r>
                </w:p>
              </w:sdtContent>
            </w:sdt>
            <w:sdt>
              <w:sdtPr>
                <w:alias w:val="53 p."/>
                <w:tag w:val="part_12bdb673ca6e4d4ba7aeda3b485bf7fc"/>
                <w:lock w:val="sdtLocked"/>
                <w:richText/>
              </w:sdtPr>
              <w:sdtContent>
                <w:p>
                  <w:pPr>
                    <w:ind w:firstLine="567"/>
                    <w:jc w:val="both"/>
                    <w:rPr>
                      <w:szCs w:val="24"/>
                      <w:lang w:eastAsia="lt-LT"/>
                    </w:rPr>
                  </w:pPr>
                  <w:sdt>
                    <w:sdtPr>
                      <w:alias w:val="Numeris"/>
                      <w:tag w:val="nr_12bdb673ca6e4d4ba7aeda3b485bf7fc"/>
                      <w:lock w:val="sdtLocked"/>
                      <w:richText/>
                    </w:sdtPr>
                    <w:sdtContent>
                      <w:r>
                        <w:rPr>
                          <w:szCs w:val="24"/>
                          <w:lang w:eastAsia="lt-LT"/>
                        </w:rPr>
                        <w:t>53</w:t>
                      </w:r>
                    </w:sdtContent>
                  </w:sdt>
                  <w:r>
                    <w:rPr>
                      <w:szCs w:val="24"/>
                      <w:lang w:eastAsia="lt-LT"/>
                    </w:rPr>
                    <w:t xml:space="preserve">. Atitvaros turi būti suprojektuotos, kad šaltuoju metu jose susikaupusi drėgmė šiltuoju metu išgaruotų. </w:t>
                  </w:r>
                </w:p>
              </w:sdtContent>
            </w:sdt>
            <w:sdt>
              <w:sdtPr>
                <w:alias w:val="54 p."/>
                <w:tag w:val="part_bf78c147c3e6485f804ebb690309ede4"/>
                <w:lock w:val="sdtLocked"/>
                <w:richText/>
              </w:sdtPr>
              <w:sdtContent>
                <w:p>
                  <w:pPr>
                    <w:ind w:firstLine="567"/>
                    <w:jc w:val="both"/>
                    <w:rPr>
                      <w:szCs w:val="24"/>
                      <w:lang w:eastAsia="lt-LT"/>
                    </w:rPr>
                  </w:pPr>
                  <w:sdt>
                    <w:sdtPr>
                      <w:alias w:val="Numeris"/>
                      <w:tag w:val="nr_bf78c147c3e6485f804ebb690309ede4"/>
                      <w:lock w:val="sdtLocked"/>
                      <w:richText/>
                    </w:sdtPr>
                    <w:sdtContent>
                      <w:r>
                        <w:rPr>
                          <w:szCs w:val="24"/>
                          <w:lang w:eastAsia="lt-LT"/>
                        </w:rPr>
                        <w:t>54</w:t>
                      </w:r>
                    </w:sdtContent>
                  </w:sdt>
                  <w:r>
                    <w:rPr>
                      <w:szCs w:val="24"/>
                      <w:lang w:eastAsia="lt-LT"/>
                    </w:rPr>
                    <w:t xml:space="preserve">. Mediniuose pastato elementuose atitvarų viduje ir atitvarų paviršiuose kondensacija neleistina. </w:t>
                  </w:r>
                </w:p>
              </w:sdtContent>
            </w:sdt>
            <w:sdt>
              <w:sdtPr>
                <w:alias w:val="55 p."/>
                <w:tag w:val="part_aa1a0005ab8747798eb4ea17099b9012"/>
                <w:lock w:val="sdtLocked"/>
                <w:richText/>
              </w:sdtPr>
              <w:sdtContent>
                <w:p>
                  <w:pPr>
                    <w:ind w:firstLine="567"/>
                    <w:jc w:val="both"/>
                    <w:rPr>
                      <w:szCs w:val="24"/>
                      <w:lang w:eastAsia="lt-LT"/>
                    </w:rPr>
                  </w:pPr>
                  <w:sdt>
                    <w:sdtPr>
                      <w:alias w:val="Numeris"/>
                      <w:tag w:val="nr_aa1a0005ab8747798eb4ea17099b9012"/>
                      <w:lock w:val="sdtLocked"/>
                      <w:richText/>
                    </w:sdtPr>
                    <w:sdtContent>
                      <w:r>
                        <w:rPr>
                          <w:szCs w:val="24"/>
                          <w:lang w:eastAsia="lt-LT"/>
                        </w:rPr>
                        <w:t>55</w:t>
                      </w:r>
                    </w:sdtContent>
                  </w:sdt>
                  <w:r>
                    <w:rPr>
                      <w:szCs w:val="24"/>
                      <w:lang w:eastAsia="lt-LT"/>
                    </w:rPr>
                    <w:t>. Siekiant išvengti kondensacijos ant langų, stoglangių ir švieslangių rėmų paviršių, šių rėmų šilumos perdavimo koeficientas turi būti ne didesnis už nurodytą 12 lentelėje.</w:t>
                  </w:r>
                </w:p>
                <w:p>
                  <w:pPr>
                    <w:ind w:firstLine="720"/>
                    <w:jc w:val="both"/>
                    <w:rPr>
                      <w:rFonts w:eastAsia="Calibri"/>
                      <w:spacing w:val="-4"/>
                      <w:szCs w:val="24"/>
                    </w:rPr>
                  </w:pPr>
                </w:p>
                <w:sdt>
                  <w:sdtPr>
                    <w:alias w:val="lentele"/>
                    <w:tag w:val="part_2392e9d26d38424082ba42b2665b9d76"/>
                    <w:lock w:val="sdtLocked"/>
                    <w:richText/>
                  </w:sdtPr>
                  <w:sdtContent>
                    <w:p>
                      <w:pPr>
                        <w:jc w:val="center"/>
                        <w:rPr>
                          <w:rFonts w:eastAsia="Calibri"/>
                          <w:b/>
                          <w:szCs w:val="24"/>
                        </w:rPr>
                      </w:pPr>
                      <w:sdt>
                        <w:sdtPr>
                          <w:alias w:val="Pavadinimas"/>
                          <w:tag w:val="title_2392e9d26d38424082ba42b2665b9d76"/>
                          <w:lock w:val="sdtLocked"/>
                          <w:richText/>
                        </w:sdtPr>
                        <w:sdtContent>
                          <w:r>
                            <w:rPr>
                              <w:rFonts w:eastAsia="Calibri"/>
                              <w:b/>
                              <w:szCs w:val="24"/>
                            </w:rPr>
                            <w:t xml:space="preserve">Didžiausios leistinosios langų, stoglangių ir švieslangių rėmų šilumos perdavimo koeficientų </w:t>
                          </w:r>
                          <w:r>
                            <w:rPr>
                              <w:rFonts w:eastAsia="Calibri"/>
                              <w:b/>
                              <w:i/>
                              <w:spacing w:val="-4"/>
                              <w:szCs w:val="24"/>
                            </w:rPr>
                            <w:t>U</w:t>
                          </w:r>
                          <w:r>
                            <w:rPr>
                              <w:rFonts w:eastAsia="Calibri"/>
                              <w:b/>
                              <w:i/>
                              <w:spacing w:val="-4"/>
                              <w:szCs w:val="24"/>
                              <w:vertAlign w:val="subscript"/>
                            </w:rPr>
                            <w:t>3</w:t>
                          </w:r>
                          <w:r>
                            <w:rPr>
                              <w:rFonts w:eastAsia="Calibri"/>
                              <w:b/>
                              <w:spacing w:val="-4"/>
                              <w:szCs w:val="24"/>
                            </w:rPr>
                            <w:t xml:space="preserve"> (W/(m</w:t>
                          </w:r>
                          <w:r>
                            <w:rPr>
                              <w:rFonts w:eastAsia="Calibri"/>
                              <w:b/>
                              <w:spacing w:val="-4"/>
                              <w:szCs w:val="24"/>
                              <w:vertAlign w:val="superscript"/>
                            </w:rPr>
                            <w:t>2</w:t>
                          </w:r>
                          <w:r>
                            <w:rPr>
                              <w:rFonts w:eastAsia="Calibri"/>
                              <w:b/>
                              <w:spacing w:val="-4"/>
                              <w:szCs w:val="24"/>
                            </w:rPr>
                            <w:sym w:font="Symbol" w:char="F0D7"/>
                            <w:t xml:space="preserve">K)) </w:t>
                          </w:r>
                          <w:r>
                            <w:rPr>
                              <w:rFonts w:eastAsia="Calibri"/>
                              <w:b/>
                              <w:szCs w:val="24"/>
                            </w:rPr>
                            <w:t>vertės</w:t>
                          </w:r>
                        </w:sdtContent>
                      </w:sdt>
                    </w:p>
                    <w:p>
                      <w:pPr>
                        <w:ind w:firstLine="720"/>
                        <w:jc w:val="right"/>
                        <w:rPr>
                          <w:rFonts w:eastAsia="Calibri"/>
                          <w:szCs w:val="24"/>
                        </w:rPr>
                      </w:pPr>
                      <w:r>
                        <w:rPr>
                          <w:rFonts w:eastAsia="Calibri"/>
                          <w:spacing w:val="-4"/>
                          <w:szCs w:val="24"/>
                        </w:rPr>
                        <w:t>12 lentelė</w:t>
                      </w:r>
                    </w:p>
                    <w:tbl>
                      <w:tblPr>
                        <w:tblW w:w="4888" w:type="pct"/>
                        <w:tblInd w:w="108" w:type="dxa"/>
                        <w:tblLook w:val="04A0" w:firstRow="1" w:lastRow="0" w:firstColumn="1" w:lastColumn="0" w:noHBand="0" w:noVBand="1"/>
                      </w:tblPr>
                      <w:tblGrid>
                        <w:gridCol w:w="575"/>
                        <w:gridCol w:w="6237"/>
                        <w:gridCol w:w="2684"/>
                      </w:tblGrid>
                      <w:tr>
                        <w:trPr>
                          <w:trHeight w:val="433"/>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Eil.</w:t>
                            </w:r>
                          </w:p>
                          <w:p>
                            <w:pPr>
                              <w:spacing w:line="276" w:lineRule="auto"/>
                              <w:jc w:val="center"/>
                              <w:rPr>
                                <w:rFonts w:eastAsia="Calibri"/>
                                <w:szCs w:val="24"/>
                              </w:rPr>
                            </w:pPr>
                            <w:r>
                              <w:rPr>
                                <w:rFonts w:eastAsia="Calibri"/>
                                <w:szCs w:val="24"/>
                              </w:rPr>
                              <w:t>Nr.</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lang w:eastAsia="lt-LT"/>
                              </w:rPr>
                              <w:t>Pastato paskirtis pagal Reglamento 2 priedo 2.4 lentelę</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pacing w:val="-4"/>
                                <w:szCs w:val="24"/>
                              </w:rPr>
                            </w:pPr>
                            <w:r>
                              <w:rPr>
                                <w:rFonts w:eastAsia="Calibri"/>
                                <w:i/>
                                <w:spacing w:val="-4"/>
                                <w:szCs w:val="24"/>
                              </w:rPr>
                              <w:t>U</w:t>
                            </w:r>
                            <w:r>
                              <w:rPr>
                                <w:rFonts w:eastAsia="Calibri"/>
                                <w:i/>
                                <w:spacing w:val="-4"/>
                                <w:szCs w:val="24"/>
                                <w:vertAlign w:val="subscript"/>
                              </w:rPr>
                              <w:t>3</w:t>
                            </w:r>
                            <w:r>
                              <w:rPr>
                                <w:rFonts w:eastAsia="Calibri"/>
                                <w:spacing w:val="-4"/>
                                <w:szCs w:val="24"/>
                              </w:rPr>
                              <w:t xml:space="preserve"> ,</w:t>
                            </w:r>
                          </w:p>
                          <w:p>
                            <w:pPr>
                              <w:spacing w:line="276" w:lineRule="auto"/>
                              <w:jc w:val="center"/>
                              <w:rPr>
                                <w:rFonts w:eastAsia="Calibri"/>
                                <w:szCs w:val="24"/>
                              </w:rPr>
                            </w:pPr>
                            <w:r>
                              <w:rPr>
                                <w:rFonts w:eastAsia="Calibri"/>
                                <w:spacing w:val="-4"/>
                                <w:szCs w:val="24"/>
                              </w:rPr>
                              <w:t>W/(m</w:t>
                            </w:r>
                            <w:r>
                              <w:rPr>
                                <w:rFonts w:eastAsia="Calibri"/>
                                <w:spacing w:val="-4"/>
                                <w:szCs w:val="24"/>
                                <w:vertAlign w:val="superscript"/>
                              </w:rPr>
                              <w:t>2</w:t>
                            </w:r>
                            <w:r>
                              <w:rPr>
                                <w:rFonts w:eastAsia="Calibri"/>
                                <w:spacing w:val="-4"/>
                                <w:szCs w:val="24"/>
                              </w:rPr>
                              <w:sym w:font="Symbol" w:char="F0D7"/>
                              <w:t>K)</w:t>
                            </w:r>
                          </w:p>
                        </w:tc>
                      </w:tr>
                      <w:tr>
                        <w:trPr>
                          <w:trHeight w:val="111"/>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1</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 xml:space="preserve">Paslaugų (pirtys, skalbyklos, plovyklos), sporto (baseinai), gamybos ir pramonės (skerdyklos) paskirties pastatai, kuriuose technologinių procesų metu išsiskiria drėgmė ir bet kokios paskirties pastatų patalpos su dušais </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1,6</w:t>
                            </w:r>
                          </w:p>
                        </w:tc>
                      </w:tr>
                      <w:tr>
                        <w:trPr>
                          <w:trHeight w:val="111"/>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2</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 xml:space="preserve">Maitinimo ir sporto (išskyrus baseinus) paskirties pastatai ir bet kokios paskirties pastatų patalpos, kurios šildomos dujiniais prietaisais be dūmtraukių  </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2,0</w:t>
                            </w:r>
                          </w:p>
                        </w:tc>
                      </w:tr>
                      <w:tr>
                        <w:trPr>
                          <w:trHeight w:val="111"/>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3</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Gyvenamosios, mokslo, administracinės, gydymo, kultūros, viešbučių, transporto ir poilsio paskirties pastatai</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2,2</w:t>
                            </w:r>
                          </w:p>
                        </w:tc>
                      </w:tr>
                      <w:tr>
                        <w:trPr>
                          <w:trHeight w:val="111"/>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4</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Prekybos ir paslaugų paskirties pastatai</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2,5</w:t>
                            </w:r>
                          </w:p>
                        </w:tc>
                      </w:tr>
                      <w:tr>
                        <w:trPr>
                          <w:trHeight w:val="111"/>
                        </w:trPr>
                        <w:tc>
                          <w:tcPr>
                            <w:tcW w:w="303"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4"/>
                              </w:rPr>
                            </w:pPr>
                            <w:r>
                              <w:rPr>
                                <w:rFonts w:eastAsia="Calibri"/>
                                <w:szCs w:val="24"/>
                              </w:rPr>
                              <w:t>5</w:t>
                            </w:r>
                          </w:p>
                        </w:tc>
                        <w:tc>
                          <w:tcPr>
                            <w:tcW w:w="3284"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Sandėliavimo ir garažų paskirties pastatai. Gamybos ir pramonės paskirties pastatai, kuriuose technologinių procesų metu neišsiskiria drėgmė</w:t>
                            </w:r>
                          </w:p>
                        </w:tc>
                        <w:tc>
                          <w:tcPr>
                            <w:tcW w:w="141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2,8</w:t>
                            </w:r>
                          </w:p>
                        </w:tc>
                      </w:tr>
                    </w:tbl>
                    <w:p>
                      <w:pPr>
                        <w:ind w:firstLine="600"/>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56 p."/>
                <w:tag w:val="part_8be46df7d83d4a158b965c4eb2a6d7ad"/>
                <w:lock w:val="sdtLocked"/>
                <w:richText/>
              </w:sdtPr>
              <w:sdtContent>
                <w:p>
                  <w:pPr>
                    <w:ind w:firstLine="567"/>
                    <w:jc w:val="both"/>
                    <w:rPr>
                      <w:szCs w:val="24"/>
                      <w:lang w:eastAsia="lt-LT"/>
                    </w:rPr>
                  </w:pPr>
                  <w:sdt>
                    <w:sdtPr>
                      <w:alias w:val="Numeris"/>
                      <w:tag w:val="nr_8be46df7d83d4a158b965c4eb2a6d7ad"/>
                      <w:lock w:val="sdtLocked"/>
                      <w:richText/>
                    </w:sdtPr>
                    <w:sdtContent>
                      <w:r>
                        <w:rPr>
                          <w:szCs w:val="24"/>
                          <w:lang w:eastAsia="lt-LT"/>
                        </w:rPr>
                        <w:t>56</w:t>
                      </w:r>
                    </w:sdtContent>
                  </w:sdt>
                  <w:r>
                    <w:rPr>
                      <w:szCs w:val="24"/>
                      <w:lang w:eastAsia="lt-LT"/>
                    </w:rPr>
                    <w:t xml:space="preserve">. Kai projektuojant pagal iki 1992 metų galiojusių statybos teisės aktų reikalavimus pastatytų pastatų atitvarų apšiltinimą iš vidinės atitvarų pusės neatliekami atitvaros drėgminės būklės po jos apšiltinimo skaičiavimai, siekiant išvengti neleistino santykinio oro drėgnio padidėjimo ir kondensacijos iš vidaus apšiltintų atitvarų sandūrose su pertvaromis ir perdangomis, iš atitvarų vidaus įrengto papildomo termoizoliacinio sluoksnio suminė šiluminė varža </w:t>
                  </w:r>
                  <w:r>
                    <w:rPr>
                      <w:i/>
                      <w:szCs w:val="24"/>
                      <w:lang w:eastAsia="lt-LT"/>
                    </w:rPr>
                    <w:t>R</w:t>
                  </w:r>
                  <w:r>
                    <w:rPr>
                      <w:i/>
                      <w:szCs w:val="24"/>
                      <w:vertAlign w:val="subscript"/>
                      <w:lang w:eastAsia="lt-LT"/>
                    </w:rPr>
                    <w:t>i.sum</w:t>
                  </w:r>
                  <w:r>
                    <w:rPr>
                      <w:szCs w:val="24"/>
                      <w:lang w:eastAsia="lt-LT"/>
                    </w:rPr>
                    <w:t xml:space="preserve"> (m</w:t>
                  </w:r>
                  <w:r>
                    <w:rPr>
                      <w:szCs w:val="24"/>
                      <w:vertAlign w:val="superscript"/>
                      <w:lang w:eastAsia="lt-LT"/>
                    </w:rPr>
                    <w:t>2</w:t>
                  </w:r>
                  <w:r>
                    <w:rPr>
                      <w:szCs w:val="24"/>
                      <w:lang w:eastAsia="lt-LT"/>
                    </w:rPr>
                    <w:sym w:font="Symbol" w:char="F0D7"/>
                    <w:t>K/W) neturi būti didesnė už nurodytą 13 lentelėje, o vidinėje atitvaros pusėje turi būti įrengtas garo izoliacijos sluoksnis.</w:t>
                  </w:r>
                </w:p>
                <w:p>
                  <w:pPr>
                    <w:jc w:val="center"/>
                    <w:rPr>
                      <w:b/>
                      <w:szCs w:val="24"/>
                    </w:rPr>
                  </w:pPr>
                </w:p>
                <w:sdt>
                  <w:sdtPr>
                    <w:alias w:val="lentele"/>
                    <w:tag w:val="part_db04a9c1a3b440cfaced2a72acf7a5a7"/>
                    <w:lock w:val="sdtLocked"/>
                    <w:richText/>
                  </w:sdtPr>
                  <w:sdtContent>
                    <w:p>
                      <w:pPr>
                        <w:jc w:val="center"/>
                        <w:rPr>
                          <w:b/>
                          <w:szCs w:val="24"/>
                        </w:rPr>
                      </w:pPr>
                      <w:sdt>
                        <w:sdtPr>
                          <w:alias w:val="Pavadinimas"/>
                          <w:tag w:val="title_db04a9c1a3b440cfaced2a72acf7a5a7"/>
                          <w:lock w:val="sdtLocked"/>
                          <w:richText/>
                        </w:sdtPr>
                        <w:sdtContent>
                          <w:r>
                            <w:rPr>
                              <w:b/>
                              <w:szCs w:val="24"/>
                            </w:rPr>
                            <w:t xml:space="preserve">Atitvarų vidinėje pusėje įrengto papildomo termoizoliacinio sluoksnio didžiausia leistina suminė šiluminė varža </w:t>
                          </w:r>
                          <w:r>
                            <w:rPr>
                              <w:b/>
                              <w:i/>
                              <w:szCs w:val="24"/>
                            </w:rPr>
                            <w:t>R</w:t>
                          </w:r>
                          <w:r>
                            <w:rPr>
                              <w:b/>
                              <w:i/>
                              <w:szCs w:val="24"/>
                              <w:vertAlign w:val="subscript"/>
                            </w:rPr>
                            <w:t>i.sum</w:t>
                          </w:r>
                          <w:r>
                            <w:rPr>
                              <w:b/>
                              <w:szCs w:val="24"/>
                            </w:rPr>
                            <w:t xml:space="preserve"> (m</w:t>
                          </w:r>
                          <w:r>
                            <w:rPr>
                              <w:b/>
                              <w:szCs w:val="24"/>
                              <w:vertAlign w:val="superscript"/>
                            </w:rPr>
                            <w:t>2</w:t>
                          </w:r>
                          <w:r>
                            <w:rPr>
                              <w:b/>
                              <w:szCs w:val="24"/>
                            </w:rPr>
                            <w:sym w:font="Symbol" w:char="F0D7"/>
                            <w:t>K/W)</w:t>
                          </w:r>
                        </w:sdtContent>
                      </w:sdt>
                    </w:p>
                    <w:p>
                      <w:pPr>
                        <w:ind w:firstLine="720"/>
                        <w:jc w:val="right"/>
                        <w:rPr>
                          <w:rFonts w:eastAsia="Calibri"/>
                          <w:szCs w:val="24"/>
                        </w:rPr>
                      </w:pPr>
                      <w:r>
                        <w:rPr>
                          <w:rFonts w:eastAsia="Calibri"/>
                          <w:szCs w:val="24"/>
                        </w:rPr>
                        <w:t>13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1"/>
                        <w:gridCol w:w="525"/>
                        <w:gridCol w:w="525"/>
                        <w:gridCol w:w="523"/>
                      </w:tblGrid>
                      <w:tr>
                        <w:tc>
                          <w:tcPr>
                            <w:tcW w:w="41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 xml:space="preserve">Neapšiltintos atitvaros suminė šiluminė varža </w:t>
                            </w:r>
                            <w:r>
                              <w:rPr>
                                <w:rFonts w:eastAsia="Calibri"/>
                                <w:i/>
                                <w:szCs w:val="24"/>
                              </w:rPr>
                              <w:t>R</w:t>
                            </w:r>
                            <w:r>
                              <w:rPr>
                                <w:rFonts w:eastAsia="Calibri"/>
                                <w:i/>
                                <w:szCs w:val="24"/>
                                <w:vertAlign w:val="subscript"/>
                              </w:rPr>
                              <w:t>t</w:t>
                            </w:r>
                            <w:r>
                              <w:rPr>
                                <w:rFonts w:eastAsia="Calibri"/>
                                <w:szCs w:val="24"/>
                              </w:rPr>
                              <w:t xml:space="preserve"> (m</w:t>
                            </w:r>
                            <w:r>
                              <w:rPr>
                                <w:rFonts w:eastAsia="Calibri"/>
                                <w:szCs w:val="24"/>
                                <w:vertAlign w:val="superscript"/>
                              </w:rPr>
                              <w:t>2</w:t>
                            </w:r>
                            <w:r>
                              <w:rPr>
                                <w:rFonts w:eastAsia="Calibri"/>
                                <w:szCs w:val="24"/>
                              </w:rPr>
                              <w:sym w:font="Symbol" w:char="F0D7"/>
                              <w:t>K/W)</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0,7</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0,9</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rFonts w:eastAsia="Calibri"/>
                                <w:szCs w:val="24"/>
                              </w:rPr>
                              <w:t>1,2</w:t>
                            </w:r>
                          </w:p>
                        </w:tc>
                      </w:tr>
                      <w:tr>
                        <w:tc>
                          <w:tcPr>
                            <w:tcW w:w="419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 xml:space="preserve">Atitvaros vidinėje pusėje įrengto papildomo termoizoliacinio sluoksnio didžiausia leistina suminė šiluminė varža </w:t>
                            </w:r>
                            <w:r>
                              <w:rPr>
                                <w:rFonts w:eastAsia="Calibri"/>
                                <w:i/>
                                <w:szCs w:val="24"/>
                              </w:rPr>
                              <w:t>R</w:t>
                            </w:r>
                            <w:r>
                              <w:rPr>
                                <w:rFonts w:eastAsia="Calibri"/>
                                <w:i/>
                                <w:szCs w:val="24"/>
                                <w:vertAlign w:val="subscript"/>
                              </w:rPr>
                              <w:t>i.sum</w:t>
                            </w:r>
                            <w:r>
                              <w:rPr>
                                <w:rFonts w:eastAsia="Calibri"/>
                                <w:szCs w:val="24"/>
                              </w:rPr>
                              <w:t xml:space="preserve"> (m</w:t>
                            </w:r>
                            <w:r>
                              <w:rPr>
                                <w:rFonts w:eastAsia="Calibri"/>
                                <w:szCs w:val="24"/>
                                <w:vertAlign w:val="superscript"/>
                              </w:rPr>
                              <w:t>2</w:t>
                            </w:r>
                            <w:r>
                              <w:rPr>
                                <w:rFonts w:eastAsia="Calibri"/>
                                <w:szCs w:val="24"/>
                              </w:rPr>
                              <w:sym w:font="Symbol" w:char="F0D7"/>
                              <w:t>K/W)</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1,0</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1,5</w:t>
                            </w:r>
                          </w:p>
                        </w:tc>
                        <w:tc>
                          <w:tcPr>
                            <w:tcW w:w="2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rFonts w:eastAsia="Calibri"/>
                                <w:szCs w:val="24"/>
                              </w:rPr>
                              <w:t>2,5</w:t>
                            </w:r>
                          </w:p>
                        </w:tc>
                      </w:tr>
                    </w:tbl>
                    <w:p>
                      <w:pPr>
                        <w:keepNext/>
                        <w:jc w:val="center"/>
                        <w:rPr>
                          <w:b/>
                          <w:bCs/>
                          <w:iCs/>
                          <w:caps/>
                          <w:spacing w:val="-4"/>
                          <w:szCs w:val="24"/>
                          <w:lang w:eastAsia="lt-LT"/>
                        </w:rPr>
                      </w:pPr>
                    </w:p>
                  </w:sdtContent>
                </w:sdt>
              </w:sdtContent>
            </w:sdt>
          </w:sdtContent>
        </w:sdt>
        <w:sdt>
          <w:sdtPr>
            <w:alias w:val="skyrius"/>
            <w:tag w:val="part_e8c5cc3cfe9345229d8cadecb98d3fa7"/>
            <w:lock w:val="sdtLocked"/>
            <w:richText/>
          </w:sdtPr>
          <w:sdtContent>
            <w:p>
              <w:pPr>
                <w:keepNext/>
                <w:jc w:val="center"/>
                <w:rPr>
                  <w:b/>
                  <w:bCs/>
                  <w:iCs/>
                  <w:caps/>
                  <w:spacing w:val="-4"/>
                  <w:szCs w:val="24"/>
                  <w:lang w:eastAsia="lt-LT"/>
                </w:rPr>
              </w:pPr>
              <w:r>
                <w:rPr>
                  <w:b/>
                  <w:bCs/>
                  <w:iCs/>
                  <w:caps/>
                  <w:spacing w:val="-4"/>
                  <w:szCs w:val="24"/>
                  <w:lang w:eastAsia="lt-LT"/>
                </w:rPr>
                <w:t>XIII. skyrius</w:t>
              </w:r>
            </w:p>
            <w:p>
              <w:pPr>
                <w:keepNext/>
                <w:jc w:val="center"/>
                <w:rPr>
                  <w:b/>
                  <w:bCs/>
                  <w:iCs/>
                  <w:caps/>
                  <w:spacing w:val="-4"/>
                  <w:szCs w:val="24"/>
                  <w:lang w:eastAsia="lt-LT"/>
                </w:rPr>
              </w:pPr>
              <w:sdt>
                <w:sdtPr>
                  <w:alias w:val="Pavadinimas"/>
                  <w:tag w:val="title_e8c5cc3cfe9345229d8cadecb98d3fa7"/>
                  <w:lock w:val="sdtLocked"/>
                  <w:richText/>
                </w:sdtPr>
                <w:sdtContent>
                  <w:r>
                    <w:rPr>
                      <w:b/>
                      <w:bCs/>
                      <w:iCs/>
                      <w:caps/>
                      <w:spacing w:val="-4"/>
                      <w:szCs w:val="24"/>
                      <w:lang w:eastAsia="lt-LT"/>
                    </w:rPr>
                    <w:t>Pastatų (jų dalių) šildymo sistemos šilumos šaltinio projektinė galia</w:t>
                  </w:r>
                </w:sdtContent>
              </w:sdt>
            </w:p>
            <w:p>
              <w:pPr>
                <w:suppressAutoHyphens/>
                <w:ind w:firstLine="312"/>
                <w:jc w:val="both"/>
                <w:textAlignment w:val="center"/>
                <w:rPr>
                  <w:szCs w:val="24"/>
                </w:rPr>
              </w:pPr>
            </w:p>
            <w:sdt>
              <w:sdtPr>
                <w:alias w:val="57 p."/>
                <w:tag w:val="part_1a9b82dc752440afb64ab5a1f9daa6ce"/>
                <w:lock w:val="sdtLocked"/>
                <w:richText/>
              </w:sdtPr>
              <w:sdtContent>
                <w:p>
                  <w:pPr>
                    <w:suppressAutoHyphens/>
                    <w:ind w:firstLine="567"/>
                    <w:jc w:val="both"/>
                    <w:textAlignment w:val="center"/>
                    <w:rPr>
                      <w:szCs w:val="24"/>
                    </w:rPr>
                  </w:pPr>
                  <w:sdt>
                    <w:sdtPr>
                      <w:alias w:val="Numeris"/>
                      <w:tag w:val="nr_1a9b82dc752440afb64ab5a1f9daa6ce"/>
                      <w:lock w:val="sdtLocked"/>
                      <w:richText/>
                    </w:sdtPr>
                    <w:sdtContent>
                      <w:r>
                        <w:rPr>
                          <w:szCs w:val="24"/>
                        </w:rPr>
                        <w:t>57</w:t>
                      </w:r>
                    </w:sdtContent>
                  </w:sdt>
                  <w:r>
                    <w:rPr>
                      <w:szCs w:val="24"/>
                    </w:rPr>
                    <w:t xml:space="preserve">. Pastatų (jų dalių) šildymo sistemos šilumos šaltinio projektinė galia turi būti apskaičiuota pagal Reglamento 13 priedo reikalavimus. </w:t>
                  </w:r>
                </w:p>
                <w:p>
                  <w:pPr>
                    <w:keepNext/>
                    <w:jc w:val="center"/>
                    <w:rPr>
                      <w:b/>
                      <w:bCs/>
                      <w:iCs/>
                      <w:caps/>
                      <w:spacing w:val="-4"/>
                      <w:szCs w:val="24"/>
                      <w:lang w:eastAsia="lt-LT"/>
                    </w:rPr>
                  </w:pPr>
                </w:p>
              </w:sdtContent>
            </w:sdt>
          </w:sdtContent>
        </w:sdt>
        <w:sdt>
          <w:sdtPr>
            <w:alias w:val="skyrius"/>
            <w:tag w:val="part_5414e72520774089b90e676897ec2605"/>
            <w:lock w:val="sdtLocked"/>
            <w:richText/>
          </w:sdtPr>
          <w:sdtContent>
            <w:p>
              <w:pPr>
                <w:keepNext/>
                <w:jc w:val="center"/>
                <w:rPr>
                  <w:b/>
                  <w:bCs/>
                  <w:iCs/>
                  <w:caps/>
                  <w:spacing w:val="-4"/>
                  <w:szCs w:val="24"/>
                  <w:lang w:eastAsia="lt-LT"/>
                </w:rPr>
              </w:pPr>
              <w:r>
                <w:rPr>
                  <w:b/>
                  <w:bCs/>
                  <w:iCs/>
                  <w:caps/>
                  <w:spacing w:val="-4"/>
                  <w:szCs w:val="24"/>
                  <w:lang w:eastAsia="lt-LT"/>
                </w:rPr>
                <w:t>XIV. skyrius</w:t>
              </w:r>
            </w:p>
            <w:p>
              <w:pPr>
                <w:keepNext/>
                <w:jc w:val="center"/>
                <w:rPr>
                  <w:b/>
                  <w:bCs/>
                  <w:iCs/>
                  <w:caps/>
                  <w:spacing w:val="-4"/>
                  <w:szCs w:val="24"/>
                  <w:lang w:eastAsia="lt-LT"/>
                </w:rPr>
              </w:pPr>
              <w:sdt>
                <w:sdtPr>
                  <w:alias w:val="Pavadinimas"/>
                  <w:tag w:val="title_5414e72520774089b90e676897ec2605"/>
                  <w:lock w:val="sdtLocked"/>
                  <w:richText/>
                </w:sdtPr>
                <w:sdtContent>
                  <w:r>
                    <w:rPr>
                      <w:b/>
                      <w:bCs/>
                      <w:iCs/>
                      <w:caps/>
                      <w:spacing w:val="-4"/>
                      <w:szCs w:val="24"/>
                      <w:lang w:eastAsia="lt-LT"/>
                    </w:rPr>
                    <w:t>Pastatų (jų dalių) energinio naudingumo sertifikavimo dalyviai</w:t>
                  </w:r>
                </w:sdtContent>
              </w:sdt>
            </w:p>
            <w:p>
              <w:pPr>
                <w:suppressAutoHyphens/>
                <w:ind w:firstLine="567"/>
                <w:jc w:val="both"/>
                <w:textAlignment w:val="center"/>
                <w:rPr>
                  <w:szCs w:val="22"/>
                </w:rPr>
              </w:pPr>
            </w:p>
            <w:sdt>
              <w:sdtPr>
                <w:alias w:val="58 p."/>
                <w:tag w:val="part_9875368f03df4d20a36079eb3749c25c"/>
                <w:lock w:val="sdtLocked"/>
                <w:richText/>
              </w:sdtPr>
              <w:sdtContent>
                <w:p>
                  <w:pPr>
                    <w:suppressAutoHyphens/>
                    <w:ind w:firstLine="567"/>
                    <w:jc w:val="both"/>
                    <w:textAlignment w:val="center"/>
                    <w:rPr>
                      <w:szCs w:val="22"/>
                    </w:rPr>
                  </w:pPr>
                  <w:sdt>
                    <w:sdtPr>
                      <w:alias w:val="Numeris"/>
                      <w:tag w:val="nr_9875368f03df4d20a36079eb3749c25c"/>
                      <w:lock w:val="sdtLocked"/>
                      <w:richText/>
                    </w:sdtPr>
                    <w:sdtContent>
                      <w:r>
                        <w:rPr>
                          <w:szCs w:val="22"/>
                        </w:rPr>
                        <w:t>58</w:t>
                      </w:r>
                    </w:sdtContent>
                  </w:sdt>
                  <w:r>
                    <w:rPr>
                      <w:szCs w:val="22"/>
                    </w:rPr>
                    <w:t>. Pastatų (jų dalių) sertifikavimo dalyviai yra:</w:t>
                  </w:r>
                </w:p>
                <w:sdt>
                  <w:sdtPr>
                    <w:alias w:val="58.1 pp."/>
                    <w:tag w:val="part_b71f4fc89c5b41e0b073dc1dafbce7a4"/>
                    <w:lock w:val="sdtLocked"/>
                    <w:richText/>
                  </w:sdtPr>
                  <w:sdtContent>
                    <w:p>
                      <w:pPr>
                        <w:suppressAutoHyphens/>
                        <w:ind w:firstLine="567"/>
                        <w:jc w:val="both"/>
                        <w:textAlignment w:val="center"/>
                        <w:rPr>
                          <w:szCs w:val="22"/>
                        </w:rPr>
                      </w:pPr>
                      <w:sdt>
                        <w:sdtPr>
                          <w:alias w:val="Numeris"/>
                          <w:tag w:val="nr_b71f4fc89c5b41e0b073dc1dafbce7a4"/>
                          <w:lock w:val="sdtLocked"/>
                          <w:richText/>
                        </w:sdtPr>
                        <w:sdtContent>
                          <w:r>
                            <w:rPr>
                              <w:szCs w:val="22"/>
                            </w:rPr>
                            <w:t>58.1</w:t>
                          </w:r>
                        </w:sdtContent>
                      </w:sdt>
                      <w:r>
                        <w:rPr>
                          <w:szCs w:val="22"/>
                        </w:rPr>
                        <w:t>. pastato (jų dalies) sertifikavimo užsakovas;</w:t>
                      </w:r>
                    </w:p>
                  </w:sdtContent>
                </w:sdt>
                <w:sdt>
                  <w:sdtPr>
                    <w:alias w:val="58.2 pp."/>
                    <w:tag w:val="part_b00c616919024b7c9fd7cd0d3233efb7"/>
                    <w:lock w:val="sdtLocked"/>
                    <w:richText/>
                  </w:sdtPr>
                  <w:sdtContent>
                    <w:p>
                      <w:pPr>
                        <w:suppressAutoHyphens/>
                        <w:ind w:firstLine="567"/>
                        <w:jc w:val="both"/>
                        <w:textAlignment w:val="center"/>
                        <w:rPr>
                          <w:szCs w:val="22"/>
                        </w:rPr>
                      </w:pPr>
                      <w:sdt>
                        <w:sdtPr>
                          <w:alias w:val="Numeris"/>
                          <w:tag w:val="nr_b00c616919024b7c9fd7cd0d3233efb7"/>
                          <w:lock w:val="sdtLocked"/>
                          <w:richText/>
                        </w:sdtPr>
                        <w:sdtContent>
                          <w:r>
                            <w:rPr>
                              <w:szCs w:val="22"/>
                            </w:rPr>
                            <w:t>58.2</w:t>
                          </w:r>
                        </w:sdtContent>
                      </w:sdt>
                      <w:r>
                        <w:rPr>
                          <w:szCs w:val="22"/>
                        </w:rPr>
                        <w:t>.</w:t>
                      </w:r>
                      <w:r>
                        <w:rPr>
                          <w:caps/>
                          <w:szCs w:val="22"/>
                        </w:rPr>
                        <w:t xml:space="preserve"> </w:t>
                      </w:r>
                      <w:r>
                        <w:rPr>
                          <w:szCs w:val="22"/>
                        </w:rPr>
                        <w:t>sertifikavimo ekspertas;</w:t>
                      </w:r>
                    </w:p>
                  </w:sdtContent>
                </w:sdt>
                <w:sdt>
                  <w:sdtPr>
                    <w:alias w:val="58.3 pp."/>
                    <w:tag w:val="part_df8f983bc77142eeaea44cfae6b5c925"/>
                    <w:lock w:val="sdtLocked"/>
                    <w:richText/>
                  </w:sdtPr>
                  <w:sdtContent>
                    <w:p>
                      <w:pPr>
                        <w:suppressAutoHyphens/>
                        <w:ind w:firstLine="567"/>
                        <w:jc w:val="both"/>
                        <w:textAlignment w:val="center"/>
                        <w:rPr>
                          <w:szCs w:val="22"/>
                        </w:rPr>
                      </w:pPr>
                      <w:sdt>
                        <w:sdtPr>
                          <w:alias w:val="Numeris"/>
                          <w:tag w:val="nr_df8f983bc77142eeaea44cfae6b5c925"/>
                          <w:lock w:val="sdtLocked"/>
                          <w:richText/>
                        </w:sdtPr>
                        <w:sdtContent>
                          <w:r>
                            <w:rPr>
                              <w:szCs w:val="22"/>
                            </w:rPr>
                            <w:t>58.3</w:t>
                          </w:r>
                        </w:sdtContent>
                      </w:sdt>
                      <w:r>
                        <w:rPr>
                          <w:szCs w:val="22"/>
                        </w:rPr>
                        <w:t>. Aplinkos ministerijos paskirtoji pastatų energinio naudingumo sertifikavimą prižiūrinti institucija.</w:t>
                      </w:r>
                    </w:p>
                  </w:sdtContent>
                </w:sdt>
              </w:sdtContent>
            </w:sdt>
            <w:sdt>
              <w:sdtPr>
                <w:alias w:val="59 p."/>
                <w:tag w:val="part_fc4b045cedcb43639cda86fcb4ecfd3e"/>
                <w:lock w:val="sdtLocked"/>
                <w:richText/>
              </w:sdtPr>
              <w:sdtContent>
                <w:p>
                  <w:pPr>
                    <w:suppressAutoHyphens/>
                    <w:ind w:firstLine="567"/>
                    <w:jc w:val="both"/>
                    <w:textAlignment w:val="center"/>
                    <w:rPr>
                      <w:szCs w:val="22"/>
                    </w:rPr>
                  </w:pPr>
                  <w:sdt>
                    <w:sdtPr>
                      <w:alias w:val="Numeris"/>
                      <w:tag w:val="nr_fc4b045cedcb43639cda86fcb4ecfd3e"/>
                      <w:lock w:val="sdtLocked"/>
                      <w:richText/>
                    </w:sdtPr>
                    <w:sdtContent>
                      <w:r>
                        <w:rPr>
                          <w:szCs w:val="22"/>
                        </w:rPr>
                        <w:t>59</w:t>
                      </w:r>
                    </w:sdtContent>
                  </w:sdt>
                  <w:r>
                    <w:rPr>
                      <w:szCs w:val="22"/>
                    </w:rPr>
                    <w:t xml:space="preserve">. Sertifikavimo užsakovu gali būti fizinis ar juridinis asmuo. </w:t>
                  </w:r>
                </w:p>
              </w:sdtContent>
            </w:sdt>
            <w:sdt>
              <w:sdtPr>
                <w:alias w:val="60 p."/>
                <w:tag w:val="part_ef3f5eac808d43c0977a4699cfeaeb5f"/>
                <w:lock w:val="sdtLocked"/>
                <w:richText/>
              </w:sdtPr>
              <w:sdtContent>
                <w:p>
                  <w:pPr>
                    <w:suppressAutoHyphens/>
                    <w:ind w:firstLine="567"/>
                    <w:jc w:val="both"/>
                    <w:textAlignment w:val="center"/>
                    <w:rPr>
                      <w:szCs w:val="22"/>
                    </w:rPr>
                  </w:pPr>
                  <w:sdt>
                    <w:sdtPr>
                      <w:alias w:val="Numeris"/>
                      <w:tag w:val="nr_ef3f5eac808d43c0977a4699cfeaeb5f"/>
                      <w:lock w:val="sdtLocked"/>
                      <w:richText/>
                    </w:sdtPr>
                    <w:sdtContent>
                      <w:r>
                        <w:rPr>
                          <w:szCs w:val="22"/>
                        </w:rPr>
                        <w:t>60</w:t>
                      </w:r>
                    </w:sdtContent>
                  </w:sdt>
                  <w:r>
                    <w:rPr>
                      <w:szCs w:val="22"/>
                    </w:rPr>
                    <w:t xml:space="preserve">. Sertifikavimo užsakovas atsako už pateiktų pastato būklės duomenų teisingumą. </w:t>
                  </w:r>
                </w:p>
              </w:sdtContent>
            </w:sdt>
            <w:sdt>
              <w:sdtPr>
                <w:alias w:val="61 p."/>
                <w:tag w:val="part_0151b1e8af844e5c827bacf2f193fb28"/>
                <w:lock w:val="sdtLocked"/>
                <w:richText/>
              </w:sdtPr>
              <w:sdtContent>
                <w:p>
                  <w:pPr>
                    <w:suppressAutoHyphens/>
                    <w:ind w:firstLine="567"/>
                    <w:jc w:val="both"/>
                    <w:textAlignment w:val="center"/>
                    <w:rPr>
                      <w:szCs w:val="22"/>
                    </w:rPr>
                  </w:pPr>
                  <w:sdt>
                    <w:sdtPr>
                      <w:alias w:val="Numeris"/>
                      <w:tag w:val="nr_0151b1e8af844e5c827bacf2f193fb28"/>
                      <w:lock w:val="sdtLocked"/>
                      <w:richText/>
                    </w:sdtPr>
                    <w:sdtContent>
                      <w:r>
                        <w:rPr>
                          <w:szCs w:val="22"/>
                        </w:rPr>
                        <w:t>61</w:t>
                      </w:r>
                    </w:sdtContent>
                  </w:sdt>
                  <w:r>
                    <w:rPr>
                      <w:szCs w:val="22"/>
                    </w:rPr>
                    <w:t>. Sertifikavimo ekspertas atsakingas už objektyvų ir kokybišką pastato (jų dalies) sertifikavimo proceso atlikimą.</w:t>
                  </w:r>
                </w:p>
              </w:sdtContent>
            </w:sdt>
            <w:sdt>
              <w:sdtPr>
                <w:alias w:val="62 p."/>
                <w:tag w:val="part_f38dc7069c5f42d78fa2386e99e67d28"/>
                <w:lock w:val="sdtLocked"/>
                <w:richText/>
              </w:sdtPr>
              <w:sdtContent>
                <w:p>
                  <w:pPr>
                    <w:suppressAutoHyphens/>
                    <w:ind w:firstLine="567"/>
                    <w:jc w:val="both"/>
                    <w:textAlignment w:val="center"/>
                    <w:rPr>
                      <w:szCs w:val="22"/>
                    </w:rPr>
                  </w:pPr>
                  <w:sdt>
                    <w:sdtPr>
                      <w:alias w:val="Numeris"/>
                      <w:tag w:val="nr_f38dc7069c5f42d78fa2386e99e67d28"/>
                      <w:lock w:val="sdtLocked"/>
                      <w:richText/>
                    </w:sdtPr>
                    <w:sdtContent>
                      <w:r>
                        <w:rPr>
                          <w:szCs w:val="22"/>
                        </w:rPr>
                        <w:t>62</w:t>
                      </w:r>
                    </w:sdtContent>
                  </w:sdt>
                  <w:r>
                    <w:rPr>
                      <w:szCs w:val="22"/>
                    </w:rPr>
                    <w:t>. Pastatų energinio naudingumo sertifikavimą prižiūrinti institucija atsakinga už pastatų energinio naudingumo sertifikatų numeravimą, išduotų pastatų energinio naudingumo sertifikatų sąrašo tvarkymą ir teisingą pastato (jų dalies) sertifikavimo rezultatų paskelbimą.</w:t>
                  </w:r>
                </w:p>
              </w:sdtContent>
            </w:sdt>
            <w:sdt>
              <w:sdtPr>
                <w:alias w:val="63 p."/>
                <w:tag w:val="part_0a4f63e318294d0a98ff17db3afce38a"/>
                <w:lock w:val="sdtLocked"/>
                <w:richText/>
              </w:sdtPr>
              <w:sdtContent>
                <w:p>
                  <w:pPr>
                    <w:suppressAutoHyphens/>
                    <w:ind w:firstLine="567"/>
                    <w:jc w:val="both"/>
                    <w:textAlignment w:val="center"/>
                    <w:rPr>
                      <w:szCs w:val="22"/>
                    </w:rPr>
                  </w:pPr>
                  <w:sdt>
                    <w:sdtPr>
                      <w:alias w:val="Numeris"/>
                      <w:tag w:val="nr_0a4f63e318294d0a98ff17db3afce38a"/>
                      <w:lock w:val="sdtLocked"/>
                      <w:richText/>
                    </w:sdtPr>
                    <w:sdtContent>
                      <w:r>
                        <w:rPr>
                          <w:szCs w:val="22"/>
                        </w:rPr>
                        <w:t>63</w:t>
                      </w:r>
                    </w:sdtContent>
                  </w:sdt>
                  <w:r>
                    <w:rPr>
                      <w:szCs w:val="22"/>
                    </w:rPr>
                    <w:t xml:space="preserve">. Pastato (jų dalies) sertifikavimo užsakovo ir sertifikavimo eksperto santykius ir veiklą reglamentuoja Lietuvos teisės aktai. </w:t>
                  </w:r>
                </w:p>
                <w:p>
                  <w:pPr>
                    <w:keepNext/>
                    <w:jc w:val="center"/>
                    <w:rPr>
                      <w:b/>
                      <w:bCs/>
                      <w:iCs/>
                      <w:caps/>
                      <w:spacing w:val="-4"/>
                      <w:szCs w:val="24"/>
                      <w:lang w:eastAsia="lt-LT"/>
                    </w:rPr>
                  </w:pPr>
                </w:p>
              </w:sdtContent>
            </w:sdt>
          </w:sdtContent>
        </w:sdt>
        <w:sdt>
          <w:sdtPr>
            <w:alias w:val="skyrius"/>
            <w:tag w:val="part_7ca80192609e4d0e92dc53fb2dd34efd"/>
            <w:lock w:val="sdtLocked"/>
            <w:richText/>
          </w:sdtPr>
          <w:sdtContent>
            <w:p>
              <w:pPr>
                <w:keepNext/>
                <w:jc w:val="center"/>
                <w:rPr>
                  <w:b/>
                  <w:bCs/>
                  <w:iCs/>
                  <w:caps/>
                  <w:spacing w:val="-4"/>
                  <w:szCs w:val="24"/>
                  <w:lang w:eastAsia="lt-LT"/>
                </w:rPr>
              </w:pPr>
              <w:r>
                <w:rPr>
                  <w:b/>
                  <w:bCs/>
                  <w:iCs/>
                  <w:caps/>
                  <w:spacing w:val="-4"/>
                  <w:szCs w:val="24"/>
                  <w:lang w:eastAsia="lt-LT"/>
                </w:rPr>
                <w:t xml:space="preserve">XV. skyrius </w:t>
              </w:r>
            </w:p>
            <w:p>
              <w:pPr>
                <w:keepNext/>
                <w:jc w:val="center"/>
                <w:rPr>
                  <w:b/>
                  <w:bCs/>
                  <w:iCs/>
                  <w:caps/>
                  <w:spacing w:val="-4"/>
                  <w:szCs w:val="24"/>
                  <w:lang w:eastAsia="lt-LT"/>
                </w:rPr>
              </w:pPr>
              <w:sdt>
                <w:sdtPr>
                  <w:alias w:val="Pavadinimas"/>
                  <w:tag w:val="title_7ca80192609e4d0e92dc53fb2dd34efd"/>
                  <w:lock w:val="sdtLocked"/>
                  <w:richText/>
                </w:sdtPr>
                <w:sdtContent>
                  <w:r>
                    <w:rPr>
                      <w:b/>
                      <w:bCs/>
                      <w:iCs/>
                      <w:caps/>
                      <w:spacing w:val="-4"/>
                      <w:szCs w:val="24"/>
                      <w:lang w:eastAsia="lt-LT"/>
                    </w:rPr>
                    <w:t>Pastato (jo dalies) energinio naudingumo sertifikavimas IR pastato (jo dalies) būklę apibūdinantys rodikliai</w:t>
                  </w:r>
                </w:sdtContent>
              </w:sdt>
            </w:p>
            <w:p>
              <w:pPr>
                <w:jc w:val="both"/>
                <w:rPr>
                  <w:rFonts w:eastAsia="Calibri"/>
                  <w:szCs w:val="22"/>
                  <w:lang w:eastAsia="lt-LT"/>
                </w:rPr>
              </w:pPr>
            </w:p>
            <w:sdt>
              <w:sdtPr>
                <w:alias w:val="64 p."/>
                <w:tag w:val="part_84354e471c9d438fb53b6caeac0c6d90"/>
                <w:lock w:val="sdtLocked"/>
                <w:richText/>
              </w:sdtPr>
              <w:sdtContent>
                <w:p>
                  <w:pPr>
                    <w:suppressAutoHyphens/>
                    <w:ind w:firstLine="567"/>
                    <w:jc w:val="both"/>
                    <w:textAlignment w:val="center"/>
                    <w:rPr>
                      <w:szCs w:val="24"/>
                    </w:rPr>
                  </w:pPr>
                  <w:sdt>
                    <w:sdtPr>
                      <w:alias w:val="Numeris"/>
                      <w:tag w:val="nr_84354e471c9d438fb53b6caeac0c6d90"/>
                      <w:lock w:val="sdtLocked"/>
                      <w:richText/>
                    </w:sdtPr>
                    <w:sdtContent>
                      <w:r>
                        <w:rPr>
                          <w:szCs w:val="24"/>
                        </w:rPr>
                        <w:t>64</w:t>
                      </w:r>
                    </w:sdtContent>
                  </w:sdt>
                  <w:r>
                    <w:rPr>
                      <w:szCs w:val="24"/>
                    </w:rPr>
                    <w:t>. Sertifikuojamas turi būti tik pastatas, kuriame sumontuotos visos atitvaros ir įrengtos inžinierinės sistemos, išskyrus atvejus, kai pastate sumontuotos visos atitvaros, įrengtos vėdinimo, šildymo ir kitos sistemos, tačiau neįrengtos karšto buitinio vandens ruošimo ir (arba) apšvietimo sistemos. Kai neįrengtos karšto buitinio vandens ruošimo ir (arba) apšvietimo sistemos, pastatas gali būti sertifikuojamas, tačiau šių sistemų energinis efektyvumas turi būti įvertintas taip:</w:t>
                  </w:r>
                </w:p>
                <w:sdt>
                  <w:sdtPr>
                    <w:alias w:val="64.1 pp."/>
                    <w:tag w:val="part_abfcb7dd85f34f69b8a4a55815a27eef"/>
                    <w:lock w:val="sdtLocked"/>
                    <w:richText/>
                  </w:sdtPr>
                  <w:sdtContent>
                    <w:p>
                      <w:pPr>
                        <w:suppressAutoHyphens/>
                        <w:ind w:firstLine="567"/>
                        <w:jc w:val="both"/>
                        <w:textAlignment w:val="center"/>
                        <w:rPr>
                          <w:szCs w:val="22"/>
                        </w:rPr>
                      </w:pPr>
                      <w:sdt>
                        <w:sdtPr>
                          <w:alias w:val="Numeris"/>
                          <w:tag w:val="nr_abfcb7dd85f34f69b8a4a55815a27eef"/>
                          <w:lock w:val="sdtLocked"/>
                          <w:richText/>
                        </w:sdtPr>
                        <w:sdtContent>
                          <w:r>
                            <w:rPr>
                              <w:szCs w:val="24"/>
                            </w:rPr>
                            <w:t>64</w:t>
                          </w:r>
                          <w:r>
                            <w:rPr>
                              <w:szCs w:val="22"/>
                            </w:rPr>
                            <w:t>.1</w:t>
                          </w:r>
                        </w:sdtContent>
                      </w:sdt>
                      <w:r>
                        <w:rPr>
                          <w:szCs w:val="22"/>
                        </w:rPr>
                        <w:t>. jei pastate (jo dalyje) karšto buitinio vandens ruošimo sistema neįrengta (nėra karšto buitinio vandens ruošimo įrenginio ir (arba) neįrengti šios sistemos vamzdynai), šios sistemos energijos sąnaudas reikia skaičiuoti. Skaičiavimai turi būti atlikti pagal Reglamento 2 priedo nurodymus, o sertifikate įrašoma, kad karšto vandens ruošimo sistemos pastate (jo dalyje) nėra;</w:t>
                      </w:r>
                    </w:p>
                  </w:sdtContent>
                </w:sdt>
                <w:sdt>
                  <w:sdtPr>
                    <w:alias w:val="64.2 pp."/>
                    <w:tag w:val="part_6511b2092f444971b2d42e8305e0acba"/>
                    <w:lock w:val="sdtLocked"/>
                    <w:richText/>
                  </w:sdtPr>
                  <w:sdtContent>
                    <w:p>
                      <w:pPr>
                        <w:suppressAutoHyphens/>
                        <w:ind w:firstLine="567"/>
                        <w:jc w:val="both"/>
                        <w:textAlignment w:val="center"/>
                        <w:rPr>
                          <w:rFonts w:eastAsia="Calibri"/>
                          <w:szCs w:val="24"/>
                        </w:rPr>
                      </w:pPr>
                      <w:sdt>
                        <w:sdtPr>
                          <w:alias w:val="Numeris"/>
                          <w:tag w:val="nr_6511b2092f444971b2d42e8305e0acba"/>
                          <w:lock w:val="sdtLocked"/>
                          <w:richText/>
                        </w:sdtPr>
                        <w:sdtContent>
                          <w:r>
                            <w:rPr>
                              <w:szCs w:val="24"/>
                            </w:rPr>
                            <w:t>64</w:t>
                          </w:r>
                          <w:r>
                            <w:rPr>
                              <w:szCs w:val="22"/>
                            </w:rPr>
                            <w:t>.2</w:t>
                          </w:r>
                        </w:sdtContent>
                      </w:sdt>
                      <w:r>
                        <w:rPr>
                          <w:szCs w:val="22"/>
                        </w:rPr>
                        <w:t xml:space="preserve">. jei pastate (jo dalyje) apšvietimo sistema neįrengta (neįrengta apšvietimo sistemos elektros instaliacija, nėra šviestuvų arba yra šviestuvai, tačiau nėra lempų), šios apšvietimo sistemos energijos sąnaudas reikia skaičiuoti. Skaičiavimuose turi būti laikoma, kad apšvietimui naudojami šviestuvai su taupiomis lempomis, kurių </w:t>
                      </w:r>
                      <w:r>
                        <w:rPr>
                          <w:rFonts w:eastAsia="Calibri"/>
                          <w:bCs/>
                          <w:szCs w:val="24"/>
                        </w:rPr>
                        <w:t xml:space="preserve">efektyvumo rodiklis </w:t>
                      </w:r>
                      <w:r>
                        <w:rPr>
                          <w:rFonts w:eastAsia="Calibri"/>
                          <w:i/>
                          <w:szCs w:val="24"/>
                        </w:rPr>
                        <w:t>η</w:t>
                      </w:r>
                      <w:r>
                        <w:rPr>
                          <w:rFonts w:eastAsia="Calibri"/>
                          <w:i/>
                          <w:szCs w:val="24"/>
                          <w:vertAlign w:val="subscript"/>
                        </w:rPr>
                        <w:t>E</w:t>
                      </w:r>
                      <w:r>
                        <w:rPr>
                          <w:rFonts w:eastAsia="Calibri"/>
                          <w:bCs/>
                          <w:szCs w:val="24"/>
                        </w:rPr>
                        <w:t xml:space="preserve"> =50 lm/W (žr. </w:t>
                      </w:r>
                      <w:r>
                        <w:rPr>
                          <w:rFonts w:eastAsia="Calibri"/>
                          <w:szCs w:val="24"/>
                        </w:rPr>
                        <w:t xml:space="preserve">11 lentelę), o sertifikate </w:t>
                      </w:r>
                      <w:r>
                        <w:rPr>
                          <w:szCs w:val="22"/>
                        </w:rPr>
                        <w:t>įrašoma, kad apšvietimo sistema pastate (jo dalyje) neįrengta</w:t>
                      </w:r>
                      <w:r>
                        <w:rPr>
                          <w:rFonts w:eastAsia="Calibri"/>
                          <w:szCs w:val="24"/>
                        </w:rPr>
                        <w:t>.</w:t>
                      </w:r>
                    </w:p>
                  </w:sdtContent>
                </w:sdt>
              </w:sdtContent>
            </w:sdt>
            <w:sdt>
              <w:sdtPr>
                <w:alias w:val="65 p."/>
                <w:tag w:val="part_883213a8b31e41448f4c4629360f410d"/>
                <w:lock w:val="sdtLocked"/>
                <w:richText/>
              </w:sdtPr>
              <w:sdtContent>
                <w:p>
                  <w:pPr>
                    <w:suppressAutoHyphens/>
                    <w:ind w:firstLine="567"/>
                    <w:jc w:val="both"/>
                    <w:textAlignment w:val="center"/>
                    <w:rPr>
                      <w:szCs w:val="24"/>
                    </w:rPr>
                  </w:pPr>
                  <w:sdt>
                    <w:sdtPr>
                      <w:alias w:val="Numeris"/>
                      <w:tag w:val="nr_883213a8b31e41448f4c4629360f410d"/>
                      <w:lock w:val="sdtLocked"/>
                      <w:richText/>
                    </w:sdtPr>
                    <w:sdtContent>
                      <w:r>
                        <w:rPr>
                          <w:szCs w:val="24"/>
                        </w:rPr>
                        <w:t>65</w:t>
                      </w:r>
                    </w:sdtContent>
                  </w:sdt>
                  <w:r>
                    <w:rPr>
                      <w:szCs w:val="24"/>
                    </w:rPr>
                    <w:t xml:space="preserve">. Pastato (jo dalies) energijos sąnaudų skaičiavimams reikalingų pastato būklės duomenų nustatymas: </w:t>
                  </w:r>
                </w:p>
                <w:sdt>
                  <w:sdtPr>
                    <w:alias w:val="65.1 pp."/>
                    <w:tag w:val="part_f6d27cfb2a3f4cb6bcfaded8d541067d"/>
                    <w:lock w:val="sdtLocked"/>
                    <w:richText/>
                  </w:sdtPr>
                  <w:sdtContent>
                    <w:p>
                      <w:pPr>
                        <w:suppressAutoHyphens/>
                        <w:ind w:firstLine="567"/>
                        <w:jc w:val="both"/>
                        <w:textAlignment w:val="center"/>
                        <w:rPr>
                          <w:szCs w:val="24"/>
                        </w:rPr>
                      </w:pPr>
                      <w:sdt>
                        <w:sdtPr>
                          <w:alias w:val="Numeris"/>
                          <w:tag w:val="nr_f6d27cfb2a3f4cb6bcfaded8d541067d"/>
                          <w:lock w:val="sdtLocked"/>
                          <w:richText/>
                        </w:sdtPr>
                        <w:sdtContent>
                          <w:r>
                            <w:rPr>
                              <w:szCs w:val="24"/>
                            </w:rPr>
                            <w:t>65.1</w:t>
                          </w:r>
                        </w:sdtContent>
                      </w:sdt>
                      <w:r>
                        <w:rPr>
                          <w:szCs w:val="24"/>
                        </w:rPr>
                        <w:t>. pastato (jo dalies) matmenys turi būti nustatyti Reglamento 1 ir 7 prieduose nurodyta tvarka</w:t>
                      </w:r>
                      <w:r>
                        <w:rPr>
                          <w:rFonts w:eastAsia="Calibri"/>
                          <w:szCs w:val="22"/>
                        </w:rPr>
                        <w:t xml:space="preserve"> </w:t>
                      </w:r>
                      <w:r>
                        <w:rPr>
                          <w:szCs w:val="24"/>
                        </w:rPr>
                        <w:t>šiais būdais:</w:t>
                      </w:r>
                    </w:p>
                    <w:sdt>
                      <w:sdtPr>
                        <w:alias w:val="65.1.1 pp."/>
                        <w:tag w:val="part_32da526e83cd4802b53b2fdcd5629e2c"/>
                        <w:lock w:val="sdtLocked"/>
                        <w:richText/>
                      </w:sdtPr>
                      <w:sdtContent>
                        <w:p>
                          <w:pPr>
                            <w:suppressAutoHyphens/>
                            <w:ind w:firstLine="567"/>
                            <w:jc w:val="both"/>
                            <w:textAlignment w:val="center"/>
                            <w:rPr>
                              <w:szCs w:val="24"/>
                            </w:rPr>
                          </w:pPr>
                          <w:sdt>
                            <w:sdtPr>
                              <w:alias w:val="Numeris"/>
                              <w:tag w:val="nr_32da526e83cd4802b53b2fdcd5629e2c"/>
                              <w:lock w:val="sdtLocked"/>
                              <w:richText/>
                            </w:sdtPr>
                            <w:sdtContent>
                              <w:r>
                                <w:rPr>
                                  <w:szCs w:val="24"/>
                                </w:rPr>
                                <w:t>65.1.1</w:t>
                              </w:r>
                            </w:sdtContent>
                          </w:sdt>
                          <w:r>
                            <w:rPr>
                              <w:szCs w:val="24"/>
                            </w:rPr>
                            <w:t>. imant duomenis iš pastato (jo dalies) projekto;</w:t>
                          </w:r>
                        </w:p>
                      </w:sdtContent>
                    </w:sdt>
                    <w:sdt>
                      <w:sdtPr>
                        <w:alias w:val="65.1.2 pp."/>
                        <w:tag w:val="part_d8f32d655eaf4f599cc044874a8706ce"/>
                        <w:lock w:val="sdtLocked"/>
                        <w:richText/>
                      </w:sdtPr>
                      <w:sdtContent>
                        <w:p>
                          <w:pPr>
                            <w:suppressAutoHyphens/>
                            <w:ind w:firstLine="567"/>
                            <w:jc w:val="both"/>
                            <w:textAlignment w:val="center"/>
                            <w:rPr>
                              <w:szCs w:val="24"/>
                            </w:rPr>
                          </w:pPr>
                          <w:sdt>
                            <w:sdtPr>
                              <w:alias w:val="Numeris"/>
                              <w:tag w:val="nr_d8f32d655eaf4f599cc044874a8706ce"/>
                              <w:lock w:val="sdtLocked"/>
                              <w:richText/>
                            </w:sdtPr>
                            <w:sdtContent>
                              <w:r>
                                <w:rPr>
                                  <w:szCs w:val="24"/>
                                </w:rPr>
                                <w:t>65.1.2</w:t>
                              </w:r>
                            </w:sdtContent>
                          </w:sdt>
                          <w:r>
                            <w:rPr>
                              <w:szCs w:val="24"/>
                            </w:rPr>
                            <w:t>. imant duomenis iš Nekilnojamojo turto registre esančių duomenų apie pastatą (jo dalį);</w:t>
                          </w:r>
                        </w:p>
                      </w:sdtContent>
                    </w:sdt>
                    <w:sdt>
                      <w:sdtPr>
                        <w:alias w:val="65.1.3 pp."/>
                        <w:tag w:val="part_279fb07daad149ca83163d7ed36b51e6"/>
                        <w:lock w:val="sdtLocked"/>
                        <w:richText/>
                      </w:sdtPr>
                      <w:sdtContent>
                        <w:p>
                          <w:pPr>
                            <w:suppressAutoHyphens/>
                            <w:ind w:firstLine="567"/>
                            <w:jc w:val="both"/>
                            <w:textAlignment w:val="center"/>
                            <w:rPr>
                              <w:szCs w:val="24"/>
                            </w:rPr>
                          </w:pPr>
                          <w:sdt>
                            <w:sdtPr>
                              <w:alias w:val="Numeris"/>
                              <w:tag w:val="nr_279fb07daad149ca83163d7ed36b51e6"/>
                              <w:lock w:val="sdtLocked"/>
                              <w:richText/>
                            </w:sdtPr>
                            <w:sdtContent>
                              <w:r>
                                <w:rPr>
                                  <w:szCs w:val="24"/>
                                </w:rPr>
                                <w:t>65.1.3</w:t>
                              </w:r>
                            </w:sdtContent>
                          </w:sdt>
                          <w:r>
                            <w:rPr>
                              <w:szCs w:val="24"/>
                            </w:rPr>
                            <w:t>. naudojantis pastato (jo dalies) sertifikavimo užsakovo pateiktais duomenimis;</w:t>
                          </w:r>
                        </w:p>
                      </w:sdtContent>
                    </w:sdt>
                    <w:sdt>
                      <w:sdtPr>
                        <w:alias w:val="65.1.4 pp."/>
                        <w:tag w:val="part_d6ab22a456b347e68f133708e8cce2b3"/>
                        <w:lock w:val="sdtLocked"/>
                        <w:richText/>
                      </w:sdtPr>
                      <w:sdtContent>
                        <w:p>
                          <w:pPr>
                            <w:suppressAutoHyphens/>
                            <w:ind w:firstLine="567"/>
                            <w:jc w:val="both"/>
                            <w:textAlignment w:val="center"/>
                            <w:rPr>
                              <w:szCs w:val="24"/>
                            </w:rPr>
                          </w:pPr>
                          <w:sdt>
                            <w:sdtPr>
                              <w:alias w:val="Numeris"/>
                              <w:tag w:val="nr_d6ab22a456b347e68f133708e8cce2b3"/>
                              <w:lock w:val="sdtLocked"/>
                              <w:richText/>
                            </w:sdtPr>
                            <w:sdtContent>
                              <w:r>
                                <w:rPr>
                                  <w:szCs w:val="24"/>
                                </w:rPr>
                                <w:t>65.1.4</w:t>
                              </w:r>
                            </w:sdtContent>
                          </w:sdt>
                          <w:r>
                            <w:rPr>
                              <w:szCs w:val="24"/>
                            </w:rPr>
                            <w:t>. Atliekant pastato (jo dalies) matavimus pagal Reglamento 1 ir 7 priedų reikalavimus;</w:t>
                          </w:r>
                        </w:p>
                      </w:sdtContent>
                    </w:sdt>
                  </w:sdtContent>
                </w:sdt>
                <w:sdt>
                  <w:sdtPr>
                    <w:alias w:val="65.2 pp."/>
                    <w:tag w:val="part_fa19d69292e8453a91d7dc1a85b3d4cf"/>
                    <w:lock w:val="sdtLocked"/>
                    <w:richText/>
                  </w:sdtPr>
                  <w:sdtContent>
                    <w:p>
                      <w:pPr>
                        <w:suppressAutoHyphens/>
                        <w:ind w:firstLine="567"/>
                        <w:jc w:val="both"/>
                        <w:textAlignment w:val="center"/>
                        <w:rPr>
                          <w:szCs w:val="24"/>
                        </w:rPr>
                      </w:pPr>
                      <w:sdt>
                        <w:sdtPr>
                          <w:alias w:val="Numeris"/>
                          <w:tag w:val="nr_fa19d69292e8453a91d7dc1a85b3d4cf"/>
                          <w:lock w:val="sdtLocked"/>
                          <w:richText/>
                        </w:sdtPr>
                        <w:sdtContent>
                          <w:r>
                            <w:rPr>
                              <w:szCs w:val="24"/>
                            </w:rPr>
                            <w:t>65.2</w:t>
                          </w:r>
                        </w:sdtContent>
                      </w:sdt>
                      <w:r>
                        <w:rPr>
                          <w:szCs w:val="24"/>
                        </w:rPr>
                        <w:t>. duomenys apie pastato (jo dalies) atitvarų šiluminių techninių rodiklių vertes turi būti nustatyti Reglamento 1, 2, 4–6 prieduose nurodyta tvarka, vadovaujantis:</w:t>
                      </w:r>
                    </w:p>
                    <w:sdt>
                      <w:sdtPr>
                        <w:alias w:val="65.2.1 pp."/>
                        <w:tag w:val="part_778bcd95b0fe4b5596fee76645aa278a"/>
                        <w:lock w:val="sdtLocked"/>
                        <w:richText/>
                      </w:sdtPr>
                      <w:sdtContent>
                        <w:p>
                          <w:pPr>
                            <w:suppressAutoHyphens/>
                            <w:ind w:firstLine="567"/>
                            <w:jc w:val="both"/>
                            <w:textAlignment w:val="center"/>
                            <w:rPr>
                              <w:szCs w:val="24"/>
                            </w:rPr>
                          </w:pPr>
                          <w:sdt>
                            <w:sdtPr>
                              <w:alias w:val="Numeris"/>
                              <w:tag w:val="nr_778bcd95b0fe4b5596fee76645aa278a"/>
                              <w:lock w:val="sdtLocked"/>
                              <w:richText/>
                            </w:sdtPr>
                            <w:sdtContent>
                              <w:r>
                                <w:rPr>
                                  <w:szCs w:val="24"/>
                                </w:rPr>
                                <w:t>65.2.1</w:t>
                              </w:r>
                            </w:sdtContent>
                          </w:sdt>
                          <w:r>
                            <w:rPr>
                              <w:szCs w:val="24"/>
                            </w:rPr>
                            <w:t>. pastato (jo dalies) projektu;</w:t>
                          </w:r>
                        </w:p>
                      </w:sdtContent>
                    </w:sdt>
                    <w:sdt>
                      <w:sdtPr>
                        <w:alias w:val="65.2.2 pp."/>
                        <w:tag w:val="part_fc2e55fd686743abb3f13d94bc375abb"/>
                        <w:lock w:val="sdtLocked"/>
                        <w:richText/>
                      </w:sdtPr>
                      <w:sdtContent>
                        <w:p>
                          <w:pPr>
                            <w:suppressAutoHyphens/>
                            <w:ind w:firstLine="567"/>
                            <w:jc w:val="both"/>
                            <w:textAlignment w:val="center"/>
                            <w:rPr>
                              <w:szCs w:val="24"/>
                            </w:rPr>
                          </w:pPr>
                          <w:sdt>
                            <w:sdtPr>
                              <w:alias w:val="Numeris"/>
                              <w:tag w:val="nr_fc2e55fd686743abb3f13d94bc375abb"/>
                              <w:lock w:val="sdtLocked"/>
                              <w:richText/>
                            </w:sdtPr>
                            <w:sdtContent>
                              <w:r>
                                <w:rPr>
                                  <w:szCs w:val="24"/>
                                </w:rPr>
                                <w:t>65.2.2</w:t>
                              </w:r>
                            </w:sdtContent>
                          </w:sdt>
                          <w:r>
                            <w:rPr>
                              <w:szCs w:val="24"/>
                            </w:rPr>
                            <w:t>. Nekilnojamojo turto registre esančiais duomenimis apie pastatą (jo dalį);</w:t>
                          </w:r>
                        </w:p>
                      </w:sdtContent>
                    </w:sdt>
                    <w:sdt>
                      <w:sdtPr>
                        <w:alias w:val="65.2.3 pp."/>
                        <w:tag w:val="part_449b471b04fe4594877755c59705a6d1"/>
                        <w:lock w:val="sdtLocked"/>
                        <w:richText/>
                      </w:sdtPr>
                      <w:sdtContent>
                        <w:p>
                          <w:pPr>
                            <w:suppressAutoHyphens/>
                            <w:ind w:firstLine="567"/>
                            <w:jc w:val="both"/>
                            <w:textAlignment w:val="center"/>
                            <w:rPr>
                              <w:szCs w:val="24"/>
                            </w:rPr>
                          </w:pPr>
                          <w:sdt>
                            <w:sdtPr>
                              <w:alias w:val="Numeris"/>
                              <w:tag w:val="nr_449b471b04fe4594877755c59705a6d1"/>
                              <w:lock w:val="sdtLocked"/>
                              <w:richText/>
                            </w:sdtPr>
                            <w:sdtContent>
                              <w:r>
                                <w:rPr>
                                  <w:szCs w:val="24"/>
                                </w:rPr>
                                <w:t>65.2.3</w:t>
                              </w:r>
                            </w:sdtContent>
                          </w:sdt>
                          <w:r>
                            <w:rPr>
                              <w:szCs w:val="24"/>
                            </w:rPr>
                            <w:t>. pastato (jo dalies) sertifikavimo užsakovo pateiktais duomenimis;</w:t>
                          </w:r>
                        </w:p>
                      </w:sdtContent>
                    </w:sdt>
                    <w:sdt>
                      <w:sdtPr>
                        <w:alias w:val="65.2.4 pp."/>
                        <w:tag w:val="part_7a1f640f9754446c9fefb346ad2e04ea"/>
                        <w:lock w:val="sdtLocked"/>
                        <w:richText/>
                      </w:sdtPr>
                      <w:sdtContent>
                        <w:p>
                          <w:pPr>
                            <w:suppressAutoHyphens/>
                            <w:ind w:firstLine="567"/>
                            <w:jc w:val="both"/>
                            <w:textAlignment w:val="center"/>
                            <w:rPr>
                              <w:szCs w:val="24"/>
                            </w:rPr>
                          </w:pPr>
                          <w:sdt>
                            <w:sdtPr>
                              <w:alias w:val="Numeris"/>
                              <w:tag w:val="nr_7a1f640f9754446c9fefb346ad2e04ea"/>
                              <w:lock w:val="sdtLocked"/>
                              <w:richText/>
                            </w:sdtPr>
                            <w:sdtContent>
                              <w:r>
                                <w:rPr>
                                  <w:szCs w:val="24"/>
                                </w:rPr>
                                <w:t>65.2.4</w:t>
                              </w:r>
                            </w:sdtContent>
                          </w:sdt>
                          <w:r>
                            <w:rPr>
                              <w:szCs w:val="24"/>
                            </w:rPr>
                            <w:t>. tyrimų rezultatais, gautais atlikus Lietuvos standartuose įteisintus bandymus;</w:t>
                          </w:r>
                        </w:p>
                      </w:sdtContent>
                    </w:sdt>
                    <w:sdt>
                      <w:sdtPr>
                        <w:alias w:val="65.2.5 pp."/>
                        <w:tag w:val="part_c859ac2624d040b3a1fd546e41f76393"/>
                        <w:lock w:val="sdtLocked"/>
                        <w:richText/>
                      </w:sdtPr>
                      <w:sdtContent>
                        <w:p>
                          <w:pPr>
                            <w:suppressAutoHyphens/>
                            <w:ind w:firstLine="567"/>
                            <w:jc w:val="both"/>
                            <w:textAlignment w:val="center"/>
                            <w:rPr>
                              <w:szCs w:val="24"/>
                            </w:rPr>
                          </w:pPr>
                          <w:sdt>
                            <w:sdtPr>
                              <w:alias w:val="Numeris"/>
                              <w:tag w:val="nr_c859ac2624d040b3a1fd546e41f76393"/>
                              <w:lock w:val="sdtLocked"/>
                              <w:richText/>
                            </w:sdtPr>
                            <w:sdtContent>
                              <w:r>
                                <w:rPr>
                                  <w:szCs w:val="24"/>
                                </w:rPr>
                                <w:t>65.2.5</w:t>
                              </w:r>
                            </w:sdtContent>
                          </w:sdt>
                          <w:r>
                            <w:rPr>
                              <w:szCs w:val="24"/>
                            </w:rPr>
                            <w:t xml:space="preserve">. Reglamento 2 ir 3 prieduose nurodytais skaičiavimo būdais arba iš Reglamento 4, 5, 6 prieduose pateiktais duomenimis; </w:t>
                          </w:r>
                        </w:p>
                      </w:sdtContent>
                    </w:sdt>
                    <w:sdt>
                      <w:sdtPr>
                        <w:alias w:val="65.2.6 pp."/>
                        <w:tag w:val="part_0adb215bb4e440a9969b6d596099e907"/>
                        <w:lock w:val="sdtLocked"/>
                        <w:richText/>
                      </w:sdtPr>
                      <w:sdtContent>
                        <w:p>
                          <w:pPr>
                            <w:suppressAutoHyphens/>
                            <w:ind w:firstLine="567"/>
                            <w:jc w:val="both"/>
                            <w:textAlignment w:val="center"/>
                            <w:rPr>
                              <w:szCs w:val="24"/>
                            </w:rPr>
                          </w:pPr>
                          <w:sdt>
                            <w:sdtPr>
                              <w:alias w:val="Numeris"/>
                              <w:tag w:val="nr_0adb215bb4e440a9969b6d596099e907"/>
                              <w:lock w:val="sdtLocked"/>
                              <w:richText/>
                            </w:sdtPr>
                            <w:sdtContent>
                              <w:r>
                                <w:rPr>
                                  <w:szCs w:val="24"/>
                                  <w:lang w:eastAsia="lt-LT"/>
                                </w:rPr>
                                <w:t>65.2.6</w:t>
                              </w:r>
                            </w:sdtContent>
                          </w:sdt>
                          <w:r>
                            <w:rPr>
                              <w:szCs w:val="24"/>
                              <w:lang w:eastAsia="lt-LT"/>
                            </w:rPr>
                            <w:t>. A, A+ ir A++ energinio naudingumo klasės pastatų langų šiluminės savybės turi būti nustatytos pagal langų gamintojų deklaracijose nurodytus duomenis kiekvieno matmens langui. Jei gamintojai duomenų apie kiekvieno matmens langą nepateikia, langų šiluminės savybės turi būti nustatytos pagal Reglamento 4 priede 4.1 lentelėje nurodytus duomenis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
                  <w:sdtPr>
                    <w:alias w:val="65.3 pp."/>
                    <w:tag w:val="part_65cb1f7b5bd54151998fa616b3b4d690"/>
                    <w:lock w:val="sdtLocked"/>
                    <w:richText/>
                  </w:sdtPr>
                  <w:sdtContent>
                    <w:p>
                      <w:pPr>
                        <w:suppressAutoHyphens/>
                        <w:ind w:firstLine="567"/>
                        <w:jc w:val="both"/>
                        <w:textAlignment w:val="center"/>
                        <w:rPr>
                          <w:spacing w:val="-4"/>
                          <w:szCs w:val="24"/>
                        </w:rPr>
                      </w:pPr>
                      <w:sdt>
                        <w:sdtPr>
                          <w:alias w:val="Numeris"/>
                          <w:tag w:val="nr_65cb1f7b5bd54151998fa616b3b4d690"/>
                          <w:lock w:val="sdtLocked"/>
                          <w:richText/>
                        </w:sdtPr>
                        <w:sdtContent>
                          <w:r>
                            <w:rPr>
                              <w:szCs w:val="24"/>
                            </w:rPr>
                            <w:t>65</w:t>
                          </w:r>
                          <w:r>
                            <w:rPr>
                              <w:spacing w:val="-4"/>
                              <w:szCs w:val="24"/>
                            </w:rPr>
                            <w:t>.3</w:t>
                          </w:r>
                        </w:sdtContent>
                      </w:sdt>
                      <w:r>
                        <w:rPr>
                          <w:spacing w:val="-4"/>
                          <w:szCs w:val="24"/>
                        </w:rPr>
                        <w:t xml:space="preserve">. duomenys apie pastate (jo dalyje) esančias pasyvias apsaugos nuo Saulės priemones </w:t>
                      </w:r>
                      <w:r>
                        <w:rPr>
                          <w:szCs w:val="24"/>
                        </w:rPr>
                        <w:t>turi būti nustatyti Reglamento 1 priede nurodyta tvarka</w:t>
                      </w:r>
                      <w:r>
                        <w:rPr>
                          <w:spacing w:val="-4"/>
                          <w:szCs w:val="24"/>
                        </w:rPr>
                        <w:t xml:space="preserve"> šiais būdais:</w:t>
                      </w:r>
                    </w:p>
                    <w:sdt>
                      <w:sdtPr>
                        <w:alias w:val="65.3.1 pp."/>
                        <w:tag w:val="part_fc1ec75bf38a4fdf8ab84598815d13f2"/>
                        <w:lock w:val="sdtLocked"/>
                        <w:richText/>
                      </w:sdtPr>
                      <w:sdtContent>
                        <w:p>
                          <w:pPr>
                            <w:suppressAutoHyphens/>
                            <w:ind w:firstLine="567"/>
                            <w:jc w:val="both"/>
                            <w:textAlignment w:val="center"/>
                            <w:rPr>
                              <w:szCs w:val="24"/>
                            </w:rPr>
                          </w:pPr>
                          <w:sdt>
                            <w:sdtPr>
                              <w:alias w:val="Numeris"/>
                              <w:tag w:val="nr_fc1ec75bf38a4fdf8ab84598815d13f2"/>
                              <w:lock w:val="sdtLocked"/>
                              <w:richText/>
                            </w:sdtPr>
                            <w:sdtContent>
                              <w:r>
                                <w:rPr>
                                  <w:szCs w:val="24"/>
                                </w:rPr>
                                <w:t>65.3.1</w:t>
                              </w:r>
                            </w:sdtContent>
                          </w:sdt>
                          <w:r>
                            <w:rPr>
                              <w:szCs w:val="24"/>
                            </w:rPr>
                            <w:t>. imant duomenis iš pastato (jo dalies) projekto;</w:t>
                          </w:r>
                        </w:p>
                      </w:sdtContent>
                    </w:sdt>
                    <w:sdt>
                      <w:sdtPr>
                        <w:alias w:val="65.3.2 pp."/>
                        <w:tag w:val="part_b9618f25c6f64ae5bf0628ffd0e43726"/>
                        <w:lock w:val="sdtLocked"/>
                        <w:richText/>
                      </w:sdtPr>
                      <w:sdtContent>
                        <w:p>
                          <w:pPr>
                            <w:suppressAutoHyphens/>
                            <w:ind w:firstLine="567"/>
                            <w:jc w:val="both"/>
                            <w:textAlignment w:val="center"/>
                            <w:rPr>
                              <w:szCs w:val="24"/>
                            </w:rPr>
                          </w:pPr>
                          <w:sdt>
                            <w:sdtPr>
                              <w:alias w:val="Numeris"/>
                              <w:tag w:val="nr_b9618f25c6f64ae5bf0628ffd0e43726"/>
                              <w:lock w:val="sdtLocked"/>
                              <w:richText/>
                            </w:sdtPr>
                            <w:sdtContent>
                              <w:r>
                                <w:rPr>
                                  <w:szCs w:val="24"/>
                                </w:rPr>
                                <w:t>65.3.2</w:t>
                              </w:r>
                            </w:sdtContent>
                          </w:sdt>
                          <w:r>
                            <w:rPr>
                              <w:szCs w:val="24"/>
                            </w:rPr>
                            <w:t>. naudojantis pastato (jo dalies) sertifikavimo užsakovo pateiktais duomenimis;</w:t>
                          </w:r>
                        </w:p>
                      </w:sdtContent>
                    </w:sdt>
                    <w:sdt>
                      <w:sdtPr>
                        <w:alias w:val="65.3.3 pp."/>
                        <w:tag w:val="part_608f5885a53940118a7c9a1c1374a34f"/>
                        <w:lock w:val="sdtLocked"/>
                        <w:richText/>
                      </w:sdtPr>
                      <w:sdtContent>
                        <w:p>
                          <w:pPr>
                            <w:suppressAutoHyphens/>
                            <w:ind w:firstLine="567"/>
                            <w:jc w:val="both"/>
                            <w:textAlignment w:val="center"/>
                            <w:rPr>
                              <w:szCs w:val="24"/>
                            </w:rPr>
                          </w:pPr>
                          <w:sdt>
                            <w:sdtPr>
                              <w:alias w:val="Numeris"/>
                              <w:tag w:val="nr_608f5885a53940118a7c9a1c1374a34f"/>
                              <w:lock w:val="sdtLocked"/>
                              <w:richText/>
                            </w:sdtPr>
                            <w:sdtContent>
                              <w:r>
                                <w:rPr>
                                  <w:szCs w:val="24"/>
                                </w:rPr>
                                <w:t>65.3.3</w:t>
                              </w:r>
                            </w:sdtContent>
                          </w:sdt>
                          <w:r>
                            <w:rPr>
                              <w:szCs w:val="24"/>
                            </w:rPr>
                            <w:t>. pastato (jo dalies) pasyvių apsaugos nuo Saulės priemonių apžiūros bei įvertinimo būdu pagal Reglamento 1 priedo reikalavimus;</w:t>
                          </w:r>
                        </w:p>
                      </w:sdtContent>
                    </w:sdt>
                  </w:sdtContent>
                </w:sdt>
                <w:sdt>
                  <w:sdtPr>
                    <w:alias w:val="65.4 pp."/>
                    <w:tag w:val="part_62f0a873a80645c68698f0f14e45d788"/>
                    <w:lock w:val="sdtLocked"/>
                    <w:richText/>
                  </w:sdtPr>
                  <w:sdtContent>
                    <w:p>
                      <w:pPr>
                        <w:suppressAutoHyphens/>
                        <w:ind w:firstLine="567"/>
                        <w:jc w:val="both"/>
                        <w:textAlignment w:val="center"/>
                        <w:rPr>
                          <w:spacing w:val="-4"/>
                          <w:szCs w:val="24"/>
                        </w:rPr>
                      </w:pPr>
                      <w:sdt>
                        <w:sdtPr>
                          <w:alias w:val="Numeris"/>
                          <w:tag w:val="nr_62f0a873a80645c68698f0f14e45d788"/>
                          <w:lock w:val="sdtLocked"/>
                          <w:richText/>
                        </w:sdtPr>
                        <w:sdtContent>
                          <w:r>
                            <w:rPr>
                              <w:szCs w:val="24"/>
                            </w:rPr>
                            <w:t>65</w:t>
                          </w:r>
                          <w:r>
                            <w:rPr>
                              <w:spacing w:val="-4"/>
                              <w:szCs w:val="24"/>
                            </w:rPr>
                            <w:t>.4</w:t>
                          </w:r>
                        </w:sdtContent>
                      </w:sdt>
                      <w:r>
                        <w:rPr>
                          <w:spacing w:val="-4"/>
                          <w:szCs w:val="24"/>
                        </w:rPr>
                        <w:t xml:space="preserve">. duomenys apie pastato (jo dalies) apšvietimo, vėdinimo, vėsinimo (oro kondicionavimo), </w:t>
                      </w:r>
                      <w:r>
                        <w:rPr>
                          <w:szCs w:val="24"/>
                        </w:rPr>
                        <w:t>šildymo ir karšto vandens ruošimo sistemas</w:t>
                      </w:r>
                      <w:r>
                        <w:rPr>
                          <w:spacing w:val="-4"/>
                          <w:szCs w:val="24"/>
                        </w:rPr>
                        <w:t xml:space="preserve"> </w:t>
                      </w:r>
                      <w:r>
                        <w:rPr>
                          <w:szCs w:val="24"/>
                        </w:rPr>
                        <w:t>turi būti nustatyti Reglamento 1 priede nurodyta tvarka</w:t>
                      </w:r>
                      <w:r>
                        <w:rPr>
                          <w:spacing w:val="-4"/>
                          <w:szCs w:val="24"/>
                        </w:rPr>
                        <w:t xml:space="preserve"> šiais būdais:</w:t>
                      </w:r>
                    </w:p>
                    <w:sdt>
                      <w:sdtPr>
                        <w:alias w:val="65.4.1 pp."/>
                        <w:tag w:val="part_6a7691d6714e488ebec4ab28c5df76dc"/>
                        <w:lock w:val="sdtLocked"/>
                        <w:richText/>
                      </w:sdtPr>
                      <w:sdtContent>
                        <w:p>
                          <w:pPr>
                            <w:suppressAutoHyphens/>
                            <w:ind w:firstLine="567"/>
                            <w:jc w:val="both"/>
                            <w:textAlignment w:val="center"/>
                            <w:rPr>
                              <w:szCs w:val="24"/>
                            </w:rPr>
                          </w:pPr>
                          <w:sdt>
                            <w:sdtPr>
                              <w:alias w:val="Numeris"/>
                              <w:tag w:val="nr_6a7691d6714e488ebec4ab28c5df76dc"/>
                              <w:lock w:val="sdtLocked"/>
                              <w:richText/>
                            </w:sdtPr>
                            <w:sdtContent>
                              <w:r>
                                <w:rPr>
                                  <w:szCs w:val="24"/>
                                </w:rPr>
                                <w:t>65.4.1</w:t>
                              </w:r>
                            </w:sdtContent>
                          </w:sdt>
                          <w:r>
                            <w:rPr>
                              <w:szCs w:val="24"/>
                            </w:rPr>
                            <w:t>. imant duomenis iš pastato (jo dalies) projekto;</w:t>
                          </w:r>
                        </w:p>
                      </w:sdtContent>
                    </w:sdt>
                    <w:sdt>
                      <w:sdtPr>
                        <w:alias w:val="65.4.2 pp."/>
                        <w:tag w:val="part_3077526ff097407c800a674574faae21"/>
                        <w:lock w:val="sdtLocked"/>
                        <w:richText/>
                      </w:sdtPr>
                      <w:sdtContent>
                        <w:p>
                          <w:pPr>
                            <w:suppressAutoHyphens/>
                            <w:ind w:firstLine="567"/>
                            <w:jc w:val="both"/>
                            <w:textAlignment w:val="center"/>
                            <w:rPr>
                              <w:szCs w:val="24"/>
                            </w:rPr>
                          </w:pPr>
                          <w:sdt>
                            <w:sdtPr>
                              <w:alias w:val="Numeris"/>
                              <w:tag w:val="nr_3077526ff097407c800a674574faae21"/>
                              <w:lock w:val="sdtLocked"/>
                              <w:richText/>
                            </w:sdtPr>
                            <w:sdtContent>
                              <w:r>
                                <w:rPr>
                                  <w:szCs w:val="24"/>
                                </w:rPr>
                                <w:t>65.4.2</w:t>
                              </w:r>
                            </w:sdtContent>
                          </w:sdt>
                          <w:r>
                            <w:rPr>
                              <w:szCs w:val="24"/>
                            </w:rPr>
                            <w:t>. naudojantis pastato (jo dalies) sertifikavimo užsakovo pateiktais duomenimis;</w:t>
                          </w:r>
                        </w:p>
                      </w:sdtContent>
                    </w:sdt>
                    <w:sdt>
                      <w:sdtPr>
                        <w:alias w:val="65.4.3 pp."/>
                        <w:tag w:val="part_c18188767948410f98410d08b0cb2487"/>
                        <w:lock w:val="sdtLocked"/>
                        <w:richText/>
                      </w:sdtPr>
                      <w:sdtContent>
                        <w:p>
                          <w:pPr>
                            <w:suppressAutoHyphens/>
                            <w:ind w:firstLine="567"/>
                            <w:jc w:val="both"/>
                            <w:textAlignment w:val="center"/>
                            <w:rPr>
                              <w:szCs w:val="24"/>
                            </w:rPr>
                          </w:pPr>
                          <w:sdt>
                            <w:sdtPr>
                              <w:alias w:val="Numeris"/>
                              <w:tag w:val="nr_c18188767948410f98410d08b0cb2487"/>
                              <w:lock w:val="sdtLocked"/>
                              <w:richText/>
                            </w:sdtPr>
                            <w:sdtContent>
                              <w:r>
                                <w:rPr>
                                  <w:szCs w:val="24"/>
                                </w:rPr>
                                <w:t>65.4.3</w:t>
                              </w:r>
                            </w:sdtContent>
                          </w:sdt>
                          <w:r>
                            <w:rPr>
                              <w:szCs w:val="24"/>
                            </w:rPr>
                            <w:t>. imant duomenis iš minėtų sistemų įrengimų techninės ar periodinių tikrinimų dokumentacijos [3.4];</w:t>
                          </w:r>
                        </w:p>
                      </w:sdtContent>
                    </w:sdt>
                    <w:sdt>
                      <w:sdtPr>
                        <w:alias w:val="65.4.4 pp."/>
                        <w:tag w:val="part_1949e60adc5c4eda972a68cc9bee8370"/>
                        <w:lock w:val="sdtLocked"/>
                        <w:richText/>
                      </w:sdtPr>
                      <w:sdtContent>
                        <w:p>
                          <w:pPr>
                            <w:suppressAutoHyphens/>
                            <w:ind w:firstLine="567"/>
                            <w:jc w:val="both"/>
                            <w:textAlignment w:val="center"/>
                            <w:rPr>
                              <w:szCs w:val="24"/>
                            </w:rPr>
                          </w:pPr>
                          <w:sdt>
                            <w:sdtPr>
                              <w:alias w:val="Numeris"/>
                              <w:tag w:val="nr_1949e60adc5c4eda972a68cc9bee8370"/>
                              <w:lock w:val="sdtLocked"/>
                              <w:richText/>
                            </w:sdtPr>
                            <w:sdtContent>
                              <w:r>
                                <w:rPr>
                                  <w:szCs w:val="24"/>
                                </w:rPr>
                                <w:t>65.4.4</w:t>
                              </w:r>
                            </w:sdtContent>
                          </w:sdt>
                          <w:r>
                            <w:rPr>
                              <w:szCs w:val="24"/>
                            </w:rPr>
                            <w:t>. pastato (jo dalies) patalpų, kuriose įrengtos minėtos sistemos, šildomų plotų matavimų ir šių sistemų apžiūros bei įvertinimo būdu pagal Reglamento 1 priedo reikalavimus;</w:t>
                          </w:r>
                        </w:p>
                      </w:sdtContent>
                    </w:sdt>
                  </w:sdtContent>
                </w:sdt>
                <w:sdt>
                  <w:sdtPr>
                    <w:alias w:val="65.5 pp."/>
                    <w:tag w:val="part_d83e64231a464b7887511f5d2a0aa1c7"/>
                    <w:lock w:val="sdtLocked"/>
                    <w:richText/>
                  </w:sdtPr>
                  <w:sdtContent>
                    <w:p>
                      <w:pPr>
                        <w:suppressAutoHyphens/>
                        <w:ind w:firstLine="567"/>
                        <w:jc w:val="both"/>
                        <w:textAlignment w:val="center"/>
                        <w:rPr>
                          <w:spacing w:val="-4"/>
                          <w:szCs w:val="24"/>
                        </w:rPr>
                      </w:pPr>
                      <w:sdt>
                        <w:sdtPr>
                          <w:alias w:val="Numeris"/>
                          <w:tag w:val="nr_d83e64231a464b7887511f5d2a0aa1c7"/>
                          <w:lock w:val="sdtLocked"/>
                          <w:richText/>
                        </w:sdtPr>
                        <w:sdtContent>
                          <w:r>
                            <w:rPr>
                              <w:szCs w:val="24"/>
                            </w:rPr>
                            <w:t>65</w:t>
                          </w:r>
                          <w:r>
                            <w:rPr>
                              <w:spacing w:val="-4"/>
                              <w:szCs w:val="24"/>
                            </w:rPr>
                            <w:t>.5</w:t>
                          </w:r>
                        </w:sdtContent>
                      </w:sdt>
                      <w:r>
                        <w:rPr>
                          <w:spacing w:val="-4"/>
                          <w:szCs w:val="24"/>
                        </w:rPr>
                        <w:t xml:space="preserve">. duomenys apie pastate (jo dalyje) energijai išgauti naudojamus vandenį šildančius ir fotovoltinius Saulės kolektorius, vėjo elektrines ir hidroelektrines </w:t>
                      </w:r>
                      <w:r>
                        <w:rPr>
                          <w:szCs w:val="24"/>
                        </w:rPr>
                        <w:t>turi būti nustatyti Reglamento 1 priede nurodyta tvarka</w:t>
                      </w:r>
                      <w:r>
                        <w:rPr>
                          <w:spacing w:val="-4"/>
                          <w:szCs w:val="24"/>
                        </w:rPr>
                        <w:t xml:space="preserve"> šiais būdais:</w:t>
                      </w:r>
                    </w:p>
                    <w:sdt>
                      <w:sdtPr>
                        <w:alias w:val="65.5.1 pp."/>
                        <w:tag w:val="part_1bd152c140314845928567f3d4122e61"/>
                        <w:lock w:val="sdtLocked"/>
                        <w:richText/>
                      </w:sdtPr>
                      <w:sdtContent>
                        <w:p>
                          <w:pPr>
                            <w:suppressAutoHyphens/>
                            <w:ind w:firstLine="567"/>
                            <w:jc w:val="both"/>
                            <w:textAlignment w:val="center"/>
                            <w:rPr>
                              <w:szCs w:val="24"/>
                            </w:rPr>
                          </w:pPr>
                          <w:sdt>
                            <w:sdtPr>
                              <w:alias w:val="Numeris"/>
                              <w:tag w:val="nr_1bd152c140314845928567f3d4122e61"/>
                              <w:lock w:val="sdtLocked"/>
                              <w:richText/>
                            </w:sdtPr>
                            <w:sdtContent>
                              <w:r>
                                <w:rPr>
                                  <w:szCs w:val="24"/>
                                </w:rPr>
                                <w:t>65.5.1</w:t>
                              </w:r>
                            </w:sdtContent>
                          </w:sdt>
                          <w:r>
                            <w:rPr>
                              <w:szCs w:val="24"/>
                            </w:rPr>
                            <w:t>. imant duomenis iš pastato (jo dalies) projekto;</w:t>
                          </w:r>
                        </w:p>
                      </w:sdtContent>
                    </w:sdt>
                    <w:sdt>
                      <w:sdtPr>
                        <w:alias w:val="65.5.2 pp."/>
                        <w:tag w:val="part_cc8d7f97fbac44f682f9b7be4ef63edf"/>
                        <w:lock w:val="sdtLocked"/>
                        <w:richText/>
                      </w:sdtPr>
                      <w:sdtContent>
                        <w:p>
                          <w:pPr>
                            <w:suppressAutoHyphens/>
                            <w:ind w:firstLine="567"/>
                            <w:jc w:val="both"/>
                            <w:textAlignment w:val="center"/>
                            <w:rPr>
                              <w:szCs w:val="24"/>
                            </w:rPr>
                          </w:pPr>
                          <w:sdt>
                            <w:sdtPr>
                              <w:alias w:val="Numeris"/>
                              <w:tag w:val="nr_cc8d7f97fbac44f682f9b7be4ef63edf"/>
                              <w:lock w:val="sdtLocked"/>
                              <w:richText/>
                            </w:sdtPr>
                            <w:sdtContent>
                              <w:r>
                                <w:rPr>
                                  <w:szCs w:val="24"/>
                                </w:rPr>
                                <w:t>65.5.2</w:t>
                              </w:r>
                            </w:sdtContent>
                          </w:sdt>
                          <w:r>
                            <w:rPr>
                              <w:szCs w:val="24"/>
                            </w:rPr>
                            <w:t>. naudojantis pastato (jo dalies) sertifikavimo užsakovo pateiktais duomenimis;</w:t>
                          </w:r>
                        </w:p>
                      </w:sdtContent>
                    </w:sdt>
                    <w:sdt>
                      <w:sdtPr>
                        <w:alias w:val="65.5.3 pp."/>
                        <w:tag w:val="part_2d0c342d6ba945ce83ae92d8c6926302"/>
                        <w:lock w:val="sdtLocked"/>
                        <w:richText/>
                      </w:sdtPr>
                      <w:sdtContent>
                        <w:p>
                          <w:pPr>
                            <w:suppressAutoHyphens/>
                            <w:ind w:firstLine="567"/>
                            <w:jc w:val="both"/>
                            <w:textAlignment w:val="center"/>
                            <w:rPr>
                              <w:szCs w:val="24"/>
                            </w:rPr>
                          </w:pPr>
                          <w:sdt>
                            <w:sdtPr>
                              <w:alias w:val="Numeris"/>
                              <w:tag w:val="nr_2d0c342d6ba945ce83ae92d8c6926302"/>
                              <w:lock w:val="sdtLocked"/>
                              <w:richText/>
                            </w:sdtPr>
                            <w:sdtContent>
                              <w:r>
                                <w:rPr>
                                  <w:szCs w:val="24"/>
                                </w:rPr>
                                <w:t>65.5.3</w:t>
                              </w:r>
                            </w:sdtContent>
                          </w:sdt>
                          <w:r>
                            <w:rPr>
                              <w:szCs w:val="24"/>
                            </w:rPr>
                            <w:t>. imant duomenis iš minėtų įrengimų techninės dokumentacijos;</w:t>
                          </w:r>
                        </w:p>
                      </w:sdtContent>
                    </w:sdt>
                    <w:sdt>
                      <w:sdtPr>
                        <w:alias w:val="65.5.4 pp."/>
                        <w:tag w:val="part_29b1e773996c4028a5b05231d882e491"/>
                        <w:lock w:val="sdtLocked"/>
                        <w:richText/>
                      </w:sdtPr>
                      <w:sdtContent>
                        <w:p>
                          <w:pPr>
                            <w:suppressAutoHyphens/>
                            <w:ind w:firstLine="567"/>
                            <w:jc w:val="both"/>
                            <w:textAlignment w:val="center"/>
                            <w:rPr>
                              <w:szCs w:val="24"/>
                            </w:rPr>
                          </w:pPr>
                          <w:sdt>
                            <w:sdtPr>
                              <w:alias w:val="Numeris"/>
                              <w:tag w:val="nr_29b1e773996c4028a5b05231d882e491"/>
                              <w:lock w:val="sdtLocked"/>
                              <w:richText/>
                            </w:sdtPr>
                            <w:sdtContent>
                              <w:r>
                                <w:rPr>
                                  <w:szCs w:val="24"/>
                                </w:rPr>
                                <w:t>65.5.4</w:t>
                              </w:r>
                            </w:sdtContent>
                          </w:sdt>
                          <w:r>
                            <w:rPr>
                              <w:szCs w:val="24"/>
                            </w:rPr>
                            <w:t>. pastato (jo dalies) patalpų, kuriose įrengti minėti įrengimai, šildomų plotų matavimų ir šių sistemų apžiūros bei įvertinimo būdu pagal Reglamento 1 priedo reikalavimus;</w:t>
                          </w:r>
                        </w:p>
                      </w:sdtContent>
                    </w:sdt>
                  </w:sdtContent>
                </w:sdt>
                <w:sdt>
                  <w:sdtPr>
                    <w:alias w:val="65.5-1 pp."/>
                    <w:tag w:val="part_0bcb5d48324f4f67a4ee04b5dd30169e"/>
                    <w:lock w:val="sdtLocked"/>
                    <w:richText/>
                  </w:sdtPr>
                  <w:sdtContent>
                    <w:p>
                      <w:pPr>
                        <w:suppressAutoHyphens/>
                        <w:ind w:firstLine="567"/>
                        <w:jc w:val="both"/>
                        <w:textAlignment w:val="center"/>
                        <w:rPr>
                          <w:szCs w:val="24"/>
                        </w:rPr>
                      </w:pPr>
                      <w:sdt>
                        <w:sdtPr>
                          <w:alias w:val="Numeris"/>
                          <w:tag w:val="nr_0bcb5d48324f4f67a4ee04b5dd30169e"/>
                          <w:lock w:val="sdtLocked"/>
                          <w:richText/>
                        </w:sdtPr>
                        <w:sdtContent>
                          <w:r>
                            <w:rPr>
                              <w:szCs w:val="24"/>
                            </w:rPr>
                            <w:t>65.5</w:t>
                          </w:r>
                          <w:r>
                            <w:rPr>
                              <w:szCs w:val="24"/>
                              <w:vertAlign w:val="superscript"/>
                            </w:rPr>
                            <w:t>1</w:t>
                          </w:r>
                        </w:sdtContent>
                      </w:sdt>
                      <w:r>
                        <w:rPr>
                          <w:szCs w:val="24"/>
                        </w:rPr>
                        <w:t>. duomenis apie pastato sandarumą nustatyti taip:</w:t>
                      </w:r>
                    </w:p>
                    <w:sdt>
                      <w:sdtPr>
                        <w:alias w:val="65.5-1.1 pp."/>
                        <w:tag w:val="part_100a7c1f5cf243bc9b71edd87d0f90ff"/>
                        <w:lock w:val="sdtLocked"/>
                        <w:richText/>
                      </w:sdtPr>
                      <w:sdtContent>
                        <w:p>
                          <w:pPr>
                            <w:suppressAutoHyphens/>
                            <w:ind w:firstLine="567"/>
                            <w:jc w:val="both"/>
                            <w:textAlignment w:val="center"/>
                            <w:rPr>
                              <w:rFonts w:eastAsia="Calibri"/>
                              <w:szCs w:val="24"/>
                            </w:rPr>
                          </w:pPr>
                          <w:sdt>
                            <w:sdtPr>
                              <w:alias w:val="Numeris"/>
                              <w:tag w:val="nr_100a7c1f5cf243bc9b71edd87d0f90ff"/>
                              <w:lock w:val="sdtLocked"/>
                              <w:richText/>
                            </w:sdtPr>
                            <w:sdtContent>
                              <w:r>
                                <w:rPr>
                                  <w:szCs w:val="24"/>
                                </w:rPr>
                                <w:t>65.5</w:t>
                              </w:r>
                              <w:r>
                                <w:rPr>
                                  <w:szCs w:val="24"/>
                                  <w:vertAlign w:val="superscript"/>
                                </w:rPr>
                                <w:t>1</w:t>
                              </w:r>
                              <w:r>
                                <w:rPr>
                                  <w:szCs w:val="24"/>
                                </w:rPr>
                                <w:t>.1</w:t>
                              </w:r>
                            </w:sdtContent>
                          </w:sdt>
                          <w:r>
                            <w:rPr>
                              <w:szCs w:val="24"/>
                            </w:rPr>
                            <w:t xml:space="preserve">. Reglamento 40 punkte nurodytais atvejais pastato sandarumas apskaičiuojamas pagal </w:t>
                          </w:r>
                          <w:r>
                            <w:rPr>
                              <w:rFonts w:eastAsia="Calibri"/>
                              <w:szCs w:val="24"/>
                            </w:rPr>
                            <w:t>Reglamento 2 priedo 26.1 papunkčio reikalavimus;</w:t>
                          </w:r>
                        </w:p>
                      </w:sdtContent>
                    </w:sdt>
                    <w:sdt>
                      <w:sdtPr>
                        <w:alias w:val="65.5-1.2 pp."/>
                        <w:tag w:val="part_9168bdaa706b466fae6f9cf7d4063f7b"/>
                        <w:lock w:val="sdtLocked"/>
                        <w:richText/>
                      </w:sdtPr>
                      <w:sdtContent>
                        <w:p>
                          <w:pPr>
                            <w:suppressAutoHyphens/>
                            <w:ind w:firstLine="567"/>
                            <w:jc w:val="both"/>
                            <w:textAlignment w:val="center"/>
                            <w:rPr>
                              <w:szCs w:val="24"/>
                            </w:rPr>
                          </w:pPr>
                          <w:sdt>
                            <w:sdtPr>
                              <w:alias w:val="Numeris"/>
                              <w:tag w:val="nr_9168bdaa706b466fae6f9cf7d4063f7b"/>
                              <w:lock w:val="sdtLocked"/>
                              <w:richText/>
                            </w:sdtPr>
                            <w:sdtContent>
                              <w:r>
                                <w:rPr>
                                  <w:szCs w:val="24"/>
                                </w:rPr>
                                <w:t>65.5</w:t>
                              </w:r>
                              <w:r>
                                <w:rPr>
                                  <w:szCs w:val="24"/>
                                  <w:vertAlign w:val="superscript"/>
                                </w:rPr>
                                <w:t>1</w:t>
                              </w:r>
                              <w:r>
                                <w:rPr>
                                  <w:szCs w:val="24"/>
                                </w:rPr>
                                <w:t>.2</w:t>
                              </w:r>
                            </w:sdtContent>
                          </w:sdt>
                          <w:r>
                            <w:rPr>
                              <w:szCs w:val="24"/>
                            </w:rPr>
                            <w:t xml:space="preserve">. Reglamento 39 punkte nurodytais atvejais pastato sandarumas nustatomas pagal pastato sandarumo bandymų protokolo duomenis, kurie skelbiami akredituotų pastatų sandarumo bandymų laboratorijų duomenų bazėse; </w:t>
                          </w:r>
                        </w:p>
                      </w:sdtContent>
                    </w:sdt>
                    <w:sdt>
                      <w:sdtPr>
                        <w:alias w:val="65.5-1.3 pp."/>
                        <w:tag w:val="part_22808766b2d8415591d26427e49a2588"/>
                        <w:lock w:val="sdtLocked"/>
                        <w:richText/>
                      </w:sdtPr>
                      <w:sdtContent>
                        <w:p>
                          <w:pPr>
                            <w:suppressAutoHyphens/>
                            <w:ind w:firstLine="567"/>
                            <w:jc w:val="both"/>
                            <w:textAlignment w:val="center"/>
                          </w:pPr>
                          <w:sdt>
                            <w:sdtPr>
                              <w:alias w:val="Numeris"/>
                              <w:tag w:val="nr_22808766b2d8415591d26427e49a2588"/>
                              <w:lock w:val="sdtLocked"/>
                              <w:richText/>
                            </w:sdtPr>
                            <w:sdtContent>
                              <w:r>
                                <w:rPr>
                                  <w:szCs w:val="24"/>
                                </w:rPr>
                                <w:t>65.5</w:t>
                              </w:r>
                              <w:r>
                                <w:rPr>
                                  <w:szCs w:val="24"/>
                                  <w:vertAlign w:val="superscript"/>
                                </w:rPr>
                                <w:t>1</w:t>
                              </w:r>
                              <w:r>
                                <w:rPr>
                                  <w:szCs w:val="24"/>
                                </w:rPr>
                                <w:t>.3</w:t>
                              </w:r>
                            </w:sdtContent>
                          </w:sdt>
                          <w:r>
                            <w:rPr>
                              <w:szCs w:val="24"/>
                            </w:rPr>
                            <w:t xml:space="preserve">. akredituotos pastatų sandarumo bandymų laboratorijos privalo savo internetinėje svetainėje skelbti informaciją apie jos išduotus, sustabdytus ar panaikintus pastatų sandarumo bandymų protokolus, nurodant </w:t>
                          </w:r>
                          <w:r>
                            <w:rPr>
                              <w:iCs/>
                              <w:szCs w:val="24"/>
                            </w:rPr>
                            <w:t>bandymo protokolo išdavimo datą, protokolo numerį, pastato (ar jo dalies) unikalų numerį, pastato (ar jo dalies) adresą, oro apykaitos pastate laipsnio rodiklio n50 vertę, oro apykaitos matavimo laipsnio rodiklio vertę;</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65.5-2 pp."/>
                    <w:tag w:val="part_bc183c3d8bb74ca894c19b0b7dd37399"/>
                    <w:lock w:val="sdtLocked"/>
                    <w:richText/>
                  </w:sdtPr>
                  <w:sdtContent>
                    <w:p>
                      <w:pPr>
                        <w:ind w:firstLine="600"/>
                        <w:jc w:val="both"/>
                        <w:rPr>
                          <w:szCs w:val="24"/>
                        </w:rPr>
                      </w:pPr>
                      <w:sdt>
                        <w:sdtPr>
                          <w:alias w:val="Numeris"/>
                          <w:tag w:val="nr_bc183c3d8bb74ca894c19b0b7dd37399"/>
                          <w:lock w:val="sdtLocked"/>
                          <w:richText/>
                        </w:sdtPr>
                        <w:sdtContent>
                          <w:r>
                            <w:rPr>
                              <w:szCs w:val="24"/>
                            </w:rPr>
                            <w:t>65.5</w:t>
                          </w:r>
                          <w:r>
                            <w:rPr>
                              <w:szCs w:val="24"/>
                              <w:vertAlign w:val="superscript"/>
                            </w:rPr>
                            <w:t>2</w:t>
                          </w:r>
                        </w:sdtContent>
                      </w:sdt>
                      <w:r>
                        <w:rPr>
                          <w:szCs w:val="24"/>
                        </w:rPr>
                        <w:t>. pastato fasado nuotrauka. Šioje nuotraukoje turi būti užfiksuotas pastato fasado vaizdas pastato energinio naudingumo sertifikavimo metu. Nuotrauka turi būti pateikta pastato energinio naudingumo skaičiavimo kompiuterinėje rinkmenoje;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65.6 pp."/>
                    <w:tag w:val="part_d98d27e3644a4a26b9d1db31cb69571a"/>
                    <w:lock w:val="sdtLocked"/>
                    <w:richText/>
                  </w:sdtPr>
                  <w:sdtContent>
                    <w:p>
                      <w:pPr>
                        <w:suppressAutoHyphens/>
                        <w:ind w:firstLine="567"/>
                        <w:jc w:val="both"/>
                        <w:textAlignment w:val="center"/>
                        <w:rPr>
                          <w:szCs w:val="24"/>
                        </w:rPr>
                      </w:pPr>
                      <w:sdt>
                        <w:sdtPr>
                          <w:alias w:val="Numeris"/>
                          <w:tag w:val="nr_d98d27e3644a4a26b9d1db31cb69571a"/>
                          <w:lock w:val="sdtLocked"/>
                          <w:richText/>
                        </w:sdtPr>
                        <w:sdtContent>
                          <w:r>
                            <w:rPr>
                              <w:szCs w:val="24"/>
                            </w:rPr>
                            <w:t>65.6</w:t>
                          </w:r>
                        </w:sdtContent>
                      </w:sdt>
                      <w:r>
                        <w:rPr>
                          <w:szCs w:val="24"/>
                        </w:rPr>
                        <w:t>. kiti išeities duomenys pateikti Reglamento prieduose.</w:t>
                      </w:r>
                    </w:p>
                  </w:sdtContent>
                </w:sdt>
              </w:sdtContent>
            </w:sdt>
            <w:sdt>
              <w:sdtPr>
                <w:alias w:val="66 p."/>
                <w:tag w:val="part_38757c0bf2e346748eeaef6d7a180dd0"/>
                <w:lock w:val="sdtLocked"/>
                <w:richText/>
              </w:sdtPr>
              <w:sdtContent>
                <w:p>
                  <w:pPr>
                    <w:suppressAutoHyphens/>
                    <w:ind w:firstLine="568"/>
                    <w:jc w:val="both"/>
                    <w:rPr>
                      <w:szCs w:val="24"/>
                    </w:rPr>
                  </w:pPr>
                  <w:sdt>
                    <w:sdtPr>
                      <w:alias w:val="Numeris"/>
                      <w:tag w:val="nr_38757c0bf2e346748eeaef6d7a180dd0"/>
                      <w:lock w:val="sdtLocked"/>
                      <w:richText/>
                    </w:sdtPr>
                    <w:sdtContent>
                      <w:r>
                        <w:rPr>
                          <w:color w:val="000000"/>
                          <w:lang w:eastAsia="lt-LT"/>
                        </w:rPr>
                        <w:t>66</w:t>
                      </w:r>
                    </w:sdtContent>
                  </w:sdt>
                  <w:r>
                    <w:rPr>
                      <w:color w:val="000000"/>
                      <w:lang w:eastAsia="lt-LT"/>
                    </w:rPr>
                    <w:t>. Sertifikuojant pastatą (jo dalį), sertifikavimo ekspertas privalo nustatyti Reglamento 16 priede nurodytus pastato būklės duomenis ir patikrinti šių duomenų teisingumą apžiūrėdamas pastatą (jo dalį) vietoje. Pastato (jo dalies) būklės duomenys turi atitikti pastato apžiūros metu nustatytą faktinę pastato (jo dalies)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7 p."/>
                <w:tag w:val="part_2ecd54468a0c42778d70c54619d8c144"/>
                <w:lock w:val="sdtLocked"/>
                <w:richText/>
              </w:sdtPr>
              <w:sdtContent>
                <w:p>
                  <w:pPr>
                    <w:suppressAutoHyphens/>
                    <w:ind w:firstLine="568"/>
                    <w:jc w:val="both"/>
                    <w:rPr>
                      <w:szCs w:val="22"/>
                    </w:rPr>
                  </w:pPr>
                  <w:sdt>
                    <w:sdtPr>
                      <w:alias w:val="Numeris"/>
                      <w:tag w:val="nr_2ecd54468a0c42778d70c54619d8c144"/>
                      <w:lock w:val="sdtLocked"/>
                      <w:richText/>
                    </w:sdtPr>
                    <w:sdtContent>
                      <w:r>
                        <w:rPr>
                          <w:color w:val="000000"/>
                          <w:lang w:eastAsia="lt-LT"/>
                        </w:rPr>
                        <w:t>67</w:t>
                      </w:r>
                    </w:sdtContent>
                  </w:sdt>
                  <w:r>
                    <w:rPr>
                      <w:color w:val="000000"/>
                      <w:lang w:eastAsia="lt-LT"/>
                    </w:rPr>
                    <w:t>. Sertifikavimas turi būti atliekamas tik, kai užsakovas patvirtina pastatų energinio naudingumo sertifikavimo eksperto surinktus Reglamento 16 priede nurodytus</w:t>
                  </w:r>
                  <w:r>
                    <w:rPr>
                      <w:b/>
                      <w:color w:val="000000"/>
                      <w:lang w:eastAsia="lt-LT"/>
                    </w:rPr>
                    <w:t xml:space="preserve"> </w:t>
                  </w:r>
                  <w:r>
                    <w:rPr>
                      <w:color w:val="000000"/>
                      <w:lang w:eastAsia="lt-LT"/>
                    </w:rPr>
                    <w:t>pastato (jo dalies) būklės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8 p."/>
                <w:tag w:val="part_cc085a3434774866bd6cdb78fbed81c9"/>
                <w:lock w:val="sdtLocked"/>
                <w:richText/>
              </w:sdtPr>
              <w:sdtContent>
                <w:p>
                  <w:pPr>
                    <w:tabs>
                      <w:tab w:val="left" w:pos="851"/>
                    </w:tabs>
                    <w:suppressAutoHyphens/>
                    <w:ind w:firstLine="567"/>
                    <w:jc w:val="both"/>
                    <w:rPr>
                      <w:b/>
                      <w:bCs/>
                      <w:iCs/>
                      <w:caps/>
                      <w:spacing w:val="-4"/>
                      <w:szCs w:val="24"/>
                      <w:lang w:eastAsia="lt-LT"/>
                    </w:rPr>
                  </w:pPr>
                  <w:sdt>
                    <w:sdtPr>
                      <w:alias w:val="Numeris"/>
                      <w:tag w:val="nr_cc085a3434774866bd6cdb78fbed81c9"/>
                      <w:lock w:val="sdtLocked"/>
                      <w:richText/>
                    </w:sdtPr>
                    <w:sdtContent>
                      <w:r>
                        <w:rPr>
                          <w:color w:val="000000"/>
                          <w:lang w:eastAsia="lt-LT"/>
                        </w:rPr>
                        <w:t>68</w:t>
                      </w:r>
                    </w:sdtContent>
                  </w:sdt>
                  <w:r>
                    <w:rPr>
                      <w:color w:val="000000"/>
                      <w:lang w:eastAsia="lt-LT"/>
                    </w:rPr>
                    <w:t xml:space="preserve">. Kai taikant Statybos įstatymo [3.1] 51 straipsnio 3 dalies 3 punkto nuostatas, daugiabučio pastato  buto energinio naudingumo sertifikatas išduotas remiantis tipiniu energinio naudingumo sertifikatu, priskiriant žemiausią energinio naudingumo klasę, arba parduodama sertifikuoto pastato su bendra šildymo sistema dalis, būsimam pirkėjui ar nuomininkui gali būti pateikiamas elektroniniu būdu iš pastatų energinio naudingumo sertifikatų sąrašo suformuotas išrašas apie buto arba daugiabučio pastato sertifikavimą ir jo energinio naudingumo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22250038c11efbcbfb318996800a8">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2024-04-26,
paskelbta TAR 2024-04-26, i. k. 2024-07664            </w:t>
                  </w:r>
                </w:p>
                <w:p/>
              </w:sdtContent>
            </w:sdt>
          </w:sdtContent>
        </w:sdt>
        <w:sdt>
          <w:sdtPr>
            <w:alias w:val="skyrius"/>
            <w:tag w:val="part_5629d36f44134b85a2735e06808048f7"/>
            <w:lock w:val="sdtLocked"/>
            <w:richText/>
          </w:sdtPr>
          <w:sdtContent>
            <w:p>
              <w:pPr>
                <w:keepNext/>
                <w:jc w:val="center"/>
                <w:rPr>
                  <w:b/>
                  <w:bCs/>
                  <w:iCs/>
                  <w:caps/>
                  <w:spacing w:val="-4"/>
                  <w:szCs w:val="24"/>
                  <w:lang w:eastAsia="lt-LT"/>
                </w:rPr>
              </w:pPr>
              <w:r>
                <w:rPr>
                  <w:b/>
                  <w:bCs/>
                  <w:iCs/>
                  <w:caps/>
                  <w:spacing w:val="-4"/>
                  <w:szCs w:val="24"/>
                  <w:lang w:eastAsia="lt-LT"/>
                </w:rPr>
                <w:t>XVI. skyrius</w:t>
              </w:r>
            </w:p>
            <w:p>
              <w:pPr>
                <w:keepNext/>
                <w:jc w:val="center"/>
                <w:rPr>
                  <w:b/>
                  <w:bCs/>
                  <w:iCs/>
                  <w:caps/>
                  <w:spacing w:val="-4"/>
                  <w:szCs w:val="24"/>
                  <w:lang w:eastAsia="lt-LT"/>
                </w:rPr>
              </w:pPr>
              <w:sdt>
                <w:sdtPr>
                  <w:alias w:val="Pavadinimas"/>
                  <w:tag w:val="title_5629d36f44134b85a2735e06808048f7"/>
                  <w:lock w:val="sdtLocked"/>
                  <w:richText/>
                </w:sdtPr>
                <w:sdtContent>
                  <w:r>
                    <w:rPr>
                      <w:b/>
                      <w:bCs/>
                      <w:iCs/>
                      <w:caps/>
                      <w:spacing w:val="-4"/>
                      <w:szCs w:val="24"/>
                      <w:lang w:eastAsia="lt-LT"/>
                    </w:rPr>
                    <w:t>Sertifikatas</w:t>
                  </w:r>
                </w:sdtContent>
              </w:sdt>
            </w:p>
            <w:p>
              <w:pPr>
                <w:suppressAutoHyphens/>
                <w:ind w:firstLine="567"/>
                <w:jc w:val="both"/>
                <w:textAlignment w:val="center"/>
                <w:rPr>
                  <w:szCs w:val="24"/>
                </w:rPr>
              </w:pPr>
            </w:p>
            <w:sdt>
              <w:sdtPr>
                <w:alias w:val="69 p."/>
                <w:tag w:val="part_edaa1cbc92554a54aec03fc82ddff671"/>
                <w:lock w:val="sdtLocked"/>
                <w:richText/>
              </w:sdtPr>
              <w:sdtContent>
                <w:p>
                  <w:pPr>
                    <w:suppressAutoHyphens/>
                    <w:ind w:firstLine="567"/>
                    <w:jc w:val="both"/>
                    <w:textAlignment w:val="center"/>
                    <w:rPr>
                      <w:szCs w:val="24"/>
                    </w:rPr>
                  </w:pPr>
                  <w:sdt>
                    <w:sdtPr>
                      <w:alias w:val="Numeris"/>
                      <w:tag w:val="nr_edaa1cbc92554a54aec03fc82ddff671"/>
                      <w:lock w:val="sdtLocked"/>
                      <w:richText/>
                    </w:sdtPr>
                    <w:sdtContent>
                      <w:r>
                        <w:rPr>
                          <w:szCs w:val="24"/>
                        </w:rPr>
                        <w:t>69</w:t>
                      </w:r>
                    </w:sdtContent>
                  </w:sdt>
                  <w:r>
                    <w:rPr>
                      <w:szCs w:val="24"/>
                    </w:rPr>
                    <w:t>. Pastato (jo dalies) energinio naudingumo sertifikatas turi atitikti Reglamento 10 priede nustatytą formą. Sertifikate turi būti šie duomenys:</w:t>
                  </w:r>
                </w:p>
                <w:sdt>
                  <w:sdtPr>
                    <w:alias w:val="69.1 pp."/>
                    <w:tag w:val="part_31cfaeb90607475da80ab06771dd0ecf"/>
                    <w:lock w:val="sdtLocked"/>
                    <w:richText/>
                  </w:sdtPr>
                  <w:sdtContent>
                    <w:p>
                      <w:pPr>
                        <w:suppressAutoHyphens/>
                        <w:ind w:firstLine="567"/>
                        <w:jc w:val="both"/>
                        <w:textAlignment w:val="center"/>
                        <w:rPr>
                          <w:szCs w:val="24"/>
                        </w:rPr>
                      </w:pPr>
                      <w:sdt>
                        <w:sdtPr>
                          <w:alias w:val="Numeris"/>
                          <w:tag w:val="nr_31cfaeb90607475da80ab06771dd0ecf"/>
                          <w:lock w:val="sdtLocked"/>
                          <w:richText/>
                        </w:sdtPr>
                        <w:sdtContent>
                          <w:r>
                            <w:rPr>
                              <w:szCs w:val="24"/>
                            </w:rPr>
                            <w:t>69.1</w:t>
                          </w:r>
                        </w:sdtContent>
                      </w:sdt>
                      <w:r>
                        <w:rPr>
                          <w:szCs w:val="24"/>
                        </w:rPr>
                        <w:t>. sertifikato pirmajame lape:</w:t>
                      </w:r>
                    </w:p>
                    <w:sdt>
                      <w:sdtPr>
                        <w:alias w:val="69.1.1 pp."/>
                        <w:tag w:val="part_a839487916ed470eb5331d93dce66f05"/>
                        <w:lock w:val="sdtLocked"/>
                        <w:richText/>
                      </w:sdtPr>
                      <w:sdtContent>
                        <w:p>
                          <w:pPr>
                            <w:suppressAutoHyphens/>
                            <w:ind w:firstLine="567"/>
                            <w:jc w:val="both"/>
                            <w:textAlignment w:val="center"/>
                            <w:rPr>
                              <w:szCs w:val="24"/>
                            </w:rPr>
                          </w:pPr>
                          <w:sdt>
                            <w:sdtPr>
                              <w:alias w:val="Numeris"/>
                              <w:tag w:val="nr_a839487916ed470eb5331d93dce66f05"/>
                              <w:lock w:val="sdtLocked"/>
                              <w:richText/>
                            </w:sdtPr>
                            <w:sdtContent>
                              <w:r>
                                <w:rPr>
                                  <w:szCs w:val="24"/>
                                </w:rPr>
                                <w:t>69.1.1</w:t>
                              </w:r>
                            </w:sdtContent>
                          </w:sdt>
                          <w:r>
                            <w:rPr>
                              <w:szCs w:val="24"/>
                            </w:rPr>
                            <w:t>. sertifikato numeris;</w:t>
                          </w:r>
                        </w:p>
                      </w:sdtContent>
                    </w:sdt>
                    <w:sdt>
                      <w:sdtPr>
                        <w:alias w:val="69.1.2 pp."/>
                        <w:tag w:val="part_d42cfda9b4054b309c469ba032cd0d86"/>
                        <w:lock w:val="sdtLocked"/>
                        <w:richText/>
                      </w:sdtPr>
                      <w:sdtContent>
                        <w:p>
                          <w:pPr>
                            <w:suppressAutoHyphens/>
                            <w:ind w:firstLine="567"/>
                            <w:jc w:val="both"/>
                            <w:textAlignment w:val="center"/>
                            <w:rPr>
                              <w:szCs w:val="24"/>
                            </w:rPr>
                          </w:pPr>
                          <w:sdt>
                            <w:sdtPr>
                              <w:alias w:val="Numeris"/>
                              <w:tag w:val="nr_d42cfda9b4054b309c469ba032cd0d86"/>
                              <w:lock w:val="sdtLocked"/>
                              <w:richText/>
                            </w:sdtPr>
                            <w:sdtContent>
                              <w:r>
                                <w:rPr>
                                  <w:szCs w:val="24"/>
                                </w:rPr>
                                <w:t>69.1.2</w:t>
                              </w:r>
                            </w:sdtContent>
                          </w:sdt>
                          <w:r>
                            <w:rPr>
                              <w:szCs w:val="24"/>
                            </w:rPr>
                            <w:t>. pastato (jo dalies) unikalus numeris;</w:t>
                          </w:r>
                        </w:p>
                      </w:sdtContent>
                    </w:sdt>
                    <w:sdt>
                      <w:sdtPr>
                        <w:alias w:val="69.1.3 pp."/>
                        <w:tag w:val="part_aee9b3a7d15b4f2ebbf2caa27341e17e"/>
                        <w:lock w:val="sdtLocked"/>
                        <w:richText/>
                      </w:sdtPr>
                      <w:sdtContent>
                        <w:p>
                          <w:pPr>
                            <w:suppressAutoHyphens/>
                            <w:ind w:firstLine="567"/>
                            <w:jc w:val="both"/>
                            <w:textAlignment w:val="center"/>
                            <w:rPr>
                              <w:szCs w:val="24"/>
                            </w:rPr>
                          </w:pPr>
                          <w:sdt>
                            <w:sdtPr>
                              <w:alias w:val="Numeris"/>
                              <w:tag w:val="nr_aee9b3a7d15b4f2ebbf2caa27341e17e"/>
                              <w:lock w:val="sdtLocked"/>
                              <w:richText/>
                            </w:sdtPr>
                            <w:sdtContent>
                              <w:r>
                                <w:rPr>
                                  <w:szCs w:val="24"/>
                                </w:rPr>
                                <w:t>69.1.3</w:t>
                              </w:r>
                            </w:sdtContent>
                          </w:sdt>
                          <w:r>
                            <w:rPr>
                              <w:szCs w:val="24"/>
                            </w:rPr>
                            <w:t xml:space="preserve">. pastato (jo dalies) adresas; </w:t>
                          </w:r>
                        </w:p>
                      </w:sdtContent>
                    </w:sdt>
                    <w:sdt>
                      <w:sdtPr>
                        <w:alias w:val="69.1.4 pp."/>
                        <w:tag w:val="part_b048b71231c34e77aa3025881cd804e2"/>
                        <w:lock w:val="sdtLocked"/>
                        <w:richText/>
                      </w:sdtPr>
                      <w:sdtContent>
                        <w:p>
                          <w:pPr>
                            <w:suppressAutoHyphens/>
                            <w:ind w:firstLine="567"/>
                            <w:jc w:val="both"/>
                            <w:textAlignment w:val="center"/>
                            <w:rPr>
                              <w:szCs w:val="24"/>
                            </w:rPr>
                          </w:pPr>
                          <w:sdt>
                            <w:sdtPr>
                              <w:alias w:val="Numeris"/>
                              <w:tag w:val="nr_b048b71231c34e77aa3025881cd804e2"/>
                              <w:lock w:val="sdtLocked"/>
                              <w:richText/>
                            </w:sdtPr>
                            <w:sdtContent>
                              <w:r>
                                <w:rPr>
                                  <w:szCs w:val="24"/>
                                </w:rPr>
                                <w:t>69.1.4</w:t>
                              </w:r>
                            </w:sdtContent>
                          </w:sdt>
                          <w:r>
                            <w:rPr>
                              <w:szCs w:val="24"/>
                            </w:rPr>
                            <w:t>. pastato (jo dalies) paskirtis;</w:t>
                          </w:r>
                        </w:p>
                      </w:sdtContent>
                    </w:sdt>
                    <w:sdt>
                      <w:sdtPr>
                        <w:alias w:val="69.1.5 pp."/>
                        <w:tag w:val="part_442541abcb794820bc1f6913c68ffc6f"/>
                        <w:lock w:val="sdtLocked"/>
                        <w:richText/>
                      </w:sdtPr>
                      <w:sdtContent>
                        <w:p>
                          <w:pPr>
                            <w:suppressAutoHyphens/>
                            <w:ind w:firstLine="567"/>
                            <w:jc w:val="both"/>
                            <w:textAlignment w:val="center"/>
                            <w:rPr>
                              <w:szCs w:val="24"/>
                            </w:rPr>
                          </w:pPr>
                          <w:sdt>
                            <w:sdtPr>
                              <w:alias w:val="Numeris"/>
                              <w:tag w:val="nr_442541abcb794820bc1f6913c68ffc6f"/>
                              <w:lock w:val="sdtLocked"/>
                              <w:richText/>
                            </w:sdtPr>
                            <w:sdtContent>
                              <w:r>
                                <w:rPr>
                                  <w:szCs w:val="24"/>
                                </w:rPr>
                                <w:t>69.1.5</w:t>
                              </w:r>
                            </w:sdtContent>
                          </w:sdt>
                          <w:r>
                            <w:rPr>
                              <w:szCs w:val="24"/>
                            </w:rPr>
                            <w:t>. pastato (jo dalies) šildomas plotas;</w:t>
                          </w:r>
                        </w:p>
                      </w:sdtContent>
                    </w:sdt>
                    <w:sdt>
                      <w:sdtPr>
                        <w:alias w:val="69.1.6 pp."/>
                        <w:tag w:val="part_ed8430f6e5a74adc8761e4ebf6d635f1"/>
                        <w:lock w:val="sdtLocked"/>
                        <w:richText/>
                      </w:sdtPr>
                      <w:sdtContent>
                        <w:p>
                          <w:pPr>
                            <w:suppressAutoHyphens/>
                            <w:ind w:firstLine="567"/>
                            <w:jc w:val="both"/>
                            <w:textAlignment w:val="center"/>
                            <w:rPr>
                              <w:szCs w:val="24"/>
                            </w:rPr>
                          </w:pPr>
                          <w:sdt>
                            <w:sdtPr>
                              <w:alias w:val="Numeris"/>
                              <w:tag w:val="nr_ed8430f6e5a74adc8761e4ebf6d635f1"/>
                              <w:lock w:val="sdtLocked"/>
                              <w:richText/>
                            </w:sdtPr>
                            <w:sdtContent>
                              <w:r>
                                <w:rPr>
                                  <w:szCs w:val="24"/>
                                </w:rPr>
                                <w:t>69.1.6</w:t>
                              </w:r>
                            </w:sdtContent>
                          </w:sdt>
                          <w:r>
                            <w:rPr>
                              <w:szCs w:val="24"/>
                            </w:rPr>
                            <w:t>. viso pastato šildomas plotas;</w:t>
                          </w:r>
                        </w:p>
                      </w:sdtContent>
                    </w:sdt>
                    <w:sdt>
                      <w:sdtPr>
                        <w:alias w:val="69.1.7 pp."/>
                        <w:tag w:val="part_572a9d0a29a1410398ce325b90292513"/>
                        <w:lock w:val="sdtLocked"/>
                        <w:richText/>
                      </w:sdtPr>
                      <w:sdtContent>
                        <w:p>
                          <w:pPr>
                            <w:suppressAutoHyphens/>
                            <w:ind w:firstLine="567"/>
                            <w:jc w:val="both"/>
                            <w:textAlignment w:val="center"/>
                            <w:rPr>
                              <w:szCs w:val="24"/>
                            </w:rPr>
                          </w:pPr>
                          <w:sdt>
                            <w:sdtPr>
                              <w:alias w:val="Numeris"/>
                              <w:tag w:val="nr_572a9d0a29a1410398ce325b90292513"/>
                              <w:lock w:val="sdtLocked"/>
                              <w:richText/>
                            </w:sdtPr>
                            <w:sdtContent>
                              <w:r>
                                <w:rPr>
                                  <w:szCs w:val="24"/>
                                </w:rPr>
                                <w:t>69.1.7</w:t>
                              </w:r>
                            </w:sdtContent>
                          </w:sdt>
                          <w:r>
                            <w:rPr>
                              <w:szCs w:val="24"/>
                            </w:rPr>
                            <w:t>. pastato (jo dalies) energinio naudingumo klasė;</w:t>
                          </w:r>
                        </w:p>
                      </w:sdtContent>
                    </w:sdt>
                    <w:sdt>
                      <w:sdtPr>
                        <w:alias w:val="69.1.8 pp."/>
                        <w:tag w:val="part_00d638b801534eb9b857a9b4fef46c14"/>
                        <w:lock w:val="sdtLocked"/>
                        <w:richText/>
                      </w:sdtPr>
                      <w:sdtContent>
                        <w:p>
                          <w:pPr>
                            <w:tabs>
                              <w:tab w:val="left" w:pos="1276"/>
                              <w:tab w:val="left" w:pos="1418"/>
                            </w:tabs>
                            <w:suppressAutoHyphens/>
                            <w:ind w:firstLine="567"/>
                            <w:jc w:val="both"/>
                            <w:textAlignment w:val="center"/>
                            <w:rPr>
                              <w:szCs w:val="24"/>
                            </w:rPr>
                          </w:pPr>
                          <w:sdt>
                            <w:sdtPr>
                              <w:alias w:val="Numeris"/>
                              <w:tag w:val="nr_00d638b801534eb9b857a9b4fef46c14"/>
                              <w:lock w:val="sdtLocked"/>
                              <w:richText/>
                            </w:sdtPr>
                            <w:sdtContent>
                              <w:r>
                                <w:rPr>
                                  <w:szCs w:val="24"/>
                                  <w:lang w:eastAsia="lt-LT"/>
                                </w:rPr>
                                <w:t>69.1.8</w:t>
                              </w:r>
                            </w:sdtContent>
                          </w:sdt>
                          <w:r>
                            <w:rPr>
                              <w:szCs w:val="24"/>
                              <w:lang w:eastAsia="lt-LT"/>
                            </w:rPr>
                            <w:t>. norminės pirminės energijos sąnaudos vienam kvadratiniam metrui pastato (jo dalies) šildomo ploto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9.1.9 pp."/>
                        <w:tag w:val="part_9eb73094511c46ba9eb2050ccc33bc8b"/>
                        <w:lock w:val="sdtLocked"/>
                        <w:richText/>
                      </w:sdtPr>
                      <w:sdtContent>
                        <w:p>
                          <w:pPr>
                            <w:suppressAutoHyphens/>
                            <w:ind w:firstLine="567"/>
                            <w:jc w:val="both"/>
                            <w:textAlignment w:val="center"/>
                            <w:rPr>
                              <w:szCs w:val="24"/>
                            </w:rPr>
                          </w:pPr>
                          <w:sdt>
                            <w:sdtPr>
                              <w:alias w:val="Numeris"/>
                              <w:tag w:val="nr_9eb73094511c46ba9eb2050ccc33bc8b"/>
                              <w:lock w:val="sdtLocked"/>
                              <w:richText/>
                            </w:sdtPr>
                            <w:sdtContent>
                              <w:r>
                                <w:rPr>
                                  <w:szCs w:val="24"/>
                                  <w:lang w:eastAsia="lt-LT"/>
                                </w:rPr>
                                <w:t>69.1.9</w:t>
                              </w:r>
                            </w:sdtContent>
                          </w:sdt>
                          <w:r>
                            <w:rPr>
                              <w:szCs w:val="24"/>
                              <w:lang w:eastAsia="lt-LT"/>
                            </w:rPr>
                            <w:t>. skaičiuojamosios pirminės energijos sąnaudos vienam kvadratiniam metrui pastato (jo dalies) šildomo ploto per metus;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9.1.10 pp."/>
                        <w:tag w:val="part_9676aec471a84bb4960239f375398727"/>
                        <w:lock w:val="sdtLocked"/>
                        <w:richText/>
                      </w:sdtPr>
                      <w:sdtContent>
                        <w:p>
                          <w:pPr>
                            <w:suppressAutoHyphens/>
                            <w:ind w:firstLine="567"/>
                            <w:jc w:val="both"/>
                            <w:textAlignment w:val="center"/>
                            <w:rPr>
                              <w:szCs w:val="24"/>
                            </w:rPr>
                          </w:pPr>
                          <w:sdt>
                            <w:sdtPr>
                              <w:alias w:val="Numeris"/>
                              <w:tag w:val="nr_9676aec471a84bb4960239f375398727"/>
                              <w:lock w:val="sdtLocked"/>
                              <w:richText/>
                            </w:sdtPr>
                            <w:sdtContent>
                              <w:r>
                                <w:rPr>
                                  <w:szCs w:val="24"/>
                                </w:rPr>
                                <w:t>69.1.10</w:t>
                              </w:r>
                            </w:sdtContent>
                          </w:sdt>
                          <w:r>
                            <w:rPr>
                              <w:szCs w:val="24"/>
                            </w:rPr>
                            <w:t>. skaičiuojamųjų metinių atsinaujinančios pirminės energijos sąnaudų santykio su metinėmis neatsinaujinančios pirminės energijos sąnaudomis vertė;</w:t>
                          </w:r>
                        </w:p>
                      </w:sdtContent>
                    </w:sdt>
                    <w:sdt>
                      <w:sdtPr>
                        <w:alias w:val="69.1.11 pp."/>
                        <w:tag w:val="part_714818c6f6184c099312d6155af3b7f6"/>
                        <w:lock w:val="sdtLocked"/>
                        <w:richText/>
                      </w:sdtPr>
                      <w:sdtContent>
                        <w:p>
                          <w:pPr>
                            <w:suppressAutoHyphens/>
                            <w:ind w:firstLine="567"/>
                            <w:jc w:val="both"/>
                            <w:textAlignment w:val="center"/>
                            <w:rPr>
                              <w:szCs w:val="24"/>
                            </w:rPr>
                          </w:pPr>
                          <w:sdt>
                            <w:sdtPr>
                              <w:alias w:val="Numeris"/>
                              <w:tag w:val="nr_714818c6f6184c099312d6155af3b7f6"/>
                              <w:lock w:val="sdtLocked"/>
                              <w:richText/>
                            </w:sdtPr>
                            <w:sdtContent>
                              <w:r>
                                <w:rPr>
                                  <w:szCs w:val="24"/>
                                </w:rPr>
                                <w:t>69.1.11</w:t>
                              </w:r>
                            </w:sdtContent>
                          </w:sdt>
                          <w:r>
                            <w:rPr>
                              <w:szCs w:val="24"/>
                            </w:rPr>
                            <w:t>. skaičiuojamosios šiluminės energijos sąnaudos pastatui (jo daliai) šildyti vienam kvadratiniam metrui pastato (jo dalies) šildomo ploto per metus;</w:t>
                          </w:r>
                        </w:p>
                      </w:sdtContent>
                    </w:sdt>
                    <w:sdt>
                      <w:sdtPr>
                        <w:alias w:val="69.1.12 pp."/>
                        <w:tag w:val="part_5399b72fef8b42ebbed21503278a285f"/>
                        <w:lock w:val="sdtLocked"/>
                        <w:richText/>
                      </w:sdtPr>
                      <w:sdtContent>
                        <w:p>
                          <w:pPr>
                            <w:suppressAutoHyphens/>
                            <w:ind w:firstLine="567"/>
                            <w:jc w:val="both"/>
                            <w:textAlignment w:val="center"/>
                            <w:rPr>
                              <w:szCs w:val="24"/>
                            </w:rPr>
                          </w:pPr>
                          <w:sdt>
                            <w:sdtPr>
                              <w:alias w:val="Numeris"/>
                              <w:tag w:val="nr_5399b72fef8b42ebbed21503278a285f"/>
                              <w:lock w:val="sdtLocked"/>
                              <w:richText/>
                            </w:sdtPr>
                            <w:sdtContent>
                              <w:r>
                                <w:rPr>
                                  <w:szCs w:val="24"/>
                                </w:rPr>
                                <w:t>69.1.12</w:t>
                              </w:r>
                            </w:sdtContent>
                          </w:sdt>
                          <w:r>
                            <w:rPr>
                              <w:szCs w:val="24"/>
                            </w:rPr>
                            <w:t>. skaičiuojamosios šiluminės energijos sąnaudos pastatui (jo daliai) vėsinti vienam kvadratiniam metrui pastato (jo dalies) šildomo ploto per metus;</w:t>
                          </w:r>
                        </w:p>
                      </w:sdtContent>
                    </w:sdt>
                    <w:sdt>
                      <w:sdtPr>
                        <w:alias w:val="69.1.13 pp."/>
                        <w:tag w:val="part_511d17b5778946dab43a83077158ca11"/>
                        <w:lock w:val="sdtLocked"/>
                        <w:richText/>
                      </w:sdtPr>
                      <w:sdtContent>
                        <w:p>
                          <w:pPr>
                            <w:suppressAutoHyphens/>
                            <w:ind w:firstLine="567"/>
                            <w:jc w:val="both"/>
                            <w:textAlignment w:val="center"/>
                            <w:rPr>
                              <w:szCs w:val="24"/>
                            </w:rPr>
                          </w:pPr>
                          <w:sdt>
                            <w:sdtPr>
                              <w:alias w:val="Numeris"/>
                              <w:tag w:val="nr_511d17b5778946dab43a83077158ca11"/>
                              <w:lock w:val="sdtLocked"/>
                              <w:richText/>
                            </w:sdtPr>
                            <w:sdtContent>
                              <w:r>
                                <w:rPr>
                                  <w:szCs w:val="24"/>
                                </w:rPr>
                                <w:t>69.1.13</w:t>
                              </w:r>
                            </w:sdtContent>
                          </w:sdt>
                          <w:r>
                            <w:rPr>
                              <w:szCs w:val="24"/>
                            </w:rPr>
                            <w:t>. skaičiuojamosios šiluminės energijos sąnaudos karštam buitiniam vandeniui ruošti vienam kvadratiniam metrui pastato (jo dalies) šildomo ploto per metus;</w:t>
                          </w:r>
                        </w:p>
                      </w:sdtContent>
                    </w:sdt>
                    <w:sdt>
                      <w:sdtPr>
                        <w:alias w:val="69.1.14 pp."/>
                        <w:tag w:val="part_489d782e1c844c7aa5a1b3c8536a9ef4"/>
                        <w:lock w:val="sdtLocked"/>
                        <w:richText/>
                      </w:sdtPr>
                      <w:sdtContent>
                        <w:p>
                          <w:pPr>
                            <w:suppressAutoHyphens/>
                            <w:ind w:firstLine="567"/>
                            <w:jc w:val="both"/>
                            <w:textAlignment w:val="center"/>
                            <w:rPr>
                              <w:szCs w:val="24"/>
                            </w:rPr>
                          </w:pPr>
                          <w:sdt>
                            <w:sdtPr>
                              <w:alias w:val="Numeris"/>
                              <w:tag w:val="nr_489d782e1c844c7aa5a1b3c8536a9ef4"/>
                              <w:lock w:val="sdtLocked"/>
                              <w:richText/>
                            </w:sdtPr>
                            <w:sdtContent>
                              <w:r>
                                <w:rPr>
                                  <w:szCs w:val="24"/>
                                </w:rPr>
                                <w:t>69.1.14</w:t>
                              </w:r>
                            </w:sdtContent>
                          </w:sdt>
                          <w:r>
                            <w:rPr>
                              <w:szCs w:val="24"/>
                            </w:rPr>
                            <w:t>. skaičiuojamosios suminės pastato (jo dalies) elektros energijos sąnaudos per metus;</w:t>
                          </w:r>
                        </w:p>
                      </w:sdtContent>
                    </w:sdt>
                    <w:sdt>
                      <w:sdtPr>
                        <w:alias w:val="69.1.15 pp."/>
                        <w:tag w:val="part_4ac7652a7cad4ddd98987950cf746dfe"/>
                        <w:lock w:val="sdtLocked"/>
                        <w:richText/>
                      </w:sdtPr>
                      <w:sdtContent>
                        <w:p>
                          <w:pPr>
                            <w:suppressAutoHyphens/>
                            <w:ind w:firstLine="567"/>
                            <w:jc w:val="both"/>
                            <w:textAlignment w:val="center"/>
                            <w:rPr>
                              <w:szCs w:val="24"/>
                            </w:rPr>
                          </w:pPr>
                          <w:sdt>
                            <w:sdtPr>
                              <w:alias w:val="Numeris"/>
                              <w:tag w:val="nr_4ac7652a7cad4ddd98987950cf746dfe"/>
                              <w:lock w:val="sdtLocked"/>
                              <w:richText/>
                            </w:sdtPr>
                            <w:sdtContent>
                              <w:r>
                                <w:rPr>
                                  <w:szCs w:val="24"/>
                                </w:rPr>
                                <w:t>69.1.15</w:t>
                              </w:r>
                            </w:sdtContent>
                          </w:sdt>
                          <w:r>
                            <w:rPr>
                              <w:szCs w:val="24"/>
                            </w:rPr>
                            <w:t>. skaičiuojamosios elektros energijos sąnaudos per metus pastato (jo dalies) patalpų apšvietimui;</w:t>
                          </w:r>
                        </w:p>
                      </w:sdtContent>
                    </w:sdt>
                    <w:sdt>
                      <w:sdtPr>
                        <w:alias w:val="69.1.16 pp."/>
                        <w:tag w:val="part_ca5c753246074984ac147b820983cb1a"/>
                        <w:lock w:val="sdtLocked"/>
                        <w:richText/>
                      </w:sdtPr>
                      <w:sdtContent>
                        <w:p>
                          <w:pPr>
                            <w:suppressAutoHyphens/>
                            <w:ind w:firstLine="567"/>
                            <w:jc w:val="both"/>
                            <w:textAlignment w:val="center"/>
                            <w:rPr>
                              <w:szCs w:val="24"/>
                            </w:rPr>
                          </w:pPr>
                          <w:sdt>
                            <w:sdtPr>
                              <w:alias w:val="Numeris"/>
                              <w:tag w:val="nr_ca5c753246074984ac147b820983cb1a"/>
                              <w:lock w:val="sdtLocked"/>
                              <w:richText/>
                            </w:sdtPr>
                            <w:sdtContent>
                              <w:r>
                                <w:rPr>
                                  <w:szCs w:val="24"/>
                                </w:rPr>
                                <w:t>69.1.16</w:t>
                              </w:r>
                            </w:sdtContent>
                          </w:sdt>
                          <w:r>
                            <w:rPr>
                              <w:szCs w:val="24"/>
                            </w:rPr>
                            <w:t>. pastato (jo dalies) į aplinką išmetamas anglies dvideginio (CO</w:t>
                          </w:r>
                          <w:r>
                            <w:rPr>
                              <w:szCs w:val="24"/>
                              <w:vertAlign w:val="subscript"/>
                            </w:rPr>
                            <w:t>2</w:t>
                          </w:r>
                          <w:r>
                            <w:rPr>
                              <w:szCs w:val="24"/>
                            </w:rPr>
                            <w:t>) kiekis per metus;</w:t>
                          </w:r>
                        </w:p>
                      </w:sdtContent>
                    </w:sdt>
                    <w:sdt>
                      <w:sdtPr>
                        <w:alias w:val="69.1.17 pp."/>
                        <w:tag w:val="part_1160690c020344649d00da4a66bb6538"/>
                        <w:lock w:val="sdtLocked"/>
                        <w:richText/>
                      </w:sdtPr>
                      <w:sdtContent>
                        <w:p>
                          <w:pPr>
                            <w:suppressAutoHyphens/>
                            <w:ind w:firstLine="567"/>
                            <w:jc w:val="both"/>
                            <w:textAlignment w:val="center"/>
                            <w:rPr>
                              <w:szCs w:val="24"/>
                            </w:rPr>
                          </w:pPr>
                          <w:sdt>
                            <w:sdtPr>
                              <w:alias w:val="Numeris"/>
                              <w:tag w:val="nr_1160690c020344649d00da4a66bb6538"/>
                              <w:lock w:val="sdtLocked"/>
                              <w:richText/>
                            </w:sdtPr>
                            <w:sdtContent>
                              <w:r>
                                <w:rPr>
                                  <w:szCs w:val="24"/>
                                </w:rPr>
                                <w:t>69.1.17</w:t>
                              </w:r>
                            </w:sdtContent>
                          </w:sdt>
                          <w:r>
                            <w:rPr>
                              <w:szCs w:val="24"/>
                            </w:rPr>
                            <w:t xml:space="preserve">. sertifikavimo eksperto pastabos; </w:t>
                          </w:r>
                        </w:p>
                      </w:sdtContent>
                    </w:sdt>
                    <w:sdt>
                      <w:sdtPr>
                        <w:alias w:val="69.1.18 pp."/>
                        <w:tag w:val="part_a2986a30715249228b36edb6112ad71e"/>
                        <w:lock w:val="sdtLocked"/>
                        <w:richText/>
                      </w:sdtPr>
                      <w:sdtContent>
                        <w:p>
                          <w:pPr>
                            <w:suppressAutoHyphens/>
                            <w:ind w:firstLine="567"/>
                            <w:jc w:val="both"/>
                            <w:textAlignment w:val="center"/>
                            <w:rPr>
                              <w:szCs w:val="24"/>
                            </w:rPr>
                          </w:pPr>
                          <w:sdt>
                            <w:sdtPr>
                              <w:alias w:val="Numeris"/>
                              <w:tag w:val="nr_a2986a30715249228b36edb6112ad71e"/>
                              <w:lock w:val="sdtLocked"/>
                              <w:richText/>
                            </w:sdtPr>
                            <w:sdtContent>
                              <w:r>
                                <w:rPr>
                                  <w:szCs w:val="24"/>
                                </w:rPr>
                                <w:t>69.1.18</w:t>
                              </w:r>
                            </w:sdtContent>
                          </w:sdt>
                          <w:r>
                            <w:rPr>
                              <w:szCs w:val="24"/>
                            </w:rPr>
                            <w:t>. sertifikato išdavimo data;</w:t>
                          </w:r>
                        </w:p>
                      </w:sdtContent>
                    </w:sdt>
                    <w:sdt>
                      <w:sdtPr>
                        <w:alias w:val="69.1.19 pp."/>
                        <w:tag w:val="part_d91773adf4dc4b348c5456b45f72661f"/>
                        <w:lock w:val="sdtLocked"/>
                        <w:richText/>
                      </w:sdtPr>
                      <w:sdtContent>
                        <w:p>
                          <w:pPr>
                            <w:suppressAutoHyphens/>
                            <w:ind w:firstLine="567"/>
                            <w:jc w:val="both"/>
                            <w:textAlignment w:val="center"/>
                            <w:rPr>
                              <w:szCs w:val="24"/>
                            </w:rPr>
                          </w:pPr>
                          <w:sdt>
                            <w:sdtPr>
                              <w:alias w:val="Numeris"/>
                              <w:tag w:val="nr_d91773adf4dc4b348c5456b45f72661f"/>
                              <w:lock w:val="sdtLocked"/>
                              <w:richText/>
                            </w:sdtPr>
                            <w:sdtContent>
                              <w:r>
                                <w:rPr>
                                  <w:szCs w:val="24"/>
                                </w:rPr>
                                <w:t>69.1.19</w:t>
                              </w:r>
                            </w:sdtContent>
                          </w:sdt>
                          <w:r>
                            <w:rPr>
                              <w:szCs w:val="24"/>
                            </w:rPr>
                            <w:t>. sertifikato galiojimo terminas;</w:t>
                          </w:r>
                        </w:p>
                      </w:sdtContent>
                    </w:sdt>
                    <w:sdt>
                      <w:sdtPr>
                        <w:alias w:val="69.1.20 pp."/>
                        <w:tag w:val="part_ff802ffb40a1444c900d423398d7b5ea"/>
                        <w:lock w:val="sdtLocked"/>
                        <w:richText/>
                      </w:sdtPr>
                      <w:sdtContent>
                        <w:p>
                          <w:pPr>
                            <w:suppressAutoHyphens/>
                            <w:ind w:firstLine="567"/>
                            <w:jc w:val="both"/>
                            <w:textAlignment w:val="center"/>
                            <w:rPr>
                              <w:szCs w:val="24"/>
                            </w:rPr>
                          </w:pPr>
                          <w:sdt>
                            <w:sdtPr>
                              <w:alias w:val="Numeris"/>
                              <w:tag w:val="nr_ff802ffb40a1444c900d423398d7b5ea"/>
                              <w:lock w:val="sdtLocked"/>
                              <w:richText/>
                            </w:sdtPr>
                            <w:sdtContent>
                              <w:r>
                                <w:rPr>
                                  <w:szCs w:val="24"/>
                                </w:rPr>
                                <w:t>69.1.20</w:t>
                              </w:r>
                            </w:sdtContent>
                          </w:sdt>
                          <w:r>
                            <w:rPr>
                              <w:szCs w:val="24"/>
                            </w:rPr>
                            <w:t>. sertifikatą išdavusio eksperto vardas, pavardė, pažymėjimo numeris, parašas;</w:t>
                          </w:r>
                        </w:p>
                      </w:sdtContent>
                    </w:sdt>
                    <w:sdt>
                      <w:sdtPr>
                        <w:alias w:val="69.1.21 pp."/>
                        <w:tag w:val="part_411e6d81f3774a7eaa276585a62061f9"/>
                        <w:lock w:val="sdtLocked"/>
                        <w:richText/>
                      </w:sdtPr>
                      <w:sdtContent>
                        <w:p>
                          <w:pPr>
                            <w:suppressAutoHyphens/>
                            <w:ind w:left="568"/>
                            <w:jc w:val="both"/>
                          </w:pPr>
                          <w:sdt>
                            <w:sdtPr>
                              <w:alias w:val="Numeris"/>
                              <w:tag w:val="nr_411e6d81f3774a7eaa276585a62061f9"/>
                              <w:lock w:val="sdtLocked"/>
                              <w:richText/>
                            </w:sdtPr>
                            <w:sdtContent>
                              <w:r>
                                <w:rPr>
                                  <w:color w:val="000000"/>
                                  <w:szCs w:val="24"/>
                                  <w:lang w:eastAsia="lt-LT"/>
                                </w:rPr>
                                <w:t>69.1.21</w:t>
                              </w:r>
                            </w:sdtContent>
                          </w:sdt>
                          <w:r>
                            <w:rPr>
                              <w:color w:val="000000"/>
                              <w:szCs w:val="24"/>
                              <w:lang w:eastAsia="lt-LT"/>
                            </w:rPr>
                            <w:t>. pastato statybos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9.1.22 pp."/>
                        <w:tag w:val="part_3a94e3d6927a4ca5a3190dd7955ace66"/>
                        <w:lock w:val="sdtLocked"/>
                        <w:richText/>
                      </w:sdtPr>
                      <w:sdtContent>
                        <w:p>
                          <w:pPr>
                            <w:suppressAutoHyphens/>
                            <w:ind w:left="568"/>
                            <w:jc w:val="both"/>
                          </w:pPr>
                          <w:sdt>
                            <w:sdtPr>
                              <w:alias w:val="Numeris"/>
                              <w:tag w:val="nr_3a94e3d6927a4ca5a3190dd7955ace66"/>
                              <w:lock w:val="sdtLocked"/>
                              <w:richText/>
                            </w:sdtPr>
                            <w:sdtContent>
                              <w:r>
                                <w:rPr>
                                  <w:szCs w:val="24"/>
                                  <w:lang w:eastAsia="lt-LT"/>
                                </w:rPr>
                                <w:t>69.1.22</w:t>
                              </w:r>
                            </w:sdtContent>
                          </w:sdt>
                          <w:r>
                            <w:rPr>
                              <w:szCs w:val="24"/>
                              <w:lang w:eastAsia="lt-LT"/>
                            </w:rPr>
                            <w:t>. pastato modernizavimo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69.1.23 pp."/>
                        <w:tag w:val="part_2e4b91bcc2814351b83e0892677e5be0"/>
                        <w:lock w:val="sdtLocked"/>
                        <w:richText/>
                      </w:sdtPr>
                      <w:sdtContent>
                        <w:p>
                          <w:pPr>
                            <w:tabs>
                              <w:tab w:val="left" w:pos="1560"/>
                            </w:tabs>
                            <w:suppressAutoHyphens/>
                            <w:ind w:firstLine="567"/>
                            <w:jc w:val="both"/>
                            <w:textAlignment w:val="center"/>
                            <w:rPr>
                              <w:szCs w:val="24"/>
                            </w:rPr>
                          </w:pPr>
                          <w:sdt>
                            <w:sdtPr>
                              <w:alias w:val="Numeris"/>
                              <w:tag w:val="nr_2e4b91bcc2814351b83e0892677e5be0"/>
                              <w:lock w:val="sdtLocked"/>
                              <w:richText/>
                            </w:sdtPr>
                            <w:sdtContent>
                              <w:r>
                                <w:rPr>
                                  <w:szCs w:val="24"/>
                                  <w:lang w:eastAsia="lt-LT"/>
                                </w:rPr>
                                <w:t>69.1.23</w:t>
                              </w:r>
                            </w:sdtContent>
                          </w:sdt>
                          <w:r>
                            <w:rPr>
                              <w:szCs w:val="24"/>
                              <w:lang w:eastAsia="lt-LT"/>
                            </w:rPr>
                            <w:t xml:space="preserve">. informacija apie pastato projektavimo ir (arba) statybos finansavimą/nefinansavimą Lietuvos Respublikos ir (arba) Europos Sąjungos biudžeto lėšomis;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
                  <w:sdtPr>
                    <w:alias w:val="69.2 pp."/>
                    <w:tag w:val="part_a56d31afa0bb43dca429f6d75e2e5bd9"/>
                    <w:lock w:val="sdtLocked"/>
                    <w:richText/>
                  </w:sdtPr>
                  <w:sdtContent>
                    <w:p>
                      <w:pPr>
                        <w:suppressAutoHyphens/>
                        <w:ind w:firstLine="567"/>
                        <w:jc w:val="both"/>
                        <w:textAlignment w:val="center"/>
                        <w:rPr>
                          <w:szCs w:val="24"/>
                          <w:lang w:eastAsia="lt-LT"/>
                        </w:rPr>
                      </w:pPr>
                      <w:sdt>
                        <w:sdtPr>
                          <w:alias w:val="Numeris"/>
                          <w:tag w:val="nr_a56d31afa0bb43dca429f6d75e2e5bd9"/>
                          <w:lock w:val="sdtLocked"/>
                          <w:richText/>
                        </w:sdtPr>
                        <w:sdtContent>
                          <w:r>
                            <w:rPr>
                              <w:szCs w:val="24"/>
                              <w:lang w:eastAsia="lt-LT"/>
                            </w:rPr>
                            <w:t>69.2</w:t>
                          </w:r>
                        </w:sdtContent>
                      </w:sdt>
                      <w:r>
                        <w:rPr>
                          <w:szCs w:val="24"/>
                          <w:lang w:eastAsia="lt-LT"/>
                        </w:rPr>
                        <w:t>. sertifikato antrajame lape:</w:t>
                      </w:r>
                    </w:p>
                    <w:sdt>
                      <w:sdtPr>
                        <w:alias w:val="69.2.1 pp."/>
                        <w:tag w:val="part_1de6c0547fcd43f2b57b260d7388f695"/>
                        <w:lock w:val="sdtLocked"/>
                        <w:richText/>
                      </w:sdtPr>
                      <w:sdtContent>
                        <w:p>
                          <w:pPr>
                            <w:suppressAutoHyphens/>
                            <w:ind w:firstLine="567"/>
                            <w:jc w:val="both"/>
                            <w:textAlignment w:val="center"/>
                            <w:rPr>
                              <w:szCs w:val="24"/>
                              <w:lang w:eastAsia="lt-LT"/>
                            </w:rPr>
                          </w:pPr>
                          <w:sdt>
                            <w:sdtPr>
                              <w:alias w:val="Numeris"/>
                              <w:tag w:val="nr_1de6c0547fcd43f2b57b260d7388f695"/>
                              <w:lock w:val="sdtLocked"/>
                              <w:richText/>
                            </w:sdtPr>
                            <w:sdtContent>
                              <w:r>
                                <w:rPr>
                                  <w:szCs w:val="24"/>
                                  <w:lang w:eastAsia="lt-LT"/>
                                </w:rPr>
                                <w:t>69.2.1</w:t>
                              </w:r>
                            </w:sdtContent>
                          </w:sdt>
                          <w:r>
                            <w:rPr>
                              <w:szCs w:val="24"/>
                              <w:lang w:eastAsia="lt-LT"/>
                            </w:rPr>
                            <w:t>. sertifikato numeris;</w:t>
                          </w:r>
                        </w:p>
                      </w:sdtContent>
                    </w:sdt>
                    <w:sdt>
                      <w:sdtPr>
                        <w:alias w:val="69.2.2 pp."/>
                        <w:tag w:val="part_e20ec615b7954ee3aa32ed3d278c3b66"/>
                        <w:lock w:val="sdtLocked"/>
                        <w:richText/>
                      </w:sdtPr>
                      <w:sdtContent>
                        <w:p>
                          <w:pPr>
                            <w:suppressAutoHyphens/>
                            <w:ind w:firstLine="567"/>
                            <w:jc w:val="both"/>
                            <w:textAlignment w:val="center"/>
                            <w:rPr>
                              <w:szCs w:val="24"/>
                              <w:lang w:eastAsia="lt-LT"/>
                            </w:rPr>
                          </w:pPr>
                          <w:sdt>
                            <w:sdtPr>
                              <w:alias w:val="Numeris"/>
                              <w:tag w:val="nr_e20ec615b7954ee3aa32ed3d278c3b66"/>
                              <w:lock w:val="sdtLocked"/>
                              <w:richText/>
                            </w:sdtPr>
                            <w:sdtContent>
                              <w:r>
                                <w:rPr>
                                  <w:szCs w:val="24"/>
                                  <w:lang w:eastAsia="lt-LT"/>
                                </w:rPr>
                                <w:t>69.2.2</w:t>
                              </w:r>
                            </w:sdtContent>
                          </w:sdt>
                          <w:r>
                            <w:rPr>
                              <w:szCs w:val="24"/>
                              <w:lang w:eastAsia="lt-LT"/>
                            </w:rPr>
                            <w:t>. pastato (jo dalies) unikalus numeris;</w:t>
                          </w:r>
                        </w:p>
                      </w:sdtContent>
                    </w:sdt>
                    <w:sdt>
                      <w:sdtPr>
                        <w:alias w:val="69.2.3 pp."/>
                        <w:tag w:val="part_717a64ed2a874312bab0fce0714f309c"/>
                        <w:lock w:val="sdtLocked"/>
                        <w:richText/>
                      </w:sdtPr>
                      <w:sdtContent>
                        <w:p>
                          <w:pPr>
                            <w:suppressAutoHyphens/>
                            <w:ind w:firstLine="567"/>
                            <w:jc w:val="both"/>
                            <w:textAlignment w:val="center"/>
                            <w:rPr>
                              <w:szCs w:val="24"/>
                              <w:lang w:eastAsia="lt-LT"/>
                            </w:rPr>
                          </w:pPr>
                          <w:sdt>
                            <w:sdtPr>
                              <w:alias w:val="Numeris"/>
                              <w:tag w:val="nr_717a64ed2a874312bab0fce0714f309c"/>
                              <w:lock w:val="sdtLocked"/>
                              <w:richText/>
                            </w:sdtPr>
                            <w:sdtContent>
                              <w:r>
                                <w:rPr>
                                  <w:szCs w:val="24"/>
                                  <w:lang w:eastAsia="lt-LT"/>
                                </w:rPr>
                                <w:t>69.2.3</w:t>
                              </w:r>
                            </w:sdtContent>
                          </w:sdt>
                          <w:r>
                            <w:rPr>
                              <w:szCs w:val="24"/>
                              <w:lang w:eastAsia="lt-LT"/>
                            </w:rPr>
                            <w:t xml:space="preserve">. pastato (jo dalies) adresas; </w:t>
                          </w:r>
                        </w:p>
                      </w:sdtContent>
                    </w:sdt>
                    <w:sdt>
                      <w:sdtPr>
                        <w:alias w:val="69.2.4 pp."/>
                        <w:tag w:val="part_c75834f25016491babfd604a3abbda35"/>
                        <w:lock w:val="sdtLocked"/>
                        <w:richText/>
                      </w:sdtPr>
                      <w:sdtContent>
                        <w:p>
                          <w:pPr>
                            <w:suppressAutoHyphens/>
                            <w:ind w:firstLine="567"/>
                            <w:jc w:val="both"/>
                            <w:textAlignment w:val="center"/>
                            <w:rPr>
                              <w:szCs w:val="24"/>
                              <w:lang w:eastAsia="lt-LT"/>
                            </w:rPr>
                          </w:pPr>
                          <w:sdt>
                            <w:sdtPr>
                              <w:alias w:val="Numeris"/>
                              <w:tag w:val="nr_c75834f25016491babfd604a3abbda35"/>
                              <w:lock w:val="sdtLocked"/>
                              <w:richText/>
                            </w:sdtPr>
                            <w:sdtContent>
                              <w:r>
                                <w:rPr>
                                  <w:szCs w:val="24"/>
                                  <w:lang w:eastAsia="lt-LT"/>
                                </w:rPr>
                                <w:t>69.2.4</w:t>
                              </w:r>
                            </w:sdtContent>
                          </w:sdt>
                          <w:r>
                            <w:rPr>
                              <w:szCs w:val="24"/>
                              <w:lang w:eastAsia="lt-LT"/>
                            </w:rPr>
                            <w:t>. pastato (jo dalies) paskirtis;</w:t>
                          </w:r>
                        </w:p>
                      </w:sdtContent>
                    </w:sdt>
                    <w:sdt>
                      <w:sdtPr>
                        <w:alias w:val="69.2.5 pp."/>
                        <w:tag w:val="part_cf4d239d62b14f56be898d4fac2c15af"/>
                        <w:lock w:val="sdtLocked"/>
                        <w:richText/>
                      </w:sdtPr>
                      <w:sdtContent>
                        <w:p>
                          <w:pPr>
                            <w:suppressAutoHyphens/>
                            <w:ind w:firstLine="567"/>
                            <w:jc w:val="both"/>
                            <w:textAlignment w:val="center"/>
                            <w:rPr>
                              <w:szCs w:val="24"/>
                              <w:lang w:eastAsia="lt-LT"/>
                            </w:rPr>
                          </w:pPr>
                          <w:sdt>
                            <w:sdtPr>
                              <w:alias w:val="Numeris"/>
                              <w:tag w:val="nr_cf4d239d62b14f56be898d4fac2c15af"/>
                              <w:lock w:val="sdtLocked"/>
                              <w:richText/>
                            </w:sdtPr>
                            <w:sdtContent>
                              <w:r>
                                <w:rPr>
                                  <w:szCs w:val="24"/>
                                  <w:lang w:eastAsia="lt-LT"/>
                                </w:rPr>
                                <w:t>69.2.5</w:t>
                              </w:r>
                            </w:sdtContent>
                          </w:sdt>
                          <w:r>
                            <w:rPr>
                              <w:szCs w:val="24"/>
                              <w:lang w:eastAsia="lt-LT"/>
                            </w:rPr>
                            <w:t>. pastato (jo dalies) šildomas plotas;</w:t>
                          </w:r>
                        </w:p>
                      </w:sdtContent>
                    </w:sdt>
                    <w:sdt>
                      <w:sdtPr>
                        <w:alias w:val="69.2.6 pp."/>
                        <w:tag w:val="part_d16a4857baab4b72a50cd40a62b32a86"/>
                        <w:lock w:val="sdtLocked"/>
                        <w:richText/>
                      </w:sdtPr>
                      <w:sdtContent>
                        <w:p>
                          <w:pPr>
                            <w:suppressAutoHyphens/>
                            <w:ind w:firstLine="567"/>
                            <w:jc w:val="both"/>
                            <w:textAlignment w:val="center"/>
                            <w:rPr>
                              <w:szCs w:val="24"/>
                              <w:lang w:eastAsia="lt-LT"/>
                            </w:rPr>
                          </w:pPr>
                          <w:sdt>
                            <w:sdtPr>
                              <w:alias w:val="Numeris"/>
                              <w:tag w:val="nr_d16a4857baab4b72a50cd40a62b32a86"/>
                              <w:lock w:val="sdtLocked"/>
                              <w:richText/>
                            </w:sdtPr>
                            <w:sdtContent>
                              <w:r>
                                <w:rPr>
                                  <w:szCs w:val="24"/>
                                  <w:lang w:eastAsia="lt-LT"/>
                                </w:rPr>
                                <w:t>69.2.6</w:t>
                              </w:r>
                            </w:sdtContent>
                          </w:sdt>
                          <w:r>
                            <w:rPr>
                              <w:szCs w:val="24"/>
                              <w:lang w:eastAsia="lt-LT"/>
                            </w:rPr>
                            <w:t>. viso pastato šildomas plotas;</w:t>
                          </w:r>
                        </w:p>
                      </w:sdtContent>
                    </w:sdt>
                    <w:sdt>
                      <w:sdtPr>
                        <w:alias w:val="69.2.7 pp."/>
                        <w:tag w:val="part_682679719ea746c5a81cfb5480409060"/>
                        <w:lock w:val="sdtLocked"/>
                        <w:richText/>
                      </w:sdtPr>
                      <w:sdtContent>
                        <w:p>
                          <w:pPr>
                            <w:suppressAutoHyphens/>
                            <w:ind w:firstLine="567"/>
                            <w:jc w:val="both"/>
                            <w:textAlignment w:val="center"/>
                            <w:rPr>
                              <w:szCs w:val="24"/>
                              <w:lang w:eastAsia="lt-LT"/>
                            </w:rPr>
                          </w:pPr>
                          <w:sdt>
                            <w:sdtPr>
                              <w:alias w:val="Numeris"/>
                              <w:tag w:val="nr_682679719ea746c5a81cfb5480409060"/>
                              <w:lock w:val="sdtLocked"/>
                              <w:richText/>
                            </w:sdtPr>
                            <w:sdtContent>
                              <w:r>
                                <w:rPr>
                                  <w:szCs w:val="24"/>
                                  <w:lang w:eastAsia="lt-LT"/>
                                </w:rPr>
                                <w:t>69.2.7</w:t>
                              </w:r>
                            </w:sdtContent>
                          </w:sdt>
                          <w:r>
                            <w:rPr>
                              <w:szCs w:val="24"/>
                              <w:lang w:eastAsia="lt-LT"/>
                            </w:rPr>
                            <w:t>. pastato (jo dalies) energinio naudingumo klasė;</w:t>
                          </w:r>
                        </w:p>
                      </w:sdtContent>
                    </w:sdt>
                    <w:sdt>
                      <w:sdtPr>
                        <w:alias w:val="69.2.8 pp."/>
                        <w:tag w:val="part_3b6ad587d70b4501b72db94e5a650223"/>
                        <w:lock w:val="sdtLocked"/>
                        <w:richText/>
                      </w:sdtPr>
                      <w:sdtContent>
                        <w:p>
                          <w:pPr>
                            <w:suppressAutoHyphens/>
                            <w:ind w:firstLine="567"/>
                            <w:jc w:val="both"/>
                            <w:textAlignment w:val="center"/>
                            <w:rPr>
                              <w:szCs w:val="24"/>
                              <w:lang w:eastAsia="lt-LT"/>
                            </w:rPr>
                          </w:pPr>
                          <w:sdt>
                            <w:sdtPr>
                              <w:alias w:val="Numeris"/>
                              <w:tag w:val="nr_3b6ad587d70b4501b72db94e5a650223"/>
                              <w:lock w:val="sdtLocked"/>
                              <w:richText/>
                            </w:sdtPr>
                            <w:sdtContent>
                              <w:r>
                                <w:rPr>
                                  <w:szCs w:val="24"/>
                                  <w:lang w:eastAsia="lt-LT"/>
                                </w:rPr>
                                <w:t>69.2.8</w:t>
                              </w:r>
                            </w:sdtContent>
                          </w:sdt>
                          <w:r>
                            <w:rPr>
                              <w:szCs w:val="24"/>
                              <w:lang w:eastAsia="lt-LT"/>
                            </w:rPr>
                            <w:t>. norminės, atskaitinės ir skaičiuojamosios neatsinaujinančios pirminės energijos sąnaudos vienam kvadratiniam metrui pastato (jo dalies) šildomo ploto per metus;</w:t>
                          </w:r>
                        </w:p>
                      </w:sdtContent>
                    </w:sdt>
                    <w:sdt>
                      <w:sdtPr>
                        <w:alias w:val="69.2.9 pp."/>
                        <w:tag w:val="part_bea08a68c8ad4df0a72386a0a557a452"/>
                        <w:lock w:val="sdtLocked"/>
                        <w:richText/>
                      </w:sdtPr>
                      <w:sdtContent>
                        <w:p>
                          <w:pPr>
                            <w:suppressAutoHyphens/>
                            <w:ind w:firstLine="567"/>
                            <w:jc w:val="both"/>
                            <w:textAlignment w:val="center"/>
                            <w:rPr>
                              <w:szCs w:val="24"/>
                              <w:lang w:eastAsia="lt-LT"/>
                            </w:rPr>
                          </w:pPr>
                          <w:sdt>
                            <w:sdtPr>
                              <w:alias w:val="Numeris"/>
                              <w:tag w:val="nr_bea08a68c8ad4df0a72386a0a557a452"/>
                              <w:lock w:val="sdtLocked"/>
                              <w:richText/>
                            </w:sdtPr>
                            <w:sdtContent>
                              <w:r>
                                <w:rPr>
                                  <w:szCs w:val="24"/>
                                  <w:lang w:eastAsia="lt-LT"/>
                                </w:rPr>
                                <w:t>69.2.9</w:t>
                              </w:r>
                            </w:sdtContent>
                          </w:sdt>
                          <w:r>
                            <w:rPr>
                              <w:szCs w:val="24"/>
                              <w:lang w:eastAsia="lt-LT"/>
                            </w:rPr>
                            <w:t>. skaičiuojamosios atsinaujinančios pirminės energijos (t. y. energijos iš atsinaujinančių išteklių) sąnaudos vienam kvadratiniam metrui pastato (jo dalies) šildomo ploto per metus;</w:t>
                          </w:r>
                        </w:p>
                      </w:sdtContent>
                    </w:sdt>
                    <w:sdt>
                      <w:sdtPr>
                        <w:alias w:val="69.2.10 pp."/>
                        <w:tag w:val="part_590aa81ce7de43d6b459a9a935ca9467"/>
                        <w:lock w:val="sdtLocked"/>
                        <w:richText/>
                      </w:sdtPr>
                      <w:sdtContent>
                        <w:p>
                          <w:pPr>
                            <w:suppressAutoHyphens/>
                            <w:ind w:firstLine="567"/>
                            <w:jc w:val="both"/>
                            <w:textAlignment w:val="center"/>
                            <w:rPr>
                              <w:szCs w:val="24"/>
                              <w:lang w:eastAsia="lt-LT"/>
                            </w:rPr>
                          </w:pPr>
                          <w:sdt>
                            <w:sdtPr>
                              <w:alias w:val="Numeris"/>
                              <w:tag w:val="nr_590aa81ce7de43d6b459a9a935ca9467"/>
                              <w:lock w:val="sdtLocked"/>
                              <w:richText/>
                            </w:sdtPr>
                            <w:sdtContent>
                              <w:r>
                                <w:rPr>
                                  <w:szCs w:val="24"/>
                                  <w:lang w:eastAsia="lt-LT"/>
                                </w:rPr>
                                <w:t>69.2.10</w:t>
                              </w:r>
                            </w:sdtContent>
                          </w:sdt>
                          <w:r>
                            <w:rPr>
                              <w:szCs w:val="24"/>
                              <w:lang w:eastAsia="lt-LT"/>
                            </w:rPr>
                            <w:t>. skaičiuojamųjų metinių atsinaujinančios pirminės energijos sąnaudų santykio su metinėmis neatsinaujinančios pirminės energijos sąnaudomis vertė;</w:t>
                          </w:r>
                        </w:p>
                      </w:sdtContent>
                    </w:sdt>
                    <w:sdt>
                      <w:sdtPr>
                        <w:alias w:val="69.2.11 pp."/>
                        <w:tag w:val="part_83db953ba3fb4a5fa402aab9942db834"/>
                        <w:lock w:val="sdtLocked"/>
                        <w:richText/>
                      </w:sdtPr>
                      <w:sdtContent>
                        <w:p>
                          <w:pPr>
                            <w:suppressAutoHyphens/>
                            <w:ind w:firstLine="567"/>
                            <w:jc w:val="both"/>
                            <w:textAlignment w:val="center"/>
                            <w:rPr>
                              <w:szCs w:val="24"/>
                              <w:lang w:eastAsia="lt-LT"/>
                            </w:rPr>
                          </w:pPr>
                          <w:sdt>
                            <w:sdtPr>
                              <w:alias w:val="Numeris"/>
                              <w:tag w:val="nr_83db953ba3fb4a5fa402aab9942db834"/>
                              <w:lock w:val="sdtLocked"/>
                              <w:richText/>
                            </w:sdtPr>
                            <w:sdtContent>
                              <w:r>
                                <w:rPr>
                                  <w:szCs w:val="24"/>
                                  <w:lang w:eastAsia="lt-LT"/>
                                </w:rPr>
                                <w:t>69.2.11</w:t>
                              </w:r>
                            </w:sdtContent>
                          </w:sdt>
                          <w:r>
                            <w:rPr>
                              <w:szCs w:val="24"/>
                              <w:lang w:eastAsia="lt-LT"/>
                            </w:rPr>
                            <w:t>. skaičiuojamosios neatsinaujinančios pirminės energijos sąnaudos pastatui (jo daliai) šildyti vienam kvadratiniam metrui pastato (jo dalies) šildomo ploto per metus;</w:t>
                          </w:r>
                        </w:p>
                      </w:sdtContent>
                    </w:sdt>
                    <w:sdt>
                      <w:sdtPr>
                        <w:alias w:val="69.2.12 pp."/>
                        <w:tag w:val="part_58a3becffb1e48b884e09774af338ecc"/>
                        <w:lock w:val="sdtLocked"/>
                        <w:richText/>
                      </w:sdtPr>
                      <w:sdtContent>
                        <w:p>
                          <w:pPr>
                            <w:suppressAutoHyphens/>
                            <w:ind w:firstLine="567"/>
                            <w:jc w:val="both"/>
                            <w:textAlignment w:val="center"/>
                            <w:rPr>
                              <w:szCs w:val="24"/>
                              <w:lang w:eastAsia="lt-LT"/>
                            </w:rPr>
                          </w:pPr>
                          <w:sdt>
                            <w:sdtPr>
                              <w:alias w:val="Numeris"/>
                              <w:tag w:val="nr_58a3becffb1e48b884e09774af338ecc"/>
                              <w:lock w:val="sdtLocked"/>
                              <w:richText/>
                            </w:sdtPr>
                            <w:sdtContent>
                              <w:r>
                                <w:rPr>
                                  <w:szCs w:val="24"/>
                                  <w:lang w:eastAsia="lt-LT"/>
                                </w:rPr>
                                <w:t>69.2.12</w:t>
                              </w:r>
                            </w:sdtContent>
                          </w:sdt>
                          <w:r>
                            <w:rPr>
                              <w:szCs w:val="24"/>
                              <w:lang w:eastAsia="lt-LT"/>
                            </w:rPr>
                            <w:t>. skaičiuojamosios atsinaujinančios pirminės energijos sąnaudos pastatui (jo daliai) šildyti vienam kvadratiniam metrui pastato (jo dalies) šildomo ploto per metus;</w:t>
                          </w:r>
                        </w:p>
                      </w:sdtContent>
                    </w:sdt>
                    <w:sdt>
                      <w:sdtPr>
                        <w:alias w:val="69.2.13 pp."/>
                        <w:tag w:val="part_b3bce7ecc2374c488c28bfeb4be3615c"/>
                        <w:lock w:val="sdtLocked"/>
                        <w:richText/>
                      </w:sdtPr>
                      <w:sdtContent>
                        <w:p>
                          <w:pPr>
                            <w:suppressAutoHyphens/>
                            <w:ind w:firstLine="567"/>
                            <w:jc w:val="both"/>
                            <w:textAlignment w:val="center"/>
                            <w:rPr>
                              <w:szCs w:val="24"/>
                              <w:lang w:eastAsia="lt-LT"/>
                            </w:rPr>
                          </w:pPr>
                          <w:sdt>
                            <w:sdtPr>
                              <w:alias w:val="Numeris"/>
                              <w:tag w:val="nr_b3bce7ecc2374c488c28bfeb4be3615c"/>
                              <w:lock w:val="sdtLocked"/>
                              <w:richText/>
                            </w:sdtPr>
                            <w:sdtContent>
                              <w:r>
                                <w:rPr>
                                  <w:szCs w:val="24"/>
                                  <w:lang w:eastAsia="lt-LT"/>
                                </w:rPr>
                                <w:t>69.2.13</w:t>
                              </w:r>
                            </w:sdtContent>
                          </w:sdt>
                          <w:r>
                            <w:rPr>
                              <w:szCs w:val="24"/>
                              <w:lang w:eastAsia="lt-LT"/>
                            </w:rPr>
                            <w:t>. skaičiuojamosios šiluminės energijos sąnaudos pastatui (jo daliai) šildyti vienam kvadratiniam metrui pastato (jo dalies) šildomo ploto per metus;</w:t>
                          </w:r>
                        </w:p>
                      </w:sdtContent>
                    </w:sdt>
                    <w:sdt>
                      <w:sdtPr>
                        <w:alias w:val="69.2.14 pp."/>
                        <w:tag w:val="part_f27808ab09f8443cb4dc4d6cbd057b01"/>
                        <w:lock w:val="sdtLocked"/>
                        <w:richText/>
                      </w:sdtPr>
                      <w:sdtContent>
                        <w:p>
                          <w:pPr>
                            <w:suppressAutoHyphens/>
                            <w:ind w:firstLine="567"/>
                            <w:jc w:val="both"/>
                            <w:textAlignment w:val="center"/>
                            <w:rPr>
                              <w:szCs w:val="24"/>
                              <w:lang w:eastAsia="lt-LT"/>
                            </w:rPr>
                          </w:pPr>
                          <w:sdt>
                            <w:sdtPr>
                              <w:alias w:val="Numeris"/>
                              <w:tag w:val="nr_f27808ab09f8443cb4dc4d6cbd057b01"/>
                              <w:lock w:val="sdtLocked"/>
                              <w:richText/>
                            </w:sdtPr>
                            <w:sdtContent>
                              <w:r>
                                <w:rPr>
                                  <w:szCs w:val="24"/>
                                  <w:lang w:eastAsia="lt-LT"/>
                                </w:rPr>
                                <w:t>69.2.14</w:t>
                              </w:r>
                            </w:sdtContent>
                          </w:sdt>
                          <w:r>
                            <w:rPr>
                              <w:szCs w:val="24"/>
                              <w:lang w:eastAsia="lt-LT"/>
                            </w:rPr>
                            <w:t>. skaičiuojamosios neatsinaujinančios pirminės energijos sąnaudos pastatui (jo daliai) vėsinti vienam kvadratiniam metrui pastato (jo dalies) šildomo ploto per metus;</w:t>
                          </w:r>
                        </w:p>
                      </w:sdtContent>
                    </w:sdt>
                    <w:sdt>
                      <w:sdtPr>
                        <w:alias w:val="69.2.15 pp."/>
                        <w:tag w:val="part_2b946cd38db6477b9c3901a5325ec765"/>
                        <w:lock w:val="sdtLocked"/>
                        <w:richText/>
                      </w:sdtPr>
                      <w:sdtContent>
                        <w:p>
                          <w:pPr>
                            <w:suppressAutoHyphens/>
                            <w:ind w:firstLine="567"/>
                            <w:jc w:val="both"/>
                            <w:textAlignment w:val="center"/>
                            <w:rPr>
                              <w:szCs w:val="24"/>
                              <w:lang w:eastAsia="lt-LT"/>
                            </w:rPr>
                          </w:pPr>
                          <w:sdt>
                            <w:sdtPr>
                              <w:alias w:val="Numeris"/>
                              <w:tag w:val="nr_2b946cd38db6477b9c3901a5325ec765"/>
                              <w:lock w:val="sdtLocked"/>
                              <w:richText/>
                            </w:sdtPr>
                            <w:sdtContent>
                              <w:r>
                                <w:rPr>
                                  <w:szCs w:val="24"/>
                                  <w:lang w:eastAsia="lt-LT"/>
                                </w:rPr>
                                <w:t>69.2.15</w:t>
                              </w:r>
                            </w:sdtContent>
                          </w:sdt>
                          <w:r>
                            <w:rPr>
                              <w:szCs w:val="24"/>
                              <w:lang w:eastAsia="lt-LT"/>
                            </w:rPr>
                            <w:t>. skaičiuojamosios atsinaujinančios pirminės energijos sąnaudos pastatui (jo daliai) vėsinti vienam kvadratiniam metrui pastato (jo dalies) šildomo ploto per metus;</w:t>
                          </w:r>
                        </w:p>
                      </w:sdtContent>
                    </w:sdt>
                    <w:sdt>
                      <w:sdtPr>
                        <w:alias w:val="69.2.16 pp."/>
                        <w:tag w:val="part_d2d55755cb304db0a588976570e5beb4"/>
                        <w:lock w:val="sdtLocked"/>
                        <w:richText/>
                      </w:sdtPr>
                      <w:sdtContent>
                        <w:p>
                          <w:pPr>
                            <w:suppressAutoHyphens/>
                            <w:ind w:firstLine="567"/>
                            <w:jc w:val="both"/>
                            <w:textAlignment w:val="center"/>
                            <w:rPr>
                              <w:szCs w:val="24"/>
                              <w:lang w:eastAsia="lt-LT"/>
                            </w:rPr>
                          </w:pPr>
                          <w:sdt>
                            <w:sdtPr>
                              <w:alias w:val="Numeris"/>
                              <w:tag w:val="nr_d2d55755cb304db0a588976570e5beb4"/>
                              <w:lock w:val="sdtLocked"/>
                              <w:richText/>
                            </w:sdtPr>
                            <w:sdtContent>
                              <w:r>
                                <w:rPr>
                                  <w:szCs w:val="24"/>
                                  <w:lang w:eastAsia="lt-LT"/>
                                </w:rPr>
                                <w:t>69.2.16</w:t>
                              </w:r>
                            </w:sdtContent>
                          </w:sdt>
                          <w:r>
                            <w:rPr>
                              <w:szCs w:val="24"/>
                              <w:lang w:eastAsia="lt-LT"/>
                            </w:rPr>
                            <w:t>. skaičiuojamosios šiluminės energijos sąnaudos pastatui (jo daliai) vėsinti vienam kvadratiniam metrui pastato (jo dalies) šildomo ploto per metus;</w:t>
                          </w:r>
                        </w:p>
                      </w:sdtContent>
                    </w:sdt>
                    <w:sdt>
                      <w:sdtPr>
                        <w:alias w:val="69.2.17 pp."/>
                        <w:tag w:val="part_724cdf0b8d964300895c9e21a055a3b2"/>
                        <w:lock w:val="sdtLocked"/>
                        <w:richText/>
                      </w:sdtPr>
                      <w:sdtContent>
                        <w:p>
                          <w:pPr>
                            <w:suppressAutoHyphens/>
                            <w:ind w:firstLine="567"/>
                            <w:jc w:val="both"/>
                            <w:textAlignment w:val="center"/>
                            <w:rPr>
                              <w:szCs w:val="24"/>
                              <w:lang w:eastAsia="lt-LT"/>
                            </w:rPr>
                          </w:pPr>
                          <w:sdt>
                            <w:sdtPr>
                              <w:alias w:val="Numeris"/>
                              <w:tag w:val="nr_724cdf0b8d964300895c9e21a055a3b2"/>
                              <w:lock w:val="sdtLocked"/>
                              <w:richText/>
                            </w:sdtPr>
                            <w:sdtContent>
                              <w:r>
                                <w:rPr>
                                  <w:szCs w:val="24"/>
                                  <w:lang w:eastAsia="lt-LT"/>
                                </w:rPr>
                                <w:t>69.2.17</w:t>
                              </w:r>
                            </w:sdtContent>
                          </w:sdt>
                          <w:r>
                            <w:rPr>
                              <w:szCs w:val="24"/>
                              <w:lang w:eastAsia="lt-LT"/>
                            </w:rPr>
                            <w:t>.  skaičiuojamosios neatsinaujinančios pirminės energijos sąnaudos karštam vandeniui ruošti vienam kvadratiniam metrui pastato (jo dalies) šildomo ploto per metus;</w:t>
                          </w:r>
                        </w:p>
                      </w:sdtContent>
                    </w:sdt>
                    <w:sdt>
                      <w:sdtPr>
                        <w:alias w:val="69.2.18 pp."/>
                        <w:tag w:val="part_ff6536662c95439d9263257516404fae"/>
                        <w:lock w:val="sdtLocked"/>
                        <w:richText/>
                      </w:sdtPr>
                      <w:sdtContent>
                        <w:p>
                          <w:pPr>
                            <w:suppressAutoHyphens/>
                            <w:ind w:firstLine="567"/>
                            <w:jc w:val="both"/>
                            <w:textAlignment w:val="center"/>
                            <w:rPr>
                              <w:szCs w:val="24"/>
                              <w:lang w:eastAsia="lt-LT"/>
                            </w:rPr>
                          </w:pPr>
                          <w:sdt>
                            <w:sdtPr>
                              <w:alias w:val="Numeris"/>
                              <w:tag w:val="nr_ff6536662c95439d9263257516404fae"/>
                              <w:lock w:val="sdtLocked"/>
                              <w:richText/>
                            </w:sdtPr>
                            <w:sdtContent>
                              <w:r>
                                <w:rPr>
                                  <w:szCs w:val="24"/>
                                  <w:lang w:eastAsia="lt-LT"/>
                                </w:rPr>
                                <w:t>69.2.18</w:t>
                              </w:r>
                            </w:sdtContent>
                          </w:sdt>
                          <w:r>
                            <w:rPr>
                              <w:szCs w:val="24"/>
                              <w:lang w:eastAsia="lt-LT"/>
                            </w:rPr>
                            <w:t>. skaičiuojamosios atsinaujinančios pirminės energijos sąnaudos karštam vandeniui ruošti vienam kvadratiniam metrui pastato (jo dalies) šildomo ploto per metus;</w:t>
                          </w:r>
                        </w:p>
                      </w:sdtContent>
                    </w:sdt>
                    <w:sdt>
                      <w:sdtPr>
                        <w:alias w:val="69.2.19 pp."/>
                        <w:tag w:val="part_fcf94675811843ffa51277972b333687"/>
                        <w:lock w:val="sdtLocked"/>
                        <w:richText/>
                      </w:sdtPr>
                      <w:sdtContent>
                        <w:p>
                          <w:pPr>
                            <w:suppressAutoHyphens/>
                            <w:ind w:firstLine="567"/>
                            <w:jc w:val="both"/>
                            <w:textAlignment w:val="center"/>
                            <w:rPr>
                              <w:szCs w:val="24"/>
                              <w:lang w:eastAsia="lt-LT"/>
                            </w:rPr>
                          </w:pPr>
                          <w:sdt>
                            <w:sdtPr>
                              <w:alias w:val="Numeris"/>
                              <w:tag w:val="nr_fcf94675811843ffa51277972b333687"/>
                              <w:lock w:val="sdtLocked"/>
                              <w:richText/>
                            </w:sdtPr>
                            <w:sdtContent>
                              <w:r>
                                <w:rPr>
                                  <w:szCs w:val="24"/>
                                  <w:lang w:eastAsia="lt-LT"/>
                                </w:rPr>
                                <w:t>69.2.19</w:t>
                              </w:r>
                            </w:sdtContent>
                          </w:sdt>
                          <w:r>
                            <w:rPr>
                              <w:szCs w:val="24"/>
                              <w:lang w:eastAsia="lt-LT"/>
                            </w:rPr>
                            <w:t>. skaičiuojamosios šiluminės energijos sąnaudos karštam buitiniam vandeniui ruošti vienam kvadratiniam metrui pastato (jo dalies) šildomo ploto per metus;</w:t>
                          </w:r>
                        </w:p>
                      </w:sdtContent>
                    </w:sdt>
                    <w:sdt>
                      <w:sdtPr>
                        <w:alias w:val="69.2.20 pp."/>
                        <w:tag w:val="part_85e8b72243de41cb83f3f88f4826090d"/>
                        <w:lock w:val="sdtLocked"/>
                        <w:richText/>
                      </w:sdtPr>
                      <w:sdtContent>
                        <w:p>
                          <w:pPr>
                            <w:suppressAutoHyphens/>
                            <w:ind w:firstLine="567"/>
                            <w:jc w:val="both"/>
                            <w:textAlignment w:val="center"/>
                            <w:rPr>
                              <w:szCs w:val="24"/>
                              <w:lang w:eastAsia="lt-LT"/>
                            </w:rPr>
                          </w:pPr>
                          <w:sdt>
                            <w:sdtPr>
                              <w:alias w:val="Numeris"/>
                              <w:tag w:val="nr_85e8b72243de41cb83f3f88f4826090d"/>
                              <w:lock w:val="sdtLocked"/>
                              <w:richText/>
                            </w:sdtPr>
                            <w:sdtContent>
                              <w:r>
                                <w:rPr>
                                  <w:szCs w:val="24"/>
                                  <w:lang w:eastAsia="lt-LT"/>
                                </w:rPr>
                                <w:t>69.2.20</w:t>
                              </w:r>
                            </w:sdtContent>
                          </w:sdt>
                          <w:r>
                            <w:rPr>
                              <w:szCs w:val="24"/>
                              <w:lang w:eastAsia="lt-LT"/>
                            </w:rPr>
                            <w:t>. skaičiuojamosios neatsinaujinančios pirminės energijos sąnaudos elektros energijai vienam kvadratiniam metrui pastato (jo dalies) šildomo ploto per metus;</w:t>
                          </w:r>
                        </w:p>
                      </w:sdtContent>
                    </w:sdt>
                    <w:sdt>
                      <w:sdtPr>
                        <w:alias w:val="69.2.21 pp."/>
                        <w:tag w:val="part_ae580f6f5c3f4e2c97f9905b0ca43f81"/>
                        <w:lock w:val="sdtLocked"/>
                        <w:richText/>
                      </w:sdtPr>
                      <w:sdtContent>
                        <w:p>
                          <w:pPr>
                            <w:suppressAutoHyphens/>
                            <w:ind w:firstLine="567"/>
                            <w:jc w:val="both"/>
                            <w:textAlignment w:val="center"/>
                            <w:rPr>
                              <w:szCs w:val="24"/>
                              <w:lang w:eastAsia="lt-LT"/>
                            </w:rPr>
                          </w:pPr>
                          <w:sdt>
                            <w:sdtPr>
                              <w:alias w:val="Numeris"/>
                              <w:tag w:val="nr_ae580f6f5c3f4e2c97f9905b0ca43f81"/>
                              <w:lock w:val="sdtLocked"/>
                              <w:richText/>
                            </w:sdtPr>
                            <w:sdtContent>
                              <w:r>
                                <w:rPr>
                                  <w:szCs w:val="24"/>
                                  <w:lang w:eastAsia="lt-LT"/>
                                </w:rPr>
                                <w:t>69.2.21</w:t>
                              </w:r>
                            </w:sdtContent>
                          </w:sdt>
                          <w:r>
                            <w:rPr>
                              <w:szCs w:val="24"/>
                              <w:lang w:eastAsia="lt-LT"/>
                            </w:rPr>
                            <w:t>. skaičiuojamosios atsinaujinančios pirminės energijos sąnaudos elektros energijai vienam kvadratiniam metrui pastato (jo dalies) šildomo ploto per metus;</w:t>
                          </w:r>
                        </w:p>
                      </w:sdtContent>
                    </w:sdt>
                    <w:sdt>
                      <w:sdtPr>
                        <w:alias w:val="69.2.22 pp."/>
                        <w:tag w:val="part_91725357ee10441299ae4f5dfaf1da47"/>
                        <w:lock w:val="sdtLocked"/>
                        <w:richText/>
                      </w:sdtPr>
                      <w:sdtContent>
                        <w:p>
                          <w:pPr>
                            <w:suppressAutoHyphens/>
                            <w:ind w:firstLine="567"/>
                            <w:jc w:val="both"/>
                            <w:textAlignment w:val="center"/>
                            <w:rPr>
                              <w:szCs w:val="24"/>
                              <w:lang w:eastAsia="lt-LT"/>
                            </w:rPr>
                          </w:pPr>
                          <w:sdt>
                            <w:sdtPr>
                              <w:alias w:val="Numeris"/>
                              <w:tag w:val="nr_91725357ee10441299ae4f5dfaf1da47"/>
                              <w:lock w:val="sdtLocked"/>
                              <w:richText/>
                            </w:sdtPr>
                            <w:sdtContent>
                              <w:r>
                                <w:rPr>
                                  <w:szCs w:val="24"/>
                                  <w:lang w:eastAsia="lt-LT"/>
                                </w:rPr>
                                <w:t>69.2.22</w:t>
                              </w:r>
                            </w:sdtContent>
                          </w:sdt>
                          <w:r>
                            <w:rPr>
                              <w:szCs w:val="24"/>
                              <w:lang w:eastAsia="lt-LT"/>
                            </w:rPr>
                            <w:t>. skaičiuojamosios suminės pastato (jo dalies) elektros energijos sąnaudos per metus;</w:t>
                          </w:r>
                        </w:p>
                      </w:sdtContent>
                    </w:sdt>
                    <w:sdt>
                      <w:sdtPr>
                        <w:alias w:val="69.2.23 pp."/>
                        <w:tag w:val="part_e5c034c745294030935c1e0d3a1daf83"/>
                        <w:lock w:val="sdtLocked"/>
                        <w:richText/>
                      </w:sdtPr>
                      <w:sdtContent>
                        <w:p>
                          <w:pPr>
                            <w:suppressAutoHyphens/>
                            <w:ind w:firstLine="567"/>
                            <w:jc w:val="both"/>
                            <w:textAlignment w:val="center"/>
                            <w:rPr>
                              <w:spacing w:val="-5"/>
                              <w:szCs w:val="24"/>
                              <w:lang w:eastAsia="lt-LT"/>
                            </w:rPr>
                          </w:pPr>
                          <w:sdt>
                            <w:sdtPr>
                              <w:alias w:val="Numeris"/>
                              <w:tag w:val="nr_e5c034c745294030935c1e0d3a1daf83"/>
                              <w:lock w:val="sdtLocked"/>
                              <w:richText/>
                            </w:sdtPr>
                            <w:sdtContent>
                              <w:r>
                                <w:rPr>
                                  <w:szCs w:val="24"/>
                                  <w:lang w:eastAsia="lt-LT"/>
                                </w:rPr>
                                <w:t>69</w:t>
                              </w:r>
                              <w:r>
                                <w:rPr>
                                  <w:spacing w:val="-5"/>
                                  <w:szCs w:val="24"/>
                                  <w:lang w:eastAsia="lt-LT"/>
                                </w:rPr>
                                <w:t>.2.23</w:t>
                              </w:r>
                            </w:sdtContent>
                          </w:sdt>
                          <w:r>
                            <w:rPr>
                              <w:spacing w:val="-5"/>
                              <w:szCs w:val="24"/>
                              <w:lang w:eastAsia="lt-LT"/>
                            </w:rPr>
                            <w:t>. skaičiuojamosios elektros energijos sąnaudos per metus pastato (jo dalies) patalpų apšvietimui;</w:t>
                          </w:r>
                        </w:p>
                      </w:sdtContent>
                    </w:sdt>
                    <w:sdt>
                      <w:sdtPr>
                        <w:alias w:val="69.2.24 pp."/>
                        <w:tag w:val="part_2a12fb3f5986421585d202facbd244b4"/>
                        <w:lock w:val="sdtLocked"/>
                        <w:richText/>
                      </w:sdtPr>
                      <w:sdtContent>
                        <w:p>
                          <w:pPr>
                            <w:suppressAutoHyphens/>
                            <w:ind w:firstLine="567"/>
                            <w:jc w:val="both"/>
                            <w:textAlignment w:val="center"/>
                            <w:rPr>
                              <w:spacing w:val="-2"/>
                              <w:szCs w:val="24"/>
                              <w:lang w:eastAsia="lt-LT"/>
                            </w:rPr>
                          </w:pPr>
                          <w:sdt>
                            <w:sdtPr>
                              <w:alias w:val="Numeris"/>
                              <w:tag w:val="nr_2a12fb3f5986421585d202facbd244b4"/>
                              <w:lock w:val="sdtLocked"/>
                              <w:richText/>
                            </w:sdtPr>
                            <w:sdtContent>
                              <w:r>
                                <w:rPr>
                                  <w:szCs w:val="24"/>
                                  <w:lang w:eastAsia="lt-LT"/>
                                </w:rPr>
                                <w:t>69</w:t>
                              </w:r>
                              <w:r>
                                <w:rPr>
                                  <w:spacing w:val="-5"/>
                                  <w:szCs w:val="24"/>
                                  <w:lang w:eastAsia="lt-LT"/>
                                </w:rPr>
                                <w:t>.2.24</w:t>
                              </w:r>
                            </w:sdtContent>
                          </w:sdt>
                          <w:r>
                            <w:rPr>
                              <w:spacing w:val="-5"/>
                              <w:szCs w:val="24"/>
                              <w:lang w:eastAsia="lt-LT"/>
                            </w:rPr>
                            <w:t xml:space="preserve">. duomenys apie pastato (jo dalies) šildymui naudojamus šilumos šaltinius, nurodant pagal Reglamento 2 priedo 2.45 ar 2.47 lentelėse pateiktą šilumos šaltinių sąrašą šilumos šaltinio (-ių) tipą ir šildomus plotus, kuriuose šie šilumos šaltiniai naudojami; </w:t>
                          </w:r>
                        </w:p>
                      </w:sdtContent>
                    </w:sdt>
                    <w:sdt>
                      <w:sdtPr>
                        <w:alias w:val="69.2.25 pp."/>
                        <w:tag w:val="part_d35b9b9b0bb84790bd0aacd080783c18"/>
                        <w:lock w:val="sdtLocked"/>
                        <w:richText/>
                      </w:sdtPr>
                      <w:sdtContent>
                        <w:p>
                          <w:pPr>
                            <w:suppressAutoHyphens/>
                            <w:ind w:firstLine="567"/>
                            <w:jc w:val="both"/>
                            <w:textAlignment w:val="center"/>
                            <w:rPr>
                              <w:spacing w:val="-2"/>
                              <w:szCs w:val="24"/>
                              <w:lang w:eastAsia="lt-LT"/>
                            </w:rPr>
                          </w:pPr>
                          <w:sdt>
                            <w:sdtPr>
                              <w:alias w:val="Numeris"/>
                              <w:tag w:val="nr_d35b9b9b0bb84790bd0aacd080783c18"/>
                              <w:lock w:val="sdtLocked"/>
                              <w:richText/>
                            </w:sdtPr>
                            <w:sdtContent>
                              <w:r>
                                <w:rPr>
                                  <w:szCs w:val="24"/>
                                  <w:lang w:eastAsia="lt-LT"/>
                                </w:rPr>
                                <w:t>69</w:t>
                              </w:r>
                              <w:r>
                                <w:rPr>
                                  <w:spacing w:val="-2"/>
                                  <w:szCs w:val="24"/>
                                  <w:lang w:eastAsia="lt-LT"/>
                                </w:rPr>
                                <w:t>.2.25</w:t>
                              </w:r>
                            </w:sdtContent>
                          </w:sdt>
                          <w:r>
                            <w:rPr>
                              <w:spacing w:val="-2"/>
                              <w:szCs w:val="24"/>
                              <w:lang w:eastAsia="lt-LT"/>
                            </w:rPr>
                            <w:t xml:space="preserve">. duomenys apie pastato (jo dalies) vėsinimui naudojamus orą šaldančių įrenginių tipus, nurodant pagal Reglamento 2 priedo 2.43 lentelėje pateiktą šių įrenginių tipų sąrašą įrenginio tipą ir šildomus plotus, kuriuose šie įrenginiai naudojami; </w:t>
                          </w:r>
                        </w:p>
                      </w:sdtContent>
                    </w:sdt>
                    <w:sdt>
                      <w:sdtPr>
                        <w:alias w:val="69.2.26 pp."/>
                        <w:tag w:val="part_32108622544848579981fd9e6c8eab54"/>
                        <w:lock w:val="sdtLocked"/>
                        <w:richText/>
                      </w:sdtPr>
                      <w:sdtContent>
                        <w:p>
                          <w:pPr>
                            <w:suppressAutoHyphens/>
                            <w:ind w:firstLine="567"/>
                            <w:jc w:val="both"/>
                            <w:textAlignment w:val="center"/>
                            <w:rPr>
                              <w:szCs w:val="24"/>
                              <w:lang w:eastAsia="lt-LT"/>
                            </w:rPr>
                          </w:pPr>
                          <w:sdt>
                            <w:sdtPr>
                              <w:alias w:val="Numeris"/>
                              <w:tag w:val="nr_32108622544848579981fd9e6c8eab54"/>
                              <w:lock w:val="sdtLocked"/>
                              <w:richText/>
                            </w:sdtPr>
                            <w:sdtContent>
                              <w:r>
                                <w:rPr>
                                  <w:szCs w:val="24"/>
                                  <w:lang w:eastAsia="lt-LT"/>
                                </w:rPr>
                                <w:t>69</w:t>
                              </w:r>
                              <w:r>
                                <w:rPr>
                                  <w:spacing w:val="-2"/>
                                  <w:szCs w:val="24"/>
                                  <w:lang w:eastAsia="lt-LT"/>
                                </w:rPr>
                                <w:t>.2.26</w:t>
                              </w:r>
                            </w:sdtContent>
                          </w:sdt>
                          <w:r>
                            <w:rPr>
                              <w:spacing w:val="-2"/>
                              <w:szCs w:val="24"/>
                              <w:lang w:eastAsia="lt-LT"/>
                            </w:rPr>
                            <w:t xml:space="preserve">. duomenys apie pastato (jo dalies) vėdinimui naudojamus vėdinimo sistemų tipus (žr. Reglamento 2 priedo 28 punktą), nurodant oro pašildymui naudojamus šilumos šaltinius pagal Reglamento 2 priedo 2.45 lentelėje pateiktą sąrašą ir šildomus plotus, kuriuose šie šaltiniai naudojami; </w:t>
                          </w:r>
                        </w:p>
                      </w:sdtContent>
                    </w:sdt>
                    <w:sdt>
                      <w:sdtPr>
                        <w:alias w:val="69.2.27 pp."/>
                        <w:tag w:val="part_b6f7f08c2e37449f94ca8b87d9566e4e"/>
                        <w:lock w:val="sdtLocked"/>
                        <w:richText/>
                      </w:sdtPr>
                      <w:sdtContent>
                        <w:p>
                          <w:pPr>
                            <w:suppressAutoHyphens/>
                            <w:ind w:firstLine="567"/>
                            <w:jc w:val="both"/>
                            <w:textAlignment w:val="center"/>
                            <w:rPr>
                              <w:szCs w:val="24"/>
                              <w:lang w:eastAsia="lt-LT"/>
                            </w:rPr>
                          </w:pPr>
                          <w:sdt>
                            <w:sdtPr>
                              <w:alias w:val="Numeris"/>
                              <w:tag w:val="nr_b6f7f08c2e37449f94ca8b87d9566e4e"/>
                              <w:lock w:val="sdtLocked"/>
                              <w:richText/>
                            </w:sdtPr>
                            <w:sdtContent>
                              <w:r>
                                <w:rPr>
                                  <w:szCs w:val="24"/>
                                  <w:lang w:eastAsia="lt-LT"/>
                                </w:rPr>
                                <w:t>69.2.27</w:t>
                              </w:r>
                            </w:sdtContent>
                          </w:sdt>
                          <w:r>
                            <w:rPr>
                              <w:szCs w:val="24"/>
                              <w:lang w:eastAsia="lt-LT"/>
                            </w:rPr>
                            <w:t>. duomenys apie pastate (jo dalyje) karšto buitinio vandens ruošimui naudojamus įrangos tipus, nurodant pagal Reglamento 2 priedo 21 lentelėje pateiktą įrangų tipų sąrašą įrangos tipą ir šildomus plotus, kuriuose ši įranga naudojama;</w:t>
                          </w:r>
                        </w:p>
                      </w:sdtContent>
                    </w:sdt>
                    <w:sdt>
                      <w:sdtPr>
                        <w:alias w:val="69.2.28 pp."/>
                        <w:tag w:val="part_681725f5b4be482fb4f706dfee93a4df"/>
                        <w:lock w:val="sdtLocked"/>
                        <w:richText/>
                      </w:sdtPr>
                      <w:sdtContent>
                        <w:p>
                          <w:pPr>
                            <w:suppressAutoHyphens/>
                            <w:ind w:firstLine="567"/>
                            <w:jc w:val="both"/>
                            <w:textAlignment w:val="center"/>
                            <w:rPr>
                              <w:szCs w:val="24"/>
                              <w:lang w:eastAsia="lt-LT"/>
                            </w:rPr>
                          </w:pPr>
                          <w:sdt>
                            <w:sdtPr>
                              <w:alias w:val="Numeris"/>
                              <w:tag w:val="nr_681725f5b4be482fb4f706dfee93a4df"/>
                              <w:lock w:val="sdtLocked"/>
                              <w:richText/>
                            </w:sdtPr>
                            <w:sdtContent>
                              <w:r>
                                <w:rPr>
                                  <w:szCs w:val="24"/>
                                  <w:lang w:eastAsia="lt-LT"/>
                                </w:rPr>
                                <w:t>69.2.28</w:t>
                              </w:r>
                            </w:sdtContent>
                          </w:sdt>
                          <w:r>
                            <w:rPr>
                              <w:szCs w:val="24"/>
                              <w:lang w:eastAsia="lt-LT"/>
                            </w:rPr>
                            <w:t>. pastato (jo dalies) į aplinką išmetamas CO</w:t>
                          </w:r>
                          <w:r>
                            <w:rPr>
                              <w:szCs w:val="24"/>
                              <w:vertAlign w:val="subscript"/>
                              <w:lang w:eastAsia="lt-LT"/>
                            </w:rPr>
                            <w:t>2</w:t>
                          </w:r>
                          <w:r>
                            <w:rPr>
                              <w:szCs w:val="24"/>
                              <w:lang w:eastAsia="lt-LT"/>
                            </w:rPr>
                            <w:t> kiekis per metus;</w:t>
                          </w:r>
                        </w:p>
                      </w:sdtContent>
                    </w:sdt>
                    <w:sdt>
                      <w:sdtPr>
                        <w:alias w:val="69.2.29 pp."/>
                        <w:tag w:val="part_519755944d004c60b88b1b335928aef4"/>
                        <w:lock w:val="sdtLocked"/>
                        <w:richText/>
                      </w:sdtPr>
                      <w:sdtContent>
                        <w:p>
                          <w:pPr>
                            <w:suppressAutoHyphens/>
                            <w:ind w:firstLine="567"/>
                            <w:jc w:val="both"/>
                            <w:textAlignment w:val="center"/>
                            <w:rPr>
                              <w:szCs w:val="24"/>
                              <w:lang w:eastAsia="lt-LT"/>
                            </w:rPr>
                          </w:pPr>
                          <w:sdt>
                            <w:sdtPr>
                              <w:alias w:val="Numeris"/>
                              <w:tag w:val="nr_519755944d004c60b88b1b335928aef4"/>
                              <w:lock w:val="sdtLocked"/>
                              <w:richText/>
                            </w:sdtPr>
                            <w:sdtContent>
                              <w:r>
                                <w:rPr>
                                  <w:szCs w:val="24"/>
                                  <w:lang w:eastAsia="lt-LT"/>
                                </w:rPr>
                                <w:t>69.2.29</w:t>
                              </w:r>
                            </w:sdtContent>
                          </w:sdt>
                          <w:r>
                            <w:rPr>
                              <w:szCs w:val="24"/>
                              <w:lang w:eastAsia="lt-LT"/>
                            </w:rPr>
                            <w:t xml:space="preserve">. pastato sandarumo matavimų duomenys pagal LST EN ISO 9972:2015[3.19] reikalavimus esant 50 Pa slėgių skirtumui; </w:t>
                          </w:r>
                        </w:p>
                      </w:sdtContent>
                    </w:sdt>
                    <w:sdt>
                      <w:sdtPr>
                        <w:alias w:val="69.2.30 pp."/>
                        <w:tag w:val="part_8fa9e48ac3f14b458a344457de63729f"/>
                        <w:lock w:val="sdtLocked"/>
                        <w:richText/>
                      </w:sdtPr>
                      <w:sdtContent>
                        <w:p>
                          <w:pPr>
                            <w:suppressAutoHyphens/>
                            <w:ind w:firstLine="567"/>
                            <w:jc w:val="both"/>
                            <w:textAlignment w:val="center"/>
                            <w:rPr>
                              <w:szCs w:val="24"/>
                              <w:lang w:eastAsia="lt-LT"/>
                            </w:rPr>
                          </w:pPr>
                          <w:sdt>
                            <w:sdtPr>
                              <w:alias w:val="Numeris"/>
                              <w:tag w:val="nr_8fa9e48ac3f14b458a344457de63729f"/>
                              <w:lock w:val="sdtLocked"/>
                              <w:richText/>
                            </w:sdtPr>
                            <w:sdtContent>
                              <w:r>
                                <w:rPr>
                                  <w:szCs w:val="24"/>
                                  <w:lang w:eastAsia="lt-LT"/>
                                </w:rPr>
                                <w:t>69</w:t>
                              </w:r>
                              <w:r>
                                <w:rPr>
                                  <w:spacing w:val="-6"/>
                                  <w:szCs w:val="24"/>
                                  <w:lang w:eastAsia="lt-LT"/>
                                </w:rPr>
                                <w:t>.2.30</w:t>
                              </w:r>
                            </w:sdtContent>
                          </w:sdt>
                          <w:r>
                            <w:rPr>
                              <w:spacing w:val="-6"/>
                              <w:szCs w:val="24"/>
                              <w:lang w:eastAsia="lt-LT"/>
                            </w:rPr>
                            <w:t xml:space="preserve">. nuorodos išsamesnei informacijai gauti apie pastato (jo dalies) ekonomiškai efektyvų energinio naudingumo gerinimą; </w:t>
                          </w:r>
                        </w:p>
                      </w:sdtContent>
                    </w:sdt>
                    <w:sdt>
                      <w:sdtPr>
                        <w:alias w:val="69.2.31 pp."/>
                        <w:tag w:val="part_f57690e070e14856bc68c87f5c55e262"/>
                        <w:lock w:val="sdtLocked"/>
                        <w:richText/>
                      </w:sdtPr>
                      <w:sdtContent>
                        <w:p>
                          <w:pPr>
                            <w:suppressAutoHyphens/>
                            <w:ind w:firstLine="567"/>
                            <w:jc w:val="both"/>
                            <w:textAlignment w:val="center"/>
                            <w:rPr>
                              <w:szCs w:val="24"/>
                              <w:lang w:eastAsia="lt-LT"/>
                            </w:rPr>
                          </w:pPr>
                          <w:sdt>
                            <w:sdtPr>
                              <w:alias w:val="Numeris"/>
                              <w:tag w:val="nr_f57690e070e14856bc68c87f5c55e262"/>
                              <w:lock w:val="sdtLocked"/>
                              <w:richText/>
                            </w:sdtPr>
                            <w:sdtContent>
                              <w:r>
                                <w:rPr>
                                  <w:szCs w:val="24"/>
                                  <w:lang w:eastAsia="lt-LT"/>
                                </w:rPr>
                                <w:t>69.2.31</w:t>
                              </w:r>
                            </w:sdtContent>
                          </w:sdt>
                          <w:r>
                            <w:rPr>
                              <w:szCs w:val="24"/>
                              <w:lang w:eastAsia="lt-LT"/>
                            </w:rPr>
                            <w:t>. sertifikato išdavimo data;</w:t>
                          </w:r>
                        </w:p>
                      </w:sdtContent>
                    </w:sdt>
                    <w:sdt>
                      <w:sdtPr>
                        <w:alias w:val="69.2.32 pp."/>
                        <w:tag w:val="part_15fffad22a1244faae8c247a71dd7c8f"/>
                        <w:lock w:val="sdtLocked"/>
                        <w:richText/>
                      </w:sdtPr>
                      <w:sdtContent>
                        <w:p>
                          <w:pPr>
                            <w:suppressAutoHyphens/>
                            <w:ind w:firstLine="567"/>
                            <w:jc w:val="both"/>
                            <w:textAlignment w:val="center"/>
                            <w:rPr>
                              <w:szCs w:val="24"/>
                              <w:lang w:eastAsia="lt-LT"/>
                            </w:rPr>
                          </w:pPr>
                          <w:sdt>
                            <w:sdtPr>
                              <w:alias w:val="Numeris"/>
                              <w:tag w:val="nr_15fffad22a1244faae8c247a71dd7c8f"/>
                              <w:lock w:val="sdtLocked"/>
                              <w:richText/>
                            </w:sdtPr>
                            <w:sdtContent>
                              <w:r>
                                <w:rPr>
                                  <w:szCs w:val="24"/>
                                  <w:lang w:eastAsia="lt-LT"/>
                                </w:rPr>
                                <w:t>69.2.32</w:t>
                              </w:r>
                            </w:sdtContent>
                          </w:sdt>
                          <w:r>
                            <w:rPr>
                              <w:szCs w:val="24"/>
                              <w:lang w:eastAsia="lt-LT"/>
                            </w:rPr>
                            <w:t>. sertifikato galiojimo terminas;</w:t>
                          </w:r>
                        </w:p>
                      </w:sdtContent>
                    </w:sdt>
                    <w:sdt>
                      <w:sdtPr>
                        <w:alias w:val="69.2.33 pp."/>
                        <w:tag w:val="part_c8b3a8e0c27e415fbb03ffa777f441e5"/>
                        <w:lock w:val="sdtLocked"/>
                        <w:richText/>
                      </w:sdtPr>
                      <w:sdtContent>
                        <w:p>
                          <w:pPr>
                            <w:suppressAutoHyphens/>
                            <w:ind w:firstLine="567"/>
                            <w:jc w:val="both"/>
                            <w:textAlignment w:val="center"/>
                            <w:rPr>
                              <w:szCs w:val="24"/>
                            </w:rPr>
                          </w:pPr>
                          <w:sdt>
                            <w:sdtPr>
                              <w:alias w:val="Numeris"/>
                              <w:tag w:val="nr_c8b3a8e0c27e415fbb03ffa777f441e5"/>
                              <w:lock w:val="sdtLocked"/>
                              <w:richText/>
                            </w:sdtPr>
                            <w:sdtContent>
                              <w:r>
                                <w:rPr>
                                  <w:szCs w:val="24"/>
                                  <w:lang w:eastAsia="lt-LT"/>
                                </w:rPr>
                                <w:t>69.2.33</w:t>
                              </w:r>
                            </w:sdtContent>
                          </w:sdt>
                          <w:r>
                            <w:rPr>
                              <w:szCs w:val="24"/>
                              <w:lang w:eastAsia="lt-LT"/>
                            </w:rPr>
                            <w:t>. sertifikatą išdavusio eksperto vardas, pavardė, pažymėjimo numeris,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
              <w:sdtPr>
                <w:alias w:val="70 p."/>
                <w:tag w:val="part_af465436f7fb4f818e7afe978dd7cea4"/>
                <w:lock w:val="sdtLocked"/>
                <w:richText/>
              </w:sdtPr>
              <w:sdtContent>
                <w:p>
                  <w:pPr>
                    <w:suppressAutoHyphens/>
                    <w:ind w:firstLine="567"/>
                    <w:jc w:val="both"/>
                    <w:textAlignment w:val="center"/>
                    <w:rPr>
                      <w:szCs w:val="24"/>
                    </w:rPr>
                  </w:pPr>
                  <w:sdt>
                    <w:sdtPr>
                      <w:alias w:val="Numeris"/>
                      <w:tag w:val="nr_af465436f7fb4f818e7afe978dd7cea4"/>
                      <w:lock w:val="sdtLocked"/>
                      <w:richText/>
                    </w:sdtPr>
                    <w:sdtContent>
                      <w:r>
                        <w:rPr>
                          <w:szCs w:val="24"/>
                        </w:rPr>
                        <w:t>70</w:t>
                      </w:r>
                    </w:sdtContent>
                  </w:sdt>
                  <w:r>
                    <w:rPr>
                      <w:szCs w:val="24"/>
                    </w:rPr>
                    <w:t xml:space="preserve">. Sertifikatas pastato daliai gali būti išduotas viso pastato sertifikato pagrindu Statybos įstatymo [3.1] 51 straipsnio 3 dalyje numatytais atvejais. </w:t>
                  </w:r>
                </w:p>
              </w:sdtContent>
            </w:sdt>
            <w:sdt>
              <w:sdtPr>
                <w:alias w:val="71 p."/>
                <w:tag w:val="part_85927213ae18433fb94e366e851f60f2"/>
                <w:lock w:val="sdtLocked"/>
                <w:richText/>
              </w:sdtPr>
              <w:sdtContent>
                <w:p>
                  <w:pPr>
                    <w:suppressAutoHyphens/>
                    <w:ind w:firstLine="567"/>
                    <w:jc w:val="both"/>
                    <w:textAlignment w:val="center"/>
                    <w:rPr>
                      <w:szCs w:val="24"/>
                    </w:rPr>
                  </w:pPr>
                  <w:sdt>
                    <w:sdtPr>
                      <w:alias w:val="Numeris"/>
                      <w:tag w:val="nr_85927213ae18433fb94e366e851f60f2"/>
                      <w:lock w:val="sdtLocked"/>
                      <w:richText/>
                    </w:sdtPr>
                    <w:sdtContent>
                      <w:r>
                        <w:rPr>
                          <w:szCs w:val="24"/>
                        </w:rPr>
                        <w:t>71</w:t>
                      </w:r>
                    </w:sdtContent>
                  </w:sdt>
                  <w:r>
                    <w:rPr>
                      <w:szCs w:val="24"/>
                    </w:rPr>
                    <w:t>. Kartu su sertifikatu pastato (jo dalies) sertifikavimo užsakovui turi būti pateiktos pastato (jo dalies) energinio naudingumo gerinimo rekomendacijos pagal Reglamento 11 priedo reikalavimus.</w:t>
                  </w:r>
                </w:p>
              </w:sdtContent>
            </w:sdt>
            <w:sdt>
              <w:sdtPr>
                <w:alias w:val="72 p."/>
                <w:tag w:val="part_763e28ed334945b0a897bbd96795a8d1"/>
                <w:lock w:val="sdtLocked"/>
                <w:richText/>
              </w:sdtPr>
              <w:sdtContent>
                <w:p>
                  <w:pPr>
                    <w:suppressAutoHyphens/>
                    <w:ind w:firstLine="567"/>
                    <w:jc w:val="both"/>
                    <w:textAlignment w:val="center"/>
                    <w:rPr>
                      <w:szCs w:val="24"/>
                    </w:rPr>
                  </w:pPr>
                  <w:sdt>
                    <w:sdtPr>
                      <w:alias w:val="Numeris"/>
                      <w:tag w:val="nr_763e28ed334945b0a897bbd96795a8d1"/>
                      <w:lock w:val="sdtLocked"/>
                      <w:richText/>
                    </w:sdtPr>
                    <w:sdtContent>
                      <w:r>
                        <w:rPr>
                          <w:color w:val="000000"/>
                          <w:lang w:eastAsia="lt-LT"/>
                        </w:rPr>
                        <w:t>72</w:t>
                      </w:r>
                    </w:sdtContent>
                  </w:sdt>
                  <w:r>
                    <w:rPr>
                      <w:color w:val="000000"/>
                      <w:lang w:eastAsia="lt-LT"/>
                    </w:rPr>
                    <w:t>. Taikant Statybos įstatymo [3.1] 51 straipsnio 3 dalies 3 punkto nuostatas, sertifikavimo užsakovui pateikus prašymą daugiabučio pastato buto energinio naudingumo sertifikatą išduoti remiantis tipiniu energinio naudingumo sertifikatu, priskiriant žemiausią energinio naudingumo klasę, išduodamas sertifikatas turi atitikti Reglamento 12 priede nustatytą tipinio energinio naudingumo sertifikato formą ir vykdant daugiabučio pastato buto energinio naudingumo sertifikavimą: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22250038c11efbcbfb318996800a8">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2024-04-26,
paskelbta TAR 2024-04-26, i. k. 2024-07664            </w:t>
                  </w:r>
                </w:p>
                <w:sdt>
                  <w:sdtPr>
                    <w:alias w:val="72.1 pp."/>
                    <w:tag w:val="part_2763b1aea3aa4fadb3e15e264e6930c6"/>
                    <w:lock w:val="sdtLocked"/>
                    <w:richText/>
                  </w:sdtPr>
                  <w:sdtContent>
                    <w:p>
                      <w:pPr>
                        <w:suppressAutoHyphens/>
                        <w:ind w:firstLine="567"/>
                        <w:jc w:val="both"/>
                        <w:textAlignment w:val="center"/>
                        <w:rPr>
                          <w:szCs w:val="24"/>
                        </w:rPr>
                      </w:pPr>
                      <w:sdt>
                        <w:sdtPr>
                          <w:alias w:val="Numeris"/>
                          <w:tag w:val="nr_2763b1aea3aa4fadb3e15e264e6930c6"/>
                          <w:lock w:val="sdtLocked"/>
                          <w:richText/>
                        </w:sdtPr>
                        <w:sdtContent>
                          <w:r>
                            <w:rPr>
                              <w:szCs w:val="24"/>
                            </w:rPr>
                            <w:t>72.1</w:t>
                          </w:r>
                        </w:sdtContent>
                      </w:sdt>
                      <w:r>
                        <w:rPr>
                          <w:szCs w:val="24"/>
                        </w:rPr>
                        <w:t>. neatliekamas pastato (jo dalies) energinio naudingumo įvertinimas pagal Reglamento 2 priede pateiktą mėnesinį skaičiavimo metodą;</w:t>
                      </w:r>
                    </w:p>
                  </w:sdtContent>
                </w:sdt>
                <w:sdt>
                  <w:sdtPr>
                    <w:alias w:val="72.2 pp."/>
                    <w:tag w:val="part_9b35aa81cb684d3686ddc0bdb6c97248"/>
                    <w:lock w:val="sdtLocked"/>
                    <w:richText/>
                  </w:sdtPr>
                  <w:sdtContent>
                    <w:p>
                      <w:pPr>
                        <w:suppressAutoHyphens/>
                        <w:ind w:firstLine="567"/>
                        <w:jc w:val="both"/>
                        <w:textAlignment w:val="center"/>
                      </w:pPr>
                      <w:sdt>
                        <w:sdtPr>
                          <w:alias w:val="Numeris"/>
                          <w:tag w:val="nr_9b35aa81cb684d3686ddc0bdb6c97248"/>
                          <w:lock w:val="sdtLocked"/>
                          <w:richText/>
                        </w:sdtPr>
                        <w:sdtContent>
                          <w:r>
                            <w:rPr>
                              <w:szCs w:val="24"/>
                            </w:rPr>
                            <w:t>72.2</w:t>
                          </w:r>
                        </w:sdtContent>
                      </w:sdt>
                      <w:r>
                        <w:rPr>
                          <w:szCs w:val="24"/>
                        </w:rPr>
                        <w:t>. nenustatomi 65 punkte išvardinti pastato (jo dalies) energijos sąnaudų skaičiavimams reikalingi išeities duomenys, neskaičiuojami ir nevertinami 69 punkte paminėti pastato energijos sąnaudų skaičiavimo duomenys;</w:t>
                      </w:r>
                    </w:p>
                  </w:sdtContent>
                </w:sdt>
                <w:sdt>
                  <w:sdtPr>
                    <w:alias w:val="72.3 pp."/>
                    <w:tag w:val="part_5a99026df3f441ca80be25a87e95690f"/>
                    <w:lock w:val="sdtLocked"/>
                    <w:richText/>
                  </w:sdtPr>
                  <w:sdtContent>
                    <w:p>
                      <w:pPr>
                        <w:ind w:firstLine="567"/>
                        <w:jc w:val="both"/>
                        <w:rPr>
                          <w:szCs w:val="24"/>
                        </w:rPr>
                      </w:pPr>
                      <w:sdt>
                        <w:sdtPr>
                          <w:alias w:val="Numeris"/>
                          <w:tag w:val="nr_5a99026df3f441ca80be25a87e95690f"/>
                          <w:lock w:val="sdtLocked"/>
                          <w:richText/>
                        </w:sdtPr>
                        <w:sdtContent>
                          <w:r>
                            <w:t>72.3</w:t>
                          </w:r>
                        </w:sdtContent>
                      </w:sdt>
                      <w:r>
                        <w:t xml:space="preserve">. jeigu daugiabutis pastatas turi galiojantį pastato energinio naudingumo sertifikatą, tipinis energinio naudingumo sertifikatas neregistruojamas.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73 p."/>
                <w:tag w:val="part_22501d300367405f9ed68f046d878196"/>
                <w:lock w:val="sdtLocked"/>
                <w:richText/>
              </w:sdtPr>
              <w:sdtContent>
                <w:p>
                  <w:pPr>
                    <w:suppressAutoHyphens/>
                    <w:ind w:firstLine="567"/>
                    <w:jc w:val="both"/>
                    <w:textAlignment w:val="center"/>
                    <w:rPr>
                      <w:b/>
                      <w:szCs w:val="24"/>
                    </w:rPr>
                  </w:pPr>
                  <w:sdt>
                    <w:sdtPr>
                      <w:alias w:val="Numeris"/>
                      <w:tag w:val="nr_22501d300367405f9ed68f046d878196"/>
                      <w:lock w:val="sdtLocked"/>
                      <w:richText/>
                    </w:sdtPr>
                    <w:sdtContent>
                      <w:r>
                        <w:rPr>
                          <w:szCs w:val="24"/>
                        </w:rPr>
                        <w:t>73</w:t>
                      </w:r>
                    </w:sdtContent>
                  </w:sdt>
                  <w:r>
                    <w:rPr>
                      <w:szCs w:val="24"/>
                    </w:rPr>
                    <w:t>. Sertifikato galiojimo trukmė turi atitikti Statybos įstatymo [3.1] 51 straipsnio 5 dalies reikalavimus.</w:t>
                  </w:r>
                  <w:r>
                    <w:rPr>
                      <w:b/>
                      <w:szCs w:val="24"/>
                    </w:rPr>
                    <w:t xml:space="preserve"> </w:t>
                  </w:r>
                </w:p>
              </w:sdtContent>
            </w:sdt>
          </w:sdtContent>
        </w:sdt>
        <w:sdt>
          <w:sdtPr>
            <w:alias w:val="skyrius"/>
            <w:tag w:val="part_7c5432f4580d4e21bac3b9a2b91b3ec8"/>
            <w:lock w:val="sdtLocked"/>
            <w:richText/>
          </w:sdtPr>
          <w:sdtContent>
            <w:p>
              <w:pPr>
                <w:keepNext/>
                <w:jc w:val="center"/>
                <w:rPr>
                  <w:b/>
                  <w:bCs/>
                  <w:iCs/>
                  <w:caps/>
                  <w:spacing w:val="-4"/>
                  <w:szCs w:val="24"/>
                  <w:lang w:eastAsia="lt-LT"/>
                </w:rPr>
              </w:pPr>
              <w:r>
                <w:rPr>
                  <w:b/>
                  <w:bCs/>
                  <w:iCs/>
                  <w:caps/>
                  <w:spacing w:val="-4"/>
                  <w:szCs w:val="24"/>
                  <w:lang w:eastAsia="lt-LT"/>
                </w:rPr>
                <w:t>XVII. skyrius</w:t>
              </w:r>
            </w:p>
            <w:p>
              <w:pPr>
                <w:keepNext/>
                <w:jc w:val="center"/>
                <w:rPr>
                  <w:b/>
                  <w:bCs/>
                  <w:iCs/>
                  <w:caps/>
                  <w:spacing w:val="-4"/>
                  <w:szCs w:val="24"/>
                  <w:lang w:eastAsia="lt-LT"/>
                </w:rPr>
              </w:pPr>
              <w:sdt>
                <w:sdtPr>
                  <w:alias w:val="Pavadinimas"/>
                  <w:tag w:val="title_7c5432f4580d4e21bac3b9a2b91b3ec8"/>
                  <w:lock w:val="sdtLocked"/>
                  <w:richText/>
                </w:sdtPr>
                <w:sdtContent>
                  <w:r>
                    <w:rPr>
                      <w:b/>
                      <w:bCs/>
                      <w:iCs/>
                      <w:caps/>
                      <w:spacing w:val="-4"/>
                      <w:szCs w:val="24"/>
                      <w:lang w:eastAsia="lt-LT"/>
                    </w:rPr>
                    <w:t>Baigiamosios nuostatos</w:t>
                  </w:r>
                </w:sdtContent>
              </w:sdt>
            </w:p>
            <w:sdt>
              <w:sdtPr>
                <w:alias w:val="74 p."/>
                <w:tag w:val="part_e8bd403c8b0b4b94b4531f8dff903f44"/>
                <w:lock w:val="sdtLocked"/>
                <w:richText/>
              </w:sdtPr>
              <w:sdtContent>
                <w:p>
                  <w:pPr>
                    <w:ind w:firstLine="567"/>
                    <w:jc w:val="both"/>
                    <w:rPr>
                      <w:szCs w:val="24"/>
                    </w:rPr>
                  </w:pPr>
                  <w:sdt>
                    <w:sdtPr>
                      <w:alias w:val="Numeris"/>
                      <w:tag w:val="nr_e8bd403c8b0b4b94b4531f8dff903f44"/>
                      <w:lock w:val="sdtLocked"/>
                      <w:richText/>
                    </w:sdtPr>
                    <w:sdtContent>
                      <w:r>
                        <w:rPr>
                          <w:color w:val="000000"/>
                          <w:lang w:eastAsia="lt-LT"/>
                        </w:rPr>
                        <w:t>74</w:t>
                      </w:r>
                    </w:sdtContent>
                  </w:sdt>
                  <w:r>
                    <w:rPr>
                      <w:color w:val="000000"/>
                      <w:lang w:eastAsia="lt-LT"/>
                    </w:rPr>
                    <w:t>. Statybos įstatymo [3.1] 51 straipsnio 3 dalyje numatytais atvejais skelbimuose apie parduodamus ar išnuomojamus pastatus ir (ar) jų dalis turi būti nurodoma sertifikate nurodyta pastato (jo dalies) energinio naudingumo klasė, kuriai priskirtas pastatas ar jo dalis, arba pateikiama nuoroda į interneto svetainėje www.ssva.lt skelbiamą išduotų energinio naudingumo sertifikatų sąrašą, kuriame pateikta informacija apie pastato (jo dalies) sertifikavimą ir priskirtą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22250038c11efbcbfb318996800a8">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2024-04-26,
paskelbta TAR 2024-04-26, i. k. 2024-07664            </w:t>
                  </w:r>
                </w:p>
                <w:p/>
              </w:sdtContent>
            </w:sdt>
            <w:sdt>
              <w:sdtPr>
                <w:alias w:val="75 p."/>
                <w:tag w:val="part_1900ec3db3874db6b74f1ab7a9404902"/>
                <w:lock w:val="sdtLocked"/>
                <w:richText/>
              </w:sdtPr>
              <w:sdtContent>
                <w:p>
                  <w:pPr>
                    <w:tabs>
                      <w:tab w:val="left" w:pos="567"/>
                      <w:tab w:val="left" w:pos="993"/>
                    </w:tabs>
                    <w:suppressAutoHyphens/>
                    <w:ind w:firstLine="567"/>
                    <w:jc w:val="both"/>
                    <w:rPr>
                      <w:szCs w:val="24"/>
                    </w:rPr>
                  </w:pPr>
                  <w:sdt>
                    <w:sdtPr>
                      <w:alias w:val="Numeris"/>
                      <w:tag w:val="nr_1900ec3db3874db6b74f1ab7a9404902"/>
                      <w:lock w:val="sdtLocked"/>
                      <w:richText/>
                    </w:sdtPr>
                    <w:sdtContent>
                      <w:r>
                        <w:rPr>
                          <w:color w:val="000000"/>
                          <w:lang w:eastAsia="lt-LT"/>
                        </w:rPr>
                        <w:t>75</w:t>
                      </w:r>
                    </w:sdtContent>
                  </w:sdt>
                  <w:r>
                    <w:rPr>
                      <w:color w:val="000000"/>
                      <w:lang w:eastAsia="lt-LT"/>
                    </w:rPr>
                    <w:t xml:space="preserve">. Pastatų energinio naudingumo sertifikavimui naudojama Aplinkos ministerijos aprobuota kompiuterinė programa ar kita </w:t>
                  </w:r>
                  <w:r>
                    <w:rPr>
                      <w:lang w:eastAsia="lt-LT"/>
                    </w:rPr>
                    <w:t xml:space="preserve">viešosios įstaigos Statybos sektoriaus vystymo agentūros </w:t>
                  </w:r>
                  <w:r>
                    <w:rPr>
                      <w:color w:val="000000"/>
                      <w:lang w:eastAsia="lt-LT"/>
                    </w:rPr>
                    <w:t>vadovo nustatyta tvarka patvirtinta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76 p."/>
                <w:tag w:val="part_617b15c7e478472ea87d157867bcb075"/>
                <w:lock w:val="sdtLocked"/>
                <w:richText/>
              </w:sdtPr>
              <w:sdtContent>
                <w:p>
                  <w:pPr>
                    <w:suppressAutoHyphens/>
                    <w:ind w:firstLine="567"/>
                    <w:jc w:val="both"/>
                    <w:textAlignment w:val="center"/>
                    <w:rPr>
                      <w:szCs w:val="24"/>
                    </w:rPr>
                  </w:pPr>
                  <w:sdt>
                    <w:sdtPr>
                      <w:alias w:val="Numeris"/>
                      <w:tag w:val="nr_617b15c7e478472ea87d157867bcb075"/>
                      <w:lock w:val="sdtLocked"/>
                      <w:richText/>
                    </w:sdtPr>
                    <w:sdtContent>
                      <w:r>
                        <w:rPr>
                          <w:szCs w:val="24"/>
                        </w:rPr>
                        <w:t>76</w:t>
                      </w:r>
                    </w:sdtContent>
                  </w:sdt>
                  <w:r>
                    <w:rPr>
                      <w:szCs w:val="24"/>
                    </w:rPr>
                    <w:t>. Asmenys, pažeidę Reglamento reikalavimus, atsako Lietuvos Respublikos įstatymų ir kitų teisės aktų nustatyta tvarka.</w:t>
                  </w:r>
                </w:p>
              </w:sdtContent>
            </w:sdt>
          </w:sdtContent>
        </w:sdt>
        <w:sdt>
          <w:sdtPr>
            <w:alias w:val="pabaiga"/>
            <w:tag w:val="part_2ca4ff8bd17445ee9fe246b6f3a7c5cd"/>
            <w:lock w:val="sdtLocked"/>
            <w:richText/>
          </w:sdtPr>
          <w:sdtContent>
            <w:p>
              <w:pPr>
                <w:suppressAutoHyphens/>
                <w:spacing w:line="280" w:lineRule="auto"/>
                <w:jc w:val="center"/>
                <w:textAlignment w:val="center"/>
                <w:rPr>
                  <w:szCs w:val="22"/>
                </w:rPr>
              </w:pPr>
              <w:r>
                <w:rPr>
                  <w:szCs w:val="22"/>
                </w:rPr>
                <w:t>__________________</w:t>
              </w:r>
            </w:p>
          </w:sdtContent>
        </w:sdt>
      </w:sdtContent>
    </w:sdt>
    <w:sdt>
      <w:sdtPr>
        <w:alias w:val="1 pr."/>
        <w:tag w:val="part_6eef8715321d4101b88a734836db38e3"/>
        <w:lock w:val="sdtLocked"/>
        <w:richText/>
      </w:sdtPr>
      <w:sdtContent>
        <w:p>
          <w:pPr>
            <w:ind w:left="4536"/>
            <w:sectPr>
              <w:pgSz w:w="11907" w:h="16840"/>
              <w:pgMar w:top="1134" w:right="708" w:bottom="1134" w:left="1701" w:header="567" w:footer="567" w:gutter="0"/>
              <w:pgNumType w:start="1"/>
              <w:cols w:space="1296"/>
              <w:titlePg/>
              <w:docGrid w:linePitch="326"/>
            </w:sectPr>
          </w:pPr>
        </w:p>
        <w:p>
          <w:pPr>
            <w:ind w:left="4536"/>
            <w:rPr>
              <w:color w:val="000000" w:themeColor="text1"/>
            </w:rPr>
          </w:pPr>
          <w:r>
            <w:rPr>
              <w:color w:val="000000" w:themeColor="text1"/>
            </w:rPr>
            <w:t xml:space="preserve">Statybos techninio reglamento </w:t>
          </w:r>
        </w:p>
        <w:p>
          <w:pPr>
            <w:ind w:left="4536"/>
            <w:rPr>
              <w:color w:val="000000" w:themeColor="text1"/>
            </w:rPr>
          </w:pPr>
          <w:r>
            <w:rPr>
              <w:color w:val="000000" w:themeColor="text1"/>
            </w:rPr>
            <w:t>STR 2.01.02:2016 „Pastatų energinio naudingumo projektavimas ir sertifikavimas“</w:t>
          </w:r>
        </w:p>
        <w:p>
          <w:pPr>
            <w:ind w:left="4536"/>
            <w:rPr>
              <w:color w:val="000000" w:themeColor="text1"/>
            </w:rPr>
          </w:pPr>
          <w:sdt>
            <w:sdtPr>
              <w:alias w:val="Numeris"/>
              <w:tag w:val="nr_6eef8715321d4101b88a734836db38e3"/>
              <w:lock w:val="sdtLocked"/>
              <w:richText/>
            </w:sdtPr>
            <w:sdtContent>
              <w:r>
                <w:rPr>
                  <w:color w:val="000000" w:themeColor="text1"/>
                </w:rPr>
                <w:t>1</w:t>
              </w:r>
            </w:sdtContent>
          </w:sdt>
          <w:r>
            <w:rPr>
              <w:color w:val="000000" w:themeColor="text1"/>
            </w:rPr>
            <w:t xml:space="preserve"> priedas </w:t>
          </w:r>
        </w:p>
        <w:p>
          <w:pPr>
            <w:tabs>
              <w:tab w:val="center" w:pos="4320"/>
              <w:tab w:val="right" w:pos="8640"/>
            </w:tabs>
            <w:ind w:left="4678"/>
            <w:jc w:val="both"/>
            <w:rPr>
              <w:color w:val="000000" w:themeColor="text1"/>
              <w:szCs w:val="24"/>
              <w:lang w:eastAsia="lt-LT"/>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6eef8715321d4101b88a734836db38e3"/>
              <w:lock w:val="sdtLocked"/>
              <w:richText/>
            </w:sdtPr>
            <w:sdtContent>
              <w:r>
                <w:rPr>
                  <w:rFonts w:ascii="Times New Roman Bold" w:hAnsi="Times New Roman Bold"/>
                  <w:b/>
                  <w:caps/>
                  <w:color w:val="000000" w:themeColor="text1"/>
                  <w:lang w:eastAsia="lt-LT"/>
                </w:rPr>
                <w:t xml:space="preserve">Pastato būklės duomenys </w:t>
              </w:r>
            </w:sdtContent>
          </w:sdt>
        </w:p>
        <w:p>
          <w:pPr>
            <w:rPr>
              <w:color w:val="000000" w:themeColor="text1"/>
              <w:sz w:val="10"/>
              <w:szCs w:val="10"/>
            </w:rPr>
          </w:pPr>
        </w:p>
        <w:p>
          <w:pPr>
            <w:jc w:val="center"/>
            <w:rPr>
              <w:b/>
              <w:caps/>
              <w:color w:val="000000" w:themeColor="text1"/>
            </w:rPr>
          </w:pPr>
        </w:p>
        <w:p>
          <w:pPr>
            <w:ind w:firstLine="709"/>
            <w:jc w:val="both"/>
            <w:rPr>
              <w:color w:val="000000" w:themeColor="text1"/>
            </w:rPr>
          </w:pPr>
          <w:r>
            <w:rPr>
              <w:color w:val="000000" w:themeColor="text1"/>
            </w:rPr>
            <w:t>Sertifikavimui atlikti turi būti surinkti duomenys apie pastato būklę (žr. Reglamento 65 punkto reikalavimus).</w:t>
          </w:r>
        </w:p>
        <w:sdt>
          <w:sdtPr>
            <w:alias w:val="1 pr. 1 p."/>
            <w:tag w:val="part_562fc12b07644d48ba4eb90c6e4a2a82"/>
            <w:lock w:val="sdtLocked"/>
            <w:richText/>
          </w:sdtPr>
          <w:sdtContent>
            <w:p>
              <w:pPr>
                <w:ind w:firstLine="709"/>
                <w:jc w:val="both"/>
                <w:rPr>
                  <w:color w:val="000000" w:themeColor="text1"/>
                </w:rPr>
              </w:pPr>
              <w:sdt>
                <w:sdtPr>
                  <w:alias w:val="Numeris"/>
                  <w:tag w:val="nr_562fc12b07644d48ba4eb90c6e4a2a82"/>
                  <w:lock w:val="sdtLocked"/>
                  <w:richText/>
                </w:sdtPr>
                <w:sdtContent>
                  <w:r>
                    <w:rPr>
                      <w:color w:val="000000" w:themeColor="text1"/>
                    </w:rPr>
                    <w:t>1</w:t>
                  </w:r>
                </w:sdtContent>
              </w:sdt>
              <w:r>
                <w:rPr>
                  <w:color w:val="000000" w:themeColor="text1"/>
                </w:rPr>
                <w:t>. Pastato naudojimo paskirtis pagal vieną iš Reglamento 2 priedo 2.4 lentelėje nurodytų paskirčių.</w:t>
              </w:r>
            </w:p>
          </w:sdtContent>
        </w:sdt>
        <w:sdt>
          <w:sdtPr>
            <w:alias w:val="1 pr. 2 p."/>
            <w:tag w:val="part_e753d5a4590d4a42ac596380542cdbf7"/>
            <w:lock w:val="sdtLocked"/>
            <w:richText/>
          </w:sdtPr>
          <w:sdtContent>
            <w:p>
              <w:pPr>
                <w:ind w:firstLine="709"/>
                <w:jc w:val="both"/>
                <w:rPr>
                  <w:color w:val="000000" w:themeColor="text1"/>
                </w:rPr>
              </w:pPr>
              <w:sdt>
                <w:sdtPr>
                  <w:alias w:val="Numeris"/>
                  <w:tag w:val="nr_e753d5a4590d4a42ac596380542cdbf7"/>
                  <w:lock w:val="sdtLocked"/>
                  <w:richText/>
                </w:sdtPr>
                <w:sdtContent>
                  <w:r>
                    <w:rPr>
                      <w:color w:val="000000" w:themeColor="text1"/>
                    </w:rPr>
                    <w:t>2</w:t>
                  </w:r>
                </w:sdtContent>
              </w:sdt>
              <w:r>
                <w:rPr>
                  <w:color w:val="000000" w:themeColor="text1"/>
                </w:rPr>
                <w:t>. Pastato šildomas plotas 0,1 m</w:t>
              </w:r>
              <w:r>
                <w:rPr>
                  <w:color w:val="000000" w:themeColor="text1"/>
                  <w:vertAlign w:val="superscript"/>
                </w:rPr>
                <w:t>2</w:t>
              </w:r>
              <w:r>
                <w:rPr>
                  <w:color w:val="000000" w:themeColor="text1"/>
                </w:rPr>
                <w:t xml:space="preserve"> tikslumu.</w:t>
              </w:r>
            </w:p>
          </w:sdtContent>
        </w:sdt>
        <w:sdt>
          <w:sdtPr>
            <w:alias w:val="1 pr. 3 p."/>
            <w:tag w:val="part_8f3b0b3e8a0a49649e2b61153d8c9cf4"/>
            <w:lock w:val="sdtLocked"/>
            <w:richText/>
          </w:sdtPr>
          <w:sdtContent>
            <w:p>
              <w:pPr>
                <w:ind w:firstLine="709"/>
                <w:jc w:val="both"/>
                <w:rPr>
                  <w:color w:val="000000" w:themeColor="text1"/>
                </w:rPr>
              </w:pPr>
              <w:sdt>
                <w:sdtPr>
                  <w:alias w:val="Numeris"/>
                  <w:tag w:val="nr_8f3b0b3e8a0a49649e2b61153d8c9cf4"/>
                  <w:lock w:val="sdtLocked"/>
                  <w:richText/>
                </w:sdtPr>
                <w:sdtContent>
                  <w:r>
                    <w:rPr>
                      <w:color w:val="000000" w:themeColor="text1"/>
                    </w:rPr>
                    <w:t>3</w:t>
                  </w:r>
                </w:sdtContent>
              </w:sdt>
              <w:r>
                <w:rPr>
                  <w:color w:val="000000" w:themeColor="text1"/>
                </w:rPr>
                <w:t>. Pastato šildomų patalpų tūris 1 m³ tikslumu.</w:t>
              </w:r>
            </w:p>
          </w:sdtContent>
        </w:sdt>
        <w:sdt>
          <w:sdtPr>
            <w:alias w:val="1 pr. 4 p."/>
            <w:tag w:val="part_04136cfcc45b4cb79f2260c914ba5147"/>
            <w:lock w:val="sdtLocked"/>
            <w:richText/>
          </w:sdtPr>
          <w:sdtContent>
            <w:p>
              <w:pPr>
                <w:ind w:firstLine="709"/>
                <w:jc w:val="both"/>
                <w:rPr>
                  <w:color w:val="000000" w:themeColor="text1"/>
                </w:rPr>
              </w:pPr>
              <w:sdt>
                <w:sdtPr>
                  <w:alias w:val="Numeris"/>
                  <w:tag w:val="nr_04136cfcc45b4cb79f2260c914ba5147"/>
                  <w:lock w:val="sdtLocked"/>
                  <w:richText/>
                </w:sdtPr>
                <w:sdtContent>
                  <w:r>
                    <w:rPr>
                      <w:color w:val="000000" w:themeColor="text1"/>
                    </w:rPr>
                    <w:t>4</w:t>
                  </w:r>
                </w:sdtContent>
              </w:sdt>
              <w:r>
                <w:rPr>
                  <w:color w:val="000000" w:themeColor="text1"/>
                </w:rPr>
                <w:t>. Pastato aukštis 0,1 m tikslumu.</w:t>
              </w:r>
            </w:p>
          </w:sdtContent>
        </w:sdt>
        <w:sdt>
          <w:sdtPr>
            <w:alias w:val="1 pr. 5 p."/>
            <w:tag w:val="part_192f45dcce0f4bebbd8368689ea08b98"/>
            <w:lock w:val="sdtLocked"/>
            <w:richText/>
          </w:sdtPr>
          <w:sdtContent>
            <w:p>
              <w:pPr>
                <w:ind w:firstLine="709"/>
                <w:jc w:val="both"/>
                <w:rPr>
                  <w:color w:val="000000" w:themeColor="text1"/>
                </w:rPr>
              </w:pPr>
              <w:sdt>
                <w:sdtPr>
                  <w:alias w:val="Numeris"/>
                  <w:tag w:val="nr_192f45dcce0f4bebbd8368689ea08b98"/>
                  <w:lock w:val="sdtLocked"/>
                  <w:richText/>
                </w:sdtPr>
                <w:sdtContent>
                  <w:r>
                    <w:rPr>
                      <w:color w:val="000000" w:themeColor="text1"/>
                    </w:rPr>
                    <w:t>5</w:t>
                  </w:r>
                </w:sdtContent>
              </w:sdt>
              <w:r>
                <w:rPr>
                  <w:color w:val="000000" w:themeColor="text1"/>
                </w:rPr>
                <w:t>. Pastato vidaus šiluminė talpa pagal Reglamento 2 priedo 2.37 lentelėje išvardintus duomenis.</w:t>
              </w:r>
            </w:p>
          </w:sdtContent>
        </w:sdt>
        <w:sdt>
          <w:sdtPr>
            <w:alias w:val="1 pr. 6 p."/>
            <w:tag w:val="part_a8171700c3124e518f73606ffabc307e"/>
            <w:lock w:val="sdtLocked"/>
            <w:richText/>
          </w:sdtPr>
          <w:sdtContent>
            <w:p>
              <w:pPr>
                <w:ind w:firstLine="709"/>
                <w:jc w:val="both"/>
                <w:rPr>
                  <w:color w:val="000000" w:themeColor="text1"/>
                </w:rPr>
              </w:pPr>
              <w:sdt>
                <w:sdtPr>
                  <w:alias w:val="Numeris"/>
                  <w:tag w:val="nr_a8171700c3124e518f73606ffabc307e"/>
                  <w:lock w:val="sdtLocked"/>
                  <w:richText/>
                </w:sdtPr>
                <w:sdtContent>
                  <w:r>
                    <w:rPr>
                      <w:color w:val="000000" w:themeColor="text1"/>
                    </w:rPr>
                    <w:t>6</w:t>
                  </w:r>
                </w:sdtContent>
              </w:sdt>
              <w:r>
                <w:rPr>
                  <w:color w:val="000000" w:themeColor="text1"/>
                </w:rPr>
                <w:t>. Apie pastato atitvaras surenkami duomenys:</w:t>
              </w:r>
            </w:p>
            <w:sdt>
              <w:sdtPr>
                <w:alias w:val="1 pr. 6.1 pp."/>
                <w:tag w:val="part_37e70340dd7c4766819b50d44e4e2a8f"/>
                <w:lock w:val="sdtLocked"/>
                <w:richText/>
              </w:sdtPr>
              <w:sdtContent>
                <w:p>
                  <w:pPr>
                    <w:ind w:firstLine="709"/>
                    <w:jc w:val="both"/>
                    <w:rPr>
                      <w:color w:val="000000" w:themeColor="text1"/>
                    </w:rPr>
                  </w:pPr>
                  <w:sdt>
                    <w:sdtPr>
                      <w:alias w:val="Numeris"/>
                      <w:tag w:val="nr_37e70340dd7c4766819b50d44e4e2a8f"/>
                      <w:lock w:val="sdtLocked"/>
                      <w:richText/>
                    </w:sdtPr>
                    <w:sdtContent>
                      <w:r>
                        <w:rPr>
                          <w:color w:val="000000" w:themeColor="text1"/>
                        </w:rPr>
                        <w:t>6.1</w:t>
                      </w:r>
                    </w:sdtContent>
                  </w:sdt>
                  <w:r>
                    <w:rPr>
                      <w:color w:val="000000" w:themeColor="text1"/>
                    </w:rPr>
                    <w:t>. Duomenys apie sienas Š, ŠR, R, PR, P, PV, V, ŠV orientacijos fasadų dalyse:</w:t>
                  </w:r>
                </w:p>
                <w:sdt>
                  <w:sdtPr>
                    <w:alias w:val="1 pr. 6.1.1 pp."/>
                    <w:tag w:val="part_1bf5ed8e28204c069c524ad37640f416"/>
                    <w:lock w:val="sdtLocked"/>
                    <w:richText/>
                  </w:sdtPr>
                  <w:sdtContent>
                    <w:p>
                      <w:pPr>
                        <w:ind w:firstLine="709"/>
                        <w:jc w:val="both"/>
                        <w:rPr>
                          <w:color w:val="000000" w:themeColor="text1"/>
                        </w:rPr>
                      </w:pPr>
                      <w:sdt>
                        <w:sdtPr>
                          <w:alias w:val="Numeris"/>
                          <w:tag w:val="nr_1bf5ed8e28204c069c524ad37640f416"/>
                          <w:lock w:val="sdtLocked"/>
                          <w:richText/>
                        </w:sdtPr>
                        <w:sdtContent>
                          <w:r>
                            <w:rPr>
                              <w:color w:val="000000" w:themeColor="text1"/>
                            </w:rPr>
                            <w:t>6.1.1</w:t>
                          </w:r>
                        </w:sdtContent>
                      </w:sdt>
                      <w:r>
                        <w:rPr>
                          <w:color w:val="000000" w:themeColor="text1"/>
                        </w:rPr>
                        <w:t>. sienų atskirų dalių plotai be angų langams ir durims 0,01 m</w:t>
                      </w:r>
                      <w:r>
                        <w:rPr>
                          <w:color w:val="000000" w:themeColor="text1"/>
                          <w:vertAlign w:val="superscript"/>
                        </w:rPr>
                        <w:t>2</w:t>
                      </w:r>
                      <w:r>
                        <w:rPr>
                          <w:color w:val="000000" w:themeColor="text1"/>
                        </w:rPr>
                        <w:t> tikslumu;</w:t>
                      </w:r>
                    </w:p>
                  </w:sdtContent>
                </w:sdt>
                <w:sdt>
                  <w:sdtPr>
                    <w:alias w:val="1 pr. 6.1.2 pp."/>
                    <w:tag w:val="part_dfff31f6664143288e6180bf8ad0063f"/>
                    <w:lock w:val="sdtLocked"/>
                    <w:richText/>
                  </w:sdtPr>
                  <w:sdtContent>
                    <w:p>
                      <w:pPr>
                        <w:ind w:firstLine="709"/>
                        <w:jc w:val="both"/>
                        <w:rPr>
                          <w:color w:val="000000" w:themeColor="text1"/>
                        </w:rPr>
                      </w:pPr>
                      <w:sdt>
                        <w:sdtPr>
                          <w:alias w:val="Numeris"/>
                          <w:tag w:val="nr_dfff31f6664143288e6180bf8ad0063f"/>
                          <w:lock w:val="sdtLocked"/>
                          <w:richText/>
                        </w:sdtPr>
                        <w:sdtContent>
                          <w:r>
                            <w:rPr>
                              <w:color w:val="000000" w:themeColor="text1"/>
                            </w:rPr>
                            <w:t>6.1.2</w:t>
                          </w:r>
                        </w:sdtContent>
                      </w:sdt>
                      <w:r>
                        <w:rPr>
                          <w:color w:val="000000" w:themeColor="text1"/>
                        </w:rPr>
                        <w:t>. sienos atskirų dalių skaičiuojamojo šilumos perdavimo koeficiento vertė 0,01 W/(m</w:t>
                      </w:r>
                      <w:r>
                        <w:rPr>
                          <w:color w:val="000000" w:themeColor="text1"/>
                          <w:vertAlign w:val="superscript"/>
                        </w:rPr>
                        <w:t>2</w:t>
                      </w:r>
                      <w:r>
                        <w:rPr>
                          <w:color w:val="000000" w:themeColor="text1"/>
                        </w:rPr>
                        <w:t xml:space="preserve">·K) tikslumu. Jei yra sienos sluoksnius sudarančių medžiagų projektines šilumos laidumo koeficientų vertes patvirtinantys dokumentai, šie koeficientai turi būti taikomi skaičiuojant </w:t>
                      </w:r>
                      <w:r>
                        <w:rPr>
                          <w:iCs/>
                          <w:color w:val="000000" w:themeColor="text1"/>
                        </w:rPr>
                        <w:t>šilumos perdavimo koeficiento</w:t>
                      </w:r>
                      <w:r>
                        <w:rPr>
                          <w:color w:val="000000" w:themeColor="text1"/>
                        </w:rPr>
                        <w:t xml:space="preserve"> vertę pagal Reglamento 2 ir 3 priedų reikalavimus. Jei tokių dokumentų nėra, </w:t>
                      </w:r>
                      <w:r>
                        <w:rPr>
                          <w:iCs/>
                          <w:color w:val="000000" w:themeColor="text1"/>
                        </w:rPr>
                        <w:t>šilumos perdavimo koeficiento</w:t>
                      </w:r>
                      <w:r>
                        <w:rPr>
                          <w:color w:val="000000" w:themeColor="text1"/>
                        </w:rPr>
                        <w:t xml:space="preserve"> vertės skaičiavimams turi būti taikomi Reglamento 3 priede pateikti duomenys arba </w:t>
                      </w:r>
                      <w:r>
                        <w:rPr>
                          <w:iCs/>
                          <w:color w:val="000000" w:themeColor="text1"/>
                        </w:rPr>
                        <w:t>šiai</w:t>
                      </w:r>
                      <w:r>
                        <w:rPr>
                          <w:i/>
                          <w:iCs/>
                          <w:color w:val="000000" w:themeColor="text1"/>
                        </w:rPr>
                        <w:t xml:space="preserve"> </w:t>
                      </w:r>
                      <w:r>
                        <w:rPr>
                          <w:color w:val="000000" w:themeColor="text1"/>
                        </w:rPr>
                        <w:t>vertei nustatyti naudojami Reglamento 5 priede pateikti duomenys;</w:t>
                      </w:r>
                    </w:p>
                  </w:sdtContent>
                </w:sdt>
                <w:sdt>
                  <w:sdtPr>
                    <w:alias w:val="1 pr. 6.1.3 pp."/>
                    <w:tag w:val="part_0db3ae4b596b4f66a1584ef6f400c9b1"/>
                    <w:lock w:val="sdtLocked"/>
                    <w:richText/>
                  </w:sdtPr>
                  <w:sdtContent>
                    <w:p>
                      <w:pPr>
                        <w:ind w:firstLine="709"/>
                        <w:jc w:val="both"/>
                        <w:rPr>
                          <w:color w:val="000000" w:themeColor="text1"/>
                        </w:rPr>
                      </w:pPr>
                      <w:sdt>
                        <w:sdtPr>
                          <w:alias w:val="Numeris"/>
                          <w:tag w:val="nr_0db3ae4b596b4f66a1584ef6f400c9b1"/>
                          <w:lock w:val="sdtLocked"/>
                          <w:richText/>
                        </w:sdtPr>
                        <w:sdtContent>
                          <w:r>
                            <w:rPr>
                              <w:color w:val="000000" w:themeColor="text1"/>
                            </w:rPr>
                            <w:t>6.1.3</w:t>
                          </w:r>
                        </w:sdtContent>
                      </w:sdt>
                      <w:r>
                        <w:rPr>
                          <w:color w:val="000000" w:themeColor="text1"/>
                        </w:rPr>
                        <w:t xml:space="preserve">. sienų apibūdinimas pagal Reglamento 2 priedo 2.5 lentelėje išvardintus atvejus. </w:t>
                      </w:r>
                    </w:p>
                  </w:sdtContent>
                </w:sdt>
              </w:sdtContent>
            </w:sdt>
            <w:sdt>
              <w:sdtPr>
                <w:alias w:val="1 pr. 6.2 pp."/>
                <w:tag w:val="part_2d985203c62b449f98eba50b4bb28531"/>
                <w:lock w:val="sdtLocked"/>
                <w:richText/>
              </w:sdtPr>
              <w:sdtContent>
                <w:p>
                  <w:pPr>
                    <w:ind w:firstLine="709"/>
                    <w:jc w:val="both"/>
                    <w:rPr>
                      <w:color w:val="000000" w:themeColor="text1"/>
                    </w:rPr>
                  </w:pPr>
                  <w:sdt>
                    <w:sdtPr>
                      <w:alias w:val="Numeris"/>
                      <w:tag w:val="nr_2d985203c62b449f98eba50b4bb28531"/>
                      <w:lock w:val="sdtLocked"/>
                      <w:richText/>
                    </w:sdtPr>
                    <w:sdtContent>
                      <w:r>
                        <w:rPr>
                          <w:color w:val="000000" w:themeColor="text1"/>
                        </w:rPr>
                        <w:t>6.2</w:t>
                      </w:r>
                    </w:sdtContent>
                  </w:sdt>
                  <w:r>
                    <w:rPr>
                      <w:color w:val="000000" w:themeColor="text1"/>
                    </w:rPr>
                    <w:t>. Duomenys apie langus Š, ŠR, R, PR, P, PV, V, ŠV orientacijos fasadų dalyse:</w:t>
                  </w:r>
                </w:p>
                <w:sdt>
                  <w:sdtPr>
                    <w:alias w:val="1 pr. 6.2.1 pp."/>
                    <w:tag w:val="part_056a7af7531b41569b31b8dabc1b5515"/>
                    <w:lock w:val="sdtLocked"/>
                    <w:richText/>
                  </w:sdtPr>
                  <w:sdtContent>
                    <w:p>
                      <w:pPr>
                        <w:ind w:firstLine="709"/>
                        <w:jc w:val="both"/>
                        <w:rPr>
                          <w:color w:val="000000" w:themeColor="text1"/>
                        </w:rPr>
                      </w:pPr>
                      <w:sdt>
                        <w:sdtPr>
                          <w:alias w:val="Numeris"/>
                          <w:tag w:val="nr_056a7af7531b41569b31b8dabc1b5515"/>
                          <w:lock w:val="sdtLocked"/>
                          <w:richText/>
                        </w:sdtPr>
                        <w:sdtContent>
                          <w:r>
                            <w:rPr>
                              <w:color w:val="000000" w:themeColor="text1"/>
                            </w:rPr>
                            <w:t>6.2.1</w:t>
                          </w:r>
                        </w:sdtContent>
                      </w:sdt>
                      <w:r>
                        <w:rPr>
                          <w:color w:val="000000" w:themeColor="text1"/>
                        </w:rPr>
                        <w:t>. langų pagal Reglamento 4 priede 4.1 lentelėje nurodytus langų tipus plotis ir aukštis 0,01 m tikslumu, langų kiekis (vnt.);</w:t>
                      </w:r>
                    </w:p>
                  </w:sdtContent>
                </w:sdt>
                <w:sdt>
                  <w:sdtPr>
                    <w:alias w:val="1 pr. 6.2.2 pp."/>
                    <w:tag w:val="part_9dcdc1866b0744e2a03a2486df781be0"/>
                    <w:lock w:val="sdtLocked"/>
                    <w:richText/>
                  </w:sdtPr>
                  <w:sdtContent>
                    <w:p>
                      <w:pPr>
                        <w:ind w:firstLine="709"/>
                        <w:jc w:val="both"/>
                        <w:rPr>
                          <w:color w:val="000000" w:themeColor="text1"/>
                        </w:rPr>
                      </w:pPr>
                      <w:sdt>
                        <w:sdtPr>
                          <w:alias w:val="Numeris"/>
                          <w:tag w:val="nr_9dcdc1866b0744e2a03a2486df781be0"/>
                          <w:lock w:val="sdtLocked"/>
                          <w:richText/>
                        </w:sdtPr>
                        <w:sdtContent>
                          <w:r>
                            <w:rPr>
                              <w:color w:val="000000" w:themeColor="text1"/>
                            </w:rPr>
                            <w:t>6.2.2</w:t>
                          </w:r>
                        </w:sdtContent>
                      </w:sdt>
                      <w:r>
                        <w:rPr>
                          <w:color w:val="000000" w:themeColor="text1"/>
                        </w:rPr>
                        <w:t xml:space="preserve">. langų </w:t>
                      </w:r>
                      <w:r>
                        <w:rPr>
                          <w:bCs/>
                          <w:color w:val="000000" w:themeColor="text1"/>
                        </w:rPr>
                        <w:t xml:space="preserve">plotas </w:t>
                      </w:r>
                      <w:r>
                        <w:rPr>
                          <w:color w:val="000000" w:themeColor="text1"/>
                        </w:rPr>
                        <w:t>0,01 m</w:t>
                      </w:r>
                      <w:r>
                        <w:rPr>
                          <w:color w:val="000000" w:themeColor="text1"/>
                          <w:vertAlign w:val="superscript"/>
                        </w:rPr>
                        <w:t>2</w:t>
                      </w:r>
                      <w:r>
                        <w:rPr>
                          <w:color w:val="000000" w:themeColor="text1"/>
                        </w:rPr>
                        <w:t> tikslumu;</w:t>
                      </w:r>
                    </w:p>
                  </w:sdtContent>
                </w:sdt>
                <w:sdt>
                  <w:sdtPr>
                    <w:alias w:val="1 pr. 6.2.3 pp."/>
                    <w:tag w:val="part_636c16b37048420eb7b457adcd6cd247"/>
                    <w:lock w:val="sdtLocked"/>
                    <w:richText/>
                  </w:sdtPr>
                  <w:sdtContent>
                    <w:p>
                      <w:pPr>
                        <w:ind w:firstLine="709"/>
                        <w:jc w:val="both"/>
                        <w:rPr>
                          <w:color w:val="000000" w:themeColor="text1"/>
                        </w:rPr>
                      </w:pPr>
                      <w:sdt>
                        <w:sdtPr>
                          <w:alias w:val="Numeris"/>
                          <w:tag w:val="nr_636c16b37048420eb7b457adcd6cd247"/>
                          <w:lock w:val="sdtLocked"/>
                          <w:richText/>
                        </w:sdtPr>
                        <w:sdtContent>
                          <w:r>
                            <w:rPr>
                              <w:color w:val="000000" w:themeColor="text1"/>
                            </w:rPr>
                            <w:t>6.2.3</w:t>
                          </w:r>
                        </w:sdtContent>
                      </w:sdt>
                      <w:r>
                        <w:rPr>
                          <w:color w:val="000000" w:themeColor="text1"/>
                        </w:rPr>
                        <w:t>. langų skaičiuojamojo šilumos perdavimo koeficiento vertė 0,01 W/(m</w:t>
                      </w:r>
                      <w:r>
                        <w:rPr>
                          <w:color w:val="000000" w:themeColor="text1"/>
                          <w:vertAlign w:val="superscript"/>
                        </w:rPr>
                        <w:t>2</w:t>
                      </w:r>
                      <w:r>
                        <w:rPr>
                          <w:color w:val="000000" w:themeColor="text1"/>
                        </w:rPr>
                        <w:t xml:space="preserve">·K) tikslumu. Jei yra langų skaičiuojamąją šilumos perdavimo koeficiento vertę patvirtinantys dokumentai, skaičiavimuose turi būti naudojama šiuose dokumentuose nurodyta koeficiento vertė. Jei yra langų šilumos perdavimo koeficiento vertės skaičiavimo pagal lango plotą [3.16]  ne mažesnį kaip 5 % skaičiavimo tikslumą, lyginti su lango bandymų rezultatais, patvirtinantys dokumentai, atitinkamo dydžio lango šilumos perdavimo koeficiento vertės skaičiavimui gali būti naudojamas LST EN ISO 10077-1 5.4.2 punkte [3.16] pateiktas skaičiavimo metodas. Kitais atvejais skaičiuojant naudojami Reglamento 4 priede 4.1 lentelėje nurodyti duomenys;</w:t>
                      </w:r>
                    </w:p>
                  </w:sdtContent>
                </w:sdt>
                <w:sdt>
                  <w:sdtPr>
                    <w:alias w:val="1 pr. 6.2.4 pp."/>
                    <w:tag w:val="part_9085fe706d984ce4abc8867b3564e335"/>
                    <w:lock w:val="sdtLocked"/>
                    <w:richText/>
                  </w:sdtPr>
                  <w:sdtContent>
                    <w:p>
                      <w:pPr>
                        <w:ind w:firstLine="709"/>
                        <w:jc w:val="both"/>
                        <w:rPr>
                          <w:bCs/>
                          <w:color w:val="000000" w:themeColor="text1"/>
                        </w:rPr>
                      </w:pPr>
                      <w:sdt>
                        <w:sdtPr>
                          <w:alias w:val="Numeris"/>
                          <w:tag w:val="nr_9085fe706d984ce4abc8867b3564e335"/>
                          <w:lock w:val="sdtLocked"/>
                          <w:richText/>
                        </w:sdtPr>
                        <w:sdtContent>
                          <w:r>
                            <w:rPr>
                              <w:color w:val="000000" w:themeColor="text1"/>
                            </w:rPr>
                            <w:t>6.2.4</w:t>
                          </w:r>
                        </w:sdtContent>
                      </w:sdt>
                      <w:r>
                        <w:rPr>
                          <w:color w:val="000000" w:themeColor="text1"/>
                        </w:rPr>
                        <w:t>. langų įstiklinimo</w:t>
                      </w:r>
                      <w:r>
                        <w:rPr>
                          <w:b/>
                          <w:color w:val="000000" w:themeColor="text1"/>
                        </w:rPr>
                        <w:t xml:space="preserve"> </w:t>
                      </w:r>
                      <w:r>
                        <w:rPr>
                          <w:bCs/>
                          <w:color w:val="000000" w:themeColor="text1"/>
                        </w:rPr>
                        <w:t xml:space="preserve">visuminės saulės energijos praleisties koeficientas 0,01 tikslumu. </w:t>
                      </w:r>
                      <w:r>
                        <w:rPr>
                          <w:color w:val="000000" w:themeColor="text1"/>
                        </w:rPr>
                        <w:t>Jei yra langų įstiklinimo</w:t>
                      </w:r>
                      <w:r>
                        <w:rPr>
                          <w:b/>
                          <w:color w:val="000000" w:themeColor="text1"/>
                        </w:rPr>
                        <w:t xml:space="preserve"> </w:t>
                      </w:r>
                      <w:r>
                        <w:rPr>
                          <w:bCs/>
                          <w:color w:val="000000" w:themeColor="text1"/>
                        </w:rPr>
                        <w:t>visuminės saulės energijos praleisties koeficiento</w:t>
                      </w:r>
                      <w:r>
                        <w:rPr>
                          <w:color w:val="000000" w:themeColor="text1"/>
                        </w:rPr>
                        <w:t xml:space="preserve"> vertę patvirtinantys dokumentai, skaičiavimuose turi būti naudojama šiuose dokumentuose nurodyta koeficiento vertė. Kitais atvejais skaičiavimuose turi būti naudojami Reglamento 4 priede 4.1 lentelėje nurodyti duomenys</w:t>
                      </w:r>
                      <w:r>
                        <w:rPr>
                          <w:bCs/>
                          <w:color w:val="000000" w:themeColor="text1"/>
                        </w:rPr>
                        <w:t>;</w:t>
                      </w:r>
                    </w:p>
                  </w:sdtContent>
                </w:sdt>
                <w:sdt>
                  <w:sdtPr>
                    <w:alias w:val="1 pr. 6.2.5 pp."/>
                    <w:tag w:val="part_54ae00df8b814d12ab3037556e3bb2ec"/>
                    <w:lock w:val="sdtLocked"/>
                    <w:richText/>
                  </w:sdtPr>
                  <w:sdtContent>
                    <w:p>
                      <w:pPr>
                        <w:ind w:firstLine="709"/>
                        <w:jc w:val="both"/>
                        <w:rPr>
                          <w:color w:val="000000" w:themeColor="text1"/>
                        </w:rPr>
                      </w:pPr>
                      <w:sdt>
                        <w:sdtPr>
                          <w:alias w:val="Numeris"/>
                          <w:tag w:val="nr_54ae00df8b814d12ab3037556e3bb2ec"/>
                          <w:lock w:val="sdtLocked"/>
                          <w:richText/>
                        </w:sdtPr>
                        <w:sdtContent>
                          <w:r>
                            <w:rPr>
                              <w:bCs/>
                              <w:color w:val="000000" w:themeColor="text1"/>
                            </w:rPr>
                            <w:t>6.2.5</w:t>
                          </w:r>
                        </w:sdtContent>
                      </w:sdt>
                      <w:r>
                        <w:rPr>
                          <w:bCs/>
                          <w:color w:val="000000" w:themeColor="text1"/>
                        </w:rPr>
                        <w:t xml:space="preserve">. langų įstiklintos dalies plotas </w:t>
                      </w:r>
                      <w:r>
                        <w:rPr>
                          <w:color w:val="000000" w:themeColor="text1"/>
                        </w:rPr>
                        <w:t>0,01 m</w:t>
                      </w:r>
                      <w:r>
                        <w:rPr>
                          <w:color w:val="000000" w:themeColor="text1"/>
                          <w:vertAlign w:val="superscript"/>
                        </w:rPr>
                        <w:t>2</w:t>
                      </w:r>
                      <w:r>
                        <w:rPr>
                          <w:color w:val="000000" w:themeColor="text1"/>
                        </w:rPr>
                        <w:t> tikslumu;</w:t>
                      </w:r>
                    </w:p>
                  </w:sdtContent>
                </w:sdt>
                <w:sdt>
                  <w:sdtPr>
                    <w:alias w:val="1 pr. 6.2.6 pp."/>
                    <w:tag w:val="part_f1383285ad384475a1f37e26c28e0098"/>
                    <w:lock w:val="sdtLocked"/>
                    <w:richText/>
                  </w:sdtPr>
                  <w:sdtContent>
                    <w:p>
                      <w:pPr>
                        <w:ind w:firstLine="709"/>
                        <w:jc w:val="both"/>
                        <w:rPr>
                          <w:color w:val="000000" w:themeColor="text1"/>
                        </w:rPr>
                      </w:pPr>
                      <w:sdt>
                        <w:sdtPr>
                          <w:alias w:val="Numeris"/>
                          <w:tag w:val="nr_f1383285ad384475a1f37e26c28e0098"/>
                          <w:lock w:val="sdtLocked"/>
                          <w:richText/>
                        </w:sdtPr>
                        <w:sdtContent>
                          <w:r>
                            <w:rPr>
                              <w:color w:val="000000" w:themeColor="text1"/>
                            </w:rPr>
                            <w:t>6.2.6</w:t>
                          </w:r>
                        </w:sdtContent>
                      </w:sdt>
                      <w:r>
                        <w:rPr>
                          <w:color w:val="000000" w:themeColor="text1"/>
                        </w:rPr>
                        <w:t>. langų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 xml:space="preserve">Jei yra </w:t>
                      </w:r>
                      <w:r>
                        <w:rPr>
                          <w:bCs/>
                          <w:color w:val="000000" w:themeColor="text1"/>
                        </w:rPr>
                        <w:t>lango 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4.1 lentelėje nurodyti duomenys;</w:t>
                      </w:r>
                    </w:p>
                  </w:sdtContent>
                </w:sdt>
                <w:sdt>
                  <w:sdtPr>
                    <w:alias w:val="1 pr. 6.2.7 pp."/>
                    <w:tag w:val="part_44a4fe57fd5345389a153d3e32b3c8b1"/>
                    <w:lock w:val="sdtLocked"/>
                    <w:richText/>
                  </w:sdtPr>
                  <w:sdtContent>
                    <w:p>
                      <w:pPr>
                        <w:ind w:firstLine="720"/>
                        <w:jc w:val="both"/>
                        <w:rPr>
                          <w:color w:val="000000" w:themeColor="text1"/>
                        </w:rPr>
                      </w:pPr>
                      <w:sdt>
                        <w:sdtPr>
                          <w:alias w:val="Numeris"/>
                          <w:tag w:val="nr_44a4fe57fd5345389a153d3e32b3c8b1"/>
                          <w:lock w:val="sdtLocked"/>
                          <w:richText/>
                        </w:sdtPr>
                        <w:sdtContent>
                          <w:r>
                            <w:rPr>
                              <w:color w:val="000000" w:themeColor="text1"/>
                            </w:rPr>
                            <w:t>6.2.7</w:t>
                          </w:r>
                        </w:sdtContent>
                      </w:sdt>
                      <w:r>
                        <w:rPr>
                          <w:color w:val="000000" w:themeColor="text1"/>
                        </w:rPr>
                        <w:t>. langų apibūdinimas pagal Reglamento 2 priedo 2.25 lentelėje išvardintus atvejus;</w:t>
                      </w:r>
                    </w:p>
                  </w:sdtContent>
                </w:sdt>
                <w:sdt>
                  <w:sdtPr>
                    <w:alias w:val="1 pr. 6.2.8 pp."/>
                    <w:tag w:val="part_88043a0e6c884258a372b2680a41a91a"/>
                    <w:lock w:val="sdtLocked"/>
                    <w:richText/>
                  </w:sdtPr>
                  <w:sdtContent>
                    <w:p>
                      <w:pPr>
                        <w:ind w:firstLine="720"/>
                        <w:jc w:val="both"/>
                        <w:rPr>
                          <w:bCs/>
                          <w:color w:val="000000" w:themeColor="text1"/>
                        </w:rPr>
                      </w:pPr>
                      <w:sdt>
                        <w:sdtPr>
                          <w:alias w:val="Numeris"/>
                          <w:tag w:val="nr_88043a0e6c884258a372b2680a41a91a"/>
                          <w:lock w:val="sdtLocked"/>
                          <w:richText/>
                        </w:sdtPr>
                        <w:sdtContent>
                          <w:r>
                            <w:rPr>
                              <w:color w:val="000000" w:themeColor="text1"/>
                            </w:rPr>
                            <w:t>6.2.8</w:t>
                          </w:r>
                        </w:sdtContent>
                      </w:sdt>
                      <w:r>
                        <w:rPr>
                          <w:color w:val="000000" w:themeColor="text1"/>
                        </w:rPr>
                        <w:t>. langų išorinio paviršiaus pasvyrimo kampas nuo horizontalios plokštumos 5° tikslumu.</w:t>
                      </w:r>
                    </w:p>
                  </w:sdtContent>
                </w:sdt>
              </w:sdtContent>
            </w:sdt>
            <w:sdt>
              <w:sdtPr>
                <w:alias w:val="1 pr. 6.3 pp."/>
                <w:tag w:val="part_00680640ee6042c2b3266b776c1d6abd"/>
                <w:lock w:val="sdtLocked"/>
                <w:richText/>
              </w:sdtPr>
              <w:sdtContent>
                <w:p>
                  <w:pPr>
                    <w:ind w:firstLine="720"/>
                    <w:jc w:val="both"/>
                    <w:rPr>
                      <w:color w:val="000000" w:themeColor="text1"/>
                    </w:rPr>
                  </w:pPr>
                  <w:sdt>
                    <w:sdtPr>
                      <w:alias w:val="Numeris"/>
                      <w:tag w:val="nr_00680640ee6042c2b3266b776c1d6abd"/>
                      <w:lock w:val="sdtLocked"/>
                      <w:richText/>
                    </w:sdtPr>
                    <w:sdtContent>
                      <w:r>
                        <w:rPr>
                          <w:color w:val="000000" w:themeColor="text1"/>
                        </w:rPr>
                        <w:t>6.3</w:t>
                      </w:r>
                    </w:sdtContent>
                  </w:sdt>
                  <w:r>
                    <w:rPr>
                      <w:color w:val="000000" w:themeColor="text1"/>
                    </w:rPr>
                    <w:t>. Duomenys apie išorines įėjimo duris Š, ŠR, R, PR, P, PV, V, ŠV orientacijos fasadų dalyse:</w:t>
                  </w:r>
                </w:p>
                <w:sdt>
                  <w:sdtPr>
                    <w:alias w:val="1 pr. 6.3.1 pp."/>
                    <w:tag w:val="part_483be27f784447d7acc02fce8f6a7e31"/>
                    <w:lock w:val="sdtLocked"/>
                    <w:richText/>
                  </w:sdtPr>
                  <w:sdtContent>
                    <w:p>
                      <w:pPr>
                        <w:ind w:firstLine="720"/>
                        <w:jc w:val="both"/>
                        <w:rPr>
                          <w:color w:val="000000" w:themeColor="text1"/>
                        </w:rPr>
                      </w:pPr>
                      <w:sdt>
                        <w:sdtPr>
                          <w:alias w:val="Numeris"/>
                          <w:tag w:val="nr_483be27f784447d7acc02fce8f6a7e31"/>
                          <w:lock w:val="sdtLocked"/>
                          <w:richText/>
                        </w:sdtPr>
                        <w:sdtContent>
                          <w:r>
                            <w:rPr>
                              <w:color w:val="000000" w:themeColor="text1"/>
                            </w:rPr>
                            <w:t>6.3.1</w:t>
                          </w:r>
                        </w:sdtContent>
                      </w:sdt>
                      <w:r>
                        <w:rPr>
                          <w:color w:val="000000" w:themeColor="text1"/>
                        </w:rPr>
                        <w:t>. durų pagal Reglamento 4 priede 4.2 lentelėje nurodytus durų tipus plotis ir aukštis 0,01 m tikslumu, durų kiekis (vnt.);</w:t>
                      </w:r>
                    </w:p>
                  </w:sdtContent>
                </w:sdt>
                <w:sdt>
                  <w:sdtPr>
                    <w:alias w:val="1 pr. 6.3.2 pp."/>
                    <w:tag w:val="part_ca178dc5789e47efb6f705f04d2ac747"/>
                    <w:lock w:val="sdtLocked"/>
                    <w:richText/>
                  </w:sdtPr>
                  <w:sdtContent>
                    <w:p>
                      <w:pPr>
                        <w:ind w:firstLine="720"/>
                        <w:jc w:val="both"/>
                        <w:rPr>
                          <w:color w:val="000000" w:themeColor="text1"/>
                        </w:rPr>
                      </w:pPr>
                      <w:sdt>
                        <w:sdtPr>
                          <w:alias w:val="Numeris"/>
                          <w:tag w:val="nr_ca178dc5789e47efb6f705f04d2ac747"/>
                          <w:lock w:val="sdtLocked"/>
                          <w:richText/>
                        </w:sdtPr>
                        <w:sdtContent>
                          <w:r>
                            <w:rPr>
                              <w:color w:val="000000" w:themeColor="text1"/>
                            </w:rPr>
                            <w:t>6.3.2</w:t>
                          </w:r>
                        </w:sdtContent>
                      </w:sdt>
                      <w:r>
                        <w:rPr>
                          <w:color w:val="000000" w:themeColor="text1"/>
                        </w:rPr>
                        <w:t xml:space="preserve">. durų </w:t>
                      </w:r>
                      <w:r>
                        <w:rPr>
                          <w:bCs/>
                          <w:color w:val="000000" w:themeColor="text1"/>
                        </w:rPr>
                        <w:t xml:space="preserve">plotas </w:t>
                      </w:r>
                      <w:r>
                        <w:rPr>
                          <w:color w:val="000000" w:themeColor="text1"/>
                        </w:rPr>
                        <w:t>0,01 m</w:t>
                      </w:r>
                      <w:r>
                        <w:rPr>
                          <w:color w:val="000000" w:themeColor="text1"/>
                          <w:vertAlign w:val="superscript"/>
                        </w:rPr>
                        <w:t>2</w:t>
                      </w:r>
                      <w:r>
                        <w:rPr>
                          <w:color w:val="000000" w:themeColor="text1"/>
                        </w:rPr>
                        <w:t> tikslumu;</w:t>
                      </w:r>
                    </w:p>
                  </w:sdtContent>
                </w:sdt>
                <w:sdt>
                  <w:sdtPr>
                    <w:alias w:val="1 pr. 6.3.3 pp."/>
                    <w:tag w:val="part_60aec655890648b8b617fc9c0bafa8e1"/>
                    <w:lock w:val="sdtLocked"/>
                    <w:richText/>
                  </w:sdtPr>
                  <w:sdtContent>
                    <w:p>
                      <w:pPr>
                        <w:ind w:firstLine="720"/>
                        <w:jc w:val="both"/>
                        <w:rPr>
                          <w:color w:val="000000" w:themeColor="text1"/>
                        </w:rPr>
                      </w:pPr>
                      <w:sdt>
                        <w:sdtPr>
                          <w:alias w:val="Numeris"/>
                          <w:tag w:val="nr_60aec655890648b8b617fc9c0bafa8e1"/>
                          <w:lock w:val="sdtLocked"/>
                          <w:richText/>
                        </w:sdtPr>
                        <w:sdtContent>
                          <w:r>
                            <w:rPr>
                              <w:color w:val="000000" w:themeColor="text1"/>
                            </w:rPr>
                            <w:t>6.3.3</w:t>
                          </w:r>
                        </w:sdtContent>
                      </w:sdt>
                      <w:r>
                        <w:rPr>
                          <w:color w:val="000000" w:themeColor="text1"/>
                        </w:rPr>
                        <w:t>. durų skaičiuojamojo šilumos perdavimo koeficiento vertė 0,01 W/(m</w:t>
                      </w:r>
                      <w:r>
                        <w:rPr>
                          <w:color w:val="000000" w:themeColor="text1"/>
                          <w:vertAlign w:val="superscript"/>
                        </w:rPr>
                        <w:t>2</w:t>
                      </w:r>
                      <w:r>
                        <w:rPr>
                          <w:color w:val="000000" w:themeColor="text1"/>
                        </w:rPr>
                        <w:t>·K) tikslumu. Jei yra durų skaičiuojamąją šilumos perdavimo koeficiento vertę patvirtinantys dokumentai, skaičiuojant naudojama šiuose dokumentuose nurodyta koeficiento vertė. Kitais atvejais skaičiavimuose turi būti naudojami Reglamento 4 priede 4.2 lentelėje nurodyti duomenys;</w:t>
                      </w:r>
                    </w:p>
                  </w:sdtContent>
                </w:sdt>
                <w:sdt>
                  <w:sdtPr>
                    <w:alias w:val="1 pr. 6.3.4 pp."/>
                    <w:tag w:val="part_605083e7197943468ab7b86565b2992d"/>
                    <w:lock w:val="sdtLocked"/>
                    <w:richText/>
                  </w:sdtPr>
                  <w:sdtContent>
                    <w:p>
                      <w:pPr>
                        <w:ind w:firstLine="720"/>
                        <w:jc w:val="both"/>
                        <w:rPr>
                          <w:color w:val="000000" w:themeColor="text1"/>
                        </w:rPr>
                      </w:pPr>
                      <w:sdt>
                        <w:sdtPr>
                          <w:alias w:val="Numeris"/>
                          <w:tag w:val="nr_605083e7197943468ab7b86565b2992d"/>
                          <w:lock w:val="sdtLocked"/>
                          <w:richText/>
                        </w:sdtPr>
                        <w:sdtContent>
                          <w:r>
                            <w:rPr>
                              <w:color w:val="000000" w:themeColor="text1"/>
                            </w:rPr>
                            <w:t>6.3.4</w:t>
                          </w:r>
                        </w:sdtContent>
                      </w:sdt>
                      <w:r>
                        <w:rPr>
                          <w:color w:val="000000" w:themeColor="text1"/>
                        </w:rPr>
                        <w:t>. durų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 xml:space="preserve">Jei yra </w:t>
                      </w:r>
                      <w:r>
                        <w:rPr>
                          <w:bCs/>
                          <w:color w:val="000000" w:themeColor="text1"/>
                        </w:rPr>
                        <w:t>durų 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4.2 lentelėje nurodyti duomenys;</w:t>
                      </w:r>
                    </w:p>
                  </w:sdtContent>
                </w:sdt>
                <w:sdt>
                  <w:sdtPr>
                    <w:alias w:val="1 pr. 6.3.5 pp."/>
                    <w:tag w:val="part_4d7205bd808d45fd8499dd76220a467f"/>
                    <w:lock w:val="sdtLocked"/>
                    <w:richText/>
                  </w:sdtPr>
                  <w:sdtContent>
                    <w:p>
                      <w:pPr>
                        <w:ind w:firstLine="720"/>
                        <w:jc w:val="both"/>
                        <w:rPr>
                          <w:color w:val="000000" w:themeColor="text1"/>
                        </w:rPr>
                      </w:pPr>
                      <w:sdt>
                        <w:sdtPr>
                          <w:alias w:val="Numeris"/>
                          <w:tag w:val="nr_4d7205bd808d45fd8499dd76220a467f"/>
                          <w:lock w:val="sdtLocked"/>
                          <w:richText/>
                        </w:sdtPr>
                        <w:sdtContent>
                          <w:r>
                            <w:rPr>
                              <w:color w:val="000000" w:themeColor="text1"/>
                            </w:rPr>
                            <w:t>6.3.5</w:t>
                          </w:r>
                        </w:sdtContent>
                      </w:sdt>
                      <w:r>
                        <w:rPr>
                          <w:color w:val="000000" w:themeColor="text1"/>
                        </w:rPr>
                        <w:t>. išorinių durų tipas nurodant vieną iš Reglamento 2 priede 2.15 lentelėje išvardintų durų tipą. Durų tipas turi būti parinktas pagal duris, per kurias dažniausiai vaikštoma, arba pagal duris, kurios apibendrintai atitinka visų pastato išorinių įėjimo durų tipą;</w:t>
                      </w:r>
                    </w:p>
                  </w:sdtContent>
                </w:sdt>
                <w:sdt>
                  <w:sdtPr>
                    <w:alias w:val="1 pr. 6.3.6 pp."/>
                    <w:tag w:val="part_56a0f75b8a964cafb79fcb9d505dc560"/>
                    <w:lock w:val="sdtLocked"/>
                    <w:richText/>
                  </w:sdtPr>
                  <w:sdtContent>
                    <w:p>
                      <w:pPr>
                        <w:ind w:firstLine="720"/>
                        <w:jc w:val="both"/>
                        <w:rPr>
                          <w:color w:val="000000" w:themeColor="text1"/>
                        </w:rPr>
                      </w:pPr>
                      <w:sdt>
                        <w:sdtPr>
                          <w:alias w:val="Numeris"/>
                          <w:tag w:val="nr_56a0f75b8a964cafb79fcb9d505dc560"/>
                          <w:lock w:val="sdtLocked"/>
                          <w:richText/>
                        </w:sdtPr>
                        <w:sdtContent>
                          <w:r>
                            <w:rPr>
                              <w:color w:val="000000" w:themeColor="text1"/>
                            </w:rPr>
                            <w:t>6.3.6</w:t>
                          </w:r>
                        </w:sdtContent>
                      </w:sdt>
                      <w:r>
                        <w:rPr>
                          <w:color w:val="000000" w:themeColor="text1"/>
                        </w:rPr>
                        <w:t>. durų apibūdinimas pagal Reglamento 2 priedo 2.32 lentelėje išvardintus atvejus.</w:t>
                      </w:r>
                    </w:p>
                  </w:sdtContent>
                </w:sdt>
              </w:sdtContent>
            </w:sdt>
            <w:sdt>
              <w:sdtPr>
                <w:alias w:val="1 pr. 6.4 pp."/>
                <w:tag w:val="part_09d22c5e3aa84f639d745c4d5709f02a"/>
                <w:lock w:val="sdtLocked"/>
                <w:richText/>
              </w:sdtPr>
              <w:sdtContent>
                <w:p>
                  <w:pPr>
                    <w:ind w:firstLine="720"/>
                    <w:jc w:val="both"/>
                    <w:rPr>
                      <w:color w:val="000000" w:themeColor="text1"/>
                    </w:rPr>
                  </w:pPr>
                  <w:sdt>
                    <w:sdtPr>
                      <w:alias w:val="Numeris"/>
                      <w:tag w:val="nr_09d22c5e3aa84f639d745c4d5709f02a"/>
                      <w:lock w:val="sdtLocked"/>
                      <w:richText/>
                    </w:sdtPr>
                    <w:sdtContent>
                      <w:r>
                        <w:rPr>
                          <w:color w:val="000000" w:themeColor="text1"/>
                        </w:rPr>
                        <w:t>6.4</w:t>
                      </w:r>
                    </w:sdtContent>
                  </w:sdt>
                  <w:r>
                    <w:rPr>
                      <w:color w:val="000000" w:themeColor="text1"/>
                    </w:rPr>
                    <w:t>. Duomenys apie vartus Š, ŠR, R, PR, P, PV, V, ŠV orientacijos fasadų dalyse:</w:t>
                  </w:r>
                </w:p>
                <w:sdt>
                  <w:sdtPr>
                    <w:alias w:val="1 pr. 6.4.1 pp."/>
                    <w:tag w:val="part_ea32b67f495a44d0b6c10c51a6c589bb"/>
                    <w:lock w:val="sdtLocked"/>
                    <w:richText/>
                  </w:sdtPr>
                  <w:sdtContent>
                    <w:p>
                      <w:pPr>
                        <w:ind w:firstLine="720"/>
                        <w:jc w:val="both"/>
                        <w:rPr>
                          <w:color w:val="000000" w:themeColor="text1"/>
                        </w:rPr>
                      </w:pPr>
                      <w:sdt>
                        <w:sdtPr>
                          <w:alias w:val="Numeris"/>
                          <w:tag w:val="nr_ea32b67f495a44d0b6c10c51a6c589bb"/>
                          <w:lock w:val="sdtLocked"/>
                          <w:richText/>
                        </w:sdtPr>
                        <w:sdtContent>
                          <w:r>
                            <w:rPr>
                              <w:color w:val="000000" w:themeColor="text1"/>
                            </w:rPr>
                            <w:t>6.4.1</w:t>
                          </w:r>
                        </w:sdtContent>
                      </w:sdt>
                      <w:r>
                        <w:rPr>
                          <w:color w:val="000000" w:themeColor="text1"/>
                        </w:rPr>
                        <w:t>. vartų pagal Reglamento 4 priede 4.3 lentelėje nurodytus vartų tipus plotis ir aukštis 0,01 m tikslumu, durų kiekis (vnt.);</w:t>
                      </w:r>
                    </w:p>
                  </w:sdtContent>
                </w:sdt>
                <w:sdt>
                  <w:sdtPr>
                    <w:alias w:val="1 pr. 6.4.2 pp."/>
                    <w:tag w:val="part_c0d85f007f0a4a6c98165093da68286b"/>
                    <w:lock w:val="sdtLocked"/>
                    <w:richText/>
                  </w:sdtPr>
                  <w:sdtContent>
                    <w:p>
                      <w:pPr>
                        <w:ind w:firstLine="720"/>
                        <w:jc w:val="both"/>
                        <w:rPr>
                          <w:color w:val="000000" w:themeColor="text1"/>
                        </w:rPr>
                      </w:pPr>
                      <w:sdt>
                        <w:sdtPr>
                          <w:alias w:val="Numeris"/>
                          <w:tag w:val="nr_c0d85f007f0a4a6c98165093da68286b"/>
                          <w:lock w:val="sdtLocked"/>
                          <w:richText/>
                        </w:sdtPr>
                        <w:sdtContent>
                          <w:r>
                            <w:rPr>
                              <w:color w:val="000000" w:themeColor="text1"/>
                            </w:rPr>
                            <w:t>6.4.2</w:t>
                          </w:r>
                        </w:sdtContent>
                      </w:sdt>
                      <w:r>
                        <w:rPr>
                          <w:color w:val="000000" w:themeColor="text1"/>
                        </w:rPr>
                        <w:t xml:space="preserve">. vartų </w:t>
                      </w:r>
                      <w:r>
                        <w:rPr>
                          <w:bCs/>
                          <w:color w:val="000000" w:themeColor="text1"/>
                        </w:rPr>
                        <w:t xml:space="preserve">plotas </w:t>
                      </w:r>
                      <w:r>
                        <w:rPr>
                          <w:color w:val="000000" w:themeColor="text1"/>
                        </w:rPr>
                        <w:t>0,01 m</w:t>
                      </w:r>
                      <w:r>
                        <w:rPr>
                          <w:color w:val="000000" w:themeColor="text1"/>
                          <w:vertAlign w:val="superscript"/>
                        </w:rPr>
                        <w:t>2</w:t>
                      </w:r>
                      <w:r>
                        <w:rPr>
                          <w:color w:val="000000" w:themeColor="text1"/>
                        </w:rPr>
                        <w:t> tikslumu;</w:t>
                      </w:r>
                    </w:p>
                  </w:sdtContent>
                </w:sdt>
                <w:sdt>
                  <w:sdtPr>
                    <w:alias w:val="1 pr. 6.4.3 pp."/>
                    <w:tag w:val="part_50b422f9c2d54d2ab9b7b7cd60cfc668"/>
                    <w:lock w:val="sdtLocked"/>
                    <w:richText/>
                  </w:sdtPr>
                  <w:sdtContent>
                    <w:p>
                      <w:pPr>
                        <w:ind w:firstLine="720"/>
                        <w:jc w:val="both"/>
                        <w:rPr>
                          <w:color w:val="000000" w:themeColor="text1"/>
                        </w:rPr>
                      </w:pPr>
                      <w:sdt>
                        <w:sdtPr>
                          <w:alias w:val="Numeris"/>
                          <w:tag w:val="nr_50b422f9c2d54d2ab9b7b7cd60cfc668"/>
                          <w:lock w:val="sdtLocked"/>
                          <w:richText/>
                        </w:sdtPr>
                        <w:sdtContent>
                          <w:r>
                            <w:rPr>
                              <w:color w:val="000000" w:themeColor="text1"/>
                            </w:rPr>
                            <w:t>6.4.3</w:t>
                          </w:r>
                        </w:sdtContent>
                      </w:sdt>
                      <w:r>
                        <w:rPr>
                          <w:color w:val="000000" w:themeColor="text1"/>
                        </w:rPr>
                        <w:t>. vartų skaičiuojamojo šilumos perdavimo koeficiento vertė 0,01 W/(m</w:t>
                      </w:r>
                      <w:r>
                        <w:rPr>
                          <w:color w:val="000000" w:themeColor="text1"/>
                          <w:vertAlign w:val="superscript"/>
                        </w:rPr>
                        <w:t>2</w:t>
                      </w:r>
                      <w:r>
                        <w:rPr>
                          <w:color w:val="000000" w:themeColor="text1"/>
                        </w:rPr>
                        <w:t>·K) tikslumu. Jei yra vartų skaičiuojamąją šilumos perdavimo koeficiento vertę patvirtinantys dokumentai, skaičiavimuose turi būti naudojama šiuose dokumentuose nurodyta koeficiento vertė. Kitais atvejais skaičiavimuose turi būti naudojami Reglamento 4 priede 4.3 lentelėje nurodyti duomenys;</w:t>
                      </w:r>
                    </w:p>
                  </w:sdtContent>
                </w:sdt>
                <w:sdt>
                  <w:sdtPr>
                    <w:alias w:val="1 pr. 6.4.4 pp."/>
                    <w:tag w:val="part_a84051dbaa9146c38dd365c8213cd4ce"/>
                    <w:lock w:val="sdtLocked"/>
                    <w:richText/>
                  </w:sdtPr>
                  <w:sdtContent>
                    <w:p>
                      <w:pPr>
                        <w:ind w:firstLine="720"/>
                        <w:jc w:val="both"/>
                        <w:rPr>
                          <w:color w:val="000000" w:themeColor="text1"/>
                        </w:rPr>
                      </w:pPr>
                      <w:sdt>
                        <w:sdtPr>
                          <w:alias w:val="Numeris"/>
                          <w:tag w:val="nr_a84051dbaa9146c38dd365c8213cd4ce"/>
                          <w:lock w:val="sdtLocked"/>
                          <w:richText/>
                        </w:sdtPr>
                        <w:sdtContent>
                          <w:r>
                            <w:rPr>
                              <w:color w:val="000000" w:themeColor="text1"/>
                            </w:rPr>
                            <w:t>6.4.4</w:t>
                          </w:r>
                        </w:sdtContent>
                      </w:sdt>
                      <w:r>
                        <w:rPr>
                          <w:color w:val="000000" w:themeColor="text1"/>
                        </w:rPr>
                        <w:t>. vartų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 xml:space="preserve">Jei yra vartų </w:t>
                      </w:r>
                      <w:r>
                        <w:rPr>
                          <w:bCs/>
                          <w:color w:val="000000" w:themeColor="text1"/>
                        </w:rPr>
                        <w:t>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4.3 lentelėje nurodyti duomenys;</w:t>
                      </w:r>
                    </w:p>
                  </w:sdtContent>
                </w:sdt>
                <w:sdt>
                  <w:sdtPr>
                    <w:alias w:val="1 pr. 6.4.5 pp."/>
                    <w:tag w:val="part_7d2369696e2544c991b1b22f94e2c7d4"/>
                    <w:lock w:val="sdtLocked"/>
                    <w:richText/>
                  </w:sdtPr>
                  <w:sdtContent>
                    <w:p>
                      <w:pPr>
                        <w:ind w:firstLine="720"/>
                        <w:jc w:val="both"/>
                        <w:rPr>
                          <w:bCs/>
                          <w:color w:val="000000" w:themeColor="text1"/>
                        </w:rPr>
                      </w:pPr>
                      <w:sdt>
                        <w:sdtPr>
                          <w:alias w:val="Numeris"/>
                          <w:tag w:val="nr_7d2369696e2544c991b1b22f94e2c7d4"/>
                          <w:lock w:val="sdtLocked"/>
                          <w:richText/>
                        </w:sdtPr>
                        <w:sdtContent>
                          <w:r>
                            <w:rPr>
                              <w:color w:val="000000" w:themeColor="text1"/>
                            </w:rPr>
                            <w:t>6.4.5</w:t>
                          </w:r>
                        </w:sdtContent>
                      </w:sdt>
                      <w:r>
                        <w:rPr>
                          <w:color w:val="000000" w:themeColor="text1"/>
                        </w:rPr>
                        <w:t>. vartų apibūdinimas pagal Reglamento 2 priedo 2.32 lentelėje išvardintus atvejus.</w:t>
                      </w:r>
                    </w:p>
                  </w:sdtContent>
                </w:sdt>
              </w:sdtContent>
            </w:sdt>
            <w:sdt>
              <w:sdtPr>
                <w:alias w:val="1 pr. 6.5 pp."/>
                <w:tag w:val="part_7314ea24bb9e413c90d3cf1b100d5bb7"/>
                <w:lock w:val="sdtLocked"/>
                <w:richText/>
              </w:sdtPr>
              <w:sdtContent>
                <w:p>
                  <w:pPr>
                    <w:ind w:firstLine="720"/>
                    <w:jc w:val="both"/>
                    <w:rPr>
                      <w:color w:val="000000" w:themeColor="text1"/>
                    </w:rPr>
                  </w:pPr>
                  <w:sdt>
                    <w:sdtPr>
                      <w:alias w:val="Numeris"/>
                      <w:tag w:val="nr_7314ea24bb9e413c90d3cf1b100d5bb7"/>
                      <w:lock w:val="sdtLocked"/>
                      <w:richText/>
                    </w:sdtPr>
                    <w:sdtContent>
                      <w:r>
                        <w:rPr>
                          <w:color w:val="000000" w:themeColor="text1"/>
                        </w:rPr>
                        <w:t>6.5</w:t>
                      </w:r>
                    </w:sdtContent>
                  </w:sdt>
                  <w:r>
                    <w:rPr>
                      <w:color w:val="000000" w:themeColor="text1"/>
                    </w:rPr>
                    <w:t>. Duomenys apie stoglangius Š, ŠR, R, PR, P, PV, V, ŠV orientacijos fasadų dalyse:</w:t>
                  </w:r>
                </w:p>
                <w:sdt>
                  <w:sdtPr>
                    <w:alias w:val="1 pr. 6.5.1 pp."/>
                    <w:tag w:val="part_c2d54bb1b9a347099f989e74e5faa2f5"/>
                    <w:lock w:val="sdtLocked"/>
                    <w:richText/>
                  </w:sdtPr>
                  <w:sdtContent>
                    <w:p>
                      <w:pPr>
                        <w:ind w:firstLine="720"/>
                        <w:jc w:val="both"/>
                        <w:rPr>
                          <w:color w:val="000000" w:themeColor="text1"/>
                        </w:rPr>
                      </w:pPr>
                      <w:sdt>
                        <w:sdtPr>
                          <w:alias w:val="Numeris"/>
                          <w:tag w:val="nr_c2d54bb1b9a347099f989e74e5faa2f5"/>
                          <w:lock w:val="sdtLocked"/>
                          <w:richText/>
                        </w:sdtPr>
                        <w:sdtContent>
                          <w:r>
                            <w:rPr>
                              <w:color w:val="000000" w:themeColor="text1"/>
                            </w:rPr>
                            <w:t>6.5.1</w:t>
                          </w:r>
                        </w:sdtContent>
                      </w:sdt>
                      <w:r>
                        <w:rPr>
                          <w:color w:val="000000" w:themeColor="text1"/>
                        </w:rPr>
                        <w:t>. stoglangių pagal Reglamento 4 priede 4.1 lentelėje nurodytus stoglangių tipus plotis ir aukštis 0,01 m tikslumu, langų kiekis (vnt.);</w:t>
                      </w:r>
                    </w:p>
                  </w:sdtContent>
                </w:sdt>
                <w:sdt>
                  <w:sdtPr>
                    <w:alias w:val="1 pr. 6.5.2 pp."/>
                    <w:tag w:val="part_3d1610eb875f41409b73bab1de17bfce"/>
                    <w:lock w:val="sdtLocked"/>
                    <w:richText/>
                  </w:sdtPr>
                  <w:sdtContent>
                    <w:p>
                      <w:pPr>
                        <w:ind w:firstLine="720"/>
                        <w:jc w:val="both"/>
                        <w:rPr>
                          <w:color w:val="000000" w:themeColor="text1"/>
                        </w:rPr>
                      </w:pPr>
                      <w:sdt>
                        <w:sdtPr>
                          <w:alias w:val="Numeris"/>
                          <w:tag w:val="nr_3d1610eb875f41409b73bab1de17bfce"/>
                          <w:lock w:val="sdtLocked"/>
                          <w:richText/>
                        </w:sdtPr>
                        <w:sdtContent>
                          <w:r>
                            <w:rPr>
                              <w:color w:val="000000" w:themeColor="text1"/>
                            </w:rPr>
                            <w:t>6.5.2</w:t>
                          </w:r>
                        </w:sdtContent>
                      </w:sdt>
                      <w:r>
                        <w:rPr>
                          <w:color w:val="000000" w:themeColor="text1"/>
                        </w:rPr>
                        <w:t xml:space="preserve">. stoglangių </w:t>
                      </w:r>
                      <w:r>
                        <w:rPr>
                          <w:bCs/>
                          <w:color w:val="000000" w:themeColor="text1"/>
                        </w:rPr>
                        <w:t xml:space="preserve">plotas </w:t>
                      </w:r>
                      <w:r>
                        <w:rPr>
                          <w:color w:val="000000" w:themeColor="text1"/>
                        </w:rPr>
                        <w:t>0,01 m</w:t>
                      </w:r>
                      <w:r>
                        <w:rPr>
                          <w:color w:val="000000" w:themeColor="text1"/>
                          <w:vertAlign w:val="superscript"/>
                        </w:rPr>
                        <w:t>2</w:t>
                      </w:r>
                      <w:r>
                        <w:rPr>
                          <w:color w:val="000000" w:themeColor="text1"/>
                        </w:rPr>
                        <w:t> tikslumu;</w:t>
                      </w:r>
                    </w:p>
                  </w:sdtContent>
                </w:sdt>
                <w:sdt>
                  <w:sdtPr>
                    <w:alias w:val="1 pr. 6.5.3 pp."/>
                    <w:tag w:val="part_d18c69814e8c4d9f8dc9274011f3f588"/>
                    <w:lock w:val="sdtLocked"/>
                    <w:richText/>
                  </w:sdtPr>
                  <w:sdtContent>
                    <w:p>
                      <w:pPr>
                        <w:ind w:firstLine="720"/>
                        <w:jc w:val="both"/>
                        <w:rPr>
                          <w:color w:val="000000" w:themeColor="text1"/>
                        </w:rPr>
                      </w:pPr>
                      <w:sdt>
                        <w:sdtPr>
                          <w:alias w:val="Numeris"/>
                          <w:tag w:val="nr_d18c69814e8c4d9f8dc9274011f3f588"/>
                          <w:lock w:val="sdtLocked"/>
                          <w:richText/>
                        </w:sdtPr>
                        <w:sdtContent>
                          <w:r>
                            <w:rPr>
                              <w:color w:val="000000" w:themeColor="text1"/>
                            </w:rPr>
                            <w:t>6.5.3</w:t>
                          </w:r>
                        </w:sdtContent>
                      </w:sdt>
                      <w:r>
                        <w:rPr>
                          <w:color w:val="000000" w:themeColor="text1"/>
                        </w:rPr>
                        <w:t>. stoglangių skaičiuojamojo šilumos perdavimo koeficiento vertė 0,01 W/(m</w:t>
                      </w:r>
                      <w:r>
                        <w:rPr>
                          <w:color w:val="000000" w:themeColor="text1"/>
                          <w:vertAlign w:val="superscript"/>
                        </w:rPr>
                        <w:t>2</w:t>
                      </w:r>
                      <w:r>
                        <w:rPr>
                          <w:color w:val="000000" w:themeColor="text1"/>
                        </w:rPr>
                        <w:t>·K) tikslumu. Jei yra stoglangių skaičiuojamąją šilumos perdavimo koeficiento vertę patvirtinantys dokumentai, skaičiavimuose turi būti naudojama šiuose dokumentuose nurodyta koeficiento vertė. Kitais atvejais skaičiavimuose turi būti naudojami Reglamento 4 priede 4.1 lentelėje nurodyti duomenys;</w:t>
                      </w:r>
                    </w:p>
                  </w:sdtContent>
                </w:sdt>
                <w:sdt>
                  <w:sdtPr>
                    <w:alias w:val="1 pr. 6.5.4 pp."/>
                    <w:tag w:val="part_1a337a5ab95246aa80746e67d521251e"/>
                    <w:lock w:val="sdtLocked"/>
                    <w:richText/>
                  </w:sdtPr>
                  <w:sdtContent>
                    <w:p>
                      <w:pPr>
                        <w:ind w:firstLine="720"/>
                        <w:jc w:val="both"/>
                        <w:rPr>
                          <w:bCs/>
                          <w:color w:val="000000" w:themeColor="text1"/>
                        </w:rPr>
                      </w:pPr>
                      <w:sdt>
                        <w:sdtPr>
                          <w:alias w:val="Numeris"/>
                          <w:tag w:val="nr_1a337a5ab95246aa80746e67d521251e"/>
                          <w:lock w:val="sdtLocked"/>
                          <w:richText/>
                        </w:sdtPr>
                        <w:sdtContent>
                          <w:r>
                            <w:rPr>
                              <w:color w:val="000000" w:themeColor="text1"/>
                            </w:rPr>
                            <w:t>6.5.4</w:t>
                          </w:r>
                        </w:sdtContent>
                      </w:sdt>
                      <w:r>
                        <w:rPr>
                          <w:color w:val="000000" w:themeColor="text1"/>
                        </w:rPr>
                        <w:t>. stoglangių įstiklinimo</w:t>
                      </w:r>
                      <w:r>
                        <w:rPr>
                          <w:b/>
                          <w:color w:val="000000" w:themeColor="text1"/>
                        </w:rPr>
                        <w:t xml:space="preserve"> </w:t>
                      </w:r>
                      <w:r>
                        <w:rPr>
                          <w:bCs/>
                          <w:color w:val="000000" w:themeColor="text1"/>
                        </w:rPr>
                        <w:t xml:space="preserve">visuminės saulės energijos praleisties koeficientas 0,01 tikslumu. </w:t>
                      </w:r>
                      <w:r>
                        <w:rPr>
                          <w:color w:val="000000" w:themeColor="text1"/>
                        </w:rPr>
                        <w:t>Jei yra stoglangių įstiklinimo</w:t>
                      </w:r>
                      <w:r>
                        <w:rPr>
                          <w:b/>
                          <w:color w:val="000000" w:themeColor="text1"/>
                        </w:rPr>
                        <w:t xml:space="preserve"> </w:t>
                      </w:r>
                      <w:r>
                        <w:rPr>
                          <w:bCs/>
                          <w:color w:val="000000" w:themeColor="text1"/>
                        </w:rPr>
                        <w:t>visuminės saulės energijos praleisties koeficiento</w:t>
                      </w:r>
                      <w:r>
                        <w:rPr>
                          <w:color w:val="000000" w:themeColor="text1"/>
                        </w:rPr>
                        <w:t xml:space="preserve"> vertę patvirtinantys dokumentai, skaičiavimuose turi būti naudojama šiuose dokumentuose nurodyta koeficiento vertė. Kitais atvejais skaičiavimuose turi būti naudojami Reglamento 4 priede 4.1 lentelėje nurodyti duomenys</w:t>
                      </w:r>
                      <w:r>
                        <w:rPr>
                          <w:bCs/>
                          <w:color w:val="000000" w:themeColor="text1"/>
                        </w:rPr>
                        <w:t>;</w:t>
                      </w:r>
                    </w:p>
                  </w:sdtContent>
                </w:sdt>
                <w:sdt>
                  <w:sdtPr>
                    <w:alias w:val="1 pr. 6.5.6 pp."/>
                    <w:tag w:val="part_df91423ef1bf4b3faf581eb6e3a351a4"/>
                    <w:lock w:val="sdtLocked"/>
                    <w:richText/>
                  </w:sdtPr>
                  <w:sdtContent>
                    <w:p>
                      <w:pPr>
                        <w:ind w:firstLine="720"/>
                        <w:jc w:val="both"/>
                        <w:rPr>
                          <w:color w:val="000000" w:themeColor="text1"/>
                        </w:rPr>
                      </w:pPr>
                      <w:sdt>
                        <w:sdtPr>
                          <w:alias w:val="Numeris"/>
                          <w:tag w:val="nr_df91423ef1bf4b3faf581eb6e3a351a4"/>
                          <w:lock w:val="sdtLocked"/>
                          <w:richText/>
                        </w:sdtPr>
                        <w:sdtContent>
                          <w:r>
                            <w:rPr>
                              <w:bCs/>
                              <w:color w:val="000000" w:themeColor="text1"/>
                            </w:rPr>
                            <w:t>6.5.6</w:t>
                          </w:r>
                        </w:sdtContent>
                      </w:sdt>
                      <w:r>
                        <w:rPr>
                          <w:bCs/>
                          <w:color w:val="000000" w:themeColor="text1"/>
                        </w:rPr>
                        <w:t xml:space="preserve">. </w:t>
                      </w:r>
                      <w:r>
                        <w:rPr>
                          <w:color w:val="000000" w:themeColor="text1"/>
                        </w:rPr>
                        <w:t xml:space="preserve">stoglangių </w:t>
                      </w:r>
                      <w:r>
                        <w:rPr>
                          <w:bCs/>
                          <w:color w:val="000000" w:themeColor="text1"/>
                        </w:rPr>
                        <w:t xml:space="preserve">įstiklintos dalies plotas </w:t>
                      </w:r>
                      <w:r>
                        <w:rPr>
                          <w:color w:val="000000" w:themeColor="text1"/>
                        </w:rPr>
                        <w:t>0,01 m</w:t>
                      </w:r>
                      <w:r>
                        <w:rPr>
                          <w:color w:val="000000" w:themeColor="text1"/>
                          <w:vertAlign w:val="superscript"/>
                        </w:rPr>
                        <w:t>2</w:t>
                      </w:r>
                      <w:r>
                        <w:rPr>
                          <w:color w:val="000000" w:themeColor="text1"/>
                        </w:rPr>
                        <w:t> tikslumu;</w:t>
                      </w:r>
                    </w:p>
                  </w:sdtContent>
                </w:sdt>
                <w:sdt>
                  <w:sdtPr>
                    <w:alias w:val="1 pr. 6.5.7 pp."/>
                    <w:tag w:val="part_cbb174b811144c5ab859f821a6b471dd"/>
                    <w:lock w:val="sdtLocked"/>
                    <w:richText/>
                  </w:sdtPr>
                  <w:sdtContent>
                    <w:p>
                      <w:pPr>
                        <w:ind w:firstLine="720"/>
                        <w:jc w:val="both"/>
                        <w:rPr>
                          <w:color w:val="000000" w:themeColor="text1"/>
                        </w:rPr>
                      </w:pPr>
                      <w:sdt>
                        <w:sdtPr>
                          <w:alias w:val="Numeris"/>
                          <w:tag w:val="nr_cbb174b811144c5ab859f821a6b471dd"/>
                          <w:lock w:val="sdtLocked"/>
                          <w:richText/>
                        </w:sdtPr>
                        <w:sdtContent>
                          <w:r>
                            <w:rPr>
                              <w:color w:val="000000" w:themeColor="text1"/>
                            </w:rPr>
                            <w:t>6.5.7</w:t>
                          </w:r>
                        </w:sdtContent>
                      </w:sdt>
                      <w:r>
                        <w:rPr>
                          <w:color w:val="000000" w:themeColor="text1"/>
                        </w:rPr>
                        <w:t>. stoglangių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 xml:space="preserve">Jei yra stoglangių </w:t>
                      </w:r>
                      <w:r>
                        <w:rPr>
                          <w:bCs/>
                          <w:color w:val="000000" w:themeColor="text1"/>
                        </w:rPr>
                        <w:t>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4.1 lentelėje nurodyti duomenys;</w:t>
                      </w:r>
                    </w:p>
                  </w:sdtContent>
                </w:sdt>
                <w:sdt>
                  <w:sdtPr>
                    <w:alias w:val="1 pr. 6.5.8 pp."/>
                    <w:tag w:val="part_4f4d51bc5ee246dba5743328bf6665b3"/>
                    <w:lock w:val="sdtLocked"/>
                    <w:richText/>
                  </w:sdtPr>
                  <w:sdtContent>
                    <w:p>
                      <w:pPr>
                        <w:ind w:firstLine="720"/>
                        <w:jc w:val="both"/>
                        <w:rPr>
                          <w:color w:val="000000" w:themeColor="text1"/>
                        </w:rPr>
                      </w:pPr>
                      <w:sdt>
                        <w:sdtPr>
                          <w:alias w:val="Numeris"/>
                          <w:tag w:val="nr_4f4d51bc5ee246dba5743328bf6665b3"/>
                          <w:lock w:val="sdtLocked"/>
                          <w:richText/>
                        </w:sdtPr>
                        <w:sdtContent>
                          <w:r>
                            <w:rPr>
                              <w:color w:val="000000" w:themeColor="text1"/>
                            </w:rPr>
                            <w:t>6.5.8</w:t>
                          </w:r>
                        </w:sdtContent>
                      </w:sdt>
                      <w:r>
                        <w:rPr>
                          <w:color w:val="000000" w:themeColor="text1"/>
                        </w:rPr>
                        <w:t>. stoglangių apibūdinimas pagal Reglamento 2 priedo 2.25 lentelėje išvardintus atvejus;</w:t>
                      </w:r>
                    </w:p>
                  </w:sdtContent>
                </w:sdt>
                <w:sdt>
                  <w:sdtPr>
                    <w:alias w:val="1 pr. 6.5.9 pp."/>
                    <w:tag w:val="part_108549c2b08f4a6fa1358590eadeff8a"/>
                    <w:lock w:val="sdtLocked"/>
                    <w:richText/>
                  </w:sdtPr>
                  <w:sdtContent>
                    <w:p>
                      <w:pPr>
                        <w:ind w:firstLine="720"/>
                        <w:jc w:val="both"/>
                        <w:rPr>
                          <w:bCs/>
                          <w:color w:val="000000" w:themeColor="text1"/>
                        </w:rPr>
                      </w:pPr>
                      <w:sdt>
                        <w:sdtPr>
                          <w:alias w:val="Numeris"/>
                          <w:tag w:val="nr_108549c2b08f4a6fa1358590eadeff8a"/>
                          <w:lock w:val="sdtLocked"/>
                          <w:richText/>
                        </w:sdtPr>
                        <w:sdtContent>
                          <w:r>
                            <w:rPr>
                              <w:color w:val="000000" w:themeColor="text1"/>
                            </w:rPr>
                            <w:t>6.5.9</w:t>
                          </w:r>
                        </w:sdtContent>
                      </w:sdt>
                      <w:r>
                        <w:rPr>
                          <w:color w:val="000000" w:themeColor="text1"/>
                        </w:rPr>
                        <w:t>. stoglangių išorinio paviršiaus pasvirimo kampas nuo horizontalios plokštumos 5° tikslumu.</w:t>
                      </w:r>
                    </w:p>
                  </w:sdtContent>
                </w:sdt>
              </w:sdtContent>
            </w:sdt>
            <w:sdt>
              <w:sdtPr>
                <w:alias w:val="1 pr. 6.6 pp."/>
                <w:tag w:val="part_f5614847464344749065ef122e9415df"/>
                <w:lock w:val="sdtLocked"/>
                <w:richText/>
              </w:sdtPr>
              <w:sdtContent>
                <w:p>
                  <w:pPr>
                    <w:ind w:firstLine="720"/>
                    <w:jc w:val="both"/>
                    <w:rPr>
                      <w:color w:val="000000" w:themeColor="text1"/>
                    </w:rPr>
                  </w:pPr>
                  <w:sdt>
                    <w:sdtPr>
                      <w:alias w:val="Numeris"/>
                      <w:tag w:val="nr_f5614847464344749065ef122e9415df"/>
                      <w:lock w:val="sdtLocked"/>
                      <w:richText/>
                    </w:sdtPr>
                    <w:sdtContent>
                      <w:r>
                        <w:rPr>
                          <w:color w:val="000000" w:themeColor="text1"/>
                        </w:rPr>
                        <w:t>6.6</w:t>
                      </w:r>
                    </w:sdtContent>
                  </w:sdt>
                  <w:r>
                    <w:rPr>
                      <w:color w:val="000000" w:themeColor="text1"/>
                    </w:rPr>
                    <w:t>. Duomenys apie švieslangius Š, ŠR, R, PR, P, PV, V, ŠV orientacijos fasadų dalyse:</w:t>
                  </w:r>
                </w:p>
                <w:sdt>
                  <w:sdtPr>
                    <w:alias w:val="1 pr. 6.6.1 pp."/>
                    <w:tag w:val="part_744915a2f4314ec88476f08ff32e3f41"/>
                    <w:lock w:val="sdtLocked"/>
                    <w:richText/>
                  </w:sdtPr>
                  <w:sdtContent>
                    <w:p>
                      <w:pPr>
                        <w:ind w:firstLine="720"/>
                        <w:jc w:val="both"/>
                        <w:rPr>
                          <w:color w:val="000000" w:themeColor="text1"/>
                        </w:rPr>
                      </w:pPr>
                      <w:sdt>
                        <w:sdtPr>
                          <w:alias w:val="Numeris"/>
                          <w:tag w:val="nr_744915a2f4314ec88476f08ff32e3f41"/>
                          <w:lock w:val="sdtLocked"/>
                          <w:richText/>
                        </w:sdtPr>
                        <w:sdtContent>
                          <w:r>
                            <w:rPr>
                              <w:color w:val="000000" w:themeColor="text1"/>
                            </w:rPr>
                            <w:t>6.6.1</w:t>
                          </w:r>
                        </w:sdtContent>
                      </w:sdt>
                      <w:r>
                        <w:rPr>
                          <w:color w:val="000000" w:themeColor="text1"/>
                        </w:rPr>
                        <w:t>. švieslangių pagal Reglamento 4 priede 4.4 lentelėje nurodytus švieslangių tipus plotis ir aukštis 0,01 m tikslumu, langų kiekis (vnt.);</w:t>
                      </w:r>
                    </w:p>
                  </w:sdtContent>
                </w:sdt>
                <w:sdt>
                  <w:sdtPr>
                    <w:alias w:val="1 pr. 6.6.2 pp."/>
                    <w:tag w:val="part_f0c111e90807431d97f7ae4a3390382d"/>
                    <w:lock w:val="sdtLocked"/>
                    <w:richText/>
                  </w:sdtPr>
                  <w:sdtContent>
                    <w:p>
                      <w:pPr>
                        <w:ind w:firstLine="720"/>
                        <w:jc w:val="both"/>
                        <w:rPr>
                          <w:color w:val="000000" w:themeColor="text1"/>
                        </w:rPr>
                      </w:pPr>
                      <w:sdt>
                        <w:sdtPr>
                          <w:alias w:val="Numeris"/>
                          <w:tag w:val="nr_f0c111e90807431d97f7ae4a3390382d"/>
                          <w:lock w:val="sdtLocked"/>
                          <w:richText/>
                        </w:sdtPr>
                        <w:sdtContent>
                          <w:r>
                            <w:rPr>
                              <w:color w:val="000000" w:themeColor="text1"/>
                            </w:rPr>
                            <w:t>6.6.2</w:t>
                          </w:r>
                        </w:sdtContent>
                      </w:sdt>
                      <w:r>
                        <w:rPr>
                          <w:color w:val="000000" w:themeColor="text1"/>
                        </w:rPr>
                        <w:t xml:space="preserve">. švieslangių </w:t>
                      </w:r>
                      <w:r>
                        <w:rPr>
                          <w:bCs/>
                          <w:color w:val="000000" w:themeColor="text1"/>
                        </w:rPr>
                        <w:t xml:space="preserve">plotas </w:t>
                      </w:r>
                      <w:r>
                        <w:rPr>
                          <w:color w:val="000000" w:themeColor="text1"/>
                        </w:rPr>
                        <w:t>0,01 m</w:t>
                      </w:r>
                      <w:r>
                        <w:rPr>
                          <w:color w:val="000000" w:themeColor="text1"/>
                          <w:vertAlign w:val="superscript"/>
                        </w:rPr>
                        <w:t>2</w:t>
                      </w:r>
                      <w:r>
                        <w:rPr>
                          <w:color w:val="000000" w:themeColor="text1"/>
                        </w:rPr>
                        <w:t> tikslumu;</w:t>
                      </w:r>
                    </w:p>
                  </w:sdtContent>
                </w:sdt>
                <w:sdt>
                  <w:sdtPr>
                    <w:alias w:val="1 pr. 6.6.3 pp."/>
                    <w:tag w:val="part_2cf4e5c8dbff4e95b89dd847612a3e48"/>
                    <w:lock w:val="sdtLocked"/>
                    <w:richText/>
                  </w:sdtPr>
                  <w:sdtContent>
                    <w:p>
                      <w:pPr>
                        <w:ind w:firstLine="720"/>
                        <w:jc w:val="both"/>
                        <w:rPr>
                          <w:color w:val="000000" w:themeColor="text1"/>
                        </w:rPr>
                      </w:pPr>
                      <w:sdt>
                        <w:sdtPr>
                          <w:alias w:val="Numeris"/>
                          <w:tag w:val="nr_2cf4e5c8dbff4e95b89dd847612a3e48"/>
                          <w:lock w:val="sdtLocked"/>
                          <w:richText/>
                        </w:sdtPr>
                        <w:sdtContent>
                          <w:r>
                            <w:rPr>
                              <w:color w:val="000000" w:themeColor="text1"/>
                            </w:rPr>
                            <w:t>6.6.3</w:t>
                          </w:r>
                        </w:sdtContent>
                      </w:sdt>
                      <w:r>
                        <w:rPr>
                          <w:color w:val="000000" w:themeColor="text1"/>
                        </w:rPr>
                        <w:t>. švieslangių skaičiuojamojo šilumos perdavimo koeficiento vertė 0,01 W/(m</w:t>
                      </w:r>
                      <w:r>
                        <w:rPr>
                          <w:color w:val="000000" w:themeColor="text1"/>
                          <w:vertAlign w:val="superscript"/>
                        </w:rPr>
                        <w:t>2</w:t>
                      </w:r>
                      <w:r>
                        <w:rPr>
                          <w:color w:val="000000" w:themeColor="text1"/>
                        </w:rPr>
                        <w:t>·K) tikslumu. Jei yra švieslangių skaičiuojamąją šilumos perdavimo koeficiento vertę patvirtinantys dokumentai, skaičiavimuose turi būti naudojama šiuose dokumentuose nurodyta koeficiento vertė. Kitais atvejais skaičiavimuose turi būti naudojami Reglamento 4 priede 4.4 lentelėje nurodyti duomenys;</w:t>
                      </w:r>
                    </w:p>
                  </w:sdtContent>
                </w:sdt>
                <w:sdt>
                  <w:sdtPr>
                    <w:alias w:val="1 pr. 6.6.4 pp."/>
                    <w:tag w:val="part_02e19f0263b4494e8dea7c227401347c"/>
                    <w:lock w:val="sdtLocked"/>
                    <w:richText/>
                  </w:sdtPr>
                  <w:sdtContent>
                    <w:p>
                      <w:pPr>
                        <w:ind w:firstLine="720"/>
                        <w:jc w:val="both"/>
                        <w:rPr>
                          <w:bCs/>
                          <w:color w:val="000000" w:themeColor="text1"/>
                        </w:rPr>
                      </w:pPr>
                      <w:sdt>
                        <w:sdtPr>
                          <w:alias w:val="Numeris"/>
                          <w:tag w:val="nr_02e19f0263b4494e8dea7c227401347c"/>
                          <w:lock w:val="sdtLocked"/>
                          <w:richText/>
                        </w:sdtPr>
                        <w:sdtContent>
                          <w:r>
                            <w:rPr>
                              <w:color w:val="000000" w:themeColor="text1"/>
                            </w:rPr>
                            <w:t>6.6.4</w:t>
                          </w:r>
                        </w:sdtContent>
                      </w:sdt>
                      <w:r>
                        <w:rPr>
                          <w:color w:val="000000" w:themeColor="text1"/>
                        </w:rPr>
                        <w:t>. švieslangių įstiklinimo</w:t>
                      </w:r>
                      <w:r>
                        <w:rPr>
                          <w:b/>
                          <w:color w:val="000000" w:themeColor="text1"/>
                        </w:rPr>
                        <w:t xml:space="preserve"> </w:t>
                      </w:r>
                      <w:r>
                        <w:rPr>
                          <w:bCs/>
                          <w:color w:val="000000" w:themeColor="text1"/>
                        </w:rPr>
                        <w:t xml:space="preserve">visuminės saulės energijos praleisties koeficientas 0,01 tikslumu. </w:t>
                      </w:r>
                      <w:r>
                        <w:rPr>
                          <w:color w:val="000000" w:themeColor="text1"/>
                        </w:rPr>
                        <w:t>Jei yra švieslangių įstiklinimo</w:t>
                      </w:r>
                      <w:r>
                        <w:rPr>
                          <w:b/>
                          <w:color w:val="000000" w:themeColor="text1"/>
                        </w:rPr>
                        <w:t xml:space="preserve"> </w:t>
                      </w:r>
                      <w:r>
                        <w:rPr>
                          <w:bCs/>
                          <w:color w:val="000000" w:themeColor="text1"/>
                        </w:rPr>
                        <w:t>visuminės saulės energijos praleisties koeficiento</w:t>
                      </w:r>
                      <w:r>
                        <w:rPr>
                          <w:color w:val="000000" w:themeColor="text1"/>
                        </w:rPr>
                        <w:t xml:space="preserve"> vertę patvirtinantys dokumentai, skaičiavimuose turi būti naudojama šiuose dokumentuose nurodyta koeficiento vertė. Kitais atvejais skaičiavimuose turi būti naudojami Reglamento 4 priede 4.4 lentelėje nurodyti duomenys</w:t>
                      </w:r>
                      <w:r>
                        <w:rPr>
                          <w:bCs/>
                          <w:color w:val="000000" w:themeColor="text1"/>
                        </w:rPr>
                        <w:t>;</w:t>
                      </w:r>
                    </w:p>
                  </w:sdtContent>
                </w:sdt>
                <w:sdt>
                  <w:sdtPr>
                    <w:alias w:val="1 pr. 6.6.5 pp."/>
                    <w:tag w:val="part_8fa260426f034aeca0f4cf0829e08de3"/>
                    <w:lock w:val="sdtLocked"/>
                    <w:richText/>
                  </w:sdtPr>
                  <w:sdtContent>
                    <w:p>
                      <w:pPr>
                        <w:ind w:firstLine="720"/>
                        <w:jc w:val="both"/>
                        <w:rPr>
                          <w:color w:val="000000" w:themeColor="text1"/>
                        </w:rPr>
                      </w:pPr>
                      <w:sdt>
                        <w:sdtPr>
                          <w:alias w:val="Numeris"/>
                          <w:tag w:val="nr_8fa260426f034aeca0f4cf0829e08de3"/>
                          <w:lock w:val="sdtLocked"/>
                          <w:richText/>
                        </w:sdtPr>
                        <w:sdtContent>
                          <w:r>
                            <w:rPr>
                              <w:color w:val="000000" w:themeColor="text1"/>
                            </w:rPr>
                            <w:t>6.6</w:t>
                          </w:r>
                          <w:r>
                            <w:rPr>
                              <w:bCs/>
                              <w:color w:val="000000" w:themeColor="text1"/>
                            </w:rPr>
                            <w:t>.5</w:t>
                          </w:r>
                        </w:sdtContent>
                      </w:sdt>
                      <w:r>
                        <w:rPr>
                          <w:bCs/>
                          <w:color w:val="000000" w:themeColor="text1"/>
                        </w:rPr>
                        <w:t xml:space="preserve">. </w:t>
                      </w:r>
                      <w:r>
                        <w:rPr>
                          <w:color w:val="000000" w:themeColor="text1"/>
                        </w:rPr>
                        <w:t xml:space="preserve">švieslangių </w:t>
                      </w:r>
                      <w:r>
                        <w:rPr>
                          <w:bCs/>
                          <w:color w:val="000000" w:themeColor="text1"/>
                        </w:rPr>
                        <w:t xml:space="preserve">įstiklintos dalies plotas </w:t>
                      </w:r>
                      <w:r>
                        <w:rPr>
                          <w:color w:val="000000" w:themeColor="text1"/>
                        </w:rPr>
                        <w:t>0,01 m</w:t>
                      </w:r>
                      <w:r>
                        <w:rPr>
                          <w:color w:val="000000" w:themeColor="text1"/>
                          <w:vertAlign w:val="superscript"/>
                        </w:rPr>
                        <w:t>2</w:t>
                      </w:r>
                      <w:r>
                        <w:rPr>
                          <w:color w:val="000000" w:themeColor="text1"/>
                        </w:rPr>
                        <w:t> tikslumu;</w:t>
                      </w:r>
                    </w:p>
                  </w:sdtContent>
                </w:sdt>
                <w:sdt>
                  <w:sdtPr>
                    <w:alias w:val="1 pr. 6.6.6 pp."/>
                    <w:tag w:val="part_bf1439c87291405ca4fa16066da5690f"/>
                    <w:lock w:val="sdtLocked"/>
                    <w:richText/>
                  </w:sdtPr>
                  <w:sdtContent>
                    <w:p>
                      <w:pPr>
                        <w:ind w:firstLine="720"/>
                        <w:jc w:val="both"/>
                        <w:rPr>
                          <w:color w:val="000000" w:themeColor="text1"/>
                        </w:rPr>
                      </w:pPr>
                      <w:sdt>
                        <w:sdtPr>
                          <w:alias w:val="Numeris"/>
                          <w:tag w:val="nr_bf1439c87291405ca4fa16066da5690f"/>
                          <w:lock w:val="sdtLocked"/>
                          <w:richText/>
                        </w:sdtPr>
                        <w:sdtContent>
                          <w:r>
                            <w:rPr>
                              <w:color w:val="000000" w:themeColor="text1"/>
                            </w:rPr>
                            <w:t>6.6.6</w:t>
                          </w:r>
                        </w:sdtContent>
                      </w:sdt>
                      <w:r>
                        <w:rPr>
                          <w:color w:val="000000" w:themeColor="text1"/>
                        </w:rPr>
                        <w:t xml:space="preserve">.  švieslangių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 xml:space="preserve">Jei yra švieslangių </w:t>
                      </w:r>
                      <w:r>
                        <w:rPr>
                          <w:bCs/>
                          <w:color w:val="000000" w:themeColor="text1"/>
                        </w:rPr>
                        <w:t>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4.4 lentelėje nurodyti duomenys;</w:t>
                      </w:r>
                    </w:p>
                  </w:sdtContent>
                </w:sdt>
                <w:sdt>
                  <w:sdtPr>
                    <w:alias w:val="1 pr. 6.6.7 pp."/>
                    <w:tag w:val="part_d17fd196f22d47689b70dbbe89ecceec"/>
                    <w:lock w:val="sdtLocked"/>
                    <w:richText/>
                  </w:sdtPr>
                  <w:sdtContent>
                    <w:p>
                      <w:pPr>
                        <w:ind w:firstLine="720"/>
                        <w:jc w:val="both"/>
                        <w:rPr>
                          <w:color w:val="000000" w:themeColor="text1"/>
                        </w:rPr>
                      </w:pPr>
                      <w:sdt>
                        <w:sdtPr>
                          <w:alias w:val="Numeris"/>
                          <w:tag w:val="nr_d17fd196f22d47689b70dbbe89ecceec"/>
                          <w:lock w:val="sdtLocked"/>
                          <w:richText/>
                        </w:sdtPr>
                        <w:sdtContent>
                          <w:r>
                            <w:rPr>
                              <w:color w:val="000000" w:themeColor="text1"/>
                            </w:rPr>
                            <w:t>6.6.7</w:t>
                          </w:r>
                        </w:sdtContent>
                      </w:sdt>
                      <w:r>
                        <w:rPr>
                          <w:color w:val="000000" w:themeColor="text1"/>
                        </w:rPr>
                        <w:t>. švieslangių apibūdinimas pagal Reglamento 2 priedo 2.25 lentelėje išvardintus atvejus;</w:t>
                      </w:r>
                    </w:p>
                  </w:sdtContent>
                </w:sdt>
                <w:sdt>
                  <w:sdtPr>
                    <w:alias w:val="1 pr. 6.6.8 pp."/>
                    <w:tag w:val="part_f72e7d38e89c4ef88179178c147730a7"/>
                    <w:lock w:val="sdtLocked"/>
                    <w:richText/>
                  </w:sdtPr>
                  <w:sdtContent>
                    <w:p>
                      <w:pPr>
                        <w:ind w:firstLine="720"/>
                        <w:jc w:val="both"/>
                        <w:rPr>
                          <w:bCs/>
                          <w:color w:val="000000" w:themeColor="text1"/>
                        </w:rPr>
                      </w:pPr>
                      <w:sdt>
                        <w:sdtPr>
                          <w:alias w:val="Numeris"/>
                          <w:tag w:val="nr_f72e7d38e89c4ef88179178c147730a7"/>
                          <w:lock w:val="sdtLocked"/>
                          <w:richText/>
                        </w:sdtPr>
                        <w:sdtContent>
                          <w:r>
                            <w:rPr>
                              <w:color w:val="000000" w:themeColor="text1"/>
                            </w:rPr>
                            <w:t>6.6.8</w:t>
                          </w:r>
                        </w:sdtContent>
                      </w:sdt>
                      <w:r>
                        <w:rPr>
                          <w:color w:val="000000" w:themeColor="text1"/>
                        </w:rPr>
                        <w:t>. švieslangių išorinio paviršiaus pasvyrimo kampas nuo horizontalios plokštumos 5° tikslumu.</w:t>
                      </w:r>
                    </w:p>
                  </w:sdtContent>
                </w:sdt>
              </w:sdtContent>
            </w:sdt>
            <w:sdt>
              <w:sdtPr>
                <w:alias w:val="1 pr. 6.7 pp."/>
                <w:tag w:val="part_82ceed3af0e14ef6b0a9ade0a5cb0b5a"/>
                <w:lock w:val="sdtLocked"/>
                <w:richText/>
              </w:sdtPr>
              <w:sdtContent>
                <w:p>
                  <w:pPr>
                    <w:ind w:firstLine="720"/>
                    <w:jc w:val="both"/>
                    <w:rPr>
                      <w:color w:val="000000" w:themeColor="text1"/>
                    </w:rPr>
                  </w:pPr>
                  <w:sdt>
                    <w:sdtPr>
                      <w:alias w:val="Numeris"/>
                      <w:tag w:val="nr_82ceed3af0e14ef6b0a9ade0a5cb0b5a"/>
                      <w:lock w:val="sdtLocked"/>
                      <w:richText/>
                    </w:sdtPr>
                    <w:sdtContent>
                      <w:r>
                        <w:rPr>
                          <w:color w:val="000000" w:themeColor="text1"/>
                        </w:rPr>
                        <w:t>6.7</w:t>
                      </w:r>
                    </w:sdtContent>
                  </w:sdt>
                  <w:r>
                    <w:rPr>
                      <w:color w:val="000000" w:themeColor="text1"/>
                    </w:rPr>
                    <w:t>. Duomenys apie kitas skaidrias atitvaras Š, ŠR, R, PR, P, PV, V, ŠV orientacijos fasadų dalyse:</w:t>
                  </w:r>
                </w:p>
                <w:sdt>
                  <w:sdtPr>
                    <w:alias w:val="1 pr. 6.7.1 pp."/>
                    <w:tag w:val="part_cad498ce708843afa67af8dd38eabd8a"/>
                    <w:lock w:val="sdtLocked"/>
                    <w:richText/>
                  </w:sdtPr>
                  <w:sdtContent>
                    <w:p>
                      <w:pPr>
                        <w:ind w:firstLine="720"/>
                        <w:jc w:val="both"/>
                        <w:rPr>
                          <w:color w:val="000000" w:themeColor="text1"/>
                        </w:rPr>
                      </w:pPr>
                      <w:sdt>
                        <w:sdtPr>
                          <w:alias w:val="Numeris"/>
                          <w:tag w:val="nr_cad498ce708843afa67af8dd38eabd8a"/>
                          <w:lock w:val="sdtLocked"/>
                          <w:richText/>
                        </w:sdtPr>
                        <w:sdtContent>
                          <w:r>
                            <w:rPr>
                              <w:color w:val="000000" w:themeColor="text1"/>
                            </w:rPr>
                            <w:t>6.7.1</w:t>
                          </w:r>
                        </w:sdtContent>
                      </w:sdt>
                      <w:r>
                        <w:rPr>
                          <w:color w:val="000000" w:themeColor="text1"/>
                        </w:rPr>
                        <w:t>. kitų skaidrių atitvarų pagal Reglamento 4 priede 4.5 lentelėje nurodytus kitų skaidrių atitvarų tipus plotis ir aukštis 0,01 m tikslumu, langų kiekis (vnt.);</w:t>
                      </w:r>
                    </w:p>
                  </w:sdtContent>
                </w:sdt>
                <w:sdt>
                  <w:sdtPr>
                    <w:alias w:val="1 pr. 6.7.2 pp."/>
                    <w:tag w:val="part_6e6e90799eb249b4b7ae8b08ac9ff47a"/>
                    <w:lock w:val="sdtLocked"/>
                    <w:richText/>
                  </w:sdtPr>
                  <w:sdtContent>
                    <w:p>
                      <w:pPr>
                        <w:ind w:firstLine="720"/>
                        <w:jc w:val="both"/>
                        <w:rPr>
                          <w:color w:val="000000" w:themeColor="text1"/>
                        </w:rPr>
                      </w:pPr>
                      <w:sdt>
                        <w:sdtPr>
                          <w:alias w:val="Numeris"/>
                          <w:tag w:val="nr_6e6e90799eb249b4b7ae8b08ac9ff47a"/>
                          <w:lock w:val="sdtLocked"/>
                          <w:richText/>
                        </w:sdtPr>
                        <w:sdtContent>
                          <w:r>
                            <w:rPr>
                              <w:color w:val="000000" w:themeColor="text1"/>
                            </w:rPr>
                            <w:t>6.7.2</w:t>
                          </w:r>
                        </w:sdtContent>
                      </w:sdt>
                      <w:r>
                        <w:rPr>
                          <w:color w:val="000000" w:themeColor="text1"/>
                        </w:rPr>
                        <w:t>. kitų skaidrių atitvarų</w:t>
                      </w:r>
                      <w:r>
                        <w:rPr>
                          <w:bCs/>
                          <w:color w:val="000000" w:themeColor="text1"/>
                        </w:rPr>
                        <w:t xml:space="preserve"> plotas </w:t>
                      </w:r>
                      <w:r>
                        <w:rPr>
                          <w:color w:val="000000" w:themeColor="text1"/>
                        </w:rPr>
                        <w:t>0,01 m</w:t>
                      </w:r>
                      <w:r>
                        <w:rPr>
                          <w:color w:val="000000" w:themeColor="text1"/>
                          <w:vertAlign w:val="superscript"/>
                        </w:rPr>
                        <w:t>2</w:t>
                      </w:r>
                      <w:r>
                        <w:rPr>
                          <w:color w:val="000000" w:themeColor="text1"/>
                        </w:rPr>
                        <w:t> tikslumu;</w:t>
                      </w:r>
                    </w:p>
                  </w:sdtContent>
                </w:sdt>
                <w:sdt>
                  <w:sdtPr>
                    <w:alias w:val="1 pr. 6.7.3 pp."/>
                    <w:tag w:val="part_eafd4b1aef6d4ee887c867f0d3e894ea"/>
                    <w:lock w:val="sdtLocked"/>
                    <w:richText/>
                  </w:sdtPr>
                  <w:sdtContent>
                    <w:p>
                      <w:pPr>
                        <w:ind w:firstLine="720"/>
                        <w:jc w:val="both"/>
                        <w:rPr>
                          <w:color w:val="000000" w:themeColor="text1"/>
                        </w:rPr>
                      </w:pPr>
                      <w:sdt>
                        <w:sdtPr>
                          <w:alias w:val="Numeris"/>
                          <w:tag w:val="nr_eafd4b1aef6d4ee887c867f0d3e894ea"/>
                          <w:lock w:val="sdtLocked"/>
                          <w:richText/>
                        </w:sdtPr>
                        <w:sdtContent>
                          <w:r>
                            <w:rPr>
                              <w:color w:val="000000" w:themeColor="text1"/>
                            </w:rPr>
                            <w:t>6.7.3</w:t>
                          </w:r>
                        </w:sdtContent>
                      </w:sdt>
                      <w:r>
                        <w:rPr>
                          <w:color w:val="000000" w:themeColor="text1"/>
                        </w:rPr>
                        <w:t>. kitų skaidrių atitvarų skaičiuojamojo šilumos perdavimo koeficiento vertė 0,01 W/(m</w:t>
                      </w:r>
                      <w:r>
                        <w:rPr>
                          <w:color w:val="000000" w:themeColor="text1"/>
                          <w:vertAlign w:val="superscript"/>
                        </w:rPr>
                        <w:t>2</w:t>
                      </w:r>
                      <w:r>
                        <w:rPr>
                          <w:color w:val="000000" w:themeColor="text1"/>
                        </w:rPr>
                        <w:t>·K) tikslumu. Jei yra kitų skaidrių atitvarų skaičiuojamąją šilumos perdavimo koeficiento vertę patvirtinantys dokumentai, skaičiavimuose turi būti naudojama šiuose dokumentuose nurodyta koeficiento vertė. Kitais atvejais skaičiavimuose turi būti naudojami Reglamento 4 priede 4.5 lentelėje nurodyti duomenys;</w:t>
                      </w:r>
                    </w:p>
                  </w:sdtContent>
                </w:sdt>
                <w:sdt>
                  <w:sdtPr>
                    <w:alias w:val="1 pr. 6.7.4 pp."/>
                    <w:tag w:val="part_5cee94990c914c67be238750eb6c4aef"/>
                    <w:lock w:val="sdtLocked"/>
                    <w:richText/>
                  </w:sdtPr>
                  <w:sdtContent>
                    <w:p>
                      <w:pPr>
                        <w:ind w:firstLine="720"/>
                        <w:jc w:val="both"/>
                        <w:rPr>
                          <w:bCs/>
                          <w:color w:val="000000" w:themeColor="text1"/>
                        </w:rPr>
                      </w:pPr>
                      <w:sdt>
                        <w:sdtPr>
                          <w:alias w:val="Numeris"/>
                          <w:tag w:val="nr_5cee94990c914c67be238750eb6c4aef"/>
                          <w:lock w:val="sdtLocked"/>
                          <w:richText/>
                        </w:sdtPr>
                        <w:sdtContent>
                          <w:r>
                            <w:rPr>
                              <w:color w:val="000000" w:themeColor="text1"/>
                            </w:rPr>
                            <w:t>6.7.4</w:t>
                          </w:r>
                        </w:sdtContent>
                      </w:sdt>
                      <w:r>
                        <w:rPr>
                          <w:color w:val="000000" w:themeColor="text1"/>
                        </w:rPr>
                        <w:t>. kitų skaidrių atitvarų įstiklinimo</w:t>
                      </w:r>
                      <w:r>
                        <w:rPr>
                          <w:b/>
                          <w:color w:val="000000" w:themeColor="text1"/>
                        </w:rPr>
                        <w:t xml:space="preserve"> </w:t>
                      </w:r>
                      <w:r>
                        <w:rPr>
                          <w:bCs/>
                          <w:color w:val="000000" w:themeColor="text1"/>
                        </w:rPr>
                        <w:t xml:space="preserve">visuminės saulės energijos praleisties koeficientas 0,01 tikslumu. </w:t>
                      </w:r>
                      <w:r>
                        <w:rPr>
                          <w:color w:val="000000" w:themeColor="text1"/>
                        </w:rPr>
                        <w:t>Jei yra kitų skaidrių atitvarų įstiklinimo</w:t>
                      </w:r>
                      <w:r>
                        <w:rPr>
                          <w:b/>
                          <w:color w:val="000000" w:themeColor="text1"/>
                        </w:rPr>
                        <w:t xml:space="preserve"> </w:t>
                      </w:r>
                      <w:r>
                        <w:rPr>
                          <w:bCs/>
                          <w:color w:val="000000" w:themeColor="text1"/>
                        </w:rPr>
                        <w:t>visuminės saulės energijos praleisties koeficiento</w:t>
                      </w:r>
                      <w:r>
                        <w:rPr>
                          <w:color w:val="000000" w:themeColor="text1"/>
                        </w:rPr>
                        <w:t xml:space="preserve"> vertę patvirtinantys dokumentai, skaičiavimuose turi būti naudojama šiuose dokumentuose nurodyta koeficiento vertė. Kitais atvejais skaičiavimuose turi būti naudojami Reglamento 4 priede 4.5 lentelėje nurodyti duomenys</w:t>
                      </w:r>
                      <w:r>
                        <w:rPr>
                          <w:bCs/>
                          <w:color w:val="000000" w:themeColor="text1"/>
                        </w:rPr>
                        <w:t>;</w:t>
                      </w:r>
                    </w:p>
                  </w:sdtContent>
                </w:sdt>
                <w:sdt>
                  <w:sdtPr>
                    <w:alias w:val="1 pr. 6.7.5 pp."/>
                    <w:tag w:val="part_d144217c62d14b5e9129e6a772e9f411"/>
                    <w:lock w:val="sdtLocked"/>
                    <w:richText/>
                  </w:sdtPr>
                  <w:sdtContent>
                    <w:p>
                      <w:pPr>
                        <w:ind w:firstLine="720"/>
                        <w:jc w:val="both"/>
                        <w:rPr>
                          <w:color w:val="000000" w:themeColor="text1"/>
                        </w:rPr>
                      </w:pPr>
                      <w:sdt>
                        <w:sdtPr>
                          <w:alias w:val="Numeris"/>
                          <w:tag w:val="nr_d144217c62d14b5e9129e6a772e9f411"/>
                          <w:lock w:val="sdtLocked"/>
                          <w:richText/>
                        </w:sdtPr>
                        <w:sdtContent>
                          <w:r>
                            <w:rPr>
                              <w:color w:val="000000" w:themeColor="text1"/>
                            </w:rPr>
                            <w:t>6.7</w:t>
                          </w:r>
                          <w:r>
                            <w:rPr>
                              <w:bCs/>
                              <w:color w:val="000000" w:themeColor="text1"/>
                            </w:rPr>
                            <w:t>.5</w:t>
                          </w:r>
                        </w:sdtContent>
                      </w:sdt>
                      <w:r>
                        <w:rPr>
                          <w:bCs/>
                          <w:color w:val="000000" w:themeColor="text1"/>
                        </w:rPr>
                        <w:t xml:space="preserve">. </w:t>
                      </w:r>
                      <w:r>
                        <w:rPr>
                          <w:color w:val="000000" w:themeColor="text1"/>
                        </w:rPr>
                        <w:t>kitų skaidrių atitvarų</w:t>
                      </w:r>
                      <w:r>
                        <w:rPr>
                          <w:bCs/>
                          <w:color w:val="000000" w:themeColor="text1"/>
                        </w:rPr>
                        <w:t xml:space="preserve"> įstiklintos dalies plotas </w:t>
                      </w:r>
                      <w:r>
                        <w:rPr>
                          <w:color w:val="000000" w:themeColor="text1"/>
                        </w:rPr>
                        <w:t>0,01 m</w:t>
                      </w:r>
                      <w:r>
                        <w:rPr>
                          <w:color w:val="000000" w:themeColor="text1"/>
                          <w:vertAlign w:val="superscript"/>
                        </w:rPr>
                        <w:t>2</w:t>
                      </w:r>
                      <w:r>
                        <w:rPr>
                          <w:color w:val="000000" w:themeColor="text1"/>
                        </w:rPr>
                        <w:t> tikslumu;</w:t>
                      </w:r>
                    </w:p>
                  </w:sdtContent>
                </w:sdt>
                <w:sdt>
                  <w:sdtPr>
                    <w:alias w:val="1 pr. 6.7.6 pp."/>
                    <w:tag w:val="part_0df71b0a77f845f5a0d50411a9372309"/>
                    <w:lock w:val="sdtLocked"/>
                    <w:richText/>
                  </w:sdtPr>
                  <w:sdtContent>
                    <w:p>
                      <w:pPr>
                        <w:ind w:firstLine="720"/>
                        <w:jc w:val="both"/>
                        <w:rPr>
                          <w:color w:val="000000" w:themeColor="text1"/>
                        </w:rPr>
                      </w:pPr>
                      <w:sdt>
                        <w:sdtPr>
                          <w:alias w:val="Numeris"/>
                          <w:tag w:val="nr_0df71b0a77f845f5a0d50411a9372309"/>
                          <w:lock w:val="sdtLocked"/>
                          <w:richText/>
                        </w:sdtPr>
                        <w:sdtContent>
                          <w:r>
                            <w:rPr>
                              <w:color w:val="000000" w:themeColor="text1"/>
                            </w:rPr>
                            <w:t>6.7.6</w:t>
                          </w:r>
                        </w:sdtContent>
                      </w:sdt>
                      <w:r>
                        <w:rPr>
                          <w:color w:val="000000" w:themeColor="text1"/>
                        </w:rPr>
                        <w:t>. kitų skaidrių atitvarų skaičiuojamoji oro skverbtis, esant 100 Pa slėgių skirtumui, 1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tikslumu</w:t>
                      </w:r>
                      <w:r>
                        <w:rPr>
                          <w:bCs/>
                          <w:color w:val="000000" w:themeColor="text1"/>
                        </w:rPr>
                        <w:t xml:space="preserve">. </w:t>
                      </w:r>
                      <w:r>
                        <w:rPr>
                          <w:color w:val="000000" w:themeColor="text1"/>
                        </w:rPr>
                        <w:t>Jei yra kitų skaidrių atitvarų</w:t>
                      </w:r>
                      <w:r>
                        <w:rPr>
                          <w:bCs/>
                          <w:color w:val="000000" w:themeColor="text1"/>
                        </w:rPr>
                        <w:t xml:space="preserve"> orinio laidžio klasę patvirtinantys dokumentai, ši skverbtis turi būti nustatyta pagal Reglamento 2 priedo 2.12 lentelės duomenis.</w:t>
                      </w:r>
                      <w:r>
                        <w:rPr>
                          <w:color w:val="000000" w:themeColor="text1"/>
                        </w:rPr>
                        <w:t xml:space="preserve"> Kitais atvejais skaičiavimuose turi būti naudojami Reglamento 4 priede 4.5 lentelėje nurodyti duomenys;</w:t>
                      </w:r>
                    </w:p>
                  </w:sdtContent>
                </w:sdt>
                <w:sdt>
                  <w:sdtPr>
                    <w:alias w:val="1 pr. 6.7.7 pp."/>
                    <w:tag w:val="part_4001a77f8eaa4956b4320a030e92e6e2"/>
                    <w:lock w:val="sdtLocked"/>
                    <w:richText/>
                  </w:sdtPr>
                  <w:sdtContent>
                    <w:p>
                      <w:pPr>
                        <w:ind w:firstLine="720"/>
                        <w:jc w:val="both"/>
                        <w:rPr>
                          <w:color w:val="000000" w:themeColor="text1"/>
                        </w:rPr>
                      </w:pPr>
                      <w:sdt>
                        <w:sdtPr>
                          <w:alias w:val="Numeris"/>
                          <w:tag w:val="nr_4001a77f8eaa4956b4320a030e92e6e2"/>
                          <w:lock w:val="sdtLocked"/>
                          <w:richText/>
                        </w:sdtPr>
                        <w:sdtContent>
                          <w:r>
                            <w:rPr>
                              <w:color w:val="000000" w:themeColor="text1"/>
                            </w:rPr>
                            <w:t>6.7.7</w:t>
                          </w:r>
                        </w:sdtContent>
                      </w:sdt>
                      <w:r>
                        <w:rPr>
                          <w:color w:val="000000" w:themeColor="text1"/>
                        </w:rPr>
                        <w:t>. kitų skaidrių atitvarų apibūdinimas pagal Reglamento 2 priedo 2.25 lentelėje išvardintus atvejus;</w:t>
                      </w:r>
                    </w:p>
                  </w:sdtContent>
                </w:sdt>
                <w:sdt>
                  <w:sdtPr>
                    <w:alias w:val="1 pr. 6.7.8 pp."/>
                    <w:tag w:val="part_89c742c86e084bf8950dc84f3c13b9ad"/>
                    <w:lock w:val="sdtLocked"/>
                    <w:richText/>
                  </w:sdtPr>
                  <w:sdtContent>
                    <w:p>
                      <w:pPr>
                        <w:ind w:firstLine="720"/>
                        <w:jc w:val="both"/>
                        <w:rPr>
                          <w:bCs/>
                          <w:color w:val="000000" w:themeColor="text1"/>
                        </w:rPr>
                      </w:pPr>
                      <w:sdt>
                        <w:sdtPr>
                          <w:alias w:val="Numeris"/>
                          <w:tag w:val="nr_89c742c86e084bf8950dc84f3c13b9ad"/>
                          <w:lock w:val="sdtLocked"/>
                          <w:richText/>
                        </w:sdtPr>
                        <w:sdtContent>
                          <w:r>
                            <w:rPr>
                              <w:color w:val="000000" w:themeColor="text1"/>
                            </w:rPr>
                            <w:t>6.7.8</w:t>
                          </w:r>
                        </w:sdtContent>
                      </w:sdt>
                      <w:r>
                        <w:rPr>
                          <w:color w:val="000000" w:themeColor="text1"/>
                        </w:rPr>
                        <w:t>. kitų skaidrių atitvarų išorinio paviršiaus pasvirimo kampas nuo horizontalios plokštumos 5° tikslumu.</w:t>
                      </w:r>
                    </w:p>
                  </w:sdtContent>
                </w:sdt>
              </w:sdtContent>
            </w:sdt>
            <w:sdt>
              <w:sdtPr>
                <w:alias w:val="1 pr. 6.8 pp."/>
                <w:tag w:val="part_7317706196c14fe3854b25e78a708a5c"/>
                <w:lock w:val="sdtLocked"/>
                <w:richText/>
              </w:sdtPr>
              <w:sdtContent>
                <w:p>
                  <w:pPr>
                    <w:ind w:firstLine="720"/>
                    <w:jc w:val="both"/>
                    <w:rPr>
                      <w:color w:val="000000" w:themeColor="text1"/>
                    </w:rPr>
                  </w:pPr>
                  <w:sdt>
                    <w:sdtPr>
                      <w:alias w:val="Numeris"/>
                      <w:tag w:val="nr_7317706196c14fe3854b25e78a708a5c"/>
                      <w:lock w:val="sdtLocked"/>
                      <w:richText/>
                    </w:sdtPr>
                    <w:sdtContent>
                      <w:r>
                        <w:rPr>
                          <w:color w:val="000000" w:themeColor="text1"/>
                        </w:rPr>
                        <w:t>6.8</w:t>
                      </w:r>
                    </w:sdtContent>
                  </w:sdt>
                  <w:r>
                    <w:rPr>
                      <w:color w:val="000000" w:themeColor="text1"/>
                    </w:rPr>
                    <w:t>. Duomenys apie stogus šiose fasadų dalyse: tarp patalpų ir išorės; tarp patalpų ir šiltnamio; tarp patalpų ir įstiklintų galerijų:</w:t>
                  </w:r>
                </w:p>
                <w:sdt>
                  <w:sdtPr>
                    <w:alias w:val="1 pr. 6.8.1 pp."/>
                    <w:tag w:val="part_908c6d95b7c24e6c82af2c5092926ddf"/>
                    <w:lock w:val="sdtLocked"/>
                    <w:richText/>
                  </w:sdtPr>
                  <w:sdtContent>
                    <w:p>
                      <w:pPr>
                        <w:ind w:firstLine="720"/>
                        <w:jc w:val="both"/>
                        <w:rPr>
                          <w:color w:val="000000" w:themeColor="text1"/>
                        </w:rPr>
                      </w:pPr>
                      <w:sdt>
                        <w:sdtPr>
                          <w:alias w:val="Numeris"/>
                          <w:tag w:val="nr_908c6d95b7c24e6c82af2c5092926ddf"/>
                          <w:lock w:val="sdtLocked"/>
                          <w:richText/>
                        </w:sdtPr>
                        <w:sdtContent>
                          <w:r>
                            <w:rPr>
                              <w:color w:val="000000" w:themeColor="text1"/>
                            </w:rPr>
                            <w:t>6.8.1</w:t>
                          </w:r>
                        </w:sdtContent>
                      </w:sdt>
                      <w:r>
                        <w:rPr>
                          <w:color w:val="000000" w:themeColor="text1"/>
                        </w:rPr>
                        <w:t>. stogo atskirų dalių plotai be angų stoglangiams ir švieslangiams 0,01 m</w:t>
                      </w:r>
                      <w:r>
                        <w:rPr>
                          <w:color w:val="000000" w:themeColor="text1"/>
                          <w:vertAlign w:val="superscript"/>
                        </w:rPr>
                        <w:t>2</w:t>
                      </w:r>
                      <w:r>
                        <w:rPr>
                          <w:color w:val="000000" w:themeColor="text1"/>
                        </w:rPr>
                        <w:t>  tikslumu;</w:t>
                      </w:r>
                    </w:p>
                  </w:sdtContent>
                </w:sdt>
                <w:sdt>
                  <w:sdtPr>
                    <w:alias w:val="1 pr. 6.8.2 pp."/>
                    <w:tag w:val="part_6a2b1565af9b47ddb662b3f42136a56e"/>
                    <w:lock w:val="sdtLocked"/>
                    <w:richText/>
                  </w:sdtPr>
                  <w:sdtContent>
                    <w:p>
                      <w:pPr>
                        <w:ind w:firstLine="720"/>
                        <w:jc w:val="both"/>
                        <w:rPr>
                          <w:color w:val="000000" w:themeColor="text1"/>
                        </w:rPr>
                      </w:pPr>
                      <w:sdt>
                        <w:sdtPr>
                          <w:alias w:val="Numeris"/>
                          <w:tag w:val="nr_6a2b1565af9b47ddb662b3f42136a56e"/>
                          <w:lock w:val="sdtLocked"/>
                          <w:richText/>
                        </w:sdtPr>
                        <w:sdtContent>
                          <w:r>
                            <w:rPr>
                              <w:color w:val="000000" w:themeColor="text1"/>
                            </w:rPr>
                            <w:t>6.8.2</w:t>
                          </w:r>
                        </w:sdtContent>
                      </w:sdt>
                      <w:r>
                        <w:rPr>
                          <w:color w:val="000000" w:themeColor="text1"/>
                        </w:rPr>
                        <w:t>. stogo atskirų dalių skaičiuojamojo šilumos perdavimo koeficiento vertė 0,01 W/(m</w:t>
                      </w:r>
                      <w:r>
                        <w:rPr>
                          <w:color w:val="000000" w:themeColor="text1"/>
                          <w:vertAlign w:val="superscript"/>
                        </w:rPr>
                        <w:t>2</w:t>
                      </w:r>
                      <w:r>
                        <w:rPr>
                          <w:color w:val="000000" w:themeColor="text1"/>
                        </w:rPr>
                        <w:t xml:space="preserve">·K) tikslumu. Jei yra stogo sluoksnius sudarančių medžiagų projektines šilumos laidumo koeficientų vertes patvirtinantys dokumentai, šie koeficientai turi būti taikomi  </w:t>
                      </w:r>
                      <w:r>
                        <w:rPr>
                          <w:iCs/>
                          <w:color w:val="000000" w:themeColor="text1"/>
                        </w:rPr>
                        <w:t>šilumos perdavimo koeficiento vertės</w:t>
                      </w:r>
                      <w:r>
                        <w:rPr>
                          <w:color w:val="000000" w:themeColor="text1"/>
                        </w:rPr>
                        <w:t xml:space="preserve"> skaičiavimams pagal Reglamentų 2 ir 3 priedų reikalavimus. Jei tokių dokumentų nėra, </w:t>
                      </w:r>
                      <w:r>
                        <w:rPr>
                          <w:iCs/>
                          <w:color w:val="000000" w:themeColor="text1"/>
                        </w:rPr>
                        <w:t>šilumos perdavimo koeficiento</w:t>
                      </w:r>
                      <w:r>
                        <w:rPr>
                          <w:color w:val="000000" w:themeColor="text1"/>
                        </w:rPr>
                        <w:t xml:space="preserve"> vertės skaičiavimams turi būti taikomi Reglamento 3 priede pateikti duomenys arba </w:t>
                      </w:r>
                      <w:r>
                        <w:rPr>
                          <w:iCs/>
                          <w:color w:val="000000" w:themeColor="text1"/>
                        </w:rPr>
                        <w:t>šiai</w:t>
                      </w:r>
                      <w:r>
                        <w:rPr>
                          <w:color w:val="000000" w:themeColor="text1"/>
                        </w:rPr>
                        <w:t xml:space="preserve"> vertei nustatyti naudojami Reglamento 5 priede pateikti duomenys;</w:t>
                      </w:r>
                    </w:p>
                  </w:sdtContent>
                </w:sdt>
                <w:sdt>
                  <w:sdtPr>
                    <w:alias w:val="1 pr. 6.8.3 pp."/>
                    <w:tag w:val="part_ac7cbf75e2ea45279d7d9ed21e3963eb"/>
                    <w:lock w:val="sdtLocked"/>
                    <w:richText/>
                  </w:sdtPr>
                  <w:sdtContent>
                    <w:p>
                      <w:pPr>
                        <w:ind w:firstLine="720"/>
                        <w:jc w:val="both"/>
                        <w:rPr>
                          <w:color w:val="000000" w:themeColor="text1"/>
                        </w:rPr>
                      </w:pPr>
                      <w:sdt>
                        <w:sdtPr>
                          <w:alias w:val="Numeris"/>
                          <w:tag w:val="nr_ac7cbf75e2ea45279d7d9ed21e3963eb"/>
                          <w:lock w:val="sdtLocked"/>
                          <w:richText/>
                        </w:sdtPr>
                        <w:sdtContent>
                          <w:r>
                            <w:rPr>
                              <w:color w:val="000000" w:themeColor="text1"/>
                            </w:rPr>
                            <w:t>6.8.3</w:t>
                          </w:r>
                        </w:sdtContent>
                      </w:sdt>
                      <w:r>
                        <w:rPr>
                          <w:color w:val="000000" w:themeColor="text1"/>
                        </w:rPr>
                        <w:t xml:space="preserve">. stogo apibūdinimas pagal Reglamento 2 priedo 2.31 lentelėje išvardintus atvejus. </w:t>
                      </w:r>
                    </w:p>
                  </w:sdtContent>
                </w:sdt>
              </w:sdtContent>
            </w:sdt>
            <w:sdt>
              <w:sdtPr>
                <w:alias w:val="1 pr. 6.9 pp."/>
                <w:tag w:val="part_a68796d7db744d6fa873c14f7570e591"/>
                <w:lock w:val="sdtLocked"/>
                <w:richText/>
              </w:sdtPr>
              <w:sdtContent>
                <w:p>
                  <w:pPr>
                    <w:ind w:firstLine="720"/>
                    <w:jc w:val="both"/>
                    <w:rPr>
                      <w:color w:val="000000" w:themeColor="text1"/>
                    </w:rPr>
                  </w:pPr>
                  <w:sdt>
                    <w:sdtPr>
                      <w:alias w:val="Numeris"/>
                      <w:tag w:val="nr_a68796d7db744d6fa873c14f7570e591"/>
                      <w:lock w:val="sdtLocked"/>
                      <w:richText/>
                    </w:sdtPr>
                    <w:sdtContent>
                      <w:r>
                        <w:rPr>
                          <w:color w:val="000000" w:themeColor="text1"/>
                        </w:rPr>
                        <w:t>6.9</w:t>
                      </w:r>
                    </w:sdtContent>
                  </w:sdt>
                  <w:r>
                    <w:rPr>
                      <w:color w:val="000000" w:themeColor="text1"/>
                    </w:rPr>
                    <w:t>. Duomenys apie perdangas, kurios ribojasi su išore:</w:t>
                  </w:r>
                </w:p>
                <w:sdt>
                  <w:sdtPr>
                    <w:alias w:val="1 pr. 6.9.1 pp."/>
                    <w:tag w:val="part_6133080c797f4978b79133c9351534dc"/>
                    <w:lock w:val="sdtLocked"/>
                    <w:richText/>
                  </w:sdtPr>
                  <w:sdtContent>
                    <w:p>
                      <w:pPr>
                        <w:ind w:firstLine="720"/>
                        <w:jc w:val="both"/>
                        <w:rPr>
                          <w:color w:val="000000" w:themeColor="text1"/>
                        </w:rPr>
                      </w:pPr>
                      <w:sdt>
                        <w:sdtPr>
                          <w:alias w:val="Numeris"/>
                          <w:tag w:val="nr_6133080c797f4978b79133c9351534dc"/>
                          <w:lock w:val="sdtLocked"/>
                          <w:richText/>
                        </w:sdtPr>
                        <w:sdtContent>
                          <w:r>
                            <w:rPr>
                              <w:color w:val="000000" w:themeColor="text1"/>
                            </w:rPr>
                            <w:t>6.9.1</w:t>
                          </w:r>
                        </w:sdtContent>
                      </w:sdt>
                      <w:r>
                        <w:rPr>
                          <w:color w:val="000000" w:themeColor="text1"/>
                        </w:rPr>
                        <w:t>. perdangų, kurios ribojasi su išore, matmenys 0,01 m tikslumu;</w:t>
                      </w:r>
                    </w:p>
                  </w:sdtContent>
                </w:sdt>
                <w:sdt>
                  <w:sdtPr>
                    <w:alias w:val="1 pr. 6.9.2 pp."/>
                    <w:tag w:val="part_73fa86832ecb4fcfb5fed664d3f1a575"/>
                    <w:lock w:val="sdtLocked"/>
                    <w:richText/>
                  </w:sdtPr>
                  <w:sdtContent>
                    <w:p>
                      <w:pPr>
                        <w:ind w:firstLine="720"/>
                        <w:jc w:val="both"/>
                        <w:rPr>
                          <w:color w:val="000000" w:themeColor="text1"/>
                        </w:rPr>
                      </w:pPr>
                      <w:sdt>
                        <w:sdtPr>
                          <w:alias w:val="Numeris"/>
                          <w:tag w:val="nr_73fa86832ecb4fcfb5fed664d3f1a575"/>
                          <w:lock w:val="sdtLocked"/>
                          <w:richText/>
                        </w:sdtPr>
                        <w:sdtContent>
                          <w:r>
                            <w:rPr>
                              <w:color w:val="000000" w:themeColor="text1"/>
                            </w:rPr>
                            <w:t>6.9.2</w:t>
                          </w:r>
                        </w:sdtContent>
                      </w:sdt>
                      <w:r>
                        <w:rPr>
                          <w:color w:val="000000" w:themeColor="text1"/>
                        </w:rPr>
                        <w:t>. perdangų, kurios ribojasi su išore, plotai 0,01 m</w:t>
                      </w:r>
                      <w:r>
                        <w:rPr>
                          <w:color w:val="000000" w:themeColor="text1"/>
                          <w:vertAlign w:val="superscript"/>
                        </w:rPr>
                        <w:t>2</w:t>
                      </w:r>
                      <w:r>
                        <w:rPr>
                          <w:color w:val="000000" w:themeColor="text1"/>
                        </w:rPr>
                        <w:t>  tikslumu;</w:t>
                      </w:r>
                    </w:p>
                  </w:sdtContent>
                </w:sdt>
                <w:sdt>
                  <w:sdtPr>
                    <w:alias w:val="1 pr. 6.9.3 pp."/>
                    <w:tag w:val="part_2c50362b39bb4734ac0044c10c066655"/>
                    <w:lock w:val="sdtLocked"/>
                    <w:richText/>
                  </w:sdtPr>
                  <w:sdtContent>
                    <w:p>
                      <w:pPr>
                        <w:ind w:firstLine="720"/>
                        <w:jc w:val="both"/>
                        <w:rPr>
                          <w:color w:val="000000" w:themeColor="text1"/>
                        </w:rPr>
                      </w:pPr>
                      <w:sdt>
                        <w:sdtPr>
                          <w:alias w:val="Numeris"/>
                          <w:tag w:val="nr_2c50362b39bb4734ac0044c10c066655"/>
                          <w:lock w:val="sdtLocked"/>
                          <w:richText/>
                        </w:sdtPr>
                        <w:sdtContent>
                          <w:r>
                            <w:rPr>
                              <w:color w:val="000000" w:themeColor="text1"/>
                            </w:rPr>
                            <w:t>6.9.3</w:t>
                          </w:r>
                        </w:sdtContent>
                      </w:sdt>
                      <w:r>
                        <w:rPr>
                          <w:color w:val="000000" w:themeColor="text1"/>
                        </w:rPr>
                        <w:t>. perdangų, kurios ribojasi su išore, skaičiuojamojo šilumos perdavimo koeficiento vertė 0,01 W/(m</w:t>
                      </w:r>
                      <w:r>
                        <w:rPr>
                          <w:color w:val="000000" w:themeColor="text1"/>
                          <w:vertAlign w:val="superscript"/>
                        </w:rPr>
                        <w:t>2</w:t>
                      </w:r>
                      <w:r>
                        <w:rPr>
                          <w:color w:val="000000" w:themeColor="text1"/>
                        </w:rPr>
                        <w:t xml:space="preserve">·K) tikslumu. Jei yra perdangų, kurios ribojasi su išore, sluoksnius sudarančių medžiagų projektines šilumos laidumo koeficientų vertes patvirtinantys dokumentai, šie koeficientai turi būti taikomi </w:t>
                      </w:r>
                      <w:r>
                        <w:rPr>
                          <w:iCs/>
                          <w:color w:val="000000" w:themeColor="text1"/>
                        </w:rPr>
                        <w:t>šilumos perdavimo koeficiento vertės</w:t>
                      </w:r>
                      <w:r>
                        <w:rPr>
                          <w:color w:val="000000" w:themeColor="text1"/>
                        </w:rPr>
                        <w:t xml:space="preserve"> skaičiavimams pagal Reglamentų 2 ir 3 priedų reikalavimus. Jei tokių dokumentų nėra, </w:t>
                      </w:r>
                      <w:r>
                        <w:rPr>
                          <w:iCs/>
                          <w:color w:val="000000" w:themeColor="text1"/>
                        </w:rPr>
                        <w:t>šilumos perdavimo koeficiento</w:t>
                      </w:r>
                      <w:r>
                        <w:rPr>
                          <w:color w:val="000000" w:themeColor="text1"/>
                        </w:rPr>
                        <w:t xml:space="preserve"> vertės skaičiavimams turi būti taikomi Reglamento 3 priede pateikti duomenys arba </w:t>
                      </w:r>
                      <w:r>
                        <w:rPr>
                          <w:iCs/>
                          <w:color w:val="000000" w:themeColor="text1"/>
                        </w:rPr>
                        <w:t>šiai</w:t>
                      </w:r>
                      <w:r>
                        <w:rPr>
                          <w:color w:val="000000" w:themeColor="text1"/>
                        </w:rPr>
                        <w:t xml:space="preserve"> vertei nustatyti naudojami Reglamento 5 priede pateikti duomenys. </w:t>
                      </w:r>
                    </w:p>
                  </w:sdtContent>
                </w:sdt>
              </w:sdtContent>
            </w:sdt>
            <w:sdt>
              <w:sdtPr>
                <w:alias w:val="1 pr. 6.10 pp."/>
                <w:tag w:val="part_902c99929ed74c2488fd5fc89730739d"/>
                <w:lock w:val="sdtLocked"/>
                <w:richText/>
              </w:sdtPr>
              <w:sdtContent>
                <w:p>
                  <w:pPr>
                    <w:ind w:firstLine="720"/>
                    <w:jc w:val="both"/>
                    <w:rPr>
                      <w:color w:val="000000" w:themeColor="text1"/>
                    </w:rPr>
                  </w:pPr>
                  <w:sdt>
                    <w:sdtPr>
                      <w:alias w:val="Numeris"/>
                      <w:tag w:val="nr_902c99929ed74c2488fd5fc89730739d"/>
                      <w:lock w:val="sdtLocked"/>
                      <w:richText/>
                    </w:sdtPr>
                    <w:sdtContent>
                      <w:r>
                        <w:rPr>
                          <w:color w:val="000000" w:themeColor="text1"/>
                        </w:rPr>
                        <w:t>6.10</w:t>
                      </w:r>
                    </w:sdtContent>
                  </w:sdt>
                  <w:r>
                    <w:rPr>
                      <w:color w:val="000000" w:themeColor="text1"/>
                    </w:rPr>
                    <w:t>. Duomenys apie perdangas virš nešildomų rūsių ir pogrindžių (žr. Reglamento 2 priedo 2.8 ir 2.9 pav.):</w:t>
                  </w:r>
                </w:p>
                <w:sdt>
                  <w:sdtPr>
                    <w:alias w:val="1 pr. 6.10.1 pp."/>
                    <w:tag w:val="part_e241e91d8c2b4f858d1014152b406920"/>
                    <w:lock w:val="sdtLocked"/>
                    <w:richText/>
                  </w:sdtPr>
                  <w:sdtContent>
                    <w:p>
                      <w:pPr>
                        <w:ind w:firstLine="720"/>
                        <w:jc w:val="both"/>
                        <w:rPr>
                          <w:color w:val="000000" w:themeColor="text1"/>
                        </w:rPr>
                      </w:pPr>
                      <w:sdt>
                        <w:sdtPr>
                          <w:alias w:val="Numeris"/>
                          <w:tag w:val="nr_e241e91d8c2b4f858d1014152b406920"/>
                          <w:lock w:val="sdtLocked"/>
                          <w:richText/>
                        </w:sdtPr>
                        <w:sdtContent>
                          <w:r>
                            <w:rPr>
                              <w:color w:val="000000" w:themeColor="text1"/>
                            </w:rPr>
                            <w:t>6.10.1</w:t>
                          </w:r>
                        </w:sdtContent>
                      </w:sdt>
                      <w:r>
                        <w:rPr>
                          <w:color w:val="000000" w:themeColor="text1"/>
                        </w:rPr>
                        <w:t>. perdangų virš nešildomų rūsių ir pogrindžių matmenys 0,01 m tikslumu;</w:t>
                      </w:r>
                    </w:p>
                  </w:sdtContent>
                </w:sdt>
                <w:sdt>
                  <w:sdtPr>
                    <w:alias w:val="1 pr. 6.10.2 pp."/>
                    <w:tag w:val="part_48580d760bdf4520b34621d36ea955ea"/>
                    <w:lock w:val="sdtLocked"/>
                    <w:richText/>
                  </w:sdtPr>
                  <w:sdtContent>
                    <w:p>
                      <w:pPr>
                        <w:ind w:firstLine="720"/>
                        <w:jc w:val="both"/>
                        <w:rPr>
                          <w:color w:val="000000" w:themeColor="text1"/>
                        </w:rPr>
                      </w:pPr>
                      <w:sdt>
                        <w:sdtPr>
                          <w:alias w:val="Numeris"/>
                          <w:tag w:val="nr_48580d760bdf4520b34621d36ea955ea"/>
                          <w:lock w:val="sdtLocked"/>
                          <w:richText/>
                        </w:sdtPr>
                        <w:sdtContent>
                          <w:r>
                            <w:rPr>
                              <w:color w:val="000000" w:themeColor="text1"/>
                            </w:rPr>
                            <w:t>6.10.2</w:t>
                          </w:r>
                        </w:sdtContent>
                      </w:sdt>
                      <w:r>
                        <w:rPr>
                          <w:color w:val="000000" w:themeColor="text1"/>
                        </w:rPr>
                        <w:t>. perdangų virš nešildomų rūsių ir pogrindžių plotai 0,01 m</w:t>
                      </w:r>
                      <w:r>
                        <w:rPr>
                          <w:color w:val="000000" w:themeColor="text1"/>
                          <w:vertAlign w:val="superscript"/>
                        </w:rPr>
                        <w:t>2</w:t>
                      </w:r>
                      <w:r>
                        <w:rPr>
                          <w:color w:val="000000" w:themeColor="text1"/>
                        </w:rPr>
                        <w:t>  tikslumu;</w:t>
                      </w:r>
                    </w:p>
                  </w:sdtContent>
                </w:sdt>
                <w:sdt>
                  <w:sdtPr>
                    <w:alias w:val="1 pr. 6.10.3 pp."/>
                    <w:tag w:val="part_5e095a4747104512bebd963cf4f9822d"/>
                    <w:lock w:val="sdtLocked"/>
                    <w:richText/>
                  </w:sdtPr>
                  <w:sdtContent>
                    <w:p>
                      <w:pPr>
                        <w:ind w:firstLine="720"/>
                        <w:jc w:val="both"/>
                        <w:rPr>
                          <w:color w:val="000000" w:themeColor="text1"/>
                        </w:rPr>
                      </w:pPr>
                      <w:sdt>
                        <w:sdtPr>
                          <w:alias w:val="Numeris"/>
                          <w:tag w:val="nr_5e095a4747104512bebd963cf4f9822d"/>
                          <w:lock w:val="sdtLocked"/>
                          <w:richText/>
                        </w:sdtPr>
                        <w:sdtContent>
                          <w:r>
                            <w:rPr>
                              <w:color w:val="000000" w:themeColor="text1"/>
                            </w:rPr>
                            <w:t>6.10.3</w:t>
                          </w:r>
                        </w:sdtContent>
                      </w:sdt>
                      <w:r>
                        <w:rPr>
                          <w:color w:val="000000" w:themeColor="text1"/>
                        </w:rPr>
                        <w:t xml:space="preserve">. perdangų virš nešildomų rūsių ir pogrindžių grindų plokštės suminės šiluminės varžos </w:t>
                      </w:r>
                      <w:r>
                        <w:rPr>
                          <w:i/>
                          <w:color w:val="000000" w:themeColor="text1"/>
                        </w:rPr>
                        <w:t>R</w:t>
                      </w:r>
                      <w:r>
                        <w:rPr>
                          <w:i/>
                          <w:color w:val="000000" w:themeColor="text1"/>
                          <w:vertAlign w:val="subscript"/>
                        </w:rPr>
                        <w:t>f</w:t>
                      </w:r>
                      <w:r>
                        <w:rPr>
                          <w:color w:val="000000" w:themeColor="text1"/>
                        </w:rPr>
                        <w:t xml:space="preserve"> vertė 0,01 m</w:t>
                      </w:r>
                      <w:r>
                        <w:rPr>
                          <w:color w:val="000000" w:themeColor="text1"/>
                          <w:vertAlign w:val="superscript"/>
                        </w:rPr>
                        <w:t>2</w:t>
                      </w:r>
                      <w:r>
                        <w:rPr>
                          <w:color w:val="000000" w:themeColor="text1"/>
                        </w:rPr>
                        <w:t xml:space="preserve">·K/W tikslumu. Jei yra šių perdangų sluoksnius sudarančių medžiagų projektines šilumos laidumo koeficientų vertes patvirtinantys dokumentai, šie koeficientai turi būti taikomi suminės šiluminės varžos </w:t>
                      </w:r>
                      <w:r>
                        <w:rPr>
                          <w:i/>
                          <w:color w:val="000000" w:themeColor="text1"/>
                        </w:rPr>
                        <w:t>R</w:t>
                      </w:r>
                      <w:r>
                        <w:rPr>
                          <w:i/>
                          <w:color w:val="000000" w:themeColor="text1"/>
                          <w:vertAlign w:val="subscript"/>
                        </w:rPr>
                        <w:t>f</w:t>
                      </w:r>
                      <w:r>
                        <w:rPr>
                          <w:color w:val="000000" w:themeColor="text1"/>
                        </w:rPr>
                        <w:t xml:space="preserve"> </w:t>
                      </w:r>
                      <w:r>
                        <w:rPr>
                          <w:iCs/>
                          <w:color w:val="000000" w:themeColor="text1"/>
                        </w:rPr>
                        <w:t>vertės</w:t>
                      </w:r>
                      <w:r>
                        <w:rPr>
                          <w:color w:val="000000" w:themeColor="text1"/>
                        </w:rPr>
                        <w:t xml:space="preserve"> skaičiavimams pagal Reglamentų 2 ir 3 priedų reikalavimus. Jei tokių dokumentų nėra, suminės šiluminės varžos vertės skaičiavimams turi būti taikomi Reglamento 3 priede pateikti duomenys;  </w:t>
                      </w:r>
                    </w:p>
                  </w:sdtContent>
                </w:sdt>
                <w:sdt>
                  <w:sdtPr>
                    <w:alias w:val="1 pr. 6.10.4 pp."/>
                    <w:tag w:val="part_042699eec5b241d190796cb77f4c8f62"/>
                    <w:lock w:val="sdtLocked"/>
                    <w:richText/>
                  </w:sdtPr>
                  <w:sdtContent>
                    <w:p>
                      <w:pPr>
                        <w:ind w:firstLine="720"/>
                        <w:jc w:val="both"/>
                        <w:rPr>
                          <w:color w:val="000000" w:themeColor="text1"/>
                        </w:rPr>
                      </w:pPr>
                      <w:sdt>
                        <w:sdtPr>
                          <w:alias w:val="Numeris"/>
                          <w:tag w:val="nr_042699eec5b241d190796cb77f4c8f62"/>
                          <w:lock w:val="sdtLocked"/>
                          <w:richText/>
                        </w:sdtPr>
                        <w:sdtContent>
                          <w:r>
                            <w:rPr>
                              <w:color w:val="000000" w:themeColor="text1"/>
                            </w:rPr>
                            <w:t>6.10.4</w:t>
                          </w:r>
                        </w:sdtContent>
                      </w:sdt>
                      <w:r>
                        <w:rPr>
                          <w:color w:val="000000" w:themeColor="text1"/>
                        </w:rPr>
                        <w:t xml:space="preserve">. nešildomų rūsių ar pogrindžių sienos  storis 0,01 m tikslumu;</w:t>
                      </w:r>
                    </w:p>
                  </w:sdtContent>
                </w:sdt>
                <w:sdt>
                  <w:sdtPr>
                    <w:alias w:val="1 pr. 6.10.5 pp."/>
                    <w:tag w:val="part_bc2ef485a92d42f9907e017fe1a61c91"/>
                    <w:lock w:val="sdtLocked"/>
                    <w:richText/>
                  </w:sdtPr>
                  <w:sdtContent>
                    <w:p>
                      <w:pPr>
                        <w:ind w:firstLine="720"/>
                        <w:jc w:val="both"/>
                        <w:rPr>
                          <w:color w:val="000000" w:themeColor="text1"/>
                        </w:rPr>
                      </w:pPr>
                      <w:sdt>
                        <w:sdtPr>
                          <w:alias w:val="Numeris"/>
                          <w:tag w:val="nr_bc2ef485a92d42f9907e017fe1a61c91"/>
                          <w:lock w:val="sdtLocked"/>
                          <w:richText/>
                        </w:sdtPr>
                        <w:sdtContent>
                          <w:r>
                            <w:rPr>
                              <w:color w:val="000000" w:themeColor="text1"/>
                            </w:rPr>
                            <w:t>6.10.5</w:t>
                          </w:r>
                        </w:sdtContent>
                      </w:sdt>
                      <w:r>
                        <w:rPr>
                          <w:color w:val="000000" w:themeColor="text1"/>
                        </w:rPr>
                        <w:t>. patalpų grindų aukštis virš žemės paviršiaus 0,01 m tikslumu;</w:t>
                      </w:r>
                    </w:p>
                  </w:sdtContent>
                </w:sdt>
                <w:sdt>
                  <w:sdtPr>
                    <w:alias w:val="1 pr. 6.10.6 pp."/>
                    <w:tag w:val="part_478fbd48cd024c07a1d7a5c19af03f67"/>
                    <w:lock w:val="sdtLocked"/>
                    <w:richText/>
                  </w:sdtPr>
                  <w:sdtContent>
                    <w:p>
                      <w:pPr>
                        <w:ind w:firstLine="720"/>
                        <w:jc w:val="both"/>
                        <w:rPr>
                          <w:color w:val="000000" w:themeColor="text1"/>
                        </w:rPr>
                      </w:pPr>
                      <w:sdt>
                        <w:sdtPr>
                          <w:alias w:val="Numeris"/>
                          <w:tag w:val="nr_478fbd48cd024c07a1d7a5c19af03f67"/>
                          <w:lock w:val="sdtLocked"/>
                          <w:richText/>
                        </w:sdtPr>
                        <w:sdtContent>
                          <w:r>
                            <w:rPr>
                              <w:color w:val="000000" w:themeColor="text1"/>
                            </w:rPr>
                            <w:t>6.10.6</w:t>
                          </w:r>
                        </w:sdtContent>
                      </w:sdt>
                      <w:r>
                        <w:rPr>
                          <w:color w:val="000000" w:themeColor="text1"/>
                        </w:rPr>
                        <w:t>. nešildomo rūsio ar pogrindžio grindų gylis nuo grunto paviršiaus 0,01 m tikslumu;</w:t>
                      </w:r>
                    </w:p>
                  </w:sdtContent>
                </w:sdt>
                <w:sdt>
                  <w:sdtPr>
                    <w:alias w:val="1 pr. 6.10.7 pp."/>
                    <w:tag w:val="part_03b921b6c8fc47b8a12ffbc8b2f96e71"/>
                    <w:lock w:val="sdtLocked"/>
                    <w:richText/>
                  </w:sdtPr>
                  <w:sdtContent>
                    <w:p>
                      <w:pPr>
                        <w:ind w:firstLine="720"/>
                        <w:jc w:val="both"/>
                        <w:rPr>
                          <w:color w:val="000000" w:themeColor="text1"/>
                        </w:rPr>
                      </w:pPr>
                      <w:sdt>
                        <w:sdtPr>
                          <w:alias w:val="Numeris"/>
                          <w:tag w:val="nr_03b921b6c8fc47b8a12ffbc8b2f96e71"/>
                          <w:lock w:val="sdtLocked"/>
                          <w:richText/>
                        </w:sdtPr>
                        <w:sdtContent>
                          <w:r>
                            <w:rPr>
                              <w:color w:val="000000" w:themeColor="text1"/>
                            </w:rPr>
                            <w:t>6.10.7</w:t>
                          </w:r>
                        </w:sdtContent>
                      </w:sdt>
                      <w:r>
                        <w:rPr>
                          <w:color w:val="000000" w:themeColor="text1"/>
                        </w:rPr>
                        <w:t xml:space="preserve">. nešildomų rūsių ir pogrindžių grindų plokštės suminės šiluminės varžos </w:t>
                      </w:r>
                      <w:r>
                        <w:rPr>
                          <w:i/>
                          <w:color w:val="000000" w:themeColor="text1"/>
                        </w:rPr>
                        <w:t>R</w:t>
                      </w:r>
                      <w:r>
                        <w:rPr>
                          <w:i/>
                          <w:color w:val="000000" w:themeColor="text1"/>
                          <w:vertAlign w:val="subscript"/>
                        </w:rPr>
                        <w:t>bf</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bf</w:t>
                      </w:r>
                      <w:r>
                        <w:rPr>
                          <w:color w:val="000000" w:themeColor="text1"/>
                        </w:rPr>
                        <w:t xml:space="preserve"> </w:t>
                      </w:r>
                      <w:r>
                        <w:rPr>
                          <w:iCs/>
                          <w:color w:val="000000" w:themeColor="text1"/>
                        </w:rPr>
                        <w:t>vertės</w:t>
                      </w:r>
                      <w:r>
                        <w:rPr>
                          <w:color w:val="000000" w:themeColor="text1"/>
                        </w:rPr>
                        <w:t xml:space="preserve"> pagal Reglamentų 2 ir 3 priedų reikalavimus skaičiavimams. Jei tokių dokumentų nėra,  šios šiluminės varžos vertės skaičiavimams turi būti taikomi Reglamento 3 priede  3.5 lentelėje pateikti duomenys;</w:t>
                      </w:r>
                    </w:p>
                  </w:sdtContent>
                </w:sdt>
                <w:sdt>
                  <w:sdtPr>
                    <w:alias w:val="1 pr. 6.10.8 pp."/>
                    <w:tag w:val="part_d54c1f5e51aa4b399361d2ca97e9f27a"/>
                    <w:lock w:val="sdtLocked"/>
                    <w:richText/>
                  </w:sdtPr>
                  <w:sdtContent>
                    <w:p>
                      <w:pPr>
                        <w:ind w:firstLine="720"/>
                        <w:jc w:val="both"/>
                        <w:rPr>
                          <w:color w:val="000000" w:themeColor="text1"/>
                        </w:rPr>
                      </w:pPr>
                      <w:sdt>
                        <w:sdtPr>
                          <w:alias w:val="Numeris"/>
                          <w:tag w:val="nr_d54c1f5e51aa4b399361d2ca97e9f27a"/>
                          <w:lock w:val="sdtLocked"/>
                          <w:richText/>
                        </w:sdtPr>
                        <w:sdtContent>
                          <w:r>
                            <w:rPr>
                              <w:color w:val="000000" w:themeColor="text1"/>
                            </w:rPr>
                            <w:t>6.10.8</w:t>
                          </w:r>
                        </w:sdtContent>
                      </w:sdt>
                      <w:r>
                        <w:rPr>
                          <w:color w:val="000000" w:themeColor="text1"/>
                        </w:rPr>
                        <w:t xml:space="preserve">. nešildomų rūsių ir pogrindžių sienų suminės šiluminės varžos </w:t>
                      </w:r>
                      <w:r>
                        <w:rPr>
                          <w:i/>
                          <w:color w:val="000000" w:themeColor="text1"/>
                        </w:rPr>
                        <w:t>R</w:t>
                      </w:r>
                      <w:r>
                        <w:rPr>
                          <w:i/>
                          <w:color w:val="000000" w:themeColor="text1"/>
                          <w:vertAlign w:val="subscript"/>
                        </w:rPr>
                        <w:t>bw</w:t>
                      </w:r>
                      <w:r>
                        <w:rPr>
                          <w:color w:val="000000" w:themeColor="text1"/>
                        </w:rPr>
                        <w:t xml:space="preserve"> vertė 0,01 m</w:t>
                      </w:r>
                      <w:r>
                        <w:rPr>
                          <w:color w:val="000000" w:themeColor="text1"/>
                          <w:vertAlign w:val="superscript"/>
                        </w:rPr>
                        <w:t>2</w:t>
                      </w:r>
                      <w:r>
                        <w:rPr>
                          <w:color w:val="000000" w:themeColor="text1"/>
                        </w:rPr>
                        <w:t xml:space="preserve">·K/W tikslumu. Jei yra šių sienų sluoksnius sudarančių medžiagų projektines šilumos laidumo koeficientų vertes [3.10] patvirtinantys dokumentai, šie koeficientai turi būti taikomi  šiluminės varžos </w:t>
                      </w:r>
                      <w:r>
                        <w:rPr>
                          <w:i/>
                          <w:color w:val="000000" w:themeColor="text1"/>
                        </w:rPr>
                        <w:t>R</w:t>
                      </w:r>
                      <w:r>
                        <w:rPr>
                          <w:i/>
                          <w:color w:val="000000" w:themeColor="text1"/>
                          <w:vertAlign w:val="subscript"/>
                        </w:rPr>
                        <w:t xml:space="preserve">bw </w:t>
                      </w:r>
                      <w:r>
                        <w:rPr>
                          <w:iCs/>
                          <w:color w:val="000000" w:themeColor="text1"/>
                        </w:rPr>
                        <w:t>vertės</w:t>
                      </w:r>
                      <w:r>
                        <w:rPr>
                          <w:color w:val="000000" w:themeColor="text1"/>
                        </w:rPr>
                        <w:t xml:space="preserve"> skaičiavimams pagal Reglamentų 2 ir 3 priedų reikalavimus. Jei tokių dokumentų nėra, šios šiluminės varžos vertės skaičiavimams turi būti taikomi Reglamento 3 priede  pateikti duomenys.</w:t>
                      </w:r>
                    </w:p>
                  </w:sdtContent>
                </w:sdt>
              </w:sdtContent>
            </w:sdt>
            <w:sdt>
              <w:sdtPr>
                <w:alias w:val="1 pr. 6.11 pp."/>
                <w:tag w:val="part_464630fd9377440da6a4ce27519ac093"/>
                <w:lock w:val="sdtLocked"/>
                <w:richText/>
              </w:sdtPr>
              <w:sdtContent>
                <w:p>
                  <w:pPr>
                    <w:ind w:firstLine="720"/>
                    <w:jc w:val="both"/>
                    <w:rPr>
                      <w:color w:val="000000" w:themeColor="text1"/>
                    </w:rPr>
                  </w:pPr>
                  <w:sdt>
                    <w:sdtPr>
                      <w:alias w:val="Numeris"/>
                      <w:tag w:val="nr_464630fd9377440da6a4ce27519ac093"/>
                      <w:lock w:val="sdtLocked"/>
                      <w:richText/>
                    </w:sdtPr>
                    <w:sdtContent>
                      <w:r>
                        <w:rPr>
                          <w:color w:val="000000" w:themeColor="text1"/>
                        </w:rPr>
                        <w:t>6.11</w:t>
                      </w:r>
                    </w:sdtContent>
                  </w:sdt>
                  <w:r>
                    <w:rPr>
                      <w:color w:val="000000" w:themeColor="text1"/>
                    </w:rPr>
                    <w:t>. Duomenys apie grindis ant grunto (žr. Reglamento 2 priedo 2.3 pav.):</w:t>
                  </w:r>
                </w:p>
                <w:sdt>
                  <w:sdtPr>
                    <w:alias w:val="1 pr. 6.11.1 pp."/>
                    <w:tag w:val="part_6bae1017137646bf9fb19bd48af2d042"/>
                    <w:lock w:val="sdtLocked"/>
                    <w:richText/>
                  </w:sdtPr>
                  <w:sdtContent>
                    <w:p>
                      <w:pPr>
                        <w:ind w:firstLine="720"/>
                        <w:jc w:val="both"/>
                        <w:rPr>
                          <w:color w:val="000000" w:themeColor="text1"/>
                        </w:rPr>
                      </w:pPr>
                      <w:sdt>
                        <w:sdtPr>
                          <w:alias w:val="Numeris"/>
                          <w:tag w:val="nr_6bae1017137646bf9fb19bd48af2d042"/>
                          <w:lock w:val="sdtLocked"/>
                          <w:richText/>
                        </w:sdtPr>
                        <w:sdtContent>
                          <w:r>
                            <w:rPr>
                              <w:color w:val="000000" w:themeColor="text1"/>
                            </w:rPr>
                            <w:t>6.11.1</w:t>
                          </w:r>
                        </w:sdtContent>
                      </w:sdt>
                      <w:r>
                        <w:rPr>
                          <w:color w:val="000000" w:themeColor="text1"/>
                        </w:rPr>
                        <w:t>. grindų ant grunto plotas 0,01 m</w:t>
                      </w:r>
                      <w:r>
                        <w:rPr>
                          <w:color w:val="000000" w:themeColor="text1"/>
                          <w:vertAlign w:val="superscript"/>
                        </w:rPr>
                        <w:t>2</w:t>
                      </w:r>
                      <w:r>
                        <w:rPr>
                          <w:color w:val="000000" w:themeColor="text1"/>
                        </w:rPr>
                        <w:t xml:space="preserve"> tikslumu;</w:t>
                      </w:r>
                    </w:p>
                  </w:sdtContent>
                </w:sdt>
                <w:sdt>
                  <w:sdtPr>
                    <w:alias w:val="1 pr. 6.11.2 pp."/>
                    <w:tag w:val="part_99db18c33bca4096966ae1db03891a7d"/>
                    <w:lock w:val="sdtLocked"/>
                    <w:richText/>
                  </w:sdtPr>
                  <w:sdtContent>
                    <w:p>
                      <w:pPr>
                        <w:ind w:firstLine="720"/>
                        <w:jc w:val="both"/>
                        <w:rPr>
                          <w:color w:val="000000" w:themeColor="text1"/>
                        </w:rPr>
                      </w:pPr>
                      <w:sdt>
                        <w:sdtPr>
                          <w:alias w:val="Numeris"/>
                          <w:tag w:val="nr_99db18c33bca4096966ae1db03891a7d"/>
                          <w:lock w:val="sdtLocked"/>
                          <w:richText/>
                        </w:sdtPr>
                        <w:sdtContent>
                          <w:r>
                            <w:rPr>
                              <w:color w:val="000000" w:themeColor="text1"/>
                            </w:rPr>
                            <w:t>6.11.2</w:t>
                          </w:r>
                        </w:sdtContent>
                      </w:sdt>
                      <w:r>
                        <w:rPr>
                          <w:color w:val="000000" w:themeColor="text1"/>
                        </w:rPr>
                        <w:t>. atitvarų, kurios ribojasi su išore, ilgis 0,01 m tikslumu;</w:t>
                      </w:r>
                    </w:p>
                  </w:sdtContent>
                </w:sdt>
                <w:sdt>
                  <w:sdtPr>
                    <w:alias w:val="1 pr. 6.11.3 pp."/>
                    <w:tag w:val="part_82d663afc4ec465ba0ec24a29322acf4"/>
                    <w:lock w:val="sdtLocked"/>
                    <w:richText/>
                  </w:sdtPr>
                  <w:sdtContent>
                    <w:p>
                      <w:pPr>
                        <w:ind w:firstLine="720"/>
                        <w:jc w:val="both"/>
                        <w:rPr>
                          <w:color w:val="000000" w:themeColor="text1"/>
                        </w:rPr>
                      </w:pPr>
                      <w:sdt>
                        <w:sdtPr>
                          <w:alias w:val="Numeris"/>
                          <w:tag w:val="nr_82d663afc4ec465ba0ec24a29322acf4"/>
                          <w:lock w:val="sdtLocked"/>
                          <w:richText/>
                        </w:sdtPr>
                        <w:sdtContent>
                          <w:r>
                            <w:rPr>
                              <w:color w:val="000000" w:themeColor="text1"/>
                            </w:rPr>
                            <w:t>6.11.3</w:t>
                          </w:r>
                        </w:sdtContent>
                      </w:sdt>
                      <w:r>
                        <w:rPr>
                          <w:color w:val="000000" w:themeColor="text1"/>
                        </w:rPr>
                        <w:t>. sienos ar pamato storis 0,01 m tikslumu;</w:t>
                      </w:r>
                    </w:p>
                  </w:sdtContent>
                </w:sdt>
                <w:sdt>
                  <w:sdtPr>
                    <w:alias w:val="1 pr. 6.11.4 pp."/>
                    <w:tag w:val="part_fc9822e88c7f487ca457ef9db21c3e26"/>
                    <w:lock w:val="sdtLocked"/>
                    <w:richText/>
                  </w:sdtPr>
                  <w:sdtContent>
                    <w:p>
                      <w:pPr>
                        <w:ind w:firstLine="720"/>
                        <w:jc w:val="both"/>
                        <w:rPr>
                          <w:color w:val="000000" w:themeColor="text1"/>
                        </w:rPr>
                      </w:pPr>
                      <w:sdt>
                        <w:sdtPr>
                          <w:alias w:val="Numeris"/>
                          <w:tag w:val="nr_fc9822e88c7f487ca457ef9db21c3e26"/>
                          <w:lock w:val="sdtLocked"/>
                          <w:richText/>
                        </w:sdtPr>
                        <w:sdtContent>
                          <w:r>
                            <w:rPr>
                              <w:color w:val="000000" w:themeColor="text1"/>
                            </w:rPr>
                            <w:t>6.11.4</w:t>
                          </w:r>
                        </w:sdtContent>
                      </w:sdt>
                      <w:r>
                        <w:rPr>
                          <w:color w:val="000000" w:themeColor="text1"/>
                        </w:rPr>
                        <w:t xml:space="preserve">. grindų plokštės suminės šiluminės varžos </w:t>
                      </w:r>
                      <w:r>
                        <w:rPr>
                          <w:i/>
                          <w:color w:val="000000" w:themeColor="text1"/>
                        </w:rPr>
                        <w:t>R</w:t>
                      </w:r>
                      <w:r>
                        <w:rPr>
                          <w:i/>
                          <w:color w:val="000000" w:themeColor="text1"/>
                          <w:vertAlign w:val="subscript"/>
                        </w:rPr>
                        <w:t>f</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f</w:t>
                      </w:r>
                      <w:r>
                        <w:rPr>
                          <w:color w:val="000000" w:themeColor="text1"/>
                        </w:rPr>
                        <w:t xml:space="preserve"> </w:t>
                      </w:r>
                      <w:r>
                        <w:rPr>
                          <w:iCs/>
                          <w:color w:val="000000" w:themeColor="text1"/>
                        </w:rPr>
                        <w:t>vertės</w:t>
                      </w:r>
                      <w:r>
                        <w:rPr>
                          <w:color w:val="000000" w:themeColor="text1"/>
                        </w:rPr>
                        <w:t xml:space="preserve"> skaičiavimams pagal Reglamentų 2 ir 3 priedų reikalavimus. Jei tokių dokumentų nėra,  šios šiluminės varžos vertės skaičiavimams turi būti taikomi Reglamento 3 priede pateikti duomenys.</w:t>
                      </w:r>
                    </w:p>
                  </w:sdtContent>
                </w:sdt>
              </w:sdtContent>
            </w:sdt>
            <w:sdt>
              <w:sdtPr>
                <w:alias w:val="1 pr. 6.12 pp."/>
                <w:tag w:val="part_257aa8bd409f4f3ebe6150adf929e842"/>
                <w:lock w:val="sdtLocked"/>
                <w:richText/>
              </w:sdtPr>
              <w:sdtContent>
                <w:p>
                  <w:pPr>
                    <w:ind w:firstLine="720"/>
                    <w:jc w:val="both"/>
                    <w:rPr>
                      <w:color w:val="000000" w:themeColor="text1"/>
                    </w:rPr>
                  </w:pPr>
                  <w:sdt>
                    <w:sdtPr>
                      <w:alias w:val="Numeris"/>
                      <w:tag w:val="nr_257aa8bd409f4f3ebe6150adf929e842"/>
                      <w:lock w:val="sdtLocked"/>
                      <w:richText/>
                    </w:sdtPr>
                    <w:sdtContent>
                      <w:r>
                        <w:rPr>
                          <w:color w:val="000000" w:themeColor="text1"/>
                        </w:rPr>
                        <w:t>6.12</w:t>
                      </w:r>
                    </w:sdtContent>
                  </w:sdt>
                  <w:r>
                    <w:rPr>
                      <w:color w:val="000000" w:themeColor="text1"/>
                    </w:rPr>
                    <w:t>. Duomenys apie horizontaliai pakraščiuose apšiltintas grindis ant grunto (žr. Reglamento 2 priedo 2.4 pav.):</w:t>
                  </w:r>
                </w:p>
                <w:sdt>
                  <w:sdtPr>
                    <w:alias w:val="1 pr. 6.12.1 pp."/>
                    <w:tag w:val="part_5f66c8f9d44f4566a0be7fca520a5c23"/>
                    <w:lock w:val="sdtLocked"/>
                    <w:richText/>
                  </w:sdtPr>
                  <w:sdtContent>
                    <w:p>
                      <w:pPr>
                        <w:ind w:firstLine="720"/>
                        <w:jc w:val="both"/>
                        <w:rPr>
                          <w:color w:val="000000" w:themeColor="text1"/>
                        </w:rPr>
                      </w:pPr>
                      <w:sdt>
                        <w:sdtPr>
                          <w:alias w:val="Numeris"/>
                          <w:tag w:val="nr_5f66c8f9d44f4566a0be7fca520a5c23"/>
                          <w:lock w:val="sdtLocked"/>
                          <w:richText/>
                        </w:sdtPr>
                        <w:sdtContent>
                          <w:r>
                            <w:rPr>
                              <w:color w:val="000000" w:themeColor="text1"/>
                            </w:rPr>
                            <w:t>6.12.1</w:t>
                          </w:r>
                        </w:sdtContent>
                      </w:sdt>
                      <w:r>
                        <w:rPr>
                          <w:color w:val="000000" w:themeColor="text1"/>
                        </w:rPr>
                        <w:t>. grindų plotas 0,01 m</w:t>
                      </w:r>
                      <w:r>
                        <w:rPr>
                          <w:color w:val="000000" w:themeColor="text1"/>
                          <w:vertAlign w:val="superscript"/>
                        </w:rPr>
                        <w:t>2</w:t>
                      </w:r>
                      <w:r>
                        <w:rPr>
                          <w:color w:val="000000" w:themeColor="text1"/>
                        </w:rPr>
                        <w:t xml:space="preserve"> tikslumu;</w:t>
                      </w:r>
                    </w:p>
                  </w:sdtContent>
                </w:sdt>
                <w:sdt>
                  <w:sdtPr>
                    <w:alias w:val="1 pr. 6.12.2 pp."/>
                    <w:tag w:val="part_43353772f291463c9a2f51fb65c7277b"/>
                    <w:lock w:val="sdtLocked"/>
                    <w:richText/>
                  </w:sdtPr>
                  <w:sdtContent>
                    <w:p>
                      <w:pPr>
                        <w:ind w:firstLine="720"/>
                        <w:jc w:val="both"/>
                        <w:rPr>
                          <w:color w:val="000000" w:themeColor="text1"/>
                        </w:rPr>
                      </w:pPr>
                      <w:sdt>
                        <w:sdtPr>
                          <w:alias w:val="Numeris"/>
                          <w:tag w:val="nr_43353772f291463c9a2f51fb65c7277b"/>
                          <w:lock w:val="sdtLocked"/>
                          <w:richText/>
                        </w:sdtPr>
                        <w:sdtContent>
                          <w:r>
                            <w:rPr>
                              <w:color w:val="000000" w:themeColor="text1"/>
                            </w:rPr>
                            <w:t>6.12.2</w:t>
                          </w:r>
                        </w:sdtContent>
                      </w:sdt>
                      <w:r>
                        <w:rPr>
                          <w:color w:val="000000" w:themeColor="text1"/>
                        </w:rPr>
                        <w:t>. atitvarų, kurios ribojasi su išore, ilgis 0,01 m tikslumu;</w:t>
                      </w:r>
                    </w:p>
                  </w:sdtContent>
                </w:sdt>
                <w:sdt>
                  <w:sdtPr>
                    <w:alias w:val="1 pr. 6.12.3 pp."/>
                    <w:tag w:val="part_67c68b4b81af46b088f7f6e84466d10e"/>
                    <w:lock w:val="sdtLocked"/>
                    <w:richText/>
                  </w:sdtPr>
                  <w:sdtContent>
                    <w:p>
                      <w:pPr>
                        <w:ind w:firstLine="720"/>
                        <w:jc w:val="both"/>
                        <w:rPr>
                          <w:color w:val="000000" w:themeColor="text1"/>
                        </w:rPr>
                      </w:pPr>
                      <w:sdt>
                        <w:sdtPr>
                          <w:alias w:val="Numeris"/>
                          <w:tag w:val="nr_67c68b4b81af46b088f7f6e84466d10e"/>
                          <w:lock w:val="sdtLocked"/>
                          <w:richText/>
                        </w:sdtPr>
                        <w:sdtContent>
                          <w:r>
                            <w:rPr>
                              <w:color w:val="000000" w:themeColor="text1"/>
                            </w:rPr>
                            <w:t>6.12.3</w:t>
                          </w:r>
                        </w:sdtContent>
                      </w:sdt>
                      <w:r>
                        <w:rPr>
                          <w:color w:val="000000" w:themeColor="text1"/>
                        </w:rPr>
                        <w:t>. pamato storis 0,01 m tikslumu;</w:t>
                      </w:r>
                    </w:p>
                  </w:sdtContent>
                </w:sdt>
                <w:sdt>
                  <w:sdtPr>
                    <w:alias w:val="1 pr. 6.12.4 pp."/>
                    <w:tag w:val="part_5148c5a8e0e34012935f037031f118d4"/>
                    <w:lock w:val="sdtLocked"/>
                    <w:richText/>
                  </w:sdtPr>
                  <w:sdtContent>
                    <w:p>
                      <w:pPr>
                        <w:ind w:firstLine="720"/>
                        <w:jc w:val="both"/>
                        <w:rPr>
                          <w:color w:val="000000" w:themeColor="text1"/>
                        </w:rPr>
                      </w:pPr>
                      <w:sdt>
                        <w:sdtPr>
                          <w:alias w:val="Numeris"/>
                          <w:tag w:val="nr_5148c5a8e0e34012935f037031f118d4"/>
                          <w:lock w:val="sdtLocked"/>
                          <w:richText/>
                        </w:sdtPr>
                        <w:sdtContent>
                          <w:r>
                            <w:rPr>
                              <w:color w:val="000000" w:themeColor="text1"/>
                            </w:rPr>
                            <w:t>6.12.4</w:t>
                          </w:r>
                        </w:sdtContent>
                      </w:sdt>
                      <w:r>
                        <w:rPr>
                          <w:color w:val="000000" w:themeColor="text1"/>
                        </w:rPr>
                        <w:t xml:space="preserve">. grindų plokštės suminės šiluminės varžos </w:t>
                      </w:r>
                      <w:r>
                        <w:rPr>
                          <w:i/>
                          <w:color w:val="000000" w:themeColor="text1"/>
                        </w:rPr>
                        <w:t>R</w:t>
                      </w:r>
                      <w:r>
                        <w:rPr>
                          <w:i/>
                          <w:color w:val="000000" w:themeColor="text1"/>
                          <w:vertAlign w:val="subscript"/>
                        </w:rPr>
                        <w:t>f</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f</w:t>
                      </w:r>
                      <w:r>
                        <w:rPr>
                          <w:color w:val="000000" w:themeColor="text1"/>
                        </w:rPr>
                        <w:t xml:space="preserve"> </w:t>
                      </w:r>
                      <w:r>
                        <w:rPr>
                          <w:iCs/>
                          <w:color w:val="000000" w:themeColor="text1"/>
                        </w:rPr>
                        <w:t>vertės</w:t>
                      </w:r>
                      <w:r>
                        <w:rPr>
                          <w:color w:val="000000" w:themeColor="text1"/>
                        </w:rPr>
                        <w:t xml:space="preserve"> skaičiavimams pagal Reglamentų 2 ir 3 priedų reikalavimus. Jei tokių dokumentų nėra,  šios šiluminės varžos vertės skaičiavimams turi būti taikomi Reglamento 3 priede  pateikti duomenys;</w:t>
                      </w:r>
                    </w:p>
                  </w:sdtContent>
                </w:sdt>
                <w:sdt>
                  <w:sdtPr>
                    <w:alias w:val="1 pr. 6.12.5 pp."/>
                    <w:tag w:val="part_3fa073e8cfbc46fbbc455a3740b37d70"/>
                    <w:lock w:val="sdtLocked"/>
                    <w:richText/>
                  </w:sdtPr>
                  <w:sdtContent>
                    <w:p>
                      <w:pPr>
                        <w:ind w:firstLine="720"/>
                        <w:jc w:val="both"/>
                        <w:rPr>
                          <w:color w:val="000000" w:themeColor="text1"/>
                        </w:rPr>
                      </w:pPr>
                      <w:sdt>
                        <w:sdtPr>
                          <w:alias w:val="Numeris"/>
                          <w:tag w:val="nr_3fa073e8cfbc46fbbc455a3740b37d70"/>
                          <w:lock w:val="sdtLocked"/>
                          <w:richText/>
                        </w:sdtPr>
                        <w:sdtContent>
                          <w:r>
                            <w:rPr>
                              <w:color w:val="000000" w:themeColor="text1"/>
                            </w:rPr>
                            <w:t>6.12.5</w:t>
                          </w:r>
                        </w:sdtContent>
                      </w:sdt>
                      <w:r>
                        <w:rPr>
                          <w:color w:val="000000" w:themeColor="text1"/>
                        </w:rPr>
                        <w:t xml:space="preserve">. horizontaliam termoizoliaciniam sluoksniui panaudoto statybos produkto pavadinimas ir projektinis šilumos laidumo koeficientas 0,001 W/(m·K) tikslumu. Jei yra šio statybos produkto projektinę šilumos laidumo koeficientų vertę patvirtinantys dokumentai, ši koeficiento vertė turi būti naudojama skaičiavimuose. Jei tokių dokumentų nėra,  projektinės šilumos laidumo koeficientų vertės turi būti imamos iš  Reglamento 3 priedo;</w:t>
                      </w:r>
                    </w:p>
                  </w:sdtContent>
                </w:sdt>
                <w:sdt>
                  <w:sdtPr>
                    <w:alias w:val="1 pr. 6.12.6 pp."/>
                    <w:tag w:val="part_89ca6e7ac05b41ea82203f2e5701257f"/>
                    <w:lock w:val="sdtLocked"/>
                    <w:richText/>
                  </w:sdtPr>
                  <w:sdtContent>
                    <w:p>
                      <w:pPr>
                        <w:ind w:firstLine="720"/>
                        <w:jc w:val="both"/>
                        <w:rPr>
                          <w:color w:val="000000" w:themeColor="text1"/>
                        </w:rPr>
                      </w:pPr>
                      <w:sdt>
                        <w:sdtPr>
                          <w:alias w:val="Numeris"/>
                          <w:tag w:val="nr_89ca6e7ac05b41ea82203f2e5701257f"/>
                          <w:lock w:val="sdtLocked"/>
                          <w:richText/>
                        </w:sdtPr>
                        <w:sdtContent>
                          <w:r>
                            <w:rPr>
                              <w:color w:val="000000" w:themeColor="text1"/>
                            </w:rPr>
                            <w:t>6.12.6</w:t>
                          </w:r>
                        </w:sdtContent>
                      </w:sdt>
                      <w:r>
                        <w:rPr>
                          <w:color w:val="000000" w:themeColor="text1"/>
                        </w:rPr>
                        <w:t xml:space="preserve">. horizontalaus termoizoliacinio sluoksnio storis </w:t>
                      </w:r>
                      <w:r>
                        <w:rPr>
                          <w:i/>
                          <w:color w:val="000000" w:themeColor="text1"/>
                        </w:rPr>
                        <w:t>d</w:t>
                      </w:r>
                      <w:r>
                        <w:rPr>
                          <w:i/>
                          <w:color w:val="000000" w:themeColor="text1"/>
                          <w:vertAlign w:val="subscript"/>
                        </w:rPr>
                        <w:t>ins</w:t>
                      </w:r>
                      <w:r>
                        <w:rPr>
                          <w:color w:val="000000" w:themeColor="text1"/>
                        </w:rPr>
                        <w:t xml:space="preserve"> 0,01 m tikslumu; </w:t>
                      </w:r>
                    </w:p>
                  </w:sdtContent>
                </w:sdt>
                <w:sdt>
                  <w:sdtPr>
                    <w:alias w:val="1 pr. 6.12.7 pp."/>
                    <w:tag w:val="part_e4b26a8328264d6d8407e4f86040e77a"/>
                    <w:lock w:val="sdtLocked"/>
                    <w:richText/>
                  </w:sdtPr>
                  <w:sdtContent>
                    <w:p>
                      <w:pPr>
                        <w:ind w:firstLine="720"/>
                        <w:jc w:val="both"/>
                        <w:rPr>
                          <w:color w:val="000000" w:themeColor="text1"/>
                        </w:rPr>
                      </w:pPr>
                      <w:sdt>
                        <w:sdtPr>
                          <w:alias w:val="Numeris"/>
                          <w:tag w:val="nr_e4b26a8328264d6d8407e4f86040e77a"/>
                          <w:lock w:val="sdtLocked"/>
                          <w:richText/>
                        </w:sdtPr>
                        <w:sdtContent>
                          <w:r>
                            <w:rPr>
                              <w:color w:val="000000" w:themeColor="text1"/>
                            </w:rPr>
                            <w:t>6.12.7</w:t>
                          </w:r>
                        </w:sdtContent>
                      </w:sdt>
                      <w:r>
                        <w:rPr>
                          <w:color w:val="000000" w:themeColor="text1"/>
                        </w:rPr>
                        <w:t xml:space="preserve">. horizontalaus termoizoliacinio sluoksnio plotis </w:t>
                      </w:r>
                      <w:r>
                        <w:rPr>
                          <w:i/>
                          <w:color w:val="000000" w:themeColor="text1"/>
                        </w:rPr>
                        <w:t>D</w:t>
                      </w:r>
                      <w:r>
                        <w:rPr>
                          <w:color w:val="000000" w:themeColor="text1"/>
                        </w:rPr>
                        <w:t xml:space="preserve"> 0,01 m tikslumu.</w:t>
                      </w:r>
                    </w:p>
                  </w:sdtContent>
                </w:sdt>
              </w:sdtContent>
            </w:sdt>
            <w:sdt>
              <w:sdtPr>
                <w:alias w:val="1 pr. 6.13 pp."/>
                <w:tag w:val="part_639811df4b3849ee9d55ca55fbb947ba"/>
                <w:lock w:val="sdtLocked"/>
                <w:richText/>
              </w:sdtPr>
              <w:sdtContent>
                <w:p>
                  <w:pPr>
                    <w:ind w:firstLine="720"/>
                    <w:jc w:val="both"/>
                    <w:rPr>
                      <w:color w:val="000000" w:themeColor="text1"/>
                    </w:rPr>
                  </w:pPr>
                  <w:sdt>
                    <w:sdtPr>
                      <w:alias w:val="Numeris"/>
                      <w:tag w:val="nr_639811df4b3849ee9d55ca55fbb947ba"/>
                      <w:lock w:val="sdtLocked"/>
                      <w:richText/>
                    </w:sdtPr>
                    <w:sdtContent>
                      <w:r>
                        <w:rPr>
                          <w:color w:val="000000" w:themeColor="text1"/>
                        </w:rPr>
                        <w:t>6.13</w:t>
                      </w:r>
                    </w:sdtContent>
                  </w:sdt>
                  <w:r>
                    <w:rPr>
                      <w:color w:val="000000" w:themeColor="text1"/>
                    </w:rPr>
                    <w:t>. Duomenys apie vertikaliai pakraščiuose apšiltintas grindis ant grunto (žr. Reglamento 2 priedo 2.5 pav.):</w:t>
                  </w:r>
                </w:p>
                <w:sdt>
                  <w:sdtPr>
                    <w:alias w:val="1 pr. 6.13.1 pp."/>
                    <w:tag w:val="part_a35ab5949e1f49bda65932a24462c85f"/>
                    <w:lock w:val="sdtLocked"/>
                    <w:richText/>
                  </w:sdtPr>
                  <w:sdtContent>
                    <w:p>
                      <w:pPr>
                        <w:ind w:firstLine="720"/>
                        <w:jc w:val="both"/>
                        <w:rPr>
                          <w:color w:val="000000" w:themeColor="text1"/>
                        </w:rPr>
                      </w:pPr>
                      <w:sdt>
                        <w:sdtPr>
                          <w:alias w:val="Numeris"/>
                          <w:tag w:val="nr_a35ab5949e1f49bda65932a24462c85f"/>
                          <w:lock w:val="sdtLocked"/>
                          <w:richText/>
                        </w:sdtPr>
                        <w:sdtContent>
                          <w:r>
                            <w:rPr>
                              <w:color w:val="000000" w:themeColor="text1"/>
                            </w:rPr>
                            <w:t>6.13.1</w:t>
                          </w:r>
                        </w:sdtContent>
                      </w:sdt>
                      <w:r>
                        <w:rPr>
                          <w:color w:val="000000" w:themeColor="text1"/>
                        </w:rPr>
                        <w:t>. grindų plotas 0,01 m</w:t>
                      </w:r>
                      <w:r>
                        <w:rPr>
                          <w:color w:val="000000" w:themeColor="text1"/>
                          <w:vertAlign w:val="superscript"/>
                        </w:rPr>
                        <w:t>2</w:t>
                      </w:r>
                      <w:r>
                        <w:rPr>
                          <w:color w:val="000000" w:themeColor="text1"/>
                        </w:rPr>
                        <w:t xml:space="preserve"> tikslumu;</w:t>
                      </w:r>
                    </w:p>
                  </w:sdtContent>
                </w:sdt>
                <w:sdt>
                  <w:sdtPr>
                    <w:alias w:val="1 pr. 6.13.2 pp."/>
                    <w:tag w:val="part_333f345fe8b24a3987a42e965abab55e"/>
                    <w:lock w:val="sdtLocked"/>
                    <w:richText/>
                  </w:sdtPr>
                  <w:sdtContent>
                    <w:p>
                      <w:pPr>
                        <w:ind w:firstLine="720"/>
                        <w:jc w:val="both"/>
                        <w:rPr>
                          <w:color w:val="000000" w:themeColor="text1"/>
                        </w:rPr>
                      </w:pPr>
                      <w:sdt>
                        <w:sdtPr>
                          <w:alias w:val="Numeris"/>
                          <w:tag w:val="nr_333f345fe8b24a3987a42e965abab55e"/>
                          <w:lock w:val="sdtLocked"/>
                          <w:richText/>
                        </w:sdtPr>
                        <w:sdtContent>
                          <w:r>
                            <w:rPr>
                              <w:color w:val="000000" w:themeColor="text1"/>
                            </w:rPr>
                            <w:t>6.13.2</w:t>
                          </w:r>
                        </w:sdtContent>
                      </w:sdt>
                      <w:r>
                        <w:rPr>
                          <w:color w:val="000000" w:themeColor="text1"/>
                        </w:rPr>
                        <w:t>. atitvarų, kurios ribojasi su išore, ilgis 0,01 m tikslumu;</w:t>
                      </w:r>
                    </w:p>
                  </w:sdtContent>
                </w:sdt>
                <w:sdt>
                  <w:sdtPr>
                    <w:alias w:val="1 pr. 6.13.3 pp."/>
                    <w:tag w:val="part_5a8adf474b5d4833825cdd812bdb9dd1"/>
                    <w:lock w:val="sdtLocked"/>
                    <w:richText/>
                  </w:sdtPr>
                  <w:sdtContent>
                    <w:p>
                      <w:pPr>
                        <w:ind w:firstLine="720"/>
                        <w:jc w:val="both"/>
                        <w:rPr>
                          <w:color w:val="000000" w:themeColor="text1"/>
                        </w:rPr>
                      </w:pPr>
                      <w:sdt>
                        <w:sdtPr>
                          <w:alias w:val="Numeris"/>
                          <w:tag w:val="nr_5a8adf474b5d4833825cdd812bdb9dd1"/>
                          <w:lock w:val="sdtLocked"/>
                          <w:richText/>
                        </w:sdtPr>
                        <w:sdtContent>
                          <w:r>
                            <w:rPr>
                              <w:color w:val="000000" w:themeColor="text1"/>
                            </w:rPr>
                            <w:t>6.13.3</w:t>
                          </w:r>
                        </w:sdtContent>
                      </w:sdt>
                      <w:r>
                        <w:rPr>
                          <w:color w:val="000000" w:themeColor="text1"/>
                        </w:rPr>
                        <w:t>. pamato storis 0,01 m tikslumu;</w:t>
                      </w:r>
                    </w:p>
                  </w:sdtContent>
                </w:sdt>
                <w:sdt>
                  <w:sdtPr>
                    <w:alias w:val="1 pr. 6.13.4 pp."/>
                    <w:tag w:val="part_166f85dda3d04aa89d3e94836add87c0"/>
                    <w:lock w:val="sdtLocked"/>
                    <w:richText/>
                  </w:sdtPr>
                  <w:sdtContent>
                    <w:p>
                      <w:pPr>
                        <w:ind w:firstLine="720"/>
                        <w:jc w:val="both"/>
                        <w:rPr>
                          <w:color w:val="000000" w:themeColor="text1"/>
                        </w:rPr>
                      </w:pPr>
                      <w:sdt>
                        <w:sdtPr>
                          <w:alias w:val="Numeris"/>
                          <w:tag w:val="nr_166f85dda3d04aa89d3e94836add87c0"/>
                          <w:lock w:val="sdtLocked"/>
                          <w:richText/>
                        </w:sdtPr>
                        <w:sdtContent>
                          <w:r>
                            <w:rPr>
                              <w:color w:val="000000" w:themeColor="text1"/>
                            </w:rPr>
                            <w:t>6.13.4</w:t>
                          </w:r>
                        </w:sdtContent>
                      </w:sdt>
                      <w:r>
                        <w:rPr>
                          <w:color w:val="000000" w:themeColor="text1"/>
                        </w:rPr>
                        <w:t xml:space="preserve">. grindų plokštės suminės šiluminės varžos </w:t>
                      </w:r>
                      <w:r>
                        <w:rPr>
                          <w:i/>
                          <w:color w:val="000000" w:themeColor="text1"/>
                        </w:rPr>
                        <w:t>R</w:t>
                      </w:r>
                      <w:r>
                        <w:rPr>
                          <w:i/>
                          <w:color w:val="000000" w:themeColor="text1"/>
                          <w:vertAlign w:val="subscript"/>
                        </w:rPr>
                        <w:t>f</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f</w:t>
                      </w:r>
                      <w:r>
                        <w:rPr>
                          <w:color w:val="000000" w:themeColor="text1"/>
                        </w:rPr>
                        <w:t xml:space="preserve"> </w:t>
                      </w:r>
                      <w:r>
                        <w:rPr>
                          <w:iCs/>
                          <w:color w:val="000000" w:themeColor="text1"/>
                        </w:rPr>
                        <w:t>vertės</w:t>
                      </w:r>
                      <w:r>
                        <w:rPr>
                          <w:color w:val="000000" w:themeColor="text1"/>
                        </w:rPr>
                        <w:t xml:space="preserve"> skaičiavimams pagal Reglamentų 2 ir 3 priedų reikalavimus. Jei tokių dokumentų nėra, šios šiluminės varžos vertės skaičiavimams turi būti taikomi Reglamento 3 priede  pateikti duomenys;</w:t>
                      </w:r>
                    </w:p>
                  </w:sdtContent>
                </w:sdt>
                <w:sdt>
                  <w:sdtPr>
                    <w:alias w:val="1 pr. 6.13.5 pp."/>
                    <w:tag w:val="part_937b11b4b8c94fdead3c2dcc0f4efd7a"/>
                    <w:lock w:val="sdtLocked"/>
                    <w:richText/>
                  </w:sdtPr>
                  <w:sdtContent>
                    <w:p>
                      <w:pPr>
                        <w:ind w:firstLine="720"/>
                        <w:jc w:val="both"/>
                        <w:rPr>
                          <w:color w:val="000000" w:themeColor="text1"/>
                        </w:rPr>
                      </w:pPr>
                      <w:sdt>
                        <w:sdtPr>
                          <w:alias w:val="Numeris"/>
                          <w:tag w:val="nr_937b11b4b8c94fdead3c2dcc0f4efd7a"/>
                          <w:lock w:val="sdtLocked"/>
                          <w:richText/>
                        </w:sdtPr>
                        <w:sdtContent>
                          <w:r>
                            <w:rPr>
                              <w:color w:val="000000" w:themeColor="text1"/>
                            </w:rPr>
                            <w:t>6.13.5</w:t>
                          </w:r>
                        </w:sdtContent>
                      </w:sdt>
                      <w:r>
                        <w:rPr>
                          <w:color w:val="000000" w:themeColor="text1"/>
                        </w:rPr>
                        <w:t xml:space="preserve">. vertikaliam termoizoliaciniam sluoksniui panaudoto statybos produkto pavadinimas ir projektinis šilumos laidumo koeficientas 0,001 W/(m·K) tikslumu. Jei yra šio statybos produkto projektinę šilumos laidumo koeficientų vertę patvirtinantys dokumentai, ši koeficiento vertė turi būti naudojama skaičiavimuose. Jei tokių dokumentų nėra, projektinės šilumos laidumo koeficientų vertės turi būti imamos iš  Reglamento 3 priedo;</w:t>
                      </w:r>
                    </w:p>
                  </w:sdtContent>
                </w:sdt>
                <w:sdt>
                  <w:sdtPr>
                    <w:alias w:val="1 pr. 6.13.6 pp."/>
                    <w:tag w:val="part_bbc4f34120224b548f0f0d64ff634dca"/>
                    <w:lock w:val="sdtLocked"/>
                    <w:richText/>
                  </w:sdtPr>
                  <w:sdtContent>
                    <w:p>
                      <w:pPr>
                        <w:ind w:firstLine="720"/>
                        <w:jc w:val="both"/>
                        <w:rPr>
                          <w:color w:val="000000" w:themeColor="text1"/>
                        </w:rPr>
                      </w:pPr>
                      <w:sdt>
                        <w:sdtPr>
                          <w:alias w:val="Numeris"/>
                          <w:tag w:val="nr_bbc4f34120224b548f0f0d64ff634dca"/>
                          <w:lock w:val="sdtLocked"/>
                          <w:richText/>
                        </w:sdtPr>
                        <w:sdtContent>
                          <w:r>
                            <w:rPr>
                              <w:color w:val="000000" w:themeColor="text1"/>
                            </w:rPr>
                            <w:t>6.13.6</w:t>
                          </w:r>
                        </w:sdtContent>
                      </w:sdt>
                      <w:r>
                        <w:rPr>
                          <w:color w:val="000000" w:themeColor="text1"/>
                        </w:rPr>
                        <w:t xml:space="preserve">. vertikalaus termoizoliacinio sluoksnio storis </w:t>
                      </w:r>
                      <w:r>
                        <w:rPr>
                          <w:i/>
                          <w:color w:val="000000" w:themeColor="text1"/>
                        </w:rPr>
                        <w:t>d</w:t>
                      </w:r>
                      <w:r>
                        <w:rPr>
                          <w:i/>
                          <w:color w:val="000000" w:themeColor="text1"/>
                          <w:vertAlign w:val="subscript"/>
                        </w:rPr>
                        <w:t>ins</w:t>
                      </w:r>
                      <w:r>
                        <w:rPr>
                          <w:color w:val="000000" w:themeColor="text1"/>
                        </w:rPr>
                        <w:t xml:space="preserve"> 0,01 m tikslumu; </w:t>
                      </w:r>
                    </w:p>
                  </w:sdtContent>
                </w:sdt>
                <w:sdt>
                  <w:sdtPr>
                    <w:alias w:val="1 pr. 6.13.7 pp."/>
                    <w:tag w:val="part_be5fdabc57244d3ba4feca20a4688464"/>
                    <w:lock w:val="sdtLocked"/>
                    <w:richText/>
                  </w:sdtPr>
                  <w:sdtContent>
                    <w:p>
                      <w:pPr>
                        <w:ind w:firstLine="720"/>
                        <w:jc w:val="both"/>
                        <w:rPr>
                          <w:color w:val="000000" w:themeColor="text1"/>
                        </w:rPr>
                      </w:pPr>
                      <w:sdt>
                        <w:sdtPr>
                          <w:alias w:val="Numeris"/>
                          <w:tag w:val="nr_be5fdabc57244d3ba4feca20a4688464"/>
                          <w:lock w:val="sdtLocked"/>
                          <w:richText/>
                        </w:sdtPr>
                        <w:sdtContent>
                          <w:r>
                            <w:rPr>
                              <w:color w:val="000000" w:themeColor="text1"/>
                            </w:rPr>
                            <w:t>6.13.7</w:t>
                          </w:r>
                        </w:sdtContent>
                      </w:sdt>
                      <w:r>
                        <w:rPr>
                          <w:color w:val="000000" w:themeColor="text1"/>
                        </w:rPr>
                        <w:t xml:space="preserve">. vertikalaus termoizoliacinio sluoksnio gylis </w:t>
                      </w:r>
                      <w:r>
                        <w:rPr>
                          <w:i/>
                          <w:color w:val="000000" w:themeColor="text1"/>
                        </w:rPr>
                        <w:t>D</w:t>
                      </w:r>
                      <w:r>
                        <w:rPr>
                          <w:color w:val="000000" w:themeColor="text1"/>
                        </w:rPr>
                        <w:t xml:space="preserve"> 0,01 m tikslumu.</w:t>
                      </w:r>
                    </w:p>
                  </w:sdtContent>
                </w:sdt>
              </w:sdtContent>
            </w:sdt>
            <w:sdt>
              <w:sdtPr>
                <w:alias w:val="1 pr. 6.14 pp."/>
                <w:tag w:val="part_9bc2505bd54c4358944f4551be030c0d"/>
                <w:lock w:val="sdtLocked"/>
                <w:richText/>
              </w:sdtPr>
              <w:sdtContent>
                <w:p>
                  <w:pPr>
                    <w:ind w:firstLine="720"/>
                    <w:jc w:val="both"/>
                    <w:rPr>
                      <w:color w:val="000000" w:themeColor="text1"/>
                    </w:rPr>
                  </w:pPr>
                  <w:sdt>
                    <w:sdtPr>
                      <w:alias w:val="Numeris"/>
                      <w:tag w:val="nr_9bc2505bd54c4358944f4551be030c0d"/>
                      <w:lock w:val="sdtLocked"/>
                      <w:richText/>
                    </w:sdtPr>
                    <w:sdtContent>
                      <w:r>
                        <w:rPr>
                          <w:color w:val="000000" w:themeColor="text1"/>
                        </w:rPr>
                        <w:t>6.14</w:t>
                      </w:r>
                    </w:sdtContent>
                  </w:sdt>
                  <w:r>
                    <w:rPr>
                      <w:color w:val="000000" w:themeColor="text1"/>
                    </w:rPr>
                    <w:t>. Duomenys apie grindis ant grunto, kurių pakraščiuose įrengti horizontalus ir vertikalus termoizoliaciniai sluoksniai (žr. Reglamento 2 priedo 2.6 pav.):</w:t>
                  </w:r>
                </w:p>
                <w:sdt>
                  <w:sdtPr>
                    <w:alias w:val="1 pr. 6.14.1 pp."/>
                    <w:tag w:val="part_64b1c8e0ba9840f49bd144c6ba7a130b"/>
                    <w:lock w:val="sdtLocked"/>
                    <w:richText/>
                  </w:sdtPr>
                  <w:sdtContent>
                    <w:p>
                      <w:pPr>
                        <w:ind w:firstLine="720"/>
                        <w:jc w:val="both"/>
                        <w:rPr>
                          <w:color w:val="000000" w:themeColor="text1"/>
                        </w:rPr>
                      </w:pPr>
                      <w:sdt>
                        <w:sdtPr>
                          <w:alias w:val="Numeris"/>
                          <w:tag w:val="nr_64b1c8e0ba9840f49bd144c6ba7a130b"/>
                          <w:lock w:val="sdtLocked"/>
                          <w:richText/>
                        </w:sdtPr>
                        <w:sdtContent>
                          <w:r>
                            <w:rPr>
                              <w:color w:val="000000" w:themeColor="text1"/>
                            </w:rPr>
                            <w:t>6.14.1</w:t>
                          </w:r>
                        </w:sdtContent>
                      </w:sdt>
                      <w:r>
                        <w:rPr>
                          <w:color w:val="000000" w:themeColor="text1"/>
                        </w:rPr>
                        <w:t>. grindų plotas 0,01 m</w:t>
                      </w:r>
                      <w:r>
                        <w:rPr>
                          <w:color w:val="000000" w:themeColor="text1"/>
                          <w:vertAlign w:val="superscript"/>
                        </w:rPr>
                        <w:t>2</w:t>
                      </w:r>
                      <w:r>
                        <w:rPr>
                          <w:color w:val="000000" w:themeColor="text1"/>
                        </w:rPr>
                        <w:t xml:space="preserve"> tikslumu;</w:t>
                      </w:r>
                    </w:p>
                  </w:sdtContent>
                </w:sdt>
                <w:sdt>
                  <w:sdtPr>
                    <w:alias w:val="1 pr. 6.14.2 pp."/>
                    <w:tag w:val="part_604b08499316436394b85291afcd8133"/>
                    <w:lock w:val="sdtLocked"/>
                    <w:richText/>
                  </w:sdtPr>
                  <w:sdtContent>
                    <w:p>
                      <w:pPr>
                        <w:ind w:firstLine="720"/>
                        <w:jc w:val="both"/>
                        <w:rPr>
                          <w:color w:val="000000" w:themeColor="text1"/>
                        </w:rPr>
                      </w:pPr>
                      <w:sdt>
                        <w:sdtPr>
                          <w:alias w:val="Numeris"/>
                          <w:tag w:val="nr_604b08499316436394b85291afcd8133"/>
                          <w:lock w:val="sdtLocked"/>
                          <w:richText/>
                        </w:sdtPr>
                        <w:sdtContent>
                          <w:r>
                            <w:rPr>
                              <w:color w:val="000000" w:themeColor="text1"/>
                            </w:rPr>
                            <w:t>6.14.2</w:t>
                          </w:r>
                        </w:sdtContent>
                      </w:sdt>
                      <w:r>
                        <w:rPr>
                          <w:color w:val="000000" w:themeColor="text1"/>
                        </w:rPr>
                        <w:t>. atitvarų, kurios ribojasi su išore, ilgis 0,01 m tikslumu;</w:t>
                      </w:r>
                    </w:p>
                  </w:sdtContent>
                </w:sdt>
                <w:sdt>
                  <w:sdtPr>
                    <w:alias w:val="1 pr. 6.14.3 pp."/>
                    <w:tag w:val="part_1348749c38c64cef9baedfec41c2dc11"/>
                    <w:lock w:val="sdtLocked"/>
                    <w:richText/>
                  </w:sdtPr>
                  <w:sdtContent>
                    <w:p>
                      <w:pPr>
                        <w:ind w:firstLine="720"/>
                        <w:jc w:val="both"/>
                        <w:rPr>
                          <w:color w:val="000000" w:themeColor="text1"/>
                        </w:rPr>
                      </w:pPr>
                      <w:sdt>
                        <w:sdtPr>
                          <w:alias w:val="Numeris"/>
                          <w:tag w:val="nr_1348749c38c64cef9baedfec41c2dc11"/>
                          <w:lock w:val="sdtLocked"/>
                          <w:richText/>
                        </w:sdtPr>
                        <w:sdtContent>
                          <w:r>
                            <w:rPr>
                              <w:color w:val="000000" w:themeColor="text1"/>
                            </w:rPr>
                            <w:t>6.14.3</w:t>
                          </w:r>
                        </w:sdtContent>
                      </w:sdt>
                      <w:r>
                        <w:rPr>
                          <w:color w:val="000000" w:themeColor="text1"/>
                        </w:rPr>
                        <w:t>. pamato storis 0,01 m tikslumu;</w:t>
                      </w:r>
                    </w:p>
                  </w:sdtContent>
                </w:sdt>
                <w:sdt>
                  <w:sdtPr>
                    <w:alias w:val="1 pr. 6.14.4 pp."/>
                    <w:tag w:val="part_7b3571ba96ed44a3929f7d13bf53af78"/>
                    <w:lock w:val="sdtLocked"/>
                    <w:richText/>
                  </w:sdtPr>
                  <w:sdtContent>
                    <w:p>
                      <w:pPr>
                        <w:ind w:firstLine="720"/>
                        <w:jc w:val="both"/>
                        <w:rPr>
                          <w:color w:val="000000" w:themeColor="text1"/>
                        </w:rPr>
                      </w:pPr>
                      <w:sdt>
                        <w:sdtPr>
                          <w:alias w:val="Numeris"/>
                          <w:tag w:val="nr_7b3571ba96ed44a3929f7d13bf53af78"/>
                          <w:lock w:val="sdtLocked"/>
                          <w:richText/>
                        </w:sdtPr>
                        <w:sdtContent>
                          <w:r>
                            <w:rPr>
                              <w:color w:val="000000" w:themeColor="text1"/>
                            </w:rPr>
                            <w:t>6.14.4</w:t>
                          </w:r>
                        </w:sdtContent>
                      </w:sdt>
                      <w:r>
                        <w:rPr>
                          <w:color w:val="000000" w:themeColor="text1"/>
                        </w:rPr>
                        <w:t xml:space="preserve">. grindų plokštės suminės šiluminės varžos </w:t>
                      </w:r>
                      <w:r>
                        <w:rPr>
                          <w:i/>
                          <w:color w:val="000000" w:themeColor="text1"/>
                        </w:rPr>
                        <w:t>R</w:t>
                      </w:r>
                      <w:r>
                        <w:rPr>
                          <w:i/>
                          <w:color w:val="000000" w:themeColor="text1"/>
                          <w:vertAlign w:val="subscript"/>
                        </w:rPr>
                        <w:t>f</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f</w:t>
                      </w:r>
                      <w:r>
                        <w:rPr>
                          <w:color w:val="000000" w:themeColor="text1"/>
                        </w:rPr>
                        <w:t xml:space="preserve"> </w:t>
                      </w:r>
                      <w:r>
                        <w:rPr>
                          <w:iCs/>
                          <w:color w:val="000000" w:themeColor="text1"/>
                        </w:rPr>
                        <w:t>vertės</w:t>
                      </w:r>
                      <w:r>
                        <w:rPr>
                          <w:color w:val="000000" w:themeColor="text1"/>
                        </w:rPr>
                        <w:t xml:space="preserve"> pagal Reglamentų 2 ir 3 priedų reikalavimus skaičiavimams. Jei tokių dokumentų nėra,  šios šiluminės varžos vertės skaičiavimams turi būti taikomi Reglamento 3 priede pateikti duomenys;</w:t>
                      </w:r>
                    </w:p>
                  </w:sdtContent>
                </w:sdt>
                <w:sdt>
                  <w:sdtPr>
                    <w:alias w:val="1 pr. 6.14.5 pp."/>
                    <w:tag w:val="part_5880e133c9a64c1680fb35b8a47ab8df"/>
                    <w:lock w:val="sdtLocked"/>
                    <w:richText/>
                  </w:sdtPr>
                  <w:sdtContent>
                    <w:p>
                      <w:pPr>
                        <w:ind w:firstLine="720"/>
                        <w:jc w:val="both"/>
                        <w:rPr>
                          <w:color w:val="000000" w:themeColor="text1"/>
                        </w:rPr>
                      </w:pPr>
                      <w:sdt>
                        <w:sdtPr>
                          <w:alias w:val="Numeris"/>
                          <w:tag w:val="nr_5880e133c9a64c1680fb35b8a47ab8df"/>
                          <w:lock w:val="sdtLocked"/>
                          <w:richText/>
                        </w:sdtPr>
                        <w:sdtContent>
                          <w:r>
                            <w:rPr>
                              <w:color w:val="000000" w:themeColor="text1"/>
                            </w:rPr>
                            <w:t>6.14.5</w:t>
                          </w:r>
                        </w:sdtContent>
                      </w:sdt>
                      <w:r>
                        <w:rPr>
                          <w:color w:val="000000" w:themeColor="text1"/>
                        </w:rPr>
                        <w:t xml:space="preserve">. horizontaliam termoizoliaciniam sluoksniui panaudoto statybos produkto pavadinimas ir projektinis šilumos laidumo koeficientas 0,001 W/(m·K) tikslumu. Jei yra šio statybos produkto projektinę šilumos laidumo koeficientų vertę patvirtinantys dokumentai, ši koeficiento vertė turi būti naudojama skaičiavimuose. Jei tokių dokumentų nėra,  projektinės šilumos laidumo koeficientų vertės turi būti imamos iš Reglamento 3 priedo;</w:t>
                      </w:r>
                    </w:p>
                  </w:sdtContent>
                </w:sdt>
                <w:sdt>
                  <w:sdtPr>
                    <w:alias w:val="1 pr. 6.14.6 pp."/>
                    <w:tag w:val="part_9656ae674bcf4c5f92f6b9690165888c"/>
                    <w:lock w:val="sdtLocked"/>
                    <w:richText/>
                  </w:sdtPr>
                  <w:sdtContent>
                    <w:p>
                      <w:pPr>
                        <w:ind w:firstLine="720"/>
                        <w:jc w:val="both"/>
                        <w:rPr>
                          <w:color w:val="000000" w:themeColor="text1"/>
                        </w:rPr>
                      </w:pPr>
                      <w:sdt>
                        <w:sdtPr>
                          <w:alias w:val="Numeris"/>
                          <w:tag w:val="nr_9656ae674bcf4c5f92f6b9690165888c"/>
                          <w:lock w:val="sdtLocked"/>
                          <w:richText/>
                        </w:sdtPr>
                        <w:sdtContent>
                          <w:r>
                            <w:rPr>
                              <w:color w:val="000000" w:themeColor="text1"/>
                            </w:rPr>
                            <w:t>6.14.6</w:t>
                          </w:r>
                        </w:sdtContent>
                      </w:sdt>
                      <w:r>
                        <w:rPr>
                          <w:color w:val="000000" w:themeColor="text1"/>
                        </w:rPr>
                        <w:t xml:space="preserve">. horizontalaus termoizoliacinio sluoksnio storis </w:t>
                      </w:r>
                      <w:r>
                        <w:rPr>
                          <w:i/>
                          <w:color w:val="000000" w:themeColor="text1"/>
                        </w:rPr>
                        <w:t>d</w:t>
                      </w:r>
                      <w:r>
                        <w:rPr>
                          <w:i/>
                          <w:color w:val="000000" w:themeColor="text1"/>
                          <w:vertAlign w:val="subscript"/>
                        </w:rPr>
                        <w:t>ins</w:t>
                      </w:r>
                      <w:r>
                        <w:rPr>
                          <w:color w:val="000000" w:themeColor="text1"/>
                        </w:rPr>
                        <w:t xml:space="preserve"> 0,01 m tikslumu; </w:t>
                      </w:r>
                    </w:p>
                  </w:sdtContent>
                </w:sdt>
                <w:sdt>
                  <w:sdtPr>
                    <w:alias w:val="1 pr. 6.14.7 pp."/>
                    <w:tag w:val="part_1df58a440b764f849ec4b6d29a8ac11b"/>
                    <w:lock w:val="sdtLocked"/>
                    <w:richText/>
                  </w:sdtPr>
                  <w:sdtContent>
                    <w:p>
                      <w:pPr>
                        <w:ind w:firstLine="720"/>
                        <w:jc w:val="both"/>
                        <w:rPr>
                          <w:color w:val="000000" w:themeColor="text1"/>
                        </w:rPr>
                      </w:pPr>
                      <w:sdt>
                        <w:sdtPr>
                          <w:alias w:val="Numeris"/>
                          <w:tag w:val="nr_1df58a440b764f849ec4b6d29a8ac11b"/>
                          <w:lock w:val="sdtLocked"/>
                          <w:richText/>
                        </w:sdtPr>
                        <w:sdtContent>
                          <w:r>
                            <w:rPr>
                              <w:color w:val="000000" w:themeColor="text1"/>
                            </w:rPr>
                            <w:t>6.14.7</w:t>
                          </w:r>
                        </w:sdtContent>
                      </w:sdt>
                      <w:r>
                        <w:rPr>
                          <w:color w:val="000000" w:themeColor="text1"/>
                        </w:rPr>
                        <w:t xml:space="preserve">. horizontalaus termoizoliacinio sluoksnio plotis </w:t>
                      </w:r>
                      <w:r>
                        <w:rPr>
                          <w:i/>
                          <w:color w:val="000000" w:themeColor="text1"/>
                        </w:rPr>
                        <w:t>D</w:t>
                      </w:r>
                      <w:r>
                        <w:rPr>
                          <w:color w:val="000000" w:themeColor="text1"/>
                        </w:rPr>
                        <w:t xml:space="preserve"> 0,01 m tikslumu;</w:t>
                      </w:r>
                    </w:p>
                  </w:sdtContent>
                </w:sdt>
                <w:sdt>
                  <w:sdtPr>
                    <w:alias w:val="1 pr. 6.14.8 pp."/>
                    <w:tag w:val="part_f5e087fce1684aeda6190bd034b06279"/>
                    <w:lock w:val="sdtLocked"/>
                    <w:richText/>
                  </w:sdtPr>
                  <w:sdtContent>
                    <w:p>
                      <w:pPr>
                        <w:ind w:firstLine="720"/>
                        <w:jc w:val="both"/>
                        <w:rPr>
                          <w:color w:val="000000" w:themeColor="text1"/>
                        </w:rPr>
                      </w:pPr>
                      <w:sdt>
                        <w:sdtPr>
                          <w:alias w:val="Numeris"/>
                          <w:tag w:val="nr_f5e087fce1684aeda6190bd034b06279"/>
                          <w:lock w:val="sdtLocked"/>
                          <w:richText/>
                        </w:sdtPr>
                        <w:sdtContent>
                          <w:r>
                            <w:rPr>
                              <w:color w:val="000000" w:themeColor="text1"/>
                            </w:rPr>
                            <w:t>6.14.8</w:t>
                          </w:r>
                        </w:sdtContent>
                      </w:sdt>
                      <w:r>
                        <w:rPr>
                          <w:color w:val="000000" w:themeColor="text1"/>
                        </w:rPr>
                        <w:t xml:space="preserve">. vertikaliam termoizoliaciniam sluoksniui panaudoto statybos produkto pavadinimas ir projektinis šilumos laidumo koeficientas 0,001 W/(m·K) tikslumu. Jei yra šio statybos produkto projektinę šilumos laidumo koeficientų vertę patvirtinantys dokumentai, ši koeficiento vertė turi būti naudojama skaičiavimuose. Jei tokių dokumentų nėra, projektinės šilumos laidumo koeficientų vertės turi būti imamos iš  Reglamento 3 priedo;</w:t>
                      </w:r>
                    </w:p>
                  </w:sdtContent>
                </w:sdt>
                <w:sdt>
                  <w:sdtPr>
                    <w:alias w:val="1 pr. 6.14.9 pp."/>
                    <w:tag w:val="part_b238da3e82634d4eb2ac5fc5f1f3dfde"/>
                    <w:lock w:val="sdtLocked"/>
                    <w:richText/>
                  </w:sdtPr>
                  <w:sdtContent>
                    <w:p>
                      <w:pPr>
                        <w:ind w:firstLine="720"/>
                        <w:jc w:val="both"/>
                        <w:rPr>
                          <w:color w:val="000000" w:themeColor="text1"/>
                        </w:rPr>
                      </w:pPr>
                      <w:sdt>
                        <w:sdtPr>
                          <w:alias w:val="Numeris"/>
                          <w:tag w:val="nr_b238da3e82634d4eb2ac5fc5f1f3dfde"/>
                          <w:lock w:val="sdtLocked"/>
                          <w:richText/>
                        </w:sdtPr>
                        <w:sdtContent>
                          <w:r>
                            <w:rPr>
                              <w:color w:val="000000" w:themeColor="text1"/>
                            </w:rPr>
                            <w:t>6.14.9</w:t>
                          </w:r>
                        </w:sdtContent>
                      </w:sdt>
                      <w:r>
                        <w:rPr>
                          <w:color w:val="000000" w:themeColor="text1"/>
                        </w:rPr>
                        <w:t xml:space="preserve">. vertikalaus termoizoliacinio sluoksnio storis </w:t>
                      </w:r>
                      <w:r>
                        <w:rPr>
                          <w:i/>
                          <w:color w:val="000000" w:themeColor="text1"/>
                        </w:rPr>
                        <w:t>d</w:t>
                      </w:r>
                      <w:r>
                        <w:rPr>
                          <w:i/>
                          <w:color w:val="000000" w:themeColor="text1"/>
                          <w:vertAlign w:val="subscript"/>
                        </w:rPr>
                        <w:t>ins</w:t>
                      </w:r>
                      <w:r>
                        <w:rPr>
                          <w:color w:val="000000" w:themeColor="text1"/>
                        </w:rPr>
                        <w:t xml:space="preserve"> 0,01 m tikslumu; </w:t>
                      </w:r>
                    </w:p>
                  </w:sdtContent>
                </w:sdt>
                <w:sdt>
                  <w:sdtPr>
                    <w:alias w:val="1 pr. 6.14.10 pp."/>
                    <w:tag w:val="part_fe7ce033c7ef453a9b90a5fbcae4c01e"/>
                    <w:lock w:val="sdtLocked"/>
                    <w:richText/>
                  </w:sdtPr>
                  <w:sdtContent>
                    <w:p>
                      <w:pPr>
                        <w:ind w:firstLine="720"/>
                        <w:jc w:val="both"/>
                        <w:rPr>
                          <w:color w:val="000000" w:themeColor="text1"/>
                        </w:rPr>
                      </w:pPr>
                      <w:sdt>
                        <w:sdtPr>
                          <w:alias w:val="Numeris"/>
                          <w:tag w:val="nr_fe7ce033c7ef453a9b90a5fbcae4c01e"/>
                          <w:lock w:val="sdtLocked"/>
                          <w:richText/>
                        </w:sdtPr>
                        <w:sdtContent>
                          <w:r>
                            <w:rPr>
                              <w:color w:val="000000" w:themeColor="text1"/>
                            </w:rPr>
                            <w:t>6.14.10</w:t>
                          </w:r>
                        </w:sdtContent>
                      </w:sdt>
                      <w:r>
                        <w:rPr>
                          <w:color w:val="000000" w:themeColor="text1"/>
                        </w:rPr>
                        <w:t xml:space="preserve">. vertikalaus termoizoliacinio sluoksnio gylis </w:t>
                      </w:r>
                      <w:r>
                        <w:rPr>
                          <w:i/>
                          <w:color w:val="000000" w:themeColor="text1"/>
                        </w:rPr>
                        <w:t>D</w:t>
                      </w:r>
                      <w:r>
                        <w:rPr>
                          <w:color w:val="000000" w:themeColor="text1"/>
                        </w:rPr>
                        <w:t xml:space="preserve"> 0,01 m tikslumu.</w:t>
                      </w:r>
                    </w:p>
                  </w:sdtContent>
                </w:sdt>
              </w:sdtContent>
            </w:sdt>
            <w:sdt>
              <w:sdtPr>
                <w:alias w:val="1 pr. 6.15 pp."/>
                <w:tag w:val="part_3b60c102dd3744bdb8f4837612ae6e89"/>
                <w:lock w:val="sdtLocked"/>
                <w:richText/>
              </w:sdtPr>
              <w:sdtContent>
                <w:p>
                  <w:pPr>
                    <w:ind w:firstLine="720"/>
                    <w:jc w:val="both"/>
                    <w:rPr>
                      <w:color w:val="000000" w:themeColor="text1"/>
                    </w:rPr>
                  </w:pPr>
                  <w:sdt>
                    <w:sdtPr>
                      <w:alias w:val="Numeris"/>
                      <w:tag w:val="nr_3b60c102dd3744bdb8f4837612ae6e89"/>
                      <w:lock w:val="sdtLocked"/>
                      <w:richText/>
                    </w:sdtPr>
                    <w:sdtContent>
                      <w:r>
                        <w:rPr>
                          <w:color w:val="000000" w:themeColor="text1"/>
                        </w:rPr>
                        <w:t>6.15</w:t>
                      </w:r>
                    </w:sdtContent>
                  </w:sdt>
                  <w:r>
                    <w:rPr>
                      <w:color w:val="000000" w:themeColor="text1"/>
                    </w:rPr>
                    <w:t>. Duomenys apie šildomo rūsio atitvaras, kurios ribojasi su gruntu (žr. Reglamento 2 priedo 2.7 pav.):</w:t>
                  </w:r>
                </w:p>
                <w:sdt>
                  <w:sdtPr>
                    <w:alias w:val="1 pr. 6.15.1 pp."/>
                    <w:tag w:val="part_be16b6a142f04e0bb23ff56d7b6c775c"/>
                    <w:lock w:val="sdtLocked"/>
                    <w:richText/>
                  </w:sdtPr>
                  <w:sdtContent>
                    <w:p>
                      <w:pPr>
                        <w:ind w:firstLine="720"/>
                        <w:jc w:val="both"/>
                        <w:rPr>
                          <w:color w:val="000000" w:themeColor="text1"/>
                        </w:rPr>
                      </w:pPr>
                      <w:sdt>
                        <w:sdtPr>
                          <w:alias w:val="Numeris"/>
                          <w:tag w:val="nr_be16b6a142f04e0bb23ff56d7b6c775c"/>
                          <w:lock w:val="sdtLocked"/>
                          <w:richText/>
                        </w:sdtPr>
                        <w:sdtContent>
                          <w:r>
                            <w:rPr>
                              <w:color w:val="000000" w:themeColor="text1"/>
                            </w:rPr>
                            <w:t>6.15.1</w:t>
                          </w:r>
                        </w:sdtContent>
                      </w:sdt>
                      <w:r>
                        <w:rPr>
                          <w:color w:val="000000" w:themeColor="text1"/>
                        </w:rPr>
                        <w:t>. rūsio grindų plotas 0,01 m</w:t>
                      </w:r>
                      <w:r>
                        <w:rPr>
                          <w:color w:val="000000" w:themeColor="text1"/>
                          <w:vertAlign w:val="superscript"/>
                        </w:rPr>
                        <w:t>2</w:t>
                      </w:r>
                      <w:r>
                        <w:rPr>
                          <w:color w:val="000000" w:themeColor="text1"/>
                        </w:rPr>
                        <w:t xml:space="preserve"> tikslumu;</w:t>
                      </w:r>
                    </w:p>
                  </w:sdtContent>
                </w:sdt>
                <w:sdt>
                  <w:sdtPr>
                    <w:alias w:val="1 pr. 6.15.2 pp."/>
                    <w:tag w:val="part_1bceac7d54354166ac4ed041219d0db9"/>
                    <w:lock w:val="sdtLocked"/>
                    <w:richText/>
                  </w:sdtPr>
                  <w:sdtContent>
                    <w:p>
                      <w:pPr>
                        <w:ind w:firstLine="720"/>
                        <w:jc w:val="both"/>
                        <w:rPr>
                          <w:color w:val="000000" w:themeColor="text1"/>
                        </w:rPr>
                      </w:pPr>
                      <w:sdt>
                        <w:sdtPr>
                          <w:alias w:val="Numeris"/>
                          <w:tag w:val="nr_1bceac7d54354166ac4ed041219d0db9"/>
                          <w:lock w:val="sdtLocked"/>
                          <w:richText/>
                        </w:sdtPr>
                        <w:sdtContent>
                          <w:r>
                            <w:rPr>
                              <w:color w:val="000000" w:themeColor="text1"/>
                            </w:rPr>
                            <w:t>6.15.2</w:t>
                          </w:r>
                        </w:sdtContent>
                      </w:sdt>
                      <w:r>
                        <w:rPr>
                          <w:color w:val="000000" w:themeColor="text1"/>
                        </w:rPr>
                        <w:t>. sienų, kurios ribojasi su gruntu, ilgis 0,01 m tikslumu;</w:t>
                      </w:r>
                    </w:p>
                  </w:sdtContent>
                </w:sdt>
                <w:sdt>
                  <w:sdtPr>
                    <w:alias w:val="1 pr. 6.15.3 pp."/>
                    <w:tag w:val="part_857b29b1613e49ce8c90af5d053b257a"/>
                    <w:lock w:val="sdtLocked"/>
                    <w:richText/>
                  </w:sdtPr>
                  <w:sdtContent>
                    <w:p>
                      <w:pPr>
                        <w:ind w:firstLine="720"/>
                        <w:jc w:val="both"/>
                        <w:rPr>
                          <w:color w:val="000000" w:themeColor="text1"/>
                        </w:rPr>
                      </w:pPr>
                      <w:sdt>
                        <w:sdtPr>
                          <w:alias w:val="Numeris"/>
                          <w:tag w:val="nr_857b29b1613e49ce8c90af5d053b257a"/>
                          <w:lock w:val="sdtLocked"/>
                          <w:richText/>
                        </w:sdtPr>
                        <w:sdtContent>
                          <w:r>
                            <w:rPr>
                              <w:color w:val="000000" w:themeColor="text1"/>
                            </w:rPr>
                            <w:t>6.15.3</w:t>
                          </w:r>
                        </w:sdtContent>
                      </w:sdt>
                      <w:r>
                        <w:rPr>
                          <w:color w:val="000000" w:themeColor="text1"/>
                        </w:rPr>
                        <w:t>. pamato storis 0,01 m tikslumu;</w:t>
                      </w:r>
                    </w:p>
                  </w:sdtContent>
                </w:sdt>
                <w:sdt>
                  <w:sdtPr>
                    <w:alias w:val="1 pr. 6.15.4 pp."/>
                    <w:tag w:val="part_53446a9a10c84b6b9385959ddd83374b"/>
                    <w:lock w:val="sdtLocked"/>
                    <w:richText/>
                  </w:sdtPr>
                  <w:sdtContent>
                    <w:p>
                      <w:pPr>
                        <w:ind w:firstLine="720"/>
                        <w:jc w:val="both"/>
                        <w:rPr>
                          <w:color w:val="000000" w:themeColor="text1"/>
                        </w:rPr>
                      </w:pPr>
                      <w:sdt>
                        <w:sdtPr>
                          <w:alias w:val="Numeris"/>
                          <w:tag w:val="nr_53446a9a10c84b6b9385959ddd83374b"/>
                          <w:lock w:val="sdtLocked"/>
                          <w:richText/>
                        </w:sdtPr>
                        <w:sdtContent>
                          <w:r>
                            <w:rPr>
                              <w:color w:val="000000" w:themeColor="text1"/>
                            </w:rPr>
                            <w:t>6.15.4</w:t>
                          </w:r>
                        </w:sdtContent>
                      </w:sdt>
                      <w:r>
                        <w:rPr>
                          <w:color w:val="000000" w:themeColor="text1"/>
                        </w:rPr>
                        <w:t xml:space="preserve">. sienų, kurios ribojasi su gruntu, suminės šiluminės varžos </w:t>
                      </w:r>
                      <w:r>
                        <w:rPr>
                          <w:i/>
                          <w:color w:val="000000" w:themeColor="text1"/>
                        </w:rPr>
                        <w:t>R</w:t>
                      </w:r>
                      <w:r>
                        <w:rPr>
                          <w:i/>
                          <w:color w:val="000000" w:themeColor="text1"/>
                          <w:vertAlign w:val="subscript"/>
                        </w:rPr>
                        <w:t xml:space="preserve">bw </w:t>
                      </w:r>
                      <w:r>
                        <w:rPr>
                          <w:color w:val="000000" w:themeColor="text1"/>
                        </w:rPr>
                        <w:t>vertė 0,01 m</w:t>
                      </w:r>
                      <w:r>
                        <w:rPr>
                          <w:color w:val="000000" w:themeColor="text1"/>
                          <w:vertAlign w:val="superscript"/>
                        </w:rPr>
                        <w:t>2</w:t>
                      </w:r>
                      <w:r>
                        <w:rPr>
                          <w:color w:val="000000" w:themeColor="text1"/>
                        </w:rPr>
                        <w:t xml:space="preserve">·K/W tikslumu. Jei yra sienų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bw</w:t>
                      </w:r>
                      <w:r>
                        <w:rPr>
                          <w:color w:val="000000" w:themeColor="text1"/>
                        </w:rPr>
                        <w:t xml:space="preserve"> </w:t>
                      </w:r>
                      <w:r>
                        <w:rPr>
                          <w:iCs/>
                          <w:color w:val="000000" w:themeColor="text1"/>
                        </w:rPr>
                        <w:t>vertės</w:t>
                      </w:r>
                      <w:r>
                        <w:rPr>
                          <w:color w:val="000000" w:themeColor="text1"/>
                        </w:rPr>
                        <w:t xml:space="preserve"> pagal Reglamentų 2 ir 3 priedų reikalavimus skaičiavimams. Jei tokių dokumentų nėra,  šios šiluminės varžos vertės skaičiavimams turi būti taikomi Reglamento 3 priede pateikti duomenys;</w:t>
                      </w:r>
                    </w:p>
                  </w:sdtContent>
                </w:sdt>
                <w:sdt>
                  <w:sdtPr>
                    <w:alias w:val="1 pr. 6.15.5 pp."/>
                    <w:tag w:val="part_627b1e46063c4b81ba252651f544640a"/>
                    <w:lock w:val="sdtLocked"/>
                    <w:richText/>
                  </w:sdtPr>
                  <w:sdtContent>
                    <w:p>
                      <w:pPr>
                        <w:ind w:firstLine="720"/>
                        <w:jc w:val="both"/>
                        <w:rPr>
                          <w:color w:val="000000" w:themeColor="text1"/>
                        </w:rPr>
                      </w:pPr>
                      <w:sdt>
                        <w:sdtPr>
                          <w:alias w:val="Numeris"/>
                          <w:tag w:val="nr_627b1e46063c4b81ba252651f544640a"/>
                          <w:lock w:val="sdtLocked"/>
                          <w:richText/>
                        </w:sdtPr>
                        <w:sdtContent>
                          <w:r>
                            <w:rPr>
                              <w:color w:val="000000" w:themeColor="text1"/>
                            </w:rPr>
                            <w:t>6.15.5</w:t>
                          </w:r>
                        </w:sdtContent>
                      </w:sdt>
                      <w:r>
                        <w:rPr>
                          <w:color w:val="000000" w:themeColor="text1"/>
                        </w:rPr>
                        <w:t xml:space="preserve">. grindų plokštės suminės šiluminės varžos </w:t>
                      </w:r>
                      <w:r>
                        <w:rPr>
                          <w:i/>
                          <w:color w:val="000000" w:themeColor="text1"/>
                        </w:rPr>
                        <w:t>R</w:t>
                      </w:r>
                      <w:r>
                        <w:rPr>
                          <w:i/>
                          <w:color w:val="000000" w:themeColor="text1"/>
                          <w:vertAlign w:val="subscript"/>
                        </w:rPr>
                        <w:t xml:space="preserve">bf </w:t>
                      </w:r>
                      <w:r>
                        <w:rPr>
                          <w:color w:val="000000" w:themeColor="text1"/>
                        </w:rPr>
                        <w:t xml:space="preserve"> vertė 0,01 m</w:t>
                      </w:r>
                      <w:r>
                        <w:rPr>
                          <w:color w:val="000000" w:themeColor="text1"/>
                          <w:vertAlign w:val="superscript"/>
                        </w:rPr>
                        <w:t>2</w:t>
                      </w:r>
                      <w:r>
                        <w:rPr>
                          <w:color w:val="000000" w:themeColor="text1"/>
                        </w:rPr>
                        <w:t xml:space="preserve">·K/W tikslumu. Jei yra šių grindų plokštės sluoksnius sudarančių medžiagų projektines šilumos laidumo koeficientų vertes patvirtinantys dokumentai, šie koeficientai turi būti taikomi  šiluminės varžos </w:t>
                      </w:r>
                      <w:r>
                        <w:rPr>
                          <w:i/>
                          <w:color w:val="000000" w:themeColor="text1"/>
                        </w:rPr>
                        <w:t>R</w:t>
                      </w:r>
                      <w:r>
                        <w:rPr>
                          <w:i/>
                          <w:color w:val="000000" w:themeColor="text1"/>
                          <w:vertAlign w:val="subscript"/>
                        </w:rPr>
                        <w:t xml:space="preserve">bf </w:t>
                      </w:r>
                      <w:r>
                        <w:rPr>
                          <w:iCs/>
                          <w:color w:val="000000" w:themeColor="text1"/>
                        </w:rPr>
                        <w:t>vertės</w:t>
                      </w:r>
                      <w:r>
                        <w:rPr>
                          <w:color w:val="000000" w:themeColor="text1"/>
                        </w:rPr>
                        <w:t xml:space="preserve"> pagal Reglamentų 2 ir 3 priedų reikalavimus skaičiavimams. Jei tokių dokumentų nėra,  šios šiluminės varžos vertės skaičiavimams turi būti taikomi Reglamento 3 priede pateikti duomenys;</w:t>
                      </w:r>
                    </w:p>
                  </w:sdtContent>
                </w:sdt>
                <w:sdt>
                  <w:sdtPr>
                    <w:alias w:val="1 pr. 6.15.6 pp."/>
                    <w:tag w:val="part_0f8f83bb68754c55b7f0a876a21c8a23"/>
                    <w:lock w:val="sdtLocked"/>
                    <w:richText/>
                  </w:sdtPr>
                  <w:sdtContent>
                    <w:p>
                      <w:pPr>
                        <w:ind w:firstLine="720"/>
                        <w:jc w:val="both"/>
                        <w:rPr>
                          <w:color w:val="000000" w:themeColor="text1"/>
                        </w:rPr>
                      </w:pPr>
                      <w:sdt>
                        <w:sdtPr>
                          <w:alias w:val="Numeris"/>
                          <w:tag w:val="nr_0f8f83bb68754c55b7f0a876a21c8a23"/>
                          <w:lock w:val="sdtLocked"/>
                          <w:richText/>
                        </w:sdtPr>
                        <w:sdtContent>
                          <w:r>
                            <w:rPr>
                              <w:color w:val="000000" w:themeColor="text1"/>
                            </w:rPr>
                            <w:t>6.15.6</w:t>
                          </w:r>
                        </w:sdtContent>
                      </w:sdt>
                      <w:r>
                        <w:rPr>
                          <w:color w:val="000000" w:themeColor="text1"/>
                        </w:rPr>
                        <w:t xml:space="preserve">. rūsio sienų požeminės dalies aukštis </w:t>
                      </w:r>
                      <w:r>
                        <w:rPr>
                          <w:i/>
                          <w:color w:val="000000" w:themeColor="text1"/>
                        </w:rPr>
                        <w:t>z</w:t>
                      </w:r>
                      <w:r>
                        <w:rPr>
                          <w:color w:val="000000" w:themeColor="text1"/>
                        </w:rPr>
                        <w:t xml:space="preserve"> 0,01 m tikslumu.</w:t>
                      </w:r>
                    </w:p>
                  </w:sdtContent>
                </w:sdt>
              </w:sdtContent>
            </w:sdt>
            <w:sdt>
              <w:sdtPr>
                <w:alias w:val="1 pr. 6.16 pp."/>
                <w:tag w:val="part_be0c362c157d456e841d4d5e436ca99f"/>
                <w:lock w:val="sdtLocked"/>
                <w:richText/>
              </w:sdtPr>
              <w:sdtContent>
                <w:p>
                  <w:pPr>
                    <w:ind w:firstLine="720"/>
                    <w:jc w:val="both"/>
                    <w:rPr>
                      <w:color w:val="000000" w:themeColor="text1"/>
                    </w:rPr>
                  </w:pPr>
                  <w:sdt>
                    <w:sdtPr>
                      <w:alias w:val="Numeris"/>
                      <w:tag w:val="nr_be0c362c157d456e841d4d5e436ca99f"/>
                      <w:lock w:val="sdtLocked"/>
                      <w:richText/>
                    </w:sdtPr>
                    <w:sdtContent>
                      <w:r>
                        <w:rPr>
                          <w:color w:val="000000" w:themeColor="text1"/>
                        </w:rPr>
                        <w:t>6.16</w:t>
                      </w:r>
                    </w:sdtContent>
                  </w:sdt>
                  <w:r>
                    <w:rPr>
                      <w:color w:val="000000" w:themeColor="text1"/>
                    </w:rPr>
                    <w:t>. Duomenys apie ilginius šiluminius tiltelius:</w:t>
                  </w:r>
                </w:p>
                <w:sdt>
                  <w:sdtPr>
                    <w:alias w:val="1 pr. 6.16.1 pp."/>
                    <w:tag w:val="part_db84a190cc8b4733883fc25bd6dd75f5"/>
                    <w:lock w:val="sdtLocked"/>
                    <w:richText/>
                  </w:sdtPr>
                  <w:sdtContent>
                    <w:p>
                      <w:pPr>
                        <w:ind w:firstLine="720"/>
                        <w:jc w:val="both"/>
                        <w:rPr>
                          <w:color w:val="000000" w:themeColor="text1"/>
                        </w:rPr>
                      </w:pPr>
                      <w:sdt>
                        <w:sdtPr>
                          <w:alias w:val="Numeris"/>
                          <w:tag w:val="nr_db84a190cc8b4733883fc25bd6dd75f5"/>
                          <w:lock w:val="sdtLocked"/>
                          <w:richText/>
                        </w:sdtPr>
                        <w:sdtContent>
                          <w:r>
                            <w:rPr>
                              <w:color w:val="000000" w:themeColor="text1"/>
                            </w:rPr>
                            <w:t>6.16.1</w:t>
                          </w:r>
                        </w:sdtContent>
                      </w:sdt>
                      <w:r>
                        <w:rPr>
                          <w:color w:val="000000" w:themeColor="text1"/>
                        </w:rPr>
                        <w:t>. Reglamento 29.1 punkte išvardintų ilginių šiluminių tiltelių ilgis 0,01 m tikslumu;</w:t>
                      </w:r>
                    </w:p>
                  </w:sdtContent>
                </w:sdt>
                <w:sdt>
                  <w:sdtPr>
                    <w:alias w:val="1 pr. 6.16.2 pp."/>
                    <w:tag w:val="part_5ba7e5989bed4b94867c87d8914b15c3"/>
                    <w:lock w:val="sdtLocked"/>
                    <w:richText/>
                  </w:sdtPr>
                  <w:sdtContent>
                    <w:p>
                      <w:pPr>
                        <w:ind w:firstLine="720"/>
                        <w:jc w:val="both"/>
                        <w:rPr>
                          <w:color w:val="000000" w:themeColor="text1"/>
                        </w:rPr>
                      </w:pPr>
                      <w:sdt>
                        <w:sdtPr>
                          <w:alias w:val="Numeris"/>
                          <w:tag w:val="nr_5ba7e5989bed4b94867c87d8914b15c3"/>
                          <w:lock w:val="sdtLocked"/>
                          <w:richText/>
                        </w:sdtPr>
                        <w:sdtContent>
                          <w:r>
                            <w:rPr>
                              <w:color w:val="000000" w:themeColor="text1"/>
                            </w:rPr>
                            <w:t>6.16.2</w:t>
                          </w:r>
                        </w:sdtContent>
                      </w:sdt>
                      <w:r>
                        <w:rPr>
                          <w:color w:val="000000" w:themeColor="text1"/>
                        </w:rPr>
                        <w:t xml:space="preserve">. Reglamento 29.1 punkte išvardintų ilginių šiluminių tiltelių skaičiuojamojo šilumos perdavimo koeficiento </w:t>
                      </w:r>
                      <w:r>
                        <w:rPr>
                          <w:i/>
                          <w:color w:val="000000" w:themeColor="text1"/>
                        </w:rPr>
                        <w:sym w:font="Symbol" w:char="F059"/>
                        <w:t xml:space="preserve"> </w:t>
                      </w:r>
                      <w:r>
                        <w:rPr>
                          <w:color w:val="000000" w:themeColor="text1"/>
                        </w:rPr>
                        <w:t xml:space="preserve">vertė 0,01 W/(m·K) tikslumu, nustatyta pagal Reglamento 29–31  punktų reikalavimus;</w:t>
                      </w:r>
                    </w:p>
                  </w:sdtContent>
                </w:sdt>
                <w:sdt>
                  <w:sdtPr>
                    <w:alias w:val="1 pr. 6.16.3 pp."/>
                    <w:tag w:val="part_0895885f3ffa4a1b8b13f86c7732dfa6"/>
                    <w:lock w:val="sdtLocked"/>
                    <w:richText/>
                  </w:sdtPr>
                  <w:sdtContent>
                    <w:p>
                      <w:pPr>
                        <w:ind w:firstLine="720"/>
                        <w:jc w:val="both"/>
                        <w:rPr>
                          <w:color w:val="000000" w:themeColor="text1"/>
                        </w:rPr>
                      </w:pPr>
                      <w:sdt>
                        <w:sdtPr>
                          <w:alias w:val="Numeris"/>
                          <w:tag w:val="nr_0895885f3ffa4a1b8b13f86c7732dfa6"/>
                          <w:lock w:val="sdtLocked"/>
                          <w:richText/>
                        </w:sdtPr>
                        <w:sdtContent>
                          <w:r>
                            <w:rPr>
                              <w:color w:val="000000" w:themeColor="text1"/>
                            </w:rPr>
                            <w:t>6.16.3</w:t>
                          </w:r>
                        </w:sdtContent>
                      </w:sdt>
                      <w:r>
                        <w:rPr>
                          <w:color w:val="000000" w:themeColor="text1"/>
                        </w:rPr>
                        <w:t>. Reglamento 29.1 punkte išvardintų ilginių šiluminių tiltelių apibūdinimas pagal Reglamento 2 priedo 2.11 lentelę.</w:t>
                      </w:r>
                    </w:p>
                  </w:sdtContent>
                </w:sdt>
              </w:sdtContent>
            </w:sdt>
          </w:sdtContent>
        </w:sdt>
        <w:sdt>
          <w:sdtPr>
            <w:alias w:val="1 pr. 7 p."/>
            <w:tag w:val="part_4d8b8692d7614e619545ce06254f35b8"/>
            <w:lock w:val="sdtLocked"/>
            <w:richText/>
          </w:sdtPr>
          <w:sdtContent>
            <w:p>
              <w:pPr>
                <w:ind w:firstLine="720"/>
                <w:jc w:val="both"/>
                <w:rPr>
                  <w:color w:val="000000" w:themeColor="text1"/>
                </w:rPr>
              </w:pPr>
              <w:sdt>
                <w:sdtPr>
                  <w:alias w:val="Numeris"/>
                  <w:tag w:val="nr_4d8b8692d7614e619545ce06254f35b8"/>
                  <w:lock w:val="sdtLocked"/>
                  <w:richText/>
                </w:sdtPr>
                <w:sdtContent>
                  <w:r>
                    <w:rPr>
                      <w:color w:val="000000" w:themeColor="text1"/>
                    </w:rPr>
                    <w:t>7</w:t>
                  </w:r>
                </w:sdtContent>
              </w:sdt>
              <w:r>
                <w:rPr>
                  <w:color w:val="000000" w:themeColor="text1"/>
                </w:rPr>
                <w:t>. Duomenys apie pastato vėdinimo sistemas:</w:t>
              </w:r>
            </w:p>
            <w:sdt>
              <w:sdtPr>
                <w:alias w:val="1 pr. 7.1 pp."/>
                <w:tag w:val="part_bd17787b7b7c41f3aca8e10fcb8807b6"/>
                <w:lock w:val="sdtLocked"/>
                <w:richText/>
              </w:sdtPr>
              <w:sdtContent>
                <w:p>
                  <w:pPr>
                    <w:ind w:firstLine="720"/>
                    <w:jc w:val="both"/>
                    <w:rPr>
                      <w:color w:val="000000" w:themeColor="text1"/>
                    </w:rPr>
                  </w:pPr>
                  <w:sdt>
                    <w:sdtPr>
                      <w:alias w:val="Numeris"/>
                      <w:tag w:val="nr_bd17787b7b7c41f3aca8e10fcb8807b6"/>
                      <w:lock w:val="sdtLocked"/>
                      <w:richText/>
                    </w:sdtPr>
                    <w:sdtContent>
                      <w:r>
                        <w:rPr>
                          <w:color w:val="000000" w:themeColor="text1"/>
                        </w:rPr>
                        <w:t>7.1</w:t>
                      </w:r>
                    </w:sdtContent>
                  </w:sdt>
                  <w:r>
                    <w:rPr>
                      <w:color w:val="000000" w:themeColor="text1"/>
                    </w:rPr>
                    <w:t>. pastato šildomas plotas, kuriame įrengta natūralaus vėdinimo sistema, 0,01 m</w:t>
                  </w:r>
                  <w:r>
                    <w:rPr>
                      <w:color w:val="000000" w:themeColor="text1"/>
                      <w:vertAlign w:val="superscript"/>
                    </w:rPr>
                    <w:t>2</w:t>
                  </w:r>
                  <w:r>
                    <w:rPr>
                      <w:color w:val="000000" w:themeColor="text1"/>
                    </w:rPr>
                    <w:t xml:space="preserve"> tikslumu;</w:t>
                  </w:r>
                </w:p>
              </w:sdtContent>
            </w:sdt>
            <w:sdt>
              <w:sdtPr>
                <w:alias w:val="1 pr. 7.2 pp."/>
                <w:tag w:val="part_b1817344d66e4fcf88fb27cd78b84b45"/>
                <w:lock w:val="sdtLocked"/>
                <w:richText/>
              </w:sdtPr>
              <w:sdtContent>
                <w:p>
                  <w:pPr>
                    <w:ind w:firstLine="720"/>
                    <w:jc w:val="both"/>
                    <w:rPr>
                      <w:color w:val="000000" w:themeColor="text1"/>
                    </w:rPr>
                  </w:pPr>
                  <w:sdt>
                    <w:sdtPr>
                      <w:alias w:val="Numeris"/>
                      <w:tag w:val="nr_b1817344d66e4fcf88fb27cd78b84b45"/>
                      <w:lock w:val="sdtLocked"/>
                      <w:richText/>
                    </w:sdtPr>
                    <w:sdtContent>
                      <w:r>
                        <w:rPr>
                          <w:color w:val="000000" w:themeColor="text1"/>
                        </w:rPr>
                        <w:t>7.2</w:t>
                      </w:r>
                    </w:sdtContent>
                  </w:sdt>
                  <w:r>
                    <w:rPr>
                      <w:color w:val="000000" w:themeColor="text1"/>
                    </w:rPr>
                    <w:t>. pastato šildomas plotas, kuriame įrengta mechaninio vėdinimo be rekuperacijos sistema be į patalpas tiekiamo oro pašildymo, 0,01 m</w:t>
                  </w:r>
                  <w:r>
                    <w:rPr>
                      <w:color w:val="000000" w:themeColor="text1"/>
                      <w:vertAlign w:val="superscript"/>
                    </w:rPr>
                    <w:t>2</w:t>
                  </w:r>
                  <w:r>
                    <w:rPr>
                      <w:color w:val="000000" w:themeColor="text1"/>
                    </w:rPr>
                    <w:t xml:space="preserve"> tikslumu;</w:t>
                  </w:r>
                </w:p>
              </w:sdtContent>
            </w:sdt>
            <w:sdt>
              <w:sdtPr>
                <w:alias w:val="1 pr. 7.3 pp."/>
                <w:tag w:val="part_9388f14392124071909f878dd23dc6db"/>
                <w:lock w:val="sdtLocked"/>
                <w:richText/>
              </w:sdtPr>
              <w:sdtContent>
                <w:p>
                  <w:pPr>
                    <w:ind w:firstLine="720"/>
                    <w:jc w:val="both"/>
                    <w:rPr>
                      <w:color w:val="000000" w:themeColor="text1"/>
                    </w:rPr>
                  </w:pPr>
                  <w:sdt>
                    <w:sdtPr>
                      <w:alias w:val="Numeris"/>
                      <w:tag w:val="nr_9388f14392124071909f878dd23dc6db"/>
                      <w:lock w:val="sdtLocked"/>
                      <w:richText/>
                    </w:sdtPr>
                    <w:sdtContent>
                      <w:r>
                        <w:rPr>
                          <w:color w:val="000000" w:themeColor="text1"/>
                        </w:rPr>
                        <w:t>7.3</w:t>
                      </w:r>
                    </w:sdtContent>
                  </w:sdt>
                  <w:r>
                    <w:rPr>
                      <w:color w:val="000000" w:themeColor="text1"/>
                    </w:rPr>
                    <w:t xml:space="preserve">. mechaninio vėdinimo be rekuperacijos sistemos be į patalpas tiekiamo oro pašildymo elektrinių ventiliatorių sunaudojamas elektros energijos kiekis vienam m³ oro debitui 0,01 Wh/m³ tikslumu. Jeigu yra elektrinių ventiliatorių sunaudojamą elektros energijos kiekį vienam m³ oro debitui patvirtinantys dokumentai, turi būti nurodytas ventiliatorių gamintojo pavadinimas, tipas (markė) ir skaičiavimuose naudojami šiuose dokumentuose nurodyti duomenys. Jeigu tokių dokumentų nėra, nežinomas ventiliatorių gamintojas ar gaminio tipas (markė) arba ventiliatoriai sunaudoja daugiau kaip 2 Wh/m³ elektros energijos, skaičiavimuose turi būti naudojamos 2 Wh/m³ ventiliatorių elektros energijos sąnaudos; </w:t>
                  </w:r>
                </w:p>
              </w:sdtContent>
            </w:sdt>
            <w:sdt>
              <w:sdtPr>
                <w:alias w:val="1 pr. 7.4 pp."/>
                <w:tag w:val="part_437ddc70a3e54af288169ab89031c5eb"/>
                <w:lock w:val="sdtLocked"/>
                <w:richText/>
              </w:sdtPr>
              <w:sdtContent>
                <w:p>
                  <w:pPr>
                    <w:ind w:firstLine="720"/>
                    <w:jc w:val="both"/>
                    <w:rPr>
                      <w:color w:val="000000" w:themeColor="text1"/>
                    </w:rPr>
                  </w:pPr>
                  <w:sdt>
                    <w:sdtPr>
                      <w:alias w:val="Numeris"/>
                      <w:tag w:val="nr_437ddc70a3e54af288169ab89031c5eb"/>
                      <w:lock w:val="sdtLocked"/>
                      <w:richText/>
                    </w:sdtPr>
                    <w:sdtContent>
                      <w:r>
                        <w:rPr>
                          <w:color w:val="000000" w:themeColor="text1"/>
                        </w:rPr>
                        <w:t>7.4</w:t>
                      </w:r>
                    </w:sdtContent>
                  </w:sdt>
                  <w:r>
                    <w:rPr>
                      <w:color w:val="000000" w:themeColor="text1"/>
                    </w:rPr>
                    <w:t>. pastato šildomas plotas, kuriame įrengta mechaninio vėdinimo be rekuperacijos sistema su į patalpas tiekiamo oro pašildymu, 0,01 m</w:t>
                  </w:r>
                  <w:r>
                    <w:rPr>
                      <w:color w:val="000000" w:themeColor="text1"/>
                      <w:vertAlign w:val="superscript"/>
                    </w:rPr>
                    <w:t>2</w:t>
                  </w:r>
                  <w:r>
                    <w:rPr>
                      <w:color w:val="000000" w:themeColor="text1"/>
                    </w:rPr>
                    <w:t xml:space="preserve"> tikslumu;</w:t>
                  </w:r>
                </w:p>
              </w:sdtContent>
            </w:sdt>
            <w:sdt>
              <w:sdtPr>
                <w:alias w:val="1 pr. 7.5 pp."/>
                <w:tag w:val="part_3cceb06aca85499db1ac50c7180f6d70"/>
                <w:lock w:val="sdtLocked"/>
                <w:richText/>
              </w:sdtPr>
              <w:sdtContent>
                <w:p>
                  <w:pPr>
                    <w:ind w:firstLine="720"/>
                    <w:jc w:val="both"/>
                    <w:rPr>
                      <w:color w:val="000000" w:themeColor="text1"/>
                    </w:rPr>
                  </w:pPr>
                  <w:sdt>
                    <w:sdtPr>
                      <w:alias w:val="Numeris"/>
                      <w:tag w:val="nr_3cceb06aca85499db1ac50c7180f6d70"/>
                      <w:lock w:val="sdtLocked"/>
                      <w:richText/>
                    </w:sdtPr>
                    <w:sdtContent>
                      <w:r>
                        <w:rPr>
                          <w:color w:val="000000" w:themeColor="text1"/>
                        </w:rPr>
                        <w:t>7.5</w:t>
                      </w:r>
                    </w:sdtContent>
                  </w:sdt>
                  <w:r>
                    <w:rPr>
                      <w:color w:val="000000" w:themeColor="text1"/>
                    </w:rPr>
                    <w:t>. mechaninio vėdinimo be rekuperacijos sistemos su į patalpas tiekiamo oro pašildymu elektrinių ventiliatorių sunaudojamas elektros energijos kiekis vienam m³ oro debitui 0,01 Wh/m³ tikslumu. Jeigu yra elektrinių ventiliatorių sunaudojamą elektros energijos kiekį vienam m³ oro debitui patvirtinantys dokumentai, turi būti nurodytas ventiliatorių gamintojo pavadinimas, tipas (markė) ir skaičiavimuose naudojami šiuose dokumentuose nurodyti duomenys. Jeigu tokių dokumentų nėra, nežinomas ventiliatorių gamintojas ar gaminio tipas (markė) arba ventiliatoriai sunaudoja daugiau kaip 2 Wh/m³ elektros energijos, skaičiavimuose turi būti naudojamos 2 Wh/m³ ventiliatorių elektros energijos sąnaudos;</w:t>
                  </w:r>
                </w:p>
              </w:sdtContent>
            </w:sdt>
            <w:sdt>
              <w:sdtPr>
                <w:alias w:val="1 pr. 7.6 pp."/>
                <w:tag w:val="part_ac4d7cff01c9486890c17e6340737719"/>
                <w:lock w:val="sdtLocked"/>
                <w:richText/>
              </w:sdtPr>
              <w:sdtContent>
                <w:p>
                  <w:pPr>
                    <w:ind w:firstLine="709"/>
                    <w:jc w:val="both"/>
                    <w:rPr>
                      <w:color w:val="000000" w:themeColor="text1"/>
                    </w:rPr>
                  </w:pPr>
                  <w:sdt>
                    <w:sdtPr>
                      <w:alias w:val="Numeris"/>
                      <w:tag w:val="nr_ac4d7cff01c9486890c17e6340737719"/>
                      <w:lock w:val="sdtLocked"/>
                      <w:richText/>
                    </w:sdtPr>
                    <w:sdtContent>
                      <w:r>
                        <w:rPr>
                          <w:lang w:eastAsia="lt-LT"/>
                        </w:rPr>
                        <w:t>7.6</w:t>
                      </w:r>
                    </w:sdtContent>
                  </w:sdt>
                  <w:r>
                    <w:rPr>
                      <w:lang w:eastAsia="lt-LT"/>
                    </w:rPr>
                    <w:t xml:space="preserve">. </w:t>
                  </w:r>
                  <w:r>
                    <w:rPr>
                      <w:szCs w:val="24"/>
                    </w:rPr>
                    <w:t xml:space="preserve">mechaninio vėdinimo be rekuperacijos sistemos su į patalpas tiekiamo oro pašildymu orui pašildyti naudojamas šilumos šaltinis pagal Reglamento 2 priedo 2.16 lentelėje pateiktą šilumos šaltinių sąrašą, o energijos šaltinis pagal Reglamento 2 priedo 2.18 lentelėje pateiktą energijos šaltinių sąrašą. Jei orui pašildyti naudojamas šiluminis siurblys, šiluminio siurblio apibūdinimas pagal Reglamento 2 priedo 2.17 lentelėje nurodytus šiluminių siurblių variantus ir skaičiuojamasis sezoninis naudingumo koeficientas </w:t>
                  </w:r>
                  <w:r>
                    <w:rPr>
                      <w:i/>
                      <w:szCs w:val="24"/>
                    </w:rPr>
                    <w:t>η</w:t>
                  </w:r>
                  <w:r>
                    <w:rPr>
                      <w:i/>
                      <w:szCs w:val="24"/>
                      <w:vertAlign w:val="subscript"/>
                    </w:rPr>
                    <w:t>SPF</w:t>
                  </w:r>
                  <w:r>
                    <w:rPr>
                      <w:szCs w:val="24"/>
                    </w:rPr>
                    <w:t xml:space="preserve"> [3.33] 0,1 vnt. tikslumu. Jei yra šio naudingumo koeficiento vertę patvirtinantys dokumentai, turi būti nurodytas šiluminio siurblio gamintojo pavadinimas, tipas (markė) ir skaičiavimuose naudojama šiuose dokumentuose nurodyta koeficiento </w:t>
                  </w:r>
                  <w:r>
                    <w:rPr>
                      <w:i/>
                      <w:szCs w:val="24"/>
                    </w:rPr>
                    <w:t>η</w:t>
                  </w:r>
                  <w:r>
                    <w:rPr>
                      <w:i/>
                      <w:szCs w:val="24"/>
                      <w:vertAlign w:val="subscript"/>
                    </w:rPr>
                    <w:t>SPF</w:t>
                  </w:r>
                  <w:r>
                    <w:rPr>
                      <w:szCs w:val="24"/>
                    </w:rPr>
                    <w:t xml:space="preserve"> vertė. Jei tokių dokumentų nėra arba nežinomas siurblio gamintojas ar gaminio tipas (markė), tai turi būti nurodyta pastato būklės duomenų lape ir skaičiavimų įvesties duomenyse, o skaičiavimuose turi būti naudojami Reglamento 2 priedo 2.17 lentelėje pateikti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1 pr. 7.7 pp."/>
                <w:tag w:val="part_14d4c3b2e9d649fd804c6e7c9834f437"/>
                <w:lock w:val="sdtLocked"/>
                <w:richText/>
              </w:sdtPr>
              <w:sdtContent>
                <w:p>
                  <w:pPr>
                    <w:ind w:firstLine="720"/>
                    <w:jc w:val="both"/>
                    <w:rPr>
                      <w:color w:val="000000" w:themeColor="text1"/>
                    </w:rPr>
                  </w:pPr>
                  <w:sdt>
                    <w:sdtPr>
                      <w:alias w:val="Numeris"/>
                      <w:tag w:val="nr_14d4c3b2e9d649fd804c6e7c9834f437"/>
                      <w:lock w:val="sdtLocked"/>
                      <w:richText/>
                    </w:sdtPr>
                    <w:sdtContent>
                      <w:r>
                        <w:rPr>
                          <w:color w:val="000000" w:themeColor="text1"/>
                        </w:rPr>
                        <w:t>7.7</w:t>
                      </w:r>
                    </w:sdtContent>
                  </w:sdt>
                  <w:r>
                    <w:rPr>
                      <w:color w:val="000000" w:themeColor="text1"/>
                    </w:rPr>
                    <w:t>. pastato šildomas plotas, kuriame įrengta mechaninio vėdinimo su rekuperacija sistema be į patalpas tiekiamo oro pašildymo, 0,01 m</w:t>
                  </w:r>
                  <w:r>
                    <w:rPr>
                      <w:color w:val="000000" w:themeColor="text1"/>
                      <w:vertAlign w:val="superscript"/>
                    </w:rPr>
                    <w:t>2</w:t>
                  </w:r>
                  <w:r>
                    <w:rPr>
                      <w:color w:val="000000" w:themeColor="text1"/>
                    </w:rPr>
                    <w:t xml:space="preserve"> tikslumu;</w:t>
                  </w:r>
                </w:p>
              </w:sdtContent>
            </w:sdt>
            <w:sdt>
              <w:sdtPr>
                <w:alias w:val="1 pr. 7.8 pp."/>
                <w:tag w:val="part_e2fb17ec81844f7d9511e2962ee1528b"/>
                <w:lock w:val="sdtLocked"/>
                <w:richText/>
              </w:sdtPr>
              <w:sdtContent>
                <w:p>
                  <w:pPr>
                    <w:ind w:firstLine="720"/>
                    <w:jc w:val="both"/>
                    <w:rPr>
                      <w:color w:val="000000" w:themeColor="text1"/>
                    </w:rPr>
                  </w:pPr>
                  <w:sdt>
                    <w:sdtPr>
                      <w:alias w:val="Numeris"/>
                      <w:tag w:val="nr_e2fb17ec81844f7d9511e2962ee1528b"/>
                      <w:lock w:val="sdtLocked"/>
                      <w:richText/>
                    </w:sdtPr>
                    <w:sdtContent>
                      <w:r>
                        <w:rPr>
                          <w:color w:val="000000" w:themeColor="text1"/>
                        </w:rPr>
                        <w:t>7.8</w:t>
                      </w:r>
                    </w:sdtContent>
                  </w:sdt>
                  <w:r>
                    <w:rPr>
                      <w:color w:val="000000" w:themeColor="text1"/>
                    </w:rPr>
                    <w:t xml:space="preserve">. mechaninio vėdinimo su rekuperacija sistemos be į patalpas tiekiamo oro pašildymo rekuperatoriaus elektrinių ventiliatorių sunaudojamas elektros energijos kiekis vienam m³ oro debitui 0,01 Wh/m³ tikslumu ir rekuperatoriaus naudingumo koeficientas 0,01 vnt. tikslumu. Jeigu yra rekuperatoriaus elektrinių ventiliatorių sunaudojamą elektros energijos kiekį vienam m³ oro debitui ir rekuperatoriaus naudingumo koeficiento vertę patvirtinantys dokumentai, turi būti nurodytas rekuperatoriaus gamintojo pavadinimas, tipas (markė) ir skaičiavimuose naudojamos šiuose dokumentuose nurodyti duomenys. Jeigu tokių dokumentų nėra, nežinomas rekuperatoriaus gamintojas ar gaminio tipas (markė) arba rekuperatoriaus ventiliatoriai sunaudoja daugiau kaip 2 Wh/m³ elektros energijos, skaičiavimuose turi būti naudojamos 2 Wh/m³ rekuperatoriaus ventiliatorių elektros energijos sąnaudos ir 0,65 rekuperatoriaus naudingumo koeficientas;  </w:t>
                  </w:r>
                </w:p>
              </w:sdtContent>
            </w:sdt>
            <w:sdt>
              <w:sdtPr>
                <w:alias w:val="1 pr. 7.9 pp."/>
                <w:tag w:val="part_15ede00ac28e4d82b105ba20d0b51e15"/>
                <w:lock w:val="sdtLocked"/>
                <w:richText/>
              </w:sdtPr>
              <w:sdtContent>
                <w:p>
                  <w:pPr>
                    <w:ind w:firstLine="720"/>
                    <w:jc w:val="both"/>
                    <w:rPr>
                      <w:color w:val="000000" w:themeColor="text1"/>
                    </w:rPr>
                  </w:pPr>
                  <w:sdt>
                    <w:sdtPr>
                      <w:alias w:val="Numeris"/>
                      <w:tag w:val="nr_15ede00ac28e4d82b105ba20d0b51e15"/>
                      <w:lock w:val="sdtLocked"/>
                      <w:richText/>
                    </w:sdtPr>
                    <w:sdtContent>
                      <w:r>
                        <w:rPr>
                          <w:color w:val="000000" w:themeColor="text1"/>
                        </w:rPr>
                        <w:t>7.9</w:t>
                      </w:r>
                    </w:sdtContent>
                  </w:sdt>
                  <w:r>
                    <w:rPr>
                      <w:color w:val="000000" w:themeColor="text1"/>
                    </w:rPr>
                    <w:t>. pastato šildomas plotas, kuriame įrengta mechaninio vėdinimo su rekuperacija sistema su į patalpas tiekiamo oro pašildymu, 0,01 m</w:t>
                  </w:r>
                  <w:r>
                    <w:rPr>
                      <w:color w:val="000000" w:themeColor="text1"/>
                      <w:vertAlign w:val="superscript"/>
                    </w:rPr>
                    <w:t>2</w:t>
                  </w:r>
                  <w:r>
                    <w:rPr>
                      <w:color w:val="000000" w:themeColor="text1"/>
                    </w:rPr>
                    <w:t xml:space="preserve"> tikslumu;</w:t>
                  </w:r>
                </w:p>
              </w:sdtContent>
            </w:sdt>
            <w:sdt>
              <w:sdtPr>
                <w:alias w:val="1 pr. 7.10 pp."/>
                <w:tag w:val="part_c58b508eaabb4ae9b2124ad9dbeca169"/>
                <w:lock w:val="sdtLocked"/>
                <w:richText/>
              </w:sdtPr>
              <w:sdtContent>
                <w:p>
                  <w:pPr>
                    <w:ind w:firstLine="720"/>
                    <w:jc w:val="both"/>
                    <w:rPr>
                      <w:color w:val="000000" w:themeColor="text1"/>
                    </w:rPr>
                  </w:pPr>
                  <w:sdt>
                    <w:sdtPr>
                      <w:alias w:val="Numeris"/>
                      <w:tag w:val="nr_c58b508eaabb4ae9b2124ad9dbeca169"/>
                      <w:lock w:val="sdtLocked"/>
                      <w:richText/>
                    </w:sdtPr>
                    <w:sdtContent>
                      <w:r>
                        <w:rPr>
                          <w:color w:val="000000" w:themeColor="text1"/>
                        </w:rPr>
                        <w:t>7.10</w:t>
                      </w:r>
                    </w:sdtContent>
                  </w:sdt>
                  <w:r>
                    <w:rPr>
                      <w:color w:val="000000" w:themeColor="text1"/>
                    </w:rPr>
                    <w:t>. mechaninio vėdinimo su rekuperacija sistemos su į patalpas tiekiamo oro pašildymu elektrinių ventiliatorių sunaudojamas elektros energijos kiekis vienam m³ oro debitui 0,01 Wh/m³ tikslumu ir rekuperatoriaus naudingumo koeficientas 0,01 vnt. tikslumu. Jeigu yra rekuperatoriaus elektrinių ventiliatorių sunaudojamą elektros energijos kiekį vienam m³ oro debitui ir rekuperatoriaus naudingumo koeficiento vertę patvirtinantys dokumentai, turi būti nurodytas rekuperatoriaus gamintojo pavadinimas, tipas (markė) ir skaičiavimuose naudojamos šiuose dokumentuose nurodyti duomenys. Jeigu tokių dokumentų nėra, nežinomas rekuperatoriaus gamintojas ar gaminio tipas (markė) arba rekuperatoriaus ventiliatoriai sunaudoja daugiau kaip 2 Wh/m³ elektros energijos, skaičiavimuose turi būti naudojamos 2 Wh/m³ rekuperatoriaus ventiliatorių elektros energijos sąnaudos ir 0,65 rekuperatoriaus naudingumo koeficientas;</w:t>
                  </w:r>
                </w:p>
              </w:sdtContent>
            </w:sdt>
            <w:sdt>
              <w:sdtPr>
                <w:alias w:val="1 pr. 7.11 pp."/>
                <w:tag w:val="part_64a67fbd636146fe9a31b7afc1e4041c"/>
                <w:lock w:val="sdtLocked"/>
                <w:richText/>
              </w:sdtPr>
              <w:sdtContent>
                <w:p>
                  <w:pPr>
                    <w:ind w:firstLine="709"/>
                    <w:jc w:val="both"/>
                  </w:pPr>
                  <w:sdt>
                    <w:sdtPr>
                      <w:alias w:val="Numeris"/>
                      <w:tag w:val="nr_64a67fbd636146fe9a31b7afc1e4041c"/>
                      <w:lock w:val="sdtLocked"/>
                      <w:richText/>
                    </w:sdtPr>
                    <w:sdtContent>
                      <w:r>
                        <w:rPr>
                          <w:lang w:eastAsia="lt-LT"/>
                        </w:rPr>
                        <w:t>7.11</w:t>
                      </w:r>
                    </w:sdtContent>
                  </w:sdt>
                  <w:r>
                    <w:rPr>
                      <w:lang w:eastAsia="lt-LT"/>
                    </w:rPr>
                    <w:t xml:space="preserve">. </w:t>
                  </w:r>
                  <w:r>
                    <w:rPr>
                      <w:szCs w:val="24"/>
                    </w:rPr>
                    <w:t xml:space="preserve">mechaninio vėdinimo su rekuperacija sistemos su į patalpas tiekiamo oro pašildymu orui pašildyti naudojamas šilumos šaltinis – pagal Reglamento 2 priedo 2.16 lentelę, o energijos šaltinis – pagal Reglamento 2 priedo 2.18 lentelę. Jei orui pašildyti naudojamas šiluminis siurblys, jis apibūdinamas pagal Reglamento 2 priedo 2.17 lentelėje nurodytus šiluminių siurblių variantus ir skaičiuojamas sezoninis naudingumo koeficientas </w:t>
                  </w:r>
                  <w:r>
                    <w:rPr>
                      <w:i/>
                      <w:szCs w:val="24"/>
                    </w:rPr>
                    <w:t>η</w:t>
                  </w:r>
                  <w:r>
                    <w:rPr>
                      <w:i/>
                      <w:szCs w:val="24"/>
                      <w:vertAlign w:val="subscript"/>
                    </w:rPr>
                    <w:t>SPF</w:t>
                  </w:r>
                  <w:r>
                    <w:rPr>
                      <w:szCs w:val="24"/>
                    </w:rPr>
                    <w:t xml:space="preserve"> [3.33] 0,1 vnt. tikslumu. Jei yra šio naudingumo koeficiento vertę patvirtinantys dokumentai, turi būti nurodytas šiluminio siurblio gamintojo pavadinimas, tipas (markė) ir skaičiavimuose naudojamos šiuose dokumentuose nurodyta koeficiento </w:t>
                  </w:r>
                  <w:r>
                    <w:rPr>
                      <w:i/>
                      <w:szCs w:val="24"/>
                    </w:rPr>
                    <w:t>η</w:t>
                  </w:r>
                  <w:r>
                    <w:rPr>
                      <w:i/>
                      <w:szCs w:val="24"/>
                      <w:vertAlign w:val="subscript"/>
                    </w:rPr>
                    <w:t>SPF</w:t>
                  </w:r>
                  <w:r>
                    <w:rPr>
                      <w:szCs w:val="24"/>
                    </w:rPr>
                    <w:t xml:space="preserve"> vertė. Jei tokių dokumentų nėra arba nežinomas siurblio gamintojas ar gaminio tipas (markė), tai turi būti nurodyta pastato būklės duomenų lape ir skaičiavimų įvesties duomenyse, o skaičiavimuose turi būti naudojami Reglamento 2 priedo 2.17 lentelėje pateikti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1 pr. 7.12 pp."/>
                <w:tag w:val="part_aa78bbc984164aa08f77b19352407e80"/>
                <w:lock w:val="sdtLocked"/>
                <w:richText/>
              </w:sdtPr>
              <w:sdtContent>
                <w:p>
                  <w:pPr>
                    <w:suppressAutoHyphens/>
                    <w:ind w:firstLine="568"/>
                    <w:jc w:val="both"/>
                    <w:rPr>
                      <w:color w:val="000000" w:themeColor="text1"/>
                    </w:rPr>
                  </w:pPr>
                  <w:sdt>
                    <w:sdtPr>
                      <w:alias w:val="Numeris"/>
                      <w:tag w:val="nr_aa78bbc984164aa08f77b19352407e80"/>
                      <w:lock w:val="sdtLocked"/>
                      <w:richText/>
                    </w:sdtPr>
                    <w:sdtContent>
                      <w:r>
                        <w:rPr>
                          <w:color w:val="000000"/>
                          <w:lang w:eastAsia="lt-LT"/>
                        </w:rPr>
                        <w:t>7.12</w:t>
                      </w:r>
                    </w:sdtContent>
                  </w:sdt>
                  <w:r>
                    <w:rPr>
                      <w:color w:val="000000"/>
                      <w:lang w:eastAsia="lt-LT"/>
                    </w:rPr>
                    <w:t>.  rekuperatoriaus naudingumo koeficiento vertę patvirtinančiuose dokumentuose nurodyti duomenys turi būti pagrįsti bandymais pagal [3.41]; [3.42]; [3.43] arba [3.45] nurodytus bandymo metodus.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09efa0fecf11e99681cd81dcdca52c">
                    <w:r w:rsidRPr="00532B9F">
                      <w:rPr>
                        <w:rFonts w:ascii="Times New Roman" w:eastAsia="MS Mincho" w:hAnsi="Times New Roman"/>
                        <w:sz w:val="20"/>
                        <w:i/>
                        <w:iCs/>
                        <w:color w:val="0000FF" w:themeColor="hyperlink"/>
                        <w:u w:val="single"/>
                      </w:rPr>
                      <w:t>D1-648</w:t>
                    </w:r>
                  </w:fldSimple>
                  <w:r>
                    <w:rPr>
                      <w:rFonts w:ascii="Times New Roman" w:eastAsia="MS Mincho" w:hAnsi="Times New Roman"/>
                      <w:sz w:val="20"/>
                      <w:i/>
                      <w:iCs/>
                    </w:rPr>
                    <w:t>,
2019-10-29,
paskelbta TAR 2019-11-04, i. k. 2019-17486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Content>
        </w:sdt>
        <w:sdt>
          <w:sdtPr>
            <w:alias w:val="1 pr. 8 p."/>
            <w:tag w:val="part_d98d04b2fc2e4baaa24601e31fb8f28b"/>
            <w:lock w:val="sdtLocked"/>
            <w:richText/>
          </w:sdtPr>
          <w:sdtContent>
            <w:p>
              <w:pPr>
                <w:ind w:firstLine="720"/>
                <w:jc w:val="both"/>
                <w:rPr>
                  <w:color w:val="000000" w:themeColor="text1"/>
                </w:rPr>
              </w:pPr>
              <w:sdt>
                <w:sdtPr>
                  <w:alias w:val="Numeris"/>
                  <w:tag w:val="nr_d98d04b2fc2e4baaa24601e31fb8f28b"/>
                  <w:lock w:val="sdtLocked"/>
                  <w:richText/>
                </w:sdtPr>
                <w:sdtContent>
                  <w:r>
                    <w:rPr>
                      <w:color w:val="000000" w:themeColor="text1"/>
                    </w:rPr>
                    <w:t>8</w:t>
                  </w:r>
                </w:sdtContent>
              </w:sdt>
              <w:r>
                <w:rPr>
                  <w:color w:val="000000" w:themeColor="text1"/>
                </w:rPr>
                <w:t>. Duomenys apie karšto vandens ruošimo sistemą:</w:t>
              </w:r>
            </w:p>
            <w:sdt>
              <w:sdtPr>
                <w:alias w:val="1 pr. 8.1 pp."/>
                <w:tag w:val="part_a85cab1ef2634fa1bda83c2f2ad092f2"/>
                <w:lock w:val="sdtLocked"/>
                <w:richText/>
              </w:sdtPr>
              <w:sdtContent>
                <w:p>
                  <w:pPr>
                    <w:ind w:firstLine="720"/>
                    <w:jc w:val="both"/>
                    <w:rPr>
                      <w:color w:val="000000" w:themeColor="text1"/>
                    </w:rPr>
                  </w:pPr>
                  <w:sdt>
                    <w:sdtPr>
                      <w:alias w:val="Numeris"/>
                      <w:tag w:val="nr_a85cab1ef2634fa1bda83c2f2ad092f2"/>
                      <w:lock w:val="sdtLocked"/>
                      <w:richText/>
                    </w:sdtPr>
                    <w:sdtContent>
                      <w:r>
                        <w:rPr>
                          <w:color w:val="000000" w:themeColor="text1"/>
                        </w:rPr>
                        <w:t>8.1</w:t>
                      </w:r>
                    </w:sdtContent>
                  </w:sdt>
                  <w:r>
                    <w:rPr>
                      <w:color w:val="000000" w:themeColor="text1"/>
                    </w:rPr>
                    <w:t>. karšto vandens ruošimo sistemos įrangos tipo ir įrangos reguliavimo apibūdinimas pagal Reglamento 2 priedo 2.21 lentelėje pateiktus duomenis;</w:t>
                  </w:r>
                </w:p>
              </w:sdtContent>
            </w:sdt>
            <w:sdt>
              <w:sdtPr>
                <w:alias w:val="1 pr. 8.2 pp."/>
                <w:tag w:val="part_24f3713732d04e72bcb7860327d3bb10"/>
                <w:lock w:val="sdtLocked"/>
                <w:richText/>
              </w:sdtPr>
              <w:sdtContent>
                <w:p>
                  <w:pPr>
                    <w:ind w:firstLine="720"/>
                    <w:jc w:val="both"/>
                    <w:rPr>
                      <w:color w:val="000000" w:themeColor="text1"/>
                    </w:rPr>
                  </w:pPr>
                  <w:sdt>
                    <w:sdtPr>
                      <w:alias w:val="Numeris"/>
                      <w:tag w:val="nr_24f3713732d04e72bcb7860327d3bb10"/>
                      <w:lock w:val="sdtLocked"/>
                      <w:richText/>
                    </w:sdtPr>
                    <w:sdtContent>
                      <w:r>
                        <w:rPr>
                          <w:color w:val="000000" w:themeColor="text1"/>
                        </w:rPr>
                        <w:t>8.2</w:t>
                      </w:r>
                    </w:sdtContent>
                  </w:sdt>
                  <w:r>
                    <w:rPr>
                      <w:color w:val="000000" w:themeColor="text1"/>
                    </w:rPr>
                    <w:t xml:space="preserve">. pastato vamzdynų tarp karšto vandens ruošimo įrenginio ir paskirstymo stovų ilgis  0,1 m tikslumu. Jei šis ilgis nežinomas, turi būti nurodytas didžiausias pastato ilgis ir plotis pagal pastato išorinius matmenis 0,01 m tikslumu;</w:t>
                  </w:r>
                </w:p>
              </w:sdtContent>
            </w:sdt>
            <w:sdt>
              <w:sdtPr>
                <w:alias w:val="1 pr. 8.3 pp."/>
                <w:tag w:val="part_f30293ffefa240d697d9e044fd9fcaea"/>
                <w:lock w:val="sdtLocked"/>
                <w:richText/>
              </w:sdtPr>
              <w:sdtContent>
                <w:p>
                  <w:pPr>
                    <w:ind w:firstLine="720"/>
                    <w:jc w:val="both"/>
                    <w:rPr>
                      <w:color w:val="000000" w:themeColor="text1"/>
                    </w:rPr>
                  </w:pPr>
                  <w:sdt>
                    <w:sdtPr>
                      <w:alias w:val="Numeris"/>
                      <w:tag w:val="nr_f30293ffefa240d697d9e044fd9fcaea"/>
                      <w:lock w:val="sdtLocked"/>
                      <w:richText/>
                    </w:sdtPr>
                    <w:sdtContent>
                      <w:r>
                        <w:rPr>
                          <w:color w:val="000000" w:themeColor="text1"/>
                        </w:rPr>
                        <w:t>8.3</w:t>
                      </w:r>
                    </w:sdtContent>
                  </w:sdt>
                  <w:r>
                    <w:rPr>
                      <w:color w:val="000000" w:themeColor="text1"/>
                    </w:rPr>
                    <w:t>. vamzdynų tarp karšto vandens ruošimo įrenginio ir paskirstymo stovų vidutinis ilginis šilumos perdavimo koeficientas tarp vamzdyno išorinio paviršiaus ir aplinkos 0,01 W/(m·K) tikslumu. Apskaičiuojamas pagal Reglamento 8 priedo reikalavimus, o nesant pakankamai duomenų turi būti imamas iš Reglamento 2 priedo 2.22 lentelės;</w:t>
                  </w:r>
                </w:p>
              </w:sdtContent>
            </w:sdt>
            <w:sdt>
              <w:sdtPr>
                <w:alias w:val="1 pr. 8.4 pp."/>
                <w:tag w:val="part_18c5420654a64b3b8ed8c89d6dfbc57d"/>
                <w:lock w:val="sdtLocked"/>
                <w:richText/>
              </w:sdtPr>
              <w:sdtContent>
                <w:p>
                  <w:pPr>
                    <w:ind w:firstLine="720"/>
                    <w:jc w:val="both"/>
                    <w:rPr>
                      <w:color w:val="000000" w:themeColor="text1"/>
                    </w:rPr>
                  </w:pPr>
                  <w:sdt>
                    <w:sdtPr>
                      <w:alias w:val="Numeris"/>
                      <w:tag w:val="nr_18c5420654a64b3b8ed8c89d6dfbc57d"/>
                      <w:lock w:val="sdtLocked"/>
                      <w:richText/>
                    </w:sdtPr>
                    <w:sdtContent>
                      <w:r>
                        <w:rPr>
                          <w:color w:val="000000" w:themeColor="text1"/>
                        </w:rPr>
                        <w:t>8.4</w:t>
                      </w:r>
                    </w:sdtContent>
                  </w:sdt>
                  <w:r>
                    <w:rPr>
                      <w:color w:val="000000" w:themeColor="text1"/>
                    </w:rPr>
                    <w:t>. karšto vandens ruošimo sistemos paskirstymo stovų ilgis 0,1 m tikslumu. Jei šis ilgis nežinomas, nurodomas didžiausias pastato ilgis ir plotis pagal pastato išorinius matmenis 0,01 m tikslumu;</w:t>
                  </w:r>
                </w:p>
              </w:sdtContent>
            </w:sdt>
            <w:sdt>
              <w:sdtPr>
                <w:alias w:val="1 pr. 8.5 pp."/>
                <w:tag w:val="part_3e0b6f5d74274748ba92408d181154ac"/>
                <w:lock w:val="sdtLocked"/>
                <w:richText/>
              </w:sdtPr>
              <w:sdtContent>
                <w:p>
                  <w:pPr>
                    <w:ind w:firstLine="720"/>
                    <w:jc w:val="both"/>
                    <w:rPr>
                      <w:color w:val="000000" w:themeColor="text1"/>
                    </w:rPr>
                  </w:pPr>
                  <w:sdt>
                    <w:sdtPr>
                      <w:alias w:val="Numeris"/>
                      <w:tag w:val="nr_3e0b6f5d74274748ba92408d181154ac"/>
                      <w:lock w:val="sdtLocked"/>
                      <w:richText/>
                    </w:sdtPr>
                    <w:sdtContent>
                      <w:r>
                        <w:rPr>
                          <w:color w:val="000000" w:themeColor="text1"/>
                        </w:rPr>
                        <w:t>8.5</w:t>
                      </w:r>
                    </w:sdtContent>
                  </w:sdt>
                  <w:r>
                    <w:rPr>
                      <w:color w:val="000000" w:themeColor="text1"/>
                    </w:rPr>
                    <w:t>. karšto vandens ruošimo sistemos paskirstymo stovų vidutinis ilginis šilumos perdavimo koeficientas tarp vamzdyno išorinio paviršiaus ir aplinkos 0,01 W/(m·K) tikslumu. Apskaičiuojamas pagal Reglamento 8 priedo reikalavimus, o nesant pakankamai duomenų turi būti imamas iš Reglamento 2 priedo 2.23 lentelės;</w:t>
                  </w:r>
                </w:p>
              </w:sdtContent>
            </w:sdt>
            <w:sdt>
              <w:sdtPr>
                <w:alias w:val="1 pr. 8.6 pp."/>
                <w:tag w:val="part_efe6279da17d401cad86f7528f246ccc"/>
                <w:lock w:val="sdtLocked"/>
                <w:richText/>
              </w:sdtPr>
              <w:sdtContent>
                <w:p>
                  <w:pPr>
                    <w:ind w:firstLine="720"/>
                    <w:jc w:val="both"/>
                    <w:rPr>
                      <w:color w:val="000000" w:themeColor="text1"/>
                    </w:rPr>
                  </w:pPr>
                  <w:sdt>
                    <w:sdtPr>
                      <w:alias w:val="Numeris"/>
                      <w:tag w:val="nr_efe6279da17d401cad86f7528f246ccc"/>
                      <w:lock w:val="sdtLocked"/>
                      <w:richText/>
                    </w:sdtPr>
                    <w:sdtContent>
                      <w:r>
                        <w:rPr>
                          <w:color w:val="000000" w:themeColor="text1"/>
                        </w:rPr>
                        <w:t>8.6</w:t>
                      </w:r>
                    </w:sdtContent>
                  </w:sdt>
                  <w:r>
                    <w:rPr>
                      <w:color w:val="000000" w:themeColor="text1"/>
                    </w:rPr>
                    <w:t xml:space="preserve">. karšto vandens ruošimo sistemos patalpų skirstomųjų vamzdynų ilgis  0,1 m tikslumu. Jei šis ilgis nežinomas, nurodomas didžiausias pastato ilgis ir plotis pagal pastato išorinius matmenis 0,01 m tikslumu;</w:t>
                  </w:r>
                </w:p>
              </w:sdtContent>
            </w:sdt>
            <w:sdt>
              <w:sdtPr>
                <w:alias w:val="1 pr. 8.7 pp."/>
                <w:tag w:val="part_6da84a290c89452caf995ef1c9ea16d4"/>
                <w:lock w:val="sdtLocked"/>
                <w:richText/>
              </w:sdtPr>
              <w:sdtContent>
                <w:p>
                  <w:pPr>
                    <w:ind w:firstLine="720"/>
                    <w:jc w:val="both"/>
                    <w:rPr>
                      <w:color w:val="000000" w:themeColor="text1"/>
                    </w:rPr>
                  </w:pPr>
                  <w:sdt>
                    <w:sdtPr>
                      <w:alias w:val="Numeris"/>
                      <w:tag w:val="nr_6da84a290c89452caf995ef1c9ea16d4"/>
                      <w:lock w:val="sdtLocked"/>
                      <w:richText/>
                    </w:sdtPr>
                    <w:sdtContent>
                      <w:r>
                        <w:rPr>
                          <w:color w:val="000000" w:themeColor="text1"/>
                        </w:rPr>
                        <w:t>8.7</w:t>
                      </w:r>
                    </w:sdtContent>
                  </w:sdt>
                  <w:r>
                    <w:rPr>
                      <w:color w:val="000000" w:themeColor="text1"/>
                    </w:rPr>
                    <w:t>. karšto vandens ruošimo sistemos patalpų skirstomųjų vamzdynų vidutinis ilginis šilumos perdavimo koeficientas tarp vamzdyno išorinio paviršiaus ir aplinkos 0,01 W/(m·K) tikslumu. Apskaičiuojamas pagal Reglamento 8 priedo reikalavimus, o nesant pakankamai duomenų turi būti imamas iš Reglamento 2 priedo 2.24 lentelės;</w:t>
                  </w:r>
                </w:p>
              </w:sdtContent>
            </w:sdt>
            <w:sdt>
              <w:sdtPr>
                <w:alias w:val="1 pr. 8.8 pp."/>
                <w:tag w:val="part_6fc5ff6a790c42e885b996c490aebe9f"/>
                <w:lock w:val="sdtLocked"/>
                <w:richText/>
              </w:sdtPr>
              <w:sdtContent>
                <w:p>
                  <w:pPr>
                    <w:ind w:firstLine="720"/>
                    <w:jc w:val="both"/>
                    <w:rPr>
                      <w:color w:val="000000" w:themeColor="text1"/>
                    </w:rPr>
                  </w:pPr>
                  <w:sdt>
                    <w:sdtPr>
                      <w:alias w:val="Numeris"/>
                      <w:tag w:val="nr_6fc5ff6a790c42e885b996c490aebe9f"/>
                      <w:lock w:val="sdtLocked"/>
                      <w:richText/>
                    </w:sdtPr>
                    <w:sdtContent>
                      <w:r>
                        <w:rPr>
                          <w:color w:val="000000" w:themeColor="text1"/>
                        </w:rPr>
                        <w:t>8.8</w:t>
                      </w:r>
                    </w:sdtContent>
                  </w:sdt>
                  <w:r>
                    <w:rPr>
                      <w:color w:val="000000" w:themeColor="text1"/>
                    </w:rPr>
                    <w:t xml:space="preserve">. patalpos, kurioje įrengta karšto vandens ruošimo sistemos karšto vandens talpa,  šildymo/nešildymo apibūdinimas;</w:t>
                  </w:r>
                </w:p>
              </w:sdtContent>
            </w:sdt>
            <w:sdt>
              <w:sdtPr>
                <w:alias w:val="1 pr. 8.9 pp."/>
                <w:tag w:val="part_509c0fd101f34ed78839da7fb151729c"/>
                <w:lock w:val="sdtLocked"/>
                <w:richText/>
              </w:sdtPr>
              <w:sdtContent>
                <w:p>
                  <w:pPr>
                    <w:ind w:firstLine="720"/>
                    <w:jc w:val="both"/>
                    <w:rPr>
                      <w:color w:val="000000" w:themeColor="text1"/>
                    </w:rPr>
                  </w:pPr>
                  <w:sdt>
                    <w:sdtPr>
                      <w:alias w:val="Numeris"/>
                      <w:tag w:val="nr_509c0fd101f34ed78839da7fb151729c"/>
                      <w:lock w:val="sdtLocked"/>
                      <w:richText/>
                    </w:sdtPr>
                    <w:sdtContent>
                      <w:r>
                        <w:rPr>
                          <w:color w:val="000000" w:themeColor="text1"/>
                        </w:rPr>
                        <w:t>8.9</w:t>
                      </w:r>
                    </w:sdtContent>
                  </w:sdt>
                  <w:r>
                    <w:rPr>
                      <w:color w:val="000000" w:themeColor="text1"/>
                    </w:rPr>
                    <w:t>. šilumos nuostoliai per parą karšto vandens talpoje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nurodomas karšto vandens talpos tūris 1 litro tikslumu ir talpos apšiltinimo/neapšiltinimo apibūdinimas;</w:t>
                  </w:r>
                </w:p>
              </w:sdtContent>
            </w:sdt>
          </w:sdtContent>
        </w:sdt>
        <w:sdt>
          <w:sdtPr>
            <w:alias w:val="1 pr. 9 p."/>
            <w:tag w:val="part_29b31725d1d8484f9c8521ae5cf2c682"/>
            <w:lock w:val="sdtLocked"/>
            <w:richText/>
          </w:sdtPr>
          <w:sdtContent>
            <w:p>
              <w:pPr>
                <w:ind w:firstLine="720"/>
                <w:jc w:val="both"/>
                <w:rPr>
                  <w:color w:val="000000" w:themeColor="text1"/>
                </w:rPr>
              </w:pPr>
              <w:sdt>
                <w:sdtPr>
                  <w:alias w:val="Numeris"/>
                  <w:tag w:val="nr_29b31725d1d8484f9c8521ae5cf2c682"/>
                  <w:lock w:val="sdtLocked"/>
                  <w:richText/>
                </w:sdtPr>
                <w:sdtContent>
                  <w:r>
                    <w:rPr>
                      <w:color w:val="000000" w:themeColor="text1"/>
                    </w:rPr>
                    <w:t>9</w:t>
                  </w:r>
                </w:sdtContent>
              </w:sdt>
              <w:r>
                <w:rPr>
                  <w:color w:val="000000" w:themeColor="text1"/>
                </w:rPr>
                <w:t>. Duomenys apie pasyvias apsaugos nuo Saulės priemones:</w:t>
              </w:r>
            </w:p>
            <w:sdt>
              <w:sdtPr>
                <w:alias w:val="1 pr. 9.1 pp."/>
                <w:tag w:val="part_9ec59f1ca348462391e6a50150a4723e"/>
                <w:lock w:val="sdtLocked"/>
                <w:richText/>
              </w:sdtPr>
              <w:sdtContent>
                <w:p>
                  <w:pPr>
                    <w:ind w:firstLine="720"/>
                    <w:jc w:val="both"/>
                    <w:rPr>
                      <w:color w:val="000000" w:themeColor="text1"/>
                    </w:rPr>
                  </w:pPr>
                  <w:sdt>
                    <w:sdtPr>
                      <w:alias w:val="Numeris"/>
                      <w:tag w:val="nr_9ec59f1ca348462391e6a50150a4723e"/>
                      <w:lock w:val="sdtLocked"/>
                      <w:richText/>
                    </w:sdtPr>
                    <w:sdtContent>
                      <w:r>
                        <w:rPr>
                          <w:color w:val="000000" w:themeColor="text1"/>
                        </w:rPr>
                        <w:t>9.1</w:t>
                      </w:r>
                    </w:sdtContent>
                  </w:sdt>
                  <w:r>
                    <w:rPr>
                      <w:color w:val="000000" w:themeColor="text1"/>
                    </w:rPr>
                    <w:t xml:space="preserve">. atitvarų išorėje įrengtų skaidrių apsaugos nuo Saulės priemonių </w:t>
                  </w:r>
                  <w:r>
                    <w:rPr>
                      <w:bCs/>
                      <w:color w:val="000000" w:themeColor="text1"/>
                    </w:rPr>
                    <w:t xml:space="preserve">visuminės Saulės energijos praleisties koeficientai </w:t>
                  </w:r>
                  <w:r>
                    <w:rPr>
                      <w:bCs/>
                      <w:i/>
                      <w:color w:val="000000" w:themeColor="text1"/>
                    </w:rPr>
                    <w:t>g</w:t>
                  </w:r>
                  <w:r>
                    <w:rPr>
                      <w:bCs/>
                      <w:i/>
                      <w:color w:val="000000" w:themeColor="text1"/>
                      <w:vertAlign w:val="subscript"/>
                    </w:rPr>
                    <w:t>ov</w:t>
                  </w:r>
                  <w:r>
                    <w:rPr>
                      <w:color w:val="000000" w:themeColor="text1"/>
                    </w:rPr>
                    <w:t xml:space="preserve"> </w:t>
                  </w:r>
                  <w:r>
                    <w:rPr>
                      <w:bCs/>
                      <w:color w:val="000000" w:themeColor="text1"/>
                    </w:rPr>
                    <w:t xml:space="preserve">ir </w:t>
                  </w:r>
                  <w:r>
                    <w:rPr>
                      <w:bCs/>
                      <w:i/>
                      <w:color w:val="000000" w:themeColor="text1"/>
                    </w:rPr>
                    <w:t>g</w:t>
                  </w:r>
                  <w:r>
                    <w:rPr>
                      <w:bCs/>
                      <w:i/>
                      <w:color w:val="000000" w:themeColor="text1"/>
                      <w:vertAlign w:val="subscript"/>
                    </w:rPr>
                    <w:t>fin</w:t>
                  </w:r>
                  <w:r>
                    <w:rPr>
                      <w:bCs/>
                      <w:color w:val="000000" w:themeColor="text1"/>
                    </w:rPr>
                    <w:t xml:space="preserve"> 0,01 vnt. tikslumu. </w:t>
                  </w:r>
                  <w:r>
                    <w:rPr>
                      <w:color w:val="000000" w:themeColor="text1"/>
                    </w:rPr>
                    <w:t>Jei yra koeficientų vertes [3.28], [3.29] patvirtinantys dokumentai, skaičiavimuose turi būti naudojami šiuose dokumentuose nurodyti duomenys. Jei tokių dokumentų nėra, skaičiavimuose naudojama vertė 0,8;</w:t>
                  </w:r>
                </w:p>
              </w:sdtContent>
            </w:sdt>
            <w:sdt>
              <w:sdtPr>
                <w:alias w:val="1 pr. 9.2 pp."/>
                <w:tag w:val="part_7ddff127c5df46749dd16868044319d0"/>
                <w:lock w:val="sdtLocked"/>
                <w:richText/>
              </w:sdtPr>
              <w:sdtContent>
                <w:p>
                  <w:pPr>
                    <w:ind w:firstLine="720"/>
                    <w:jc w:val="both"/>
                    <w:rPr>
                      <w:color w:val="000000" w:themeColor="text1"/>
                    </w:rPr>
                  </w:pPr>
                  <w:sdt>
                    <w:sdtPr>
                      <w:alias w:val="Numeris"/>
                      <w:tag w:val="nr_7ddff127c5df46749dd16868044319d0"/>
                      <w:lock w:val="sdtLocked"/>
                      <w:richText/>
                    </w:sdtPr>
                    <w:sdtContent>
                      <w:r>
                        <w:rPr>
                          <w:color w:val="000000" w:themeColor="text1"/>
                        </w:rPr>
                        <w:t>9.2</w:t>
                      </w:r>
                    </w:sdtContent>
                  </w:sdt>
                  <w:r>
                    <w:rPr>
                      <w:color w:val="000000" w:themeColor="text1"/>
                    </w:rPr>
                    <w:t>. atitvarų išorėje įrengtų stogelių ir vertikalių žaliuzių kampas α 5° tikslumu, kaip nurodyta Reglamento 2 priedo 2.10–2.12 pav.;</w:t>
                  </w:r>
                </w:p>
              </w:sdtContent>
            </w:sdt>
            <w:sdt>
              <w:sdtPr>
                <w:alias w:val="1 pr. 9.3 pp."/>
                <w:tag w:val="part_b030e33b8935407b8a439e9c3e9a22ad"/>
                <w:lock w:val="sdtLocked"/>
                <w:richText/>
              </w:sdtPr>
              <w:sdtContent>
                <w:p>
                  <w:pPr>
                    <w:ind w:firstLine="720"/>
                    <w:jc w:val="both"/>
                    <w:rPr>
                      <w:color w:val="000000" w:themeColor="text1"/>
                    </w:rPr>
                  </w:pPr>
                  <w:sdt>
                    <w:sdtPr>
                      <w:alias w:val="Numeris"/>
                      <w:tag w:val="nr_b030e33b8935407b8a439e9c3e9a22ad"/>
                      <w:lock w:val="sdtLocked"/>
                      <w:richText/>
                    </w:sdtPr>
                    <w:sdtContent>
                      <w:r>
                        <w:rPr>
                          <w:color w:val="000000" w:themeColor="text1"/>
                        </w:rPr>
                        <w:t>9.3</w:t>
                      </w:r>
                    </w:sdtContent>
                  </w:sdt>
                  <w:r>
                    <w:rPr>
                      <w:color w:val="000000" w:themeColor="text1"/>
                    </w:rPr>
                    <w:t>. atitvarų šonuose įrengtų priemonių nuo Saulės spinduliuotės kampas β 5° tikslumu, kaip nurodyta Reglamento 2 priedo 2.13 pav..</w:t>
                  </w:r>
                </w:p>
              </w:sdtContent>
            </w:sdt>
          </w:sdtContent>
        </w:sdt>
        <w:sdt>
          <w:sdtPr>
            <w:alias w:val="1 pr. 10 p."/>
            <w:tag w:val="part_32551c0d4574440f88847ee3b698a44b"/>
            <w:lock w:val="sdtLocked"/>
            <w:richText/>
          </w:sdtPr>
          <w:sdtContent>
            <w:p>
              <w:pPr>
                <w:ind w:firstLine="720"/>
                <w:jc w:val="both"/>
                <w:rPr>
                  <w:color w:val="000000" w:themeColor="text1"/>
                </w:rPr>
              </w:pPr>
              <w:sdt>
                <w:sdtPr>
                  <w:alias w:val="Numeris"/>
                  <w:tag w:val="nr_32551c0d4574440f88847ee3b698a44b"/>
                  <w:lock w:val="sdtLocked"/>
                  <w:richText/>
                </w:sdtPr>
                <w:sdtContent>
                  <w:r>
                    <w:rPr>
                      <w:color w:val="000000" w:themeColor="text1"/>
                    </w:rPr>
                    <w:t>10</w:t>
                  </w:r>
                </w:sdtContent>
              </w:sdt>
              <w:r>
                <w:rPr>
                  <w:color w:val="000000" w:themeColor="text1"/>
                </w:rPr>
                <w:t>. Duomenys apie vandenį šildančius Saulės kolektorius:</w:t>
              </w:r>
            </w:p>
            <w:sdt>
              <w:sdtPr>
                <w:alias w:val="1 pr. 10.1 pp."/>
                <w:tag w:val="part_c6f9053fb3084defa6cef1efda879944"/>
                <w:lock w:val="sdtLocked"/>
                <w:richText/>
              </w:sdtPr>
              <w:sdtContent>
                <w:p>
                  <w:pPr>
                    <w:ind w:firstLine="720"/>
                    <w:jc w:val="both"/>
                    <w:rPr>
                      <w:color w:val="000000" w:themeColor="text1"/>
                    </w:rPr>
                  </w:pPr>
                  <w:sdt>
                    <w:sdtPr>
                      <w:alias w:val="Numeris"/>
                      <w:tag w:val="nr_c6f9053fb3084defa6cef1efda879944"/>
                      <w:lock w:val="sdtLocked"/>
                      <w:richText/>
                    </w:sdtPr>
                    <w:sdtContent>
                      <w:r>
                        <w:rPr>
                          <w:color w:val="000000" w:themeColor="text1"/>
                        </w:rPr>
                        <w:t>10.1</w:t>
                      </w:r>
                    </w:sdtContent>
                  </w:sdt>
                  <w:r>
                    <w:rPr>
                      <w:color w:val="000000" w:themeColor="text1"/>
                    </w:rPr>
                    <w:t>. kolektorių naudojimo apibūdinimas pagal Reglamento 2 priedo 51–53punktuose išvardintus atvejus;</w:t>
                  </w:r>
                </w:p>
              </w:sdtContent>
            </w:sdt>
            <w:sdt>
              <w:sdtPr>
                <w:alias w:val="1 pr. 10.2 pp."/>
                <w:tag w:val="part_4bbfcd4ef666462ab0d664dc7e306611"/>
                <w:lock w:val="sdtLocked"/>
                <w:richText/>
              </w:sdtPr>
              <w:sdtContent>
                <w:p>
                  <w:pPr>
                    <w:ind w:firstLine="720"/>
                    <w:jc w:val="both"/>
                    <w:rPr>
                      <w:color w:val="000000" w:themeColor="text1"/>
                    </w:rPr>
                  </w:pPr>
                  <w:sdt>
                    <w:sdtPr>
                      <w:alias w:val="Numeris"/>
                      <w:tag w:val="nr_4bbfcd4ef666462ab0d664dc7e306611"/>
                      <w:lock w:val="sdtLocked"/>
                      <w:richText/>
                    </w:sdtPr>
                    <w:sdtContent>
                      <w:r>
                        <w:rPr>
                          <w:color w:val="000000" w:themeColor="text1"/>
                        </w:rPr>
                        <w:t>10.2</w:t>
                      </w:r>
                    </w:sdtContent>
                  </w:sdt>
                  <w:r>
                    <w:rPr>
                      <w:color w:val="000000" w:themeColor="text1"/>
                    </w:rPr>
                    <w:t xml:space="preserve">. kolektorių orientacija pasaulio šalių atžvilgiu ir pasvirimo kampas nuo horizontalios plokštumos 5° tikslumu; </w:t>
                  </w:r>
                </w:p>
              </w:sdtContent>
            </w:sdt>
            <w:sdt>
              <w:sdtPr>
                <w:alias w:val="1 pr. 10.3 pp."/>
                <w:tag w:val="part_2cdb22198bc84587960493273a01b3c3"/>
                <w:lock w:val="sdtLocked"/>
                <w:richText/>
              </w:sdtPr>
              <w:sdtContent>
                <w:p>
                  <w:pPr>
                    <w:ind w:firstLine="720"/>
                    <w:jc w:val="both"/>
                    <w:rPr>
                      <w:color w:val="000000" w:themeColor="text1"/>
                    </w:rPr>
                  </w:pPr>
                  <w:sdt>
                    <w:sdtPr>
                      <w:alias w:val="Numeris"/>
                      <w:tag w:val="nr_2cdb22198bc84587960493273a01b3c3"/>
                      <w:lock w:val="sdtLocked"/>
                      <w:richText/>
                    </w:sdtPr>
                    <w:sdtContent>
                      <w:r>
                        <w:rPr>
                          <w:color w:val="000000" w:themeColor="text1"/>
                        </w:rPr>
                        <w:t>10.3</w:t>
                      </w:r>
                    </w:sdtContent>
                  </w:sdt>
                  <w:r>
                    <w:rPr>
                      <w:color w:val="000000" w:themeColor="text1"/>
                    </w:rPr>
                    <w:t>. kolektorių apibūdinimas pagal Reglamento 2 priedo 2.38 lentelėje išvardintus kolektorių tipus;</w:t>
                  </w:r>
                </w:p>
              </w:sdtContent>
            </w:sdt>
            <w:sdt>
              <w:sdtPr>
                <w:alias w:val="1 pr. 10.4 pp."/>
                <w:tag w:val="part_b136a843c1d344de9e83579188c7c8cf"/>
                <w:lock w:val="sdtLocked"/>
                <w:richText/>
              </w:sdtPr>
              <w:sdtContent>
                <w:p>
                  <w:pPr>
                    <w:ind w:firstLine="720"/>
                    <w:jc w:val="both"/>
                    <w:rPr>
                      <w:color w:val="000000" w:themeColor="text1"/>
                    </w:rPr>
                  </w:pPr>
                  <w:sdt>
                    <w:sdtPr>
                      <w:alias w:val="Numeris"/>
                      <w:tag w:val="nr_b136a843c1d344de9e83579188c7c8cf"/>
                      <w:lock w:val="sdtLocked"/>
                      <w:richText/>
                    </w:sdtPr>
                    <w:sdtContent>
                      <w:r>
                        <w:rPr>
                          <w:color w:val="000000" w:themeColor="text1"/>
                        </w:rPr>
                        <w:t>10.4</w:t>
                      </w:r>
                    </w:sdtContent>
                  </w:sdt>
                  <w:r>
                    <w:rPr>
                      <w:color w:val="000000" w:themeColor="text1"/>
                    </w:rPr>
                    <w:t>. kolektorių apibūdinimas pagal Reglamento 2 priedo 2.39 lentelėje išvardintus kolektorių tipus;</w:t>
                  </w:r>
                </w:p>
              </w:sdtContent>
            </w:sdt>
            <w:sdt>
              <w:sdtPr>
                <w:alias w:val="1 pr. 10.5 pp."/>
                <w:tag w:val="part_6c542cc32a754d3cbe4f7612b62b3e7e"/>
                <w:lock w:val="sdtLocked"/>
                <w:richText/>
              </w:sdtPr>
              <w:sdtContent>
                <w:p>
                  <w:pPr>
                    <w:ind w:firstLine="720"/>
                    <w:jc w:val="both"/>
                    <w:rPr>
                      <w:color w:val="000000" w:themeColor="text1"/>
                    </w:rPr>
                  </w:pPr>
                  <w:sdt>
                    <w:sdtPr>
                      <w:alias w:val="Numeris"/>
                      <w:tag w:val="nr_6c542cc32a754d3cbe4f7612b62b3e7e"/>
                      <w:lock w:val="sdtLocked"/>
                      <w:richText/>
                    </w:sdtPr>
                    <w:sdtContent>
                      <w:r>
                        <w:rPr>
                          <w:color w:val="000000" w:themeColor="text1"/>
                        </w:rPr>
                        <w:t>10.5</w:t>
                      </w:r>
                    </w:sdtContent>
                  </w:sdt>
                  <w:r>
                    <w:rPr>
                      <w:color w:val="000000" w:themeColor="text1"/>
                    </w:rPr>
                    <w:t>. kolektorių vidinis plotas (plotas be kolektoriaus rėmo užimamo ploto) 0,01 m² tikslumu;</w:t>
                  </w:r>
                </w:p>
              </w:sdtContent>
            </w:sdt>
            <w:sdt>
              <w:sdtPr>
                <w:alias w:val="1 pr. 10.6 pp."/>
                <w:tag w:val="part_ab23f3f1b8ef460095dc180041f7b753"/>
                <w:lock w:val="sdtLocked"/>
                <w:richText/>
              </w:sdtPr>
              <w:sdtContent>
                <w:p>
                  <w:pPr>
                    <w:ind w:firstLine="720"/>
                    <w:jc w:val="both"/>
                    <w:rPr>
                      <w:color w:val="000000" w:themeColor="text1"/>
                    </w:rPr>
                  </w:pPr>
                  <w:sdt>
                    <w:sdtPr>
                      <w:alias w:val="Numeris"/>
                      <w:tag w:val="nr_ab23f3f1b8ef460095dc180041f7b753"/>
                      <w:lock w:val="sdtLocked"/>
                      <w:richText/>
                    </w:sdtPr>
                    <w:sdtContent>
                      <w:r>
                        <w:rPr>
                          <w:color w:val="000000" w:themeColor="text1"/>
                        </w:rPr>
                        <w:t>10.6</w:t>
                      </w:r>
                    </w:sdtContent>
                  </w:sdt>
                  <w:r>
                    <w:rPr>
                      <w:color w:val="000000" w:themeColor="text1"/>
                    </w:rPr>
                    <w:t>. buitinio karšto vandens talpų, prie kurių prijungti Saulės kolektoriai, tūris 1 litro tikslumu;</w:t>
                  </w:r>
                </w:p>
              </w:sdtContent>
            </w:sdt>
            <w:sdt>
              <w:sdtPr>
                <w:alias w:val="1 pr. 10.7 pp."/>
                <w:tag w:val="part_26ff0b5641c740a792b1f51f434bf112"/>
                <w:lock w:val="sdtLocked"/>
                <w:richText/>
              </w:sdtPr>
              <w:sdtContent>
                <w:p>
                  <w:pPr>
                    <w:ind w:firstLine="720"/>
                    <w:jc w:val="both"/>
                    <w:rPr>
                      <w:color w:val="000000" w:themeColor="text1"/>
                    </w:rPr>
                  </w:pPr>
                  <w:sdt>
                    <w:sdtPr>
                      <w:alias w:val="Numeris"/>
                      <w:tag w:val="nr_26ff0b5641c740a792b1f51f434bf112"/>
                      <w:lock w:val="sdtLocked"/>
                      <w:richText/>
                    </w:sdtPr>
                    <w:sdtContent>
                      <w:r>
                        <w:rPr>
                          <w:color w:val="000000" w:themeColor="text1"/>
                        </w:rPr>
                        <w:t>10.7</w:t>
                      </w:r>
                    </w:sdtContent>
                  </w:sdt>
                  <w:r>
                    <w:rPr>
                      <w:color w:val="000000" w:themeColor="text1"/>
                    </w:rPr>
                    <w:t>. pastatui šildyti naudojamų karšto vandens talpų, prie kurių prijungti Saulės kolektoriai, tūris 1 litro tikslumu;</w:t>
                  </w:r>
                </w:p>
              </w:sdtContent>
            </w:sdt>
            <w:sdt>
              <w:sdtPr>
                <w:alias w:val="1 pr. 10.8 pp."/>
                <w:tag w:val="part_c6c410b6b4ca42718e1458778c988416"/>
                <w:lock w:val="sdtLocked"/>
                <w:richText/>
              </w:sdtPr>
              <w:sdtContent>
                <w:p>
                  <w:pPr>
                    <w:ind w:firstLine="720"/>
                    <w:jc w:val="both"/>
                    <w:rPr>
                      <w:color w:val="000000" w:themeColor="text1"/>
                    </w:rPr>
                  </w:pPr>
                  <w:sdt>
                    <w:sdtPr>
                      <w:alias w:val="Numeris"/>
                      <w:tag w:val="nr_c6c410b6b4ca42718e1458778c988416"/>
                      <w:lock w:val="sdtLocked"/>
                      <w:richText/>
                    </w:sdtPr>
                    <w:sdtContent>
                      <w:r>
                        <w:rPr>
                          <w:color w:val="000000" w:themeColor="text1"/>
                        </w:rPr>
                        <w:t>10.8</w:t>
                      </w:r>
                    </w:sdtContent>
                  </w:sdt>
                  <w:r>
                    <w:rPr>
                      <w:color w:val="000000" w:themeColor="text1"/>
                    </w:rPr>
                    <w:t xml:space="preserve">. patalpų, kuriose įrengtos buitinio karšto vandens talpos,  šildymo/nešildymo apibūdinimas;</w:t>
                  </w:r>
                </w:p>
              </w:sdtContent>
            </w:sdt>
            <w:sdt>
              <w:sdtPr>
                <w:alias w:val="1 pr. 10.9 pp."/>
                <w:tag w:val="part_bff8f779cedc46368c43251e3a8e938c"/>
                <w:lock w:val="sdtLocked"/>
                <w:richText/>
              </w:sdtPr>
              <w:sdtContent>
                <w:p>
                  <w:pPr>
                    <w:ind w:firstLine="720"/>
                    <w:jc w:val="both"/>
                    <w:rPr>
                      <w:color w:val="000000" w:themeColor="text1"/>
                    </w:rPr>
                  </w:pPr>
                  <w:sdt>
                    <w:sdtPr>
                      <w:alias w:val="Numeris"/>
                      <w:tag w:val="nr_bff8f779cedc46368c43251e3a8e938c"/>
                      <w:lock w:val="sdtLocked"/>
                      <w:richText/>
                    </w:sdtPr>
                    <w:sdtContent>
                      <w:r>
                        <w:rPr>
                          <w:color w:val="000000" w:themeColor="text1"/>
                        </w:rPr>
                        <w:t>10.9</w:t>
                      </w:r>
                    </w:sdtContent>
                  </w:sdt>
                  <w:r>
                    <w:rPr>
                      <w:color w:val="000000" w:themeColor="text1"/>
                    </w:rPr>
                    <w:t xml:space="preserve">. patalpų, kuriose įrengtos pastatui šildyti naudojamos karšto vandens talpos,  šildymo/nešildymo apibūdinimas;</w:t>
                  </w:r>
                </w:p>
              </w:sdtContent>
            </w:sdt>
            <w:sdt>
              <w:sdtPr>
                <w:alias w:val="1 pr. 10.10 pp."/>
                <w:tag w:val="part_153b108500a640bf989b0c91369864a2"/>
                <w:lock w:val="sdtLocked"/>
                <w:richText/>
              </w:sdtPr>
              <w:sdtContent>
                <w:p>
                  <w:pPr>
                    <w:ind w:firstLine="720"/>
                    <w:jc w:val="both"/>
                    <w:rPr>
                      <w:color w:val="000000" w:themeColor="text1"/>
                    </w:rPr>
                  </w:pPr>
                  <w:sdt>
                    <w:sdtPr>
                      <w:alias w:val="Numeris"/>
                      <w:tag w:val="nr_153b108500a640bf989b0c91369864a2"/>
                      <w:lock w:val="sdtLocked"/>
                      <w:richText/>
                    </w:sdtPr>
                    <w:sdtContent>
                      <w:r>
                        <w:rPr>
                          <w:color w:val="000000" w:themeColor="text1"/>
                        </w:rPr>
                        <w:t>10.10</w:t>
                      </w:r>
                    </w:sdtContent>
                  </w:sdt>
                  <w:r>
                    <w:rPr>
                      <w:color w:val="000000" w:themeColor="text1"/>
                    </w:rPr>
                    <w:t>. šilumos nuostoliai per parą buitinio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nurodomas karšto vandens talpos tūris 1 litro tikslumu ir talpos apšiltinimo/neapšiltinimo apibūdinimas;</w:t>
                  </w:r>
                </w:p>
              </w:sdtContent>
            </w:sdt>
            <w:sdt>
              <w:sdtPr>
                <w:alias w:val="1 pr. 10.11 pp."/>
                <w:tag w:val="part_7eba75ab746f4dc598d18c286ecdcf92"/>
                <w:lock w:val="sdtLocked"/>
                <w:richText/>
              </w:sdtPr>
              <w:sdtContent>
                <w:p>
                  <w:pPr>
                    <w:ind w:firstLine="720"/>
                    <w:jc w:val="both"/>
                    <w:rPr>
                      <w:color w:val="000000" w:themeColor="text1"/>
                    </w:rPr>
                  </w:pPr>
                  <w:sdt>
                    <w:sdtPr>
                      <w:alias w:val="Numeris"/>
                      <w:tag w:val="nr_7eba75ab746f4dc598d18c286ecdcf92"/>
                      <w:lock w:val="sdtLocked"/>
                      <w:richText/>
                    </w:sdtPr>
                    <w:sdtContent>
                      <w:r>
                        <w:rPr>
                          <w:color w:val="000000" w:themeColor="text1"/>
                        </w:rPr>
                        <w:t>10.11</w:t>
                      </w:r>
                    </w:sdtContent>
                  </w:sdt>
                  <w:r>
                    <w:rPr>
                      <w:color w:val="000000" w:themeColor="text1"/>
                    </w:rPr>
                    <w:t>. šilumos nuostoliai per parą pastatui šildyti naudojamose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turi būti nurodytas karšto vandens talpos tūris 1 litro tikslumu ir talpos apšiltinimo/neapšiltinimo apibūdinimas;</w:t>
                  </w:r>
                </w:p>
              </w:sdtContent>
            </w:sdt>
            <w:sdt>
              <w:sdtPr>
                <w:alias w:val="1 pr. 10.12 pp."/>
                <w:tag w:val="part_5766b8e296704a898a8ee4b27f85b376"/>
                <w:lock w:val="sdtLocked"/>
                <w:richText/>
              </w:sdtPr>
              <w:sdtContent>
                <w:p>
                  <w:pPr>
                    <w:ind w:firstLine="720"/>
                    <w:jc w:val="both"/>
                    <w:rPr>
                      <w:color w:val="000000" w:themeColor="text1"/>
                    </w:rPr>
                  </w:pPr>
                  <w:sdt>
                    <w:sdtPr>
                      <w:alias w:val="Numeris"/>
                      <w:tag w:val="nr_5766b8e296704a898a8ee4b27f85b376"/>
                      <w:lock w:val="sdtLocked"/>
                      <w:richText/>
                    </w:sdtPr>
                    <w:sdtContent>
                      <w:r>
                        <w:rPr>
                          <w:color w:val="000000" w:themeColor="text1"/>
                        </w:rPr>
                        <w:t>10.12</w:t>
                      </w:r>
                    </w:sdtContent>
                  </w:sdt>
                  <w:r>
                    <w:rPr>
                      <w:color w:val="000000" w:themeColor="text1"/>
                    </w:rPr>
                    <w:t>. buitinio karšto vandens talpų ir pastatui šildyti skirtų karšto vandens talpų naudojimo apibūdinimas atsižvelgiant, ar ta pati talpa naudojama šildymui ir karštam buitiniam vandeniui, ar atskiriems tikslams naudojamos atskiros talpos;</w:t>
                  </w:r>
                </w:p>
              </w:sdtContent>
            </w:sdt>
            <w:sdt>
              <w:sdtPr>
                <w:alias w:val="1 pr. 10.13 pp."/>
                <w:tag w:val="part_f6d80e604bad499888e0c1ec5232647d"/>
                <w:lock w:val="sdtLocked"/>
                <w:richText/>
              </w:sdtPr>
              <w:sdtContent>
                <w:p>
                  <w:pPr>
                    <w:ind w:firstLine="720"/>
                    <w:jc w:val="both"/>
                    <w:rPr>
                      <w:color w:val="000000" w:themeColor="text1"/>
                    </w:rPr>
                  </w:pPr>
                  <w:sdt>
                    <w:sdtPr>
                      <w:alias w:val="Numeris"/>
                      <w:tag w:val="nr_f6d80e604bad499888e0c1ec5232647d"/>
                      <w:lock w:val="sdtLocked"/>
                      <w:richText/>
                    </w:sdtPr>
                    <w:sdtContent>
                      <w:r>
                        <w:rPr>
                          <w:color w:val="000000" w:themeColor="text1"/>
                        </w:rPr>
                        <w:t>10.13</w:t>
                      </w:r>
                    </w:sdtContent>
                  </w:sdt>
                  <w:r>
                    <w:rPr>
                      <w:color w:val="000000" w:themeColor="text1"/>
                    </w:rPr>
                    <w:t>. patalpų karšto buitinio vandens skirstomųjų vamzdynų apšiltinimo/neapšiltinimo apibūdinimas.</w:t>
                  </w:r>
                </w:p>
              </w:sdtContent>
            </w:sdt>
          </w:sdtContent>
        </w:sdt>
        <w:sdt>
          <w:sdtPr>
            <w:alias w:val="1 pr. 11 p."/>
            <w:tag w:val="part_eb6769d28e364d03ab839c4b2c159ff5"/>
            <w:lock w:val="sdtLocked"/>
            <w:richText/>
          </w:sdtPr>
          <w:sdtContent>
            <w:p>
              <w:pPr>
                <w:ind w:firstLine="720"/>
                <w:jc w:val="both"/>
                <w:rPr>
                  <w:color w:val="000000" w:themeColor="text1"/>
                </w:rPr>
              </w:pPr>
              <w:sdt>
                <w:sdtPr>
                  <w:alias w:val="Numeris"/>
                  <w:tag w:val="nr_eb6769d28e364d03ab839c4b2c159ff5"/>
                  <w:lock w:val="sdtLocked"/>
                  <w:richText/>
                </w:sdtPr>
                <w:sdtContent>
                  <w:r>
                    <w:rPr>
                      <w:color w:val="000000" w:themeColor="text1"/>
                    </w:rPr>
                    <w:t>11</w:t>
                  </w:r>
                </w:sdtContent>
              </w:sdt>
              <w:r>
                <w:rPr>
                  <w:color w:val="000000" w:themeColor="text1"/>
                </w:rPr>
                <w:t>. Duomenys apie fotovoltinius Saulės kolektorius:</w:t>
              </w:r>
            </w:p>
            <w:sdt>
              <w:sdtPr>
                <w:alias w:val="1 pr. 11.1 pp."/>
                <w:tag w:val="part_3efc29e9078d4e17bb36d51a3bc322e2"/>
                <w:lock w:val="sdtLocked"/>
                <w:richText/>
              </w:sdtPr>
              <w:sdtContent>
                <w:p>
                  <w:pPr>
                    <w:ind w:firstLine="720"/>
                    <w:jc w:val="both"/>
                    <w:rPr>
                      <w:color w:val="000000" w:themeColor="text1"/>
                    </w:rPr>
                  </w:pPr>
                  <w:sdt>
                    <w:sdtPr>
                      <w:alias w:val="Numeris"/>
                      <w:tag w:val="nr_3efc29e9078d4e17bb36d51a3bc322e2"/>
                      <w:lock w:val="sdtLocked"/>
                      <w:richText/>
                    </w:sdtPr>
                    <w:sdtContent>
                      <w:r>
                        <w:rPr>
                          <w:color w:val="000000" w:themeColor="text1"/>
                        </w:rPr>
                        <w:t>11.1</w:t>
                      </w:r>
                    </w:sdtContent>
                  </w:sdt>
                  <w:r>
                    <w:rPr>
                      <w:color w:val="000000" w:themeColor="text1"/>
                    </w:rPr>
                    <w:t>. kolektorių naudojimo apibūdinimas pagal Reglamento 2 priedo 54–60 punktuose išvardintus atvejus;</w:t>
                  </w:r>
                </w:p>
              </w:sdtContent>
            </w:sdt>
            <w:sdt>
              <w:sdtPr>
                <w:alias w:val="1 pr. 11.2 pp."/>
                <w:tag w:val="part_9974f182f8264e2b8b6a8f7197e32463"/>
                <w:lock w:val="sdtLocked"/>
                <w:richText/>
              </w:sdtPr>
              <w:sdtContent>
                <w:p>
                  <w:pPr>
                    <w:ind w:firstLine="720"/>
                    <w:jc w:val="both"/>
                    <w:rPr>
                      <w:color w:val="000000" w:themeColor="text1"/>
                    </w:rPr>
                  </w:pPr>
                  <w:sdt>
                    <w:sdtPr>
                      <w:alias w:val="Numeris"/>
                      <w:tag w:val="nr_9974f182f8264e2b8b6a8f7197e32463"/>
                      <w:lock w:val="sdtLocked"/>
                      <w:richText/>
                    </w:sdtPr>
                    <w:sdtContent>
                      <w:r>
                        <w:rPr>
                          <w:color w:val="000000" w:themeColor="text1"/>
                        </w:rPr>
                        <w:t>11.2</w:t>
                      </w:r>
                    </w:sdtContent>
                  </w:sdt>
                  <w:r>
                    <w:rPr>
                      <w:color w:val="000000" w:themeColor="text1"/>
                    </w:rPr>
                    <w:t xml:space="preserve">. kolektorių orientacija pasaulio šalių atžvilgiu ir pasvirimo kampas nuo horizontalios plokštumos 5° tikslumu; </w:t>
                  </w:r>
                </w:p>
              </w:sdtContent>
            </w:sdt>
            <w:sdt>
              <w:sdtPr>
                <w:alias w:val="1 pr. 11.3 pp."/>
                <w:tag w:val="part_d32209af73c54fed84d351f3d73844dd"/>
                <w:lock w:val="sdtLocked"/>
                <w:richText/>
              </w:sdtPr>
              <w:sdtContent>
                <w:p>
                  <w:pPr>
                    <w:ind w:firstLine="720"/>
                    <w:jc w:val="both"/>
                    <w:rPr>
                      <w:color w:val="000000" w:themeColor="text1"/>
                    </w:rPr>
                  </w:pPr>
                  <w:sdt>
                    <w:sdtPr>
                      <w:alias w:val="Numeris"/>
                      <w:tag w:val="nr_d32209af73c54fed84d351f3d73844dd"/>
                      <w:lock w:val="sdtLocked"/>
                      <w:richText/>
                    </w:sdtPr>
                    <w:sdtContent>
                      <w:r>
                        <w:rPr>
                          <w:color w:val="000000" w:themeColor="text1"/>
                        </w:rPr>
                        <w:t>11.3</w:t>
                      </w:r>
                    </w:sdtContent>
                  </w:sdt>
                  <w:r>
                    <w:rPr>
                      <w:color w:val="000000" w:themeColor="text1"/>
                    </w:rPr>
                    <w:t xml:space="preserve">. kolektorių pikinė galia 0,01 kW/m² tikslumu. Jei yra šios galios vertes patvirtinantys dokumentai, skaičiavimuose turi būti naudojami šiuose dokumentuose nurodyti duomenys. Jei tokių dokumentų nėra, turi būti naudojami  Reglamento 2 priedo 2.40 lentelėje pateikti duomenys;</w:t>
                  </w:r>
                </w:p>
              </w:sdtContent>
            </w:sdt>
            <w:sdt>
              <w:sdtPr>
                <w:alias w:val="1 pr. 11.4 pp."/>
                <w:tag w:val="part_4c20cfabd1cd4539912aa5ba606a8699"/>
                <w:lock w:val="sdtLocked"/>
                <w:richText/>
              </w:sdtPr>
              <w:sdtContent>
                <w:p>
                  <w:pPr>
                    <w:ind w:firstLine="720"/>
                    <w:jc w:val="both"/>
                    <w:rPr>
                      <w:color w:val="000000" w:themeColor="text1"/>
                    </w:rPr>
                  </w:pPr>
                  <w:sdt>
                    <w:sdtPr>
                      <w:alias w:val="Numeris"/>
                      <w:tag w:val="nr_4c20cfabd1cd4539912aa5ba606a8699"/>
                      <w:lock w:val="sdtLocked"/>
                      <w:richText/>
                    </w:sdtPr>
                    <w:sdtContent>
                      <w:r>
                        <w:rPr>
                          <w:color w:val="000000" w:themeColor="text1"/>
                        </w:rPr>
                        <w:t>11.4</w:t>
                      </w:r>
                    </w:sdtContent>
                  </w:sdt>
                  <w:r>
                    <w:rPr>
                      <w:color w:val="000000" w:themeColor="text1"/>
                    </w:rPr>
                    <w:t>. kolektorių apibūdinimas pagal Reglamento 2 priedo 2.41 lentelėje išvardintus kolektorių tipus;</w:t>
                  </w:r>
                </w:p>
              </w:sdtContent>
            </w:sdt>
            <w:sdt>
              <w:sdtPr>
                <w:alias w:val="1 pr. 11.5 pp."/>
                <w:tag w:val="part_276510243d3b4adba3099ceb58ae29ab"/>
                <w:lock w:val="sdtLocked"/>
                <w:richText/>
              </w:sdtPr>
              <w:sdtContent>
                <w:p>
                  <w:pPr>
                    <w:ind w:firstLine="720"/>
                    <w:jc w:val="both"/>
                    <w:rPr>
                      <w:color w:val="000000" w:themeColor="text1"/>
                    </w:rPr>
                  </w:pPr>
                  <w:sdt>
                    <w:sdtPr>
                      <w:alias w:val="Numeris"/>
                      <w:tag w:val="nr_276510243d3b4adba3099ceb58ae29ab"/>
                      <w:lock w:val="sdtLocked"/>
                      <w:richText/>
                    </w:sdtPr>
                    <w:sdtContent>
                      <w:r>
                        <w:rPr>
                          <w:color w:val="000000" w:themeColor="text1"/>
                        </w:rPr>
                        <w:t>11.5</w:t>
                      </w:r>
                    </w:sdtContent>
                  </w:sdt>
                  <w:r>
                    <w:rPr>
                      <w:color w:val="000000" w:themeColor="text1"/>
                    </w:rPr>
                    <w:t>. kolektorių vidinis plotas (plotas be kolektoriaus rėmo užimamo ploto) 0,01 m² tikslumu;</w:t>
                  </w:r>
                </w:p>
              </w:sdtContent>
            </w:sdt>
            <w:sdt>
              <w:sdtPr>
                <w:alias w:val="1 pr. 11.6 pp."/>
                <w:tag w:val="part_bfda2ce0f5c84875af1dbc473b8e6450"/>
                <w:lock w:val="sdtLocked"/>
                <w:richText/>
              </w:sdtPr>
              <w:sdtContent>
                <w:p>
                  <w:pPr>
                    <w:ind w:firstLine="720"/>
                    <w:jc w:val="both"/>
                    <w:rPr>
                      <w:color w:val="000000" w:themeColor="text1"/>
                    </w:rPr>
                  </w:pPr>
                  <w:sdt>
                    <w:sdtPr>
                      <w:alias w:val="Numeris"/>
                      <w:tag w:val="nr_bfda2ce0f5c84875af1dbc473b8e6450"/>
                      <w:lock w:val="sdtLocked"/>
                      <w:richText/>
                    </w:sdtPr>
                    <w:sdtContent>
                      <w:r>
                        <w:rPr>
                          <w:color w:val="000000" w:themeColor="text1"/>
                        </w:rPr>
                        <w:t>11.6</w:t>
                      </w:r>
                    </w:sdtContent>
                  </w:sdt>
                  <w:r>
                    <w:rPr>
                      <w:color w:val="000000" w:themeColor="text1"/>
                    </w:rPr>
                    <w:t>. buitinio karšto vandens talpų, prie kurių prijungti kolektoriai, tūris 1 litro tikslumu;</w:t>
                  </w:r>
                </w:p>
              </w:sdtContent>
            </w:sdt>
            <w:sdt>
              <w:sdtPr>
                <w:alias w:val="1 pr. 11.7 pp."/>
                <w:tag w:val="part_807a8946d9874d20829c233b4147f154"/>
                <w:lock w:val="sdtLocked"/>
                <w:richText/>
              </w:sdtPr>
              <w:sdtContent>
                <w:p>
                  <w:pPr>
                    <w:ind w:firstLine="720"/>
                    <w:jc w:val="both"/>
                    <w:rPr>
                      <w:color w:val="000000" w:themeColor="text1"/>
                    </w:rPr>
                  </w:pPr>
                  <w:sdt>
                    <w:sdtPr>
                      <w:alias w:val="Numeris"/>
                      <w:tag w:val="nr_807a8946d9874d20829c233b4147f154"/>
                      <w:lock w:val="sdtLocked"/>
                      <w:richText/>
                    </w:sdtPr>
                    <w:sdtContent>
                      <w:r>
                        <w:rPr>
                          <w:color w:val="000000" w:themeColor="text1"/>
                        </w:rPr>
                        <w:t>11.7</w:t>
                      </w:r>
                    </w:sdtContent>
                  </w:sdt>
                  <w:r>
                    <w:rPr>
                      <w:color w:val="000000" w:themeColor="text1"/>
                    </w:rPr>
                    <w:t>. pastatui šildyti naudojamų karšto vandens talpų, prie kurių prijungti kolektoriai, tūris 1 litro tikslumu;</w:t>
                  </w:r>
                </w:p>
              </w:sdtContent>
            </w:sdt>
            <w:sdt>
              <w:sdtPr>
                <w:alias w:val="1 pr. 11.8 pp."/>
                <w:tag w:val="part_3a0ec081824c4c479379a415219c9d60"/>
                <w:lock w:val="sdtLocked"/>
                <w:richText/>
              </w:sdtPr>
              <w:sdtContent>
                <w:p>
                  <w:pPr>
                    <w:ind w:firstLine="720"/>
                    <w:jc w:val="both"/>
                    <w:rPr>
                      <w:color w:val="000000" w:themeColor="text1"/>
                    </w:rPr>
                  </w:pPr>
                  <w:sdt>
                    <w:sdtPr>
                      <w:alias w:val="Numeris"/>
                      <w:tag w:val="nr_3a0ec081824c4c479379a415219c9d60"/>
                      <w:lock w:val="sdtLocked"/>
                      <w:richText/>
                    </w:sdtPr>
                    <w:sdtContent>
                      <w:r>
                        <w:rPr>
                          <w:color w:val="000000" w:themeColor="text1"/>
                        </w:rPr>
                        <w:t>11.8</w:t>
                      </w:r>
                    </w:sdtContent>
                  </w:sdt>
                  <w:r>
                    <w:rPr>
                      <w:color w:val="000000" w:themeColor="text1"/>
                    </w:rPr>
                    <w:t xml:space="preserve">. patalpų, kuriose įrengtos buitinio karšto vandens talpos,  šildymo/nešildymo apibūdinimas;</w:t>
                  </w:r>
                </w:p>
              </w:sdtContent>
            </w:sdt>
            <w:sdt>
              <w:sdtPr>
                <w:alias w:val="1 pr. 11.9 pp."/>
                <w:tag w:val="part_1d50c1a89bfa4a48a414f78672a6cd55"/>
                <w:lock w:val="sdtLocked"/>
                <w:richText/>
              </w:sdtPr>
              <w:sdtContent>
                <w:p>
                  <w:pPr>
                    <w:ind w:firstLine="720"/>
                    <w:jc w:val="both"/>
                    <w:rPr>
                      <w:color w:val="000000" w:themeColor="text1"/>
                    </w:rPr>
                  </w:pPr>
                  <w:sdt>
                    <w:sdtPr>
                      <w:alias w:val="Numeris"/>
                      <w:tag w:val="nr_1d50c1a89bfa4a48a414f78672a6cd55"/>
                      <w:lock w:val="sdtLocked"/>
                      <w:richText/>
                    </w:sdtPr>
                    <w:sdtContent>
                      <w:r>
                        <w:rPr>
                          <w:color w:val="000000" w:themeColor="text1"/>
                        </w:rPr>
                        <w:t>11.9</w:t>
                      </w:r>
                    </w:sdtContent>
                  </w:sdt>
                  <w:r>
                    <w:rPr>
                      <w:color w:val="000000" w:themeColor="text1"/>
                    </w:rPr>
                    <w:t xml:space="preserve">. patalpų, kuriose įrengtos pastatui šildyti naudojamos karšto vandens talpos,  šildymo/nešildymo apibūdinimas;</w:t>
                  </w:r>
                </w:p>
              </w:sdtContent>
            </w:sdt>
            <w:sdt>
              <w:sdtPr>
                <w:alias w:val="1 pr. 11.10 pp."/>
                <w:tag w:val="part_26c8f9b375994e7aa8e2a394b62f90a2"/>
                <w:lock w:val="sdtLocked"/>
                <w:richText/>
              </w:sdtPr>
              <w:sdtContent>
                <w:p>
                  <w:pPr>
                    <w:ind w:firstLine="720"/>
                    <w:jc w:val="both"/>
                    <w:rPr>
                      <w:color w:val="000000" w:themeColor="text1"/>
                    </w:rPr>
                  </w:pPr>
                  <w:sdt>
                    <w:sdtPr>
                      <w:alias w:val="Numeris"/>
                      <w:tag w:val="nr_26c8f9b375994e7aa8e2a394b62f90a2"/>
                      <w:lock w:val="sdtLocked"/>
                      <w:richText/>
                    </w:sdtPr>
                    <w:sdtContent>
                      <w:r>
                        <w:rPr>
                          <w:color w:val="000000" w:themeColor="text1"/>
                        </w:rPr>
                        <w:t>11.10</w:t>
                      </w:r>
                    </w:sdtContent>
                  </w:sdt>
                  <w:r>
                    <w:rPr>
                      <w:color w:val="000000" w:themeColor="text1"/>
                    </w:rPr>
                    <w:t>. šilumos nuostoliai per parą buitinio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turi būti nurodytas karšto vandens talpos tūris 1 litro tikslumu ir talpos apšiltinimo/neapšiltinimo apibūdinimas;</w:t>
                  </w:r>
                </w:p>
              </w:sdtContent>
            </w:sdt>
            <w:sdt>
              <w:sdtPr>
                <w:alias w:val="1 pr. 11.11 pp."/>
                <w:tag w:val="part_30b7c9af49984d8c88f22505da249501"/>
                <w:lock w:val="sdtLocked"/>
                <w:richText/>
              </w:sdtPr>
              <w:sdtContent>
                <w:p>
                  <w:pPr>
                    <w:ind w:firstLine="720"/>
                    <w:jc w:val="both"/>
                    <w:rPr>
                      <w:color w:val="000000" w:themeColor="text1"/>
                    </w:rPr>
                  </w:pPr>
                  <w:sdt>
                    <w:sdtPr>
                      <w:alias w:val="Numeris"/>
                      <w:tag w:val="nr_30b7c9af49984d8c88f22505da249501"/>
                      <w:lock w:val="sdtLocked"/>
                      <w:richText/>
                    </w:sdtPr>
                    <w:sdtContent>
                      <w:r>
                        <w:rPr>
                          <w:color w:val="000000" w:themeColor="text1"/>
                        </w:rPr>
                        <w:t>11.11</w:t>
                      </w:r>
                    </w:sdtContent>
                  </w:sdt>
                  <w:r>
                    <w:rPr>
                      <w:color w:val="000000" w:themeColor="text1"/>
                    </w:rPr>
                    <w:t>. šilumos nuostoliai per parą pastatui šildyti naudojamose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turi būti nurodytas karšto vandens talpos tūris 1 litro tikslumu ir talpos apšiltinimo/neapšiltinimo apibūdinimas;</w:t>
                  </w:r>
                </w:p>
              </w:sdtContent>
            </w:sdt>
            <w:sdt>
              <w:sdtPr>
                <w:alias w:val="1 pr. 11.12 pp."/>
                <w:tag w:val="part_a7fd7b6d30144bfc9be2b2b9e5f1281a"/>
                <w:lock w:val="sdtLocked"/>
                <w:richText/>
              </w:sdtPr>
              <w:sdtContent>
                <w:p>
                  <w:pPr>
                    <w:ind w:firstLine="720"/>
                    <w:jc w:val="both"/>
                    <w:rPr>
                      <w:color w:val="000000" w:themeColor="text1"/>
                    </w:rPr>
                  </w:pPr>
                  <w:sdt>
                    <w:sdtPr>
                      <w:alias w:val="Numeris"/>
                      <w:tag w:val="nr_a7fd7b6d30144bfc9be2b2b9e5f1281a"/>
                      <w:lock w:val="sdtLocked"/>
                      <w:richText/>
                    </w:sdtPr>
                    <w:sdtContent>
                      <w:r>
                        <w:rPr>
                          <w:color w:val="000000" w:themeColor="text1"/>
                        </w:rPr>
                        <w:t>11.12</w:t>
                      </w:r>
                    </w:sdtContent>
                  </w:sdt>
                  <w:r>
                    <w:rPr>
                      <w:color w:val="000000" w:themeColor="text1"/>
                    </w:rPr>
                    <w:t>. buitinio karšto vandens talpų ir pastatui šildyti skirtų karšto vandens talpų naudojimo apibūdinimas atsižvelgiant, ar ta pati talpa naudojama šildymui ir karštam buitiniam vandeniui, ar atskiriems tikslams naudojamos atskiros talpos;</w:t>
                  </w:r>
                </w:p>
              </w:sdtContent>
            </w:sdt>
            <w:sdt>
              <w:sdtPr>
                <w:alias w:val="1 pr. 11.13 pp."/>
                <w:tag w:val="part_67228f6d9f7141d1b01e488c40eef3e4"/>
                <w:lock w:val="sdtLocked"/>
                <w:richText/>
              </w:sdtPr>
              <w:sdtContent>
                <w:p>
                  <w:pPr>
                    <w:ind w:firstLine="720"/>
                    <w:jc w:val="both"/>
                    <w:rPr>
                      <w:color w:val="000000" w:themeColor="text1"/>
                    </w:rPr>
                  </w:pPr>
                  <w:sdt>
                    <w:sdtPr>
                      <w:alias w:val="Numeris"/>
                      <w:tag w:val="nr_67228f6d9f7141d1b01e488c40eef3e4"/>
                      <w:lock w:val="sdtLocked"/>
                      <w:richText/>
                    </w:sdtPr>
                    <w:sdtContent>
                      <w:r>
                        <w:rPr>
                          <w:color w:val="000000" w:themeColor="text1"/>
                        </w:rPr>
                        <w:t>11.13</w:t>
                      </w:r>
                    </w:sdtContent>
                  </w:sdt>
                  <w:r>
                    <w:rPr>
                      <w:color w:val="000000" w:themeColor="text1"/>
                    </w:rPr>
                    <w:t>. patalpų karšto buitinio vandens skirstomųjų vamzdynų apšiltinimo/neapšiltinimo apibūdinimas.</w:t>
                  </w:r>
                </w:p>
              </w:sdtContent>
            </w:sdt>
          </w:sdtContent>
        </w:sdt>
        <w:sdt>
          <w:sdtPr>
            <w:alias w:val="1 pr. 12 p."/>
            <w:tag w:val="part_83470f68fedd443b8d0f5d6870a164e8"/>
            <w:lock w:val="sdtLocked"/>
            <w:richText/>
          </w:sdtPr>
          <w:sdtContent>
            <w:p>
              <w:pPr>
                <w:ind w:firstLine="720"/>
                <w:jc w:val="both"/>
                <w:rPr>
                  <w:color w:val="000000" w:themeColor="text1"/>
                </w:rPr>
              </w:pPr>
              <w:sdt>
                <w:sdtPr>
                  <w:alias w:val="Numeris"/>
                  <w:tag w:val="nr_83470f68fedd443b8d0f5d6870a164e8"/>
                  <w:lock w:val="sdtLocked"/>
                  <w:richText/>
                </w:sdtPr>
                <w:sdtContent>
                  <w:r>
                    <w:rPr>
                      <w:color w:val="000000" w:themeColor="text1"/>
                    </w:rPr>
                    <w:t>12</w:t>
                  </w:r>
                </w:sdtContent>
              </w:sdt>
              <w:r>
                <w:rPr>
                  <w:color w:val="000000" w:themeColor="text1"/>
                </w:rPr>
                <w:t>. Duomenys apie vėjo elektrines ir hidroelektrines:</w:t>
              </w:r>
            </w:p>
            <w:sdt>
              <w:sdtPr>
                <w:alias w:val="1 pr. 12.1 pp."/>
                <w:tag w:val="part_5d77d74decac4128b6d247c33e178566"/>
                <w:lock w:val="sdtLocked"/>
                <w:richText/>
              </w:sdtPr>
              <w:sdtContent>
                <w:p>
                  <w:pPr>
                    <w:ind w:firstLine="720"/>
                    <w:jc w:val="both"/>
                    <w:rPr>
                      <w:color w:val="000000" w:themeColor="text1"/>
                    </w:rPr>
                  </w:pPr>
                  <w:sdt>
                    <w:sdtPr>
                      <w:alias w:val="Numeris"/>
                      <w:tag w:val="nr_5d77d74decac4128b6d247c33e178566"/>
                      <w:lock w:val="sdtLocked"/>
                      <w:richText/>
                    </w:sdtPr>
                    <w:sdtContent>
                      <w:r>
                        <w:rPr>
                          <w:color w:val="000000" w:themeColor="text1"/>
                        </w:rPr>
                        <w:t>12.1</w:t>
                      </w:r>
                    </w:sdtContent>
                  </w:sdt>
                  <w:r>
                    <w:rPr>
                      <w:color w:val="000000" w:themeColor="text1"/>
                    </w:rPr>
                    <w:t>. vėjo elektrinių ir hidroelektrinių naudojimo apibūdinimas pagal Reglamento 2 priedo</w:t>
                  </w:r>
                  <w:r>
                    <w:rPr>
                      <w:b/>
                      <w:color w:val="000000" w:themeColor="text1"/>
                    </w:rPr>
                    <w:t xml:space="preserve"> </w:t>
                  </w:r>
                  <w:r>
                    <w:rPr>
                      <w:color w:val="000000" w:themeColor="text1"/>
                    </w:rPr>
                    <w:t>62–68 punktuose išvardintus atvejus;</w:t>
                  </w:r>
                </w:p>
              </w:sdtContent>
            </w:sdt>
            <w:sdt>
              <w:sdtPr>
                <w:alias w:val="1 pr. 12.2 pp."/>
                <w:tag w:val="part_e4bf962b7d574cf4b53c15523a06f421"/>
                <w:lock w:val="sdtLocked"/>
                <w:richText/>
              </w:sdtPr>
              <w:sdtContent>
                <w:p>
                  <w:pPr>
                    <w:ind w:firstLine="720"/>
                    <w:jc w:val="both"/>
                    <w:rPr>
                      <w:color w:val="000000" w:themeColor="text1"/>
                    </w:rPr>
                  </w:pPr>
                  <w:sdt>
                    <w:sdtPr>
                      <w:alias w:val="Numeris"/>
                      <w:tag w:val="nr_e4bf962b7d574cf4b53c15523a06f421"/>
                      <w:lock w:val="sdtLocked"/>
                      <w:richText/>
                    </w:sdtPr>
                    <w:sdtContent>
                      <w:r>
                        <w:rPr>
                          <w:color w:val="000000" w:themeColor="text1"/>
                        </w:rPr>
                        <w:t>12.2</w:t>
                      </w:r>
                    </w:sdtContent>
                  </w:sdt>
                  <w:r>
                    <w:rPr>
                      <w:color w:val="000000" w:themeColor="text1"/>
                    </w:rPr>
                    <w:t xml:space="preserve">. vietovės, kurioje įrengta vėjo elektrinė, apibūdinimas pagal Reglamento 2 priede 2.42 lentelėje išvardintas vietoves; </w:t>
                  </w:r>
                </w:p>
              </w:sdtContent>
            </w:sdt>
            <w:sdt>
              <w:sdtPr>
                <w:alias w:val="1 pr. 12.3 pp."/>
                <w:tag w:val="part_6460b972a8ce47acb66b8379cd930fcc"/>
                <w:lock w:val="sdtLocked"/>
                <w:richText/>
              </w:sdtPr>
              <w:sdtContent>
                <w:p>
                  <w:pPr>
                    <w:ind w:firstLine="720"/>
                    <w:jc w:val="both"/>
                    <w:rPr>
                      <w:color w:val="000000" w:themeColor="text1"/>
                    </w:rPr>
                  </w:pPr>
                  <w:sdt>
                    <w:sdtPr>
                      <w:alias w:val="Numeris"/>
                      <w:tag w:val="nr_6460b972a8ce47acb66b8379cd930fcc"/>
                      <w:lock w:val="sdtLocked"/>
                      <w:richText/>
                    </w:sdtPr>
                    <w:sdtContent>
                      <w:r>
                        <w:rPr>
                          <w:color w:val="000000" w:themeColor="text1"/>
                        </w:rPr>
                        <w:t>12.3</w:t>
                      </w:r>
                    </w:sdtContent>
                  </w:sdt>
                  <w:r>
                    <w:rPr>
                      <w:color w:val="000000" w:themeColor="text1"/>
                    </w:rPr>
                    <w:t>. horizontalios ašies vėjo elektrinės vėjaračio darbinis plotas 0,01 m² tikslumu. Jei yra šio ploto vertę patvirtinantys dokumentai, skaičiavimuose turi būti naudojami šiuose dokumentuose nurodyti duomenys. Jei tokių dokumentų nėra, turi būti nurodytas horizontalios ašies vėjo elektrinės sparnų ilgis, t. y. atstumas nuo vėjo elektrinės ašies iki sparno galo 0,1 m tikslumu;</w:t>
                  </w:r>
                </w:p>
              </w:sdtContent>
            </w:sdt>
            <w:sdt>
              <w:sdtPr>
                <w:alias w:val="1 pr. 12.4 pp."/>
                <w:tag w:val="part_324bcd202c85449bb4b782d4470eacf4"/>
                <w:lock w:val="sdtLocked"/>
                <w:richText/>
              </w:sdtPr>
              <w:sdtContent>
                <w:p>
                  <w:pPr>
                    <w:ind w:firstLine="720"/>
                    <w:jc w:val="both"/>
                    <w:rPr>
                      <w:color w:val="000000" w:themeColor="text1"/>
                    </w:rPr>
                  </w:pPr>
                  <w:sdt>
                    <w:sdtPr>
                      <w:alias w:val="Numeris"/>
                      <w:tag w:val="nr_324bcd202c85449bb4b782d4470eacf4"/>
                      <w:lock w:val="sdtLocked"/>
                      <w:richText/>
                    </w:sdtPr>
                    <w:sdtContent>
                      <w:r>
                        <w:rPr>
                          <w:color w:val="000000" w:themeColor="text1"/>
                        </w:rPr>
                        <w:t>12.4</w:t>
                      </w:r>
                    </w:sdtContent>
                  </w:sdt>
                  <w:r>
                    <w:rPr>
                      <w:color w:val="000000" w:themeColor="text1"/>
                    </w:rPr>
                    <w:t xml:space="preserve">. horizontalios ašies vėjo elektrinės mechaninis naudingumo koeficientas </w:t>
                  </w:r>
                  <w:r>
                    <w:rPr>
                      <w:i/>
                      <w:color w:val="000000" w:themeColor="text1"/>
                    </w:rPr>
                    <w:t>η</w:t>
                  </w:r>
                  <w:r>
                    <w:rPr>
                      <w:i/>
                      <w:color w:val="000000" w:themeColor="text1"/>
                      <w:vertAlign w:val="subscript"/>
                    </w:rPr>
                    <w:t>1,HWE</w:t>
                  </w:r>
                  <w:r>
                    <w:rPr>
                      <w:color w:val="000000" w:themeColor="text1"/>
                    </w:rPr>
                    <w:t xml:space="preserve"> 0,01 vnt. tikslumu. Jei yra šio koeficiento vertę patvirtinantys dokumentai, skaičiavimuose turi būti naudojami šiuose dokumentuose nurodyti duomenys. Jei tokių dokumentų nėra, skaičiavimuose turi būti naudojama koeficiento vertė 0,99; </w:t>
                  </w:r>
                </w:p>
              </w:sdtContent>
            </w:sdt>
            <w:sdt>
              <w:sdtPr>
                <w:alias w:val="1 pr. 12.5 pp."/>
                <w:tag w:val="part_f15061920dd24afd9f928726fbd80863"/>
                <w:lock w:val="sdtLocked"/>
                <w:richText/>
              </w:sdtPr>
              <w:sdtContent>
                <w:p>
                  <w:pPr>
                    <w:ind w:firstLine="720"/>
                    <w:jc w:val="both"/>
                    <w:rPr>
                      <w:color w:val="000000" w:themeColor="text1"/>
                    </w:rPr>
                  </w:pPr>
                  <w:sdt>
                    <w:sdtPr>
                      <w:alias w:val="Numeris"/>
                      <w:tag w:val="nr_f15061920dd24afd9f928726fbd80863"/>
                      <w:lock w:val="sdtLocked"/>
                      <w:richText/>
                    </w:sdtPr>
                    <w:sdtContent>
                      <w:r>
                        <w:rPr>
                          <w:color w:val="000000" w:themeColor="text1"/>
                        </w:rPr>
                        <w:t>12.5</w:t>
                      </w:r>
                    </w:sdtContent>
                  </w:sdt>
                  <w:r>
                    <w:rPr>
                      <w:color w:val="000000" w:themeColor="text1"/>
                    </w:rPr>
                    <w:t xml:space="preserve">. horizontalios ašies vėjo elektrinės elektrinis naudingumo koeficientas </w:t>
                  </w:r>
                  <w:r>
                    <w:rPr>
                      <w:i/>
                      <w:color w:val="000000" w:themeColor="text1"/>
                    </w:rPr>
                    <w:t>η</w:t>
                  </w:r>
                  <w:r>
                    <w:rPr>
                      <w:i/>
                      <w:color w:val="000000" w:themeColor="text1"/>
                      <w:vertAlign w:val="subscript"/>
                    </w:rPr>
                    <w:t>2,HWE</w:t>
                  </w:r>
                  <w:r>
                    <w:rPr>
                      <w:color w:val="000000" w:themeColor="text1"/>
                    </w:rPr>
                    <w:t xml:space="preserve"> 0,01 vnt. tikslumu. Jei yra šio koeficiento vertę patvirtinantys dokumentai, skaičiavimuose turi būti naudojami šiuose dokumentuose nurodyti duomenys. Jei tokių dokumentų nėra, skaičiavimuose turi būti naudojama koeficiento vertė 0,96;</w:t>
                  </w:r>
                </w:p>
              </w:sdtContent>
            </w:sdt>
            <w:sdt>
              <w:sdtPr>
                <w:alias w:val="1 pr. 12.6 pp."/>
                <w:tag w:val="part_cae6454284054814bc8d288b5bfcd7d7"/>
                <w:lock w:val="sdtLocked"/>
                <w:richText/>
              </w:sdtPr>
              <w:sdtContent>
                <w:p>
                  <w:pPr>
                    <w:ind w:firstLine="720"/>
                    <w:jc w:val="both"/>
                    <w:rPr>
                      <w:color w:val="000000" w:themeColor="text1"/>
                    </w:rPr>
                  </w:pPr>
                  <w:sdt>
                    <w:sdtPr>
                      <w:alias w:val="Numeris"/>
                      <w:tag w:val="nr_cae6454284054814bc8d288b5bfcd7d7"/>
                      <w:lock w:val="sdtLocked"/>
                      <w:richText/>
                    </w:sdtPr>
                    <w:sdtContent>
                      <w:r>
                        <w:rPr>
                          <w:color w:val="000000" w:themeColor="text1"/>
                        </w:rPr>
                        <w:t>12.6</w:t>
                      </w:r>
                    </w:sdtContent>
                  </w:sdt>
                  <w:r>
                    <w:rPr>
                      <w:color w:val="000000" w:themeColor="text1"/>
                    </w:rPr>
                    <w:t>. horizontalios ašies vėjo elektrinės auštis virš žemės paviršiaus, t. y. atstumas nuo žemės paviršiaus iki vėjo elektrinės vėjaračio ašies 0,1 m tikslumu;</w:t>
                  </w:r>
                </w:p>
              </w:sdtContent>
            </w:sdt>
            <w:sdt>
              <w:sdtPr>
                <w:alias w:val="1 pr. 12.7 pp."/>
                <w:tag w:val="part_1c2c844560ae49e0a94778059672c4ba"/>
                <w:lock w:val="sdtLocked"/>
                <w:richText/>
              </w:sdtPr>
              <w:sdtContent>
                <w:p>
                  <w:pPr>
                    <w:ind w:firstLine="720"/>
                    <w:jc w:val="both"/>
                    <w:rPr>
                      <w:color w:val="000000" w:themeColor="text1"/>
                    </w:rPr>
                  </w:pPr>
                  <w:sdt>
                    <w:sdtPr>
                      <w:alias w:val="Numeris"/>
                      <w:tag w:val="nr_1c2c844560ae49e0a94778059672c4ba"/>
                      <w:lock w:val="sdtLocked"/>
                      <w:richText/>
                    </w:sdtPr>
                    <w:sdtContent>
                      <w:r>
                        <w:rPr>
                          <w:color w:val="000000" w:themeColor="text1"/>
                        </w:rPr>
                        <w:t>12.7</w:t>
                      </w:r>
                    </w:sdtContent>
                  </w:sdt>
                  <w:r>
                    <w:rPr>
                      <w:color w:val="000000" w:themeColor="text1"/>
                    </w:rPr>
                    <w:t>. vertikalios ašies elektrinės galia 1 W tikslumu ir vėjo greitis 0,1 m/s tikslumu, kuriam esant ši galia nustatyta. Jei yra šią galios vertę ir minėtą vėjo greitį patvirtinantys dokumentai, skaičiavimuose turi būti naudojami šiuose dokumentuose nurodyti duomenys. Jei tokių dokumentų nėra, skaičiavimuose vertikalios ašies elektrinė nevertinama;</w:t>
                  </w:r>
                </w:p>
              </w:sdtContent>
            </w:sdt>
            <w:sdt>
              <w:sdtPr>
                <w:alias w:val="1 pr. 12.8 pp."/>
                <w:tag w:val="part_54aec907c64f484f8c6ce073447d0697"/>
                <w:lock w:val="sdtLocked"/>
                <w:richText/>
              </w:sdtPr>
              <w:sdtContent>
                <w:p>
                  <w:pPr>
                    <w:ind w:firstLine="720"/>
                    <w:jc w:val="both"/>
                    <w:rPr>
                      <w:color w:val="000000" w:themeColor="text1"/>
                    </w:rPr>
                  </w:pPr>
                  <w:sdt>
                    <w:sdtPr>
                      <w:alias w:val="Numeris"/>
                      <w:tag w:val="nr_54aec907c64f484f8c6ce073447d0697"/>
                      <w:lock w:val="sdtLocked"/>
                      <w:richText/>
                    </w:sdtPr>
                    <w:sdtContent>
                      <w:r>
                        <w:rPr>
                          <w:color w:val="000000" w:themeColor="text1"/>
                        </w:rPr>
                        <w:t>12.8</w:t>
                      </w:r>
                    </w:sdtContent>
                  </w:sdt>
                  <w:r>
                    <w:rPr>
                      <w:color w:val="000000" w:themeColor="text1"/>
                    </w:rPr>
                    <w:t>. aukštis nuo žemės paviršiaus iki vertikalios ašies vėjo elektrinės vėjaračio centro 0,1 m tikslumu;</w:t>
                  </w:r>
                </w:p>
              </w:sdtContent>
            </w:sdt>
            <w:sdt>
              <w:sdtPr>
                <w:alias w:val="1 pr. 12.9 pp."/>
                <w:tag w:val="part_04cc0d2a0f42489c98e946f74773434d"/>
                <w:lock w:val="sdtLocked"/>
                <w:richText/>
              </w:sdtPr>
              <w:sdtContent>
                <w:p>
                  <w:pPr>
                    <w:ind w:firstLine="720"/>
                    <w:jc w:val="both"/>
                    <w:rPr>
                      <w:color w:val="000000" w:themeColor="text1"/>
                    </w:rPr>
                  </w:pPr>
                  <w:sdt>
                    <w:sdtPr>
                      <w:alias w:val="Numeris"/>
                      <w:tag w:val="nr_04cc0d2a0f42489c98e946f74773434d"/>
                      <w:lock w:val="sdtLocked"/>
                      <w:richText/>
                    </w:sdtPr>
                    <w:sdtContent>
                      <w:r>
                        <w:rPr>
                          <w:color w:val="000000" w:themeColor="text1"/>
                        </w:rPr>
                        <w:t>12.9</w:t>
                      </w:r>
                    </w:sdtContent>
                  </w:sdt>
                  <w:r>
                    <w:rPr>
                      <w:color w:val="000000" w:themeColor="text1"/>
                    </w:rPr>
                    <w:t xml:space="preserve">. buitinio karšto vandens talpų, kurių šildymui naudojama elektrinių energija,  tūris 1 litro tikslumu;</w:t>
                  </w:r>
                </w:p>
              </w:sdtContent>
            </w:sdt>
            <w:sdt>
              <w:sdtPr>
                <w:alias w:val="1 pr. 12.10 pp."/>
                <w:tag w:val="part_cc71fab94c5a40f2ba7728ce92173250"/>
                <w:lock w:val="sdtLocked"/>
                <w:richText/>
              </w:sdtPr>
              <w:sdtContent>
                <w:p>
                  <w:pPr>
                    <w:ind w:firstLine="720"/>
                    <w:jc w:val="both"/>
                    <w:rPr>
                      <w:color w:val="000000" w:themeColor="text1"/>
                    </w:rPr>
                  </w:pPr>
                  <w:sdt>
                    <w:sdtPr>
                      <w:alias w:val="Numeris"/>
                      <w:tag w:val="nr_cc71fab94c5a40f2ba7728ce92173250"/>
                      <w:lock w:val="sdtLocked"/>
                      <w:richText/>
                    </w:sdtPr>
                    <w:sdtContent>
                      <w:r>
                        <w:rPr>
                          <w:color w:val="000000" w:themeColor="text1"/>
                        </w:rPr>
                        <w:t>12.10</w:t>
                      </w:r>
                    </w:sdtContent>
                  </w:sdt>
                  <w:r>
                    <w:rPr>
                      <w:color w:val="000000" w:themeColor="text1"/>
                    </w:rPr>
                    <w:t>. pastatui šildyti naudojamų karšto vandens talpų, kurių šildymui naudojama elektrinių energija, tūris 1 litro tikslumu;</w:t>
                  </w:r>
                </w:p>
              </w:sdtContent>
            </w:sdt>
            <w:sdt>
              <w:sdtPr>
                <w:alias w:val="1 pr. 12.11 pp."/>
                <w:tag w:val="part_f5a6df79717044b0aef5d0a3eadd8c5d"/>
                <w:lock w:val="sdtLocked"/>
                <w:richText/>
              </w:sdtPr>
              <w:sdtContent>
                <w:p>
                  <w:pPr>
                    <w:ind w:firstLine="720"/>
                    <w:jc w:val="both"/>
                    <w:rPr>
                      <w:color w:val="000000" w:themeColor="text1"/>
                    </w:rPr>
                  </w:pPr>
                  <w:sdt>
                    <w:sdtPr>
                      <w:alias w:val="Numeris"/>
                      <w:tag w:val="nr_f5a6df79717044b0aef5d0a3eadd8c5d"/>
                      <w:lock w:val="sdtLocked"/>
                      <w:richText/>
                    </w:sdtPr>
                    <w:sdtContent>
                      <w:r>
                        <w:rPr>
                          <w:color w:val="000000" w:themeColor="text1"/>
                        </w:rPr>
                        <w:t>12.11</w:t>
                      </w:r>
                    </w:sdtContent>
                  </w:sdt>
                  <w:r>
                    <w:rPr>
                      <w:color w:val="000000" w:themeColor="text1"/>
                    </w:rPr>
                    <w:t xml:space="preserve">. patalpų, kuriose įrengtos buitinio karšto vandens talpos,  šildymo/nešildymo apibūdinimas;</w:t>
                  </w:r>
                </w:p>
              </w:sdtContent>
            </w:sdt>
            <w:sdt>
              <w:sdtPr>
                <w:alias w:val="1 pr. 12.12 pp."/>
                <w:tag w:val="part_578089a3947049efad70716377c40025"/>
                <w:lock w:val="sdtLocked"/>
                <w:richText/>
              </w:sdtPr>
              <w:sdtContent>
                <w:p>
                  <w:pPr>
                    <w:ind w:firstLine="720"/>
                    <w:jc w:val="both"/>
                    <w:rPr>
                      <w:color w:val="000000" w:themeColor="text1"/>
                    </w:rPr>
                  </w:pPr>
                  <w:sdt>
                    <w:sdtPr>
                      <w:alias w:val="Numeris"/>
                      <w:tag w:val="nr_578089a3947049efad70716377c40025"/>
                      <w:lock w:val="sdtLocked"/>
                      <w:richText/>
                    </w:sdtPr>
                    <w:sdtContent>
                      <w:r>
                        <w:rPr>
                          <w:color w:val="000000" w:themeColor="text1"/>
                        </w:rPr>
                        <w:t>12.12</w:t>
                      </w:r>
                    </w:sdtContent>
                  </w:sdt>
                  <w:r>
                    <w:rPr>
                      <w:color w:val="000000" w:themeColor="text1"/>
                    </w:rPr>
                    <w:t xml:space="preserve">. patalpų, kuriose įrengtos pastatui šildyti naudojamos karšto vandens talpos,  šildymo/nešildymo apibūdinimas;</w:t>
                  </w:r>
                </w:p>
              </w:sdtContent>
            </w:sdt>
            <w:sdt>
              <w:sdtPr>
                <w:alias w:val="1 pr. 12.13 pp."/>
                <w:tag w:val="part_ed6a0701cc5c4e458f260792e5caa20d"/>
                <w:lock w:val="sdtLocked"/>
                <w:richText/>
              </w:sdtPr>
              <w:sdtContent>
                <w:p>
                  <w:pPr>
                    <w:ind w:firstLine="720"/>
                    <w:jc w:val="both"/>
                    <w:rPr>
                      <w:color w:val="000000" w:themeColor="text1"/>
                    </w:rPr>
                  </w:pPr>
                  <w:sdt>
                    <w:sdtPr>
                      <w:alias w:val="Numeris"/>
                      <w:tag w:val="nr_ed6a0701cc5c4e458f260792e5caa20d"/>
                      <w:lock w:val="sdtLocked"/>
                      <w:richText/>
                    </w:sdtPr>
                    <w:sdtContent>
                      <w:r>
                        <w:rPr>
                          <w:color w:val="000000" w:themeColor="text1"/>
                        </w:rPr>
                        <w:t>12.13</w:t>
                      </w:r>
                    </w:sdtContent>
                  </w:sdt>
                  <w:r>
                    <w:rPr>
                      <w:color w:val="000000" w:themeColor="text1"/>
                    </w:rPr>
                    <w:t>. šilumos nuostoliai per parą buitinio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turi būti nurodytas karšto vandens talpos tūris 1 litro tikslumu ir talpos apšiltinimo/neapšiltinimo apibūdinimas;</w:t>
                  </w:r>
                </w:p>
              </w:sdtContent>
            </w:sdt>
            <w:sdt>
              <w:sdtPr>
                <w:alias w:val="1 pr. 12.14 pp."/>
                <w:tag w:val="part_d727329b6a4d434d9676d191f9487e55"/>
                <w:lock w:val="sdtLocked"/>
                <w:richText/>
              </w:sdtPr>
              <w:sdtContent>
                <w:p>
                  <w:pPr>
                    <w:ind w:firstLine="720"/>
                    <w:jc w:val="both"/>
                    <w:rPr>
                      <w:color w:val="000000" w:themeColor="text1"/>
                    </w:rPr>
                  </w:pPr>
                  <w:sdt>
                    <w:sdtPr>
                      <w:alias w:val="Numeris"/>
                      <w:tag w:val="nr_d727329b6a4d434d9676d191f9487e55"/>
                      <w:lock w:val="sdtLocked"/>
                      <w:richText/>
                    </w:sdtPr>
                    <w:sdtContent>
                      <w:r>
                        <w:rPr>
                          <w:color w:val="000000" w:themeColor="text1"/>
                        </w:rPr>
                        <w:t>12.14</w:t>
                      </w:r>
                    </w:sdtContent>
                  </w:sdt>
                  <w:r>
                    <w:rPr>
                      <w:color w:val="000000" w:themeColor="text1"/>
                    </w:rPr>
                    <w:t>. šilumos nuostoliai per parą pastatui šildyti naudojamose karšto vandens talpose 0,01 kWh/para tikslumu ir temperatūrų skirtumas 1 °C tikslumu, kuriam esant šie nuostoliai nustatyti. Jei yra šių šilumos nuostolių vertes ir temperatūrų skirtumo vertes patvirtinantys dokumentai, skaičiavimuose turi būti naudojami šiuose dokumentuose nurodyti duomenys. Jei tokių dokumentų nėra, turi būti nurodytas karšto vandens talpos tūris 1 litro tikslumu ir talpos apšiltinimo/neapšiltinimo apibūdinimas;</w:t>
                  </w:r>
                </w:p>
              </w:sdtContent>
            </w:sdt>
            <w:sdt>
              <w:sdtPr>
                <w:alias w:val="1 pr. 12.15 pp."/>
                <w:tag w:val="part_fb4f35decf2c46db904f8686d4e201a4"/>
                <w:lock w:val="sdtLocked"/>
                <w:richText/>
              </w:sdtPr>
              <w:sdtContent>
                <w:p>
                  <w:pPr>
                    <w:ind w:firstLine="720"/>
                    <w:jc w:val="both"/>
                    <w:rPr>
                      <w:color w:val="000000" w:themeColor="text1"/>
                    </w:rPr>
                  </w:pPr>
                  <w:sdt>
                    <w:sdtPr>
                      <w:alias w:val="Numeris"/>
                      <w:tag w:val="nr_fb4f35decf2c46db904f8686d4e201a4"/>
                      <w:lock w:val="sdtLocked"/>
                      <w:richText/>
                    </w:sdtPr>
                    <w:sdtContent>
                      <w:r>
                        <w:rPr>
                          <w:color w:val="000000" w:themeColor="text1"/>
                        </w:rPr>
                        <w:t>12.15</w:t>
                      </w:r>
                    </w:sdtContent>
                  </w:sdt>
                  <w:r>
                    <w:rPr>
                      <w:color w:val="000000" w:themeColor="text1"/>
                    </w:rPr>
                    <w:t>. buitinio karšto vandens talpų ir pastatui šildyti skirtų karšto vandens talpų naudojimo apibūdinimas atsižvelgiant, ar ta pati talpa naudojama šildymui ir karštam buitiniam vandeniui, ar atskiriems tikslams naudojamos atskiros talpos;</w:t>
                  </w:r>
                </w:p>
              </w:sdtContent>
            </w:sdt>
            <w:sdt>
              <w:sdtPr>
                <w:alias w:val="1 pr. 12.16 pp."/>
                <w:tag w:val="part_c6546715436649d78d582932879d0494"/>
                <w:lock w:val="sdtLocked"/>
                <w:richText/>
              </w:sdtPr>
              <w:sdtContent>
                <w:p>
                  <w:pPr>
                    <w:ind w:firstLine="720"/>
                    <w:jc w:val="both"/>
                    <w:rPr>
                      <w:color w:val="000000" w:themeColor="text1"/>
                    </w:rPr>
                  </w:pPr>
                  <w:sdt>
                    <w:sdtPr>
                      <w:alias w:val="Numeris"/>
                      <w:tag w:val="nr_c6546715436649d78d582932879d0494"/>
                      <w:lock w:val="sdtLocked"/>
                      <w:richText/>
                    </w:sdtPr>
                    <w:sdtContent>
                      <w:r>
                        <w:rPr>
                          <w:color w:val="000000" w:themeColor="text1"/>
                        </w:rPr>
                        <w:t>12.16</w:t>
                      </w:r>
                    </w:sdtContent>
                  </w:sdt>
                  <w:r>
                    <w:rPr>
                      <w:color w:val="000000" w:themeColor="text1"/>
                    </w:rPr>
                    <w:t>. patalpų karšto buitinio vandens skirstomųjų vamzdynų apšiltinimo/neapšiltinimo apibūdinimas.</w:t>
                  </w:r>
                </w:p>
              </w:sdtContent>
            </w:sdt>
          </w:sdtContent>
        </w:sdt>
        <w:sdt>
          <w:sdtPr>
            <w:alias w:val="1 pr. 13 p."/>
            <w:tag w:val="part_91da213728c44b8bbbc8c7de240f35a7"/>
            <w:lock w:val="sdtLocked"/>
            <w:richText/>
          </w:sdtPr>
          <w:sdtContent>
            <w:p>
              <w:pPr>
                <w:ind w:firstLine="720"/>
                <w:jc w:val="both"/>
                <w:rPr>
                  <w:color w:val="000000" w:themeColor="text1"/>
                </w:rPr>
              </w:pPr>
              <w:sdt>
                <w:sdtPr>
                  <w:alias w:val="Numeris"/>
                  <w:tag w:val="nr_91da213728c44b8bbbc8c7de240f35a7"/>
                  <w:lock w:val="sdtLocked"/>
                  <w:richText/>
                </w:sdtPr>
                <w:sdtContent>
                  <w:r>
                    <w:rPr>
                      <w:color w:val="000000" w:themeColor="text1"/>
                    </w:rPr>
                    <w:t>13</w:t>
                  </w:r>
                </w:sdtContent>
              </w:sdt>
              <w:r>
                <w:rPr>
                  <w:color w:val="000000" w:themeColor="text1"/>
                </w:rPr>
                <w:t>. Duomenys apie pastato patalpų elektrinę apšvietimo įrangą: patalpų plotai 0,01 m² tikslumu ir šiuose plotuose esančios apšvietimo įrangos apibūdinimas pagal Reglamento 11 lentelėje išvardintus apšvietimo įrangos tipus.</w:t>
              </w:r>
            </w:p>
          </w:sdtContent>
        </w:sdt>
        <w:sdt>
          <w:sdtPr>
            <w:alias w:val="1 pr. 14 p."/>
            <w:tag w:val="part_75ac532d18844058a71fce5bdf0a3a27"/>
            <w:lock w:val="sdtLocked"/>
            <w:richText/>
          </w:sdtPr>
          <w:sdtContent>
            <w:p>
              <w:pPr>
                <w:ind w:firstLine="720"/>
                <w:jc w:val="both"/>
                <w:rPr>
                  <w:color w:val="000000" w:themeColor="text1"/>
                </w:rPr>
              </w:pPr>
              <w:sdt>
                <w:sdtPr>
                  <w:alias w:val="Numeris"/>
                  <w:tag w:val="nr_75ac532d18844058a71fce5bdf0a3a27"/>
                  <w:lock w:val="sdtLocked"/>
                  <w:richText/>
                </w:sdtPr>
                <w:sdtContent>
                  <w:r>
                    <w:rPr>
                      <w:color w:val="000000" w:themeColor="text1"/>
                    </w:rPr>
                    <w:t>14</w:t>
                  </w:r>
                </w:sdtContent>
              </w:sdt>
              <w:r>
                <w:rPr>
                  <w:color w:val="000000" w:themeColor="text1"/>
                </w:rPr>
                <w:t>. Duomenys apie pastato šildymo sistemą:</w:t>
              </w:r>
            </w:p>
            <w:sdt>
              <w:sdtPr>
                <w:alias w:val="1 pr. 14.1 pp."/>
                <w:tag w:val="part_5baefca35b7649b88b0247bbb41cfe92"/>
                <w:lock w:val="sdtLocked"/>
                <w:richText/>
              </w:sdtPr>
              <w:sdtContent>
                <w:p>
                  <w:pPr>
                    <w:ind w:firstLine="720"/>
                    <w:jc w:val="both"/>
                    <w:rPr>
                      <w:color w:val="000000" w:themeColor="text1"/>
                    </w:rPr>
                  </w:pPr>
                  <w:sdt>
                    <w:sdtPr>
                      <w:alias w:val="Numeris"/>
                      <w:tag w:val="nr_5baefca35b7649b88b0247bbb41cfe92"/>
                      <w:lock w:val="sdtLocked"/>
                      <w:richText/>
                    </w:sdtPr>
                    <w:sdtContent>
                      <w:r>
                        <w:rPr>
                          <w:color w:val="000000" w:themeColor="text1"/>
                        </w:rPr>
                        <w:t>14.1</w:t>
                      </w:r>
                    </w:sdtContent>
                  </w:sdt>
                  <w:r>
                    <w:rPr>
                      <w:color w:val="000000" w:themeColor="text1"/>
                    </w:rPr>
                    <w:t>. duomenys apie šildymo sistemos reguliavimo įtaisus, nurodant vieną iš Reglamento 2 priede 2.44 lentelėje išvardintų reguliavimo įtaisų apibūdinimų;</w:t>
                  </w:r>
                </w:p>
              </w:sdtContent>
            </w:sdt>
            <w:sdt>
              <w:sdtPr>
                <w:alias w:val="1 pr. 14.2 pp."/>
                <w:tag w:val="part_434ccc1930fd49a8ac965aec9c84d4c9"/>
                <w:lock w:val="sdtLocked"/>
                <w:richText/>
              </w:sdtPr>
              <w:sdtContent>
                <w:p>
                  <w:pPr>
                    <w:ind w:firstLine="709"/>
                    <w:jc w:val="both"/>
                    <w:rPr>
                      <w:color w:val="000000" w:themeColor="text1"/>
                    </w:rPr>
                  </w:pPr>
                  <w:sdt>
                    <w:sdtPr>
                      <w:alias w:val="Numeris"/>
                      <w:tag w:val="nr_434ccc1930fd49a8ac965aec9c84d4c9"/>
                      <w:lock w:val="sdtLocked"/>
                      <w:richText/>
                    </w:sdtPr>
                    <w:sdtContent>
                      <w:r>
                        <w:rPr>
                          <w:lang w:eastAsia="lt-LT"/>
                        </w:rPr>
                        <w:t>14.2</w:t>
                      </w:r>
                    </w:sdtContent>
                  </w:sdt>
                  <w:r>
                    <w:rPr>
                      <w:lang w:eastAsia="lt-LT"/>
                    </w:rPr>
                    <w:t xml:space="preserve">. </w:t>
                  </w:r>
                  <w:r>
                    <w:rPr>
                      <w:szCs w:val="24"/>
                    </w:rPr>
                    <w:t>duomenys apie šilumos šaltinių skaičiuojamuosius naudingumo koeficientus 0,01 vnt. tikslumu. Jeigu yra šio naudingumo koeficiento vertę patvirtinantys dokumentai, turi būti nurodytas šilumos šaltinio gamintojo pavadinimas, tipas (markė) ir skaičiavimuose naudojami šiuose dokumentuose nurodyti duomenys. Jeigu tokių dokumentų nėra arba nežinomas šilumos šaltinio gamintojas ar gaminio tipas (markė), tai turi būti nurodyta pastato būklės duomenų lape ir skaičiavimų įvesties duomenyse, o skaičiavimuose turi būti naudojami Reglamento 2 priedo 2.45 lentelėje pateikti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1 pr. 14.3 pp."/>
                <w:tag w:val="part_1eba73668a4843ec8df5f93da8627c66"/>
                <w:lock w:val="sdtLocked"/>
                <w:richText/>
              </w:sdtPr>
              <w:sdtContent>
                <w:p>
                  <w:pPr>
                    <w:ind w:firstLine="720"/>
                    <w:jc w:val="both"/>
                    <w:rPr>
                      <w:color w:val="000000" w:themeColor="text1"/>
                    </w:rPr>
                  </w:pPr>
                  <w:sdt>
                    <w:sdtPr>
                      <w:alias w:val="Numeris"/>
                      <w:tag w:val="nr_1eba73668a4843ec8df5f93da8627c66"/>
                      <w:lock w:val="sdtLocked"/>
                      <w:richText/>
                    </w:sdtPr>
                    <w:sdtContent>
                      <w:r>
                        <w:rPr>
                          <w:color w:val="000000" w:themeColor="text1"/>
                        </w:rPr>
                        <w:t>14.3</w:t>
                      </w:r>
                    </w:sdtContent>
                  </w:sdt>
                  <w:r>
                    <w:rPr>
                      <w:color w:val="000000" w:themeColor="text1"/>
                    </w:rPr>
                    <w:t>. jeigu pastatui šildyti naudojami du šilumos šaltiniai, šilumos šaltinių apibūdinimas pagal Reglamento 2 priedo 2.47 lentelės duomenis;</w:t>
                  </w:r>
                </w:p>
              </w:sdtContent>
            </w:sdt>
            <w:sdt>
              <w:sdtPr>
                <w:alias w:val="1 pr. 14.4 pp."/>
                <w:tag w:val="part_447b883b4aaf491c8031b0af9239085d"/>
                <w:lock w:val="sdtLocked"/>
                <w:richText/>
              </w:sdtPr>
              <w:sdtContent>
                <w:p>
                  <w:pPr>
                    <w:ind w:firstLine="720"/>
                    <w:jc w:val="both"/>
                    <w:rPr>
                      <w:color w:val="000000" w:themeColor="text1"/>
                    </w:rPr>
                  </w:pPr>
                  <w:sdt>
                    <w:sdtPr>
                      <w:alias w:val="Numeris"/>
                      <w:tag w:val="nr_447b883b4aaf491c8031b0af9239085d"/>
                      <w:lock w:val="sdtLocked"/>
                      <w:richText/>
                    </w:sdtPr>
                    <w:sdtContent>
                      <w:r>
                        <w:rPr>
                          <w:color w:val="000000" w:themeColor="text1"/>
                        </w:rPr>
                        <w:t>14.4</w:t>
                      </w:r>
                    </w:sdtContent>
                  </w:sdt>
                  <w:r>
                    <w:rPr>
                      <w:color w:val="000000" w:themeColor="text1"/>
                    </w:rPr>
                    <w:t>. jeigu pastatui šildyti naudojami daugiau kaip du tą patį energijos šaltinį naudojantys šilumos šaltiniai, šilumos šaltinių apibūdinimas pagal Reglamento 2 priedo 2.45 lentelėje nurodytus duomenis ir vidutinis geometrinis pagal šaltinių galią skaičiuojamasis naudingumo koeficientas 0,01 vnt. tikslumu, kuris apskaičiuojamas taip:</w:t>
                  </w:r>
                </w:p>
                <w:tbl>
                  <w:tblPr>
                    <w:tblW w:w="0" w:type="auto"/>
                    <w:tblLook w:val="01E0" w:firstRow="1" w:lastRow="1" w:firstColumn="1" w:lastColumn="1" w:noHBand="0" w:noVBand="0"/>
                  </w:tblPr>
                  <w:tblGrid>
                    <w:gridCol w:w="8362"/>
                    <w:gridCol w:w="993"/>
                  </w:tblGrid>
                  <w:tr>
                    <w:tc>
                      <w:tcPr>
                        <w:tcW w:w="8362" w:type="dxa"/>
                        <w:vAlign w:val="center"/>
                        <w:hideMark/>
                      </w:tcPr>
                      <w:p>
                        <w:pPr>
                          <w:jc w:val="both"/>
                          <w:rPr>
                            <w:color w:val="000000" w:themeColor="text1"/>
                            <w:sz w:val="10"/>
                            <w:szCs w:val="10"/>
                          </w:rPr>
                        </w:pPr>
                      </w:p>
                      <w:p>
                        <w:pPr>
                          <w:spacing w:line="360" w:lineRule="auto"/>
                          <w:ind w:left="850" w:firstLine="1"/>
                          <w:jc w:val="both"/>
                          <w:rPr>
                            <w:rFonts w:eastAsia="Calibri"/>
                            <w:color w:val="000000" w:themeColor="text1"/>
                            <w:szCs w:val="22"/>
                          </w:rPr>
                        </w:pPr>
                        <w:r>
                          <w:rPr>
                            <w:rFonts w:eastAsia="Calibri"/>
                            <w:i/>
                            <w:color w:val="000000" w:themeColor="text1"/>
                            <w:position w:val="-34"/>
                            <w:szCs w:val="22"/>
                          </w:rPr>
                          <w:object w:dxaOrig="150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38.85pt" o:ole="">
                              <v:imagedata r:id="rId31" o:title=""/>
                            </v:shape>
                            <o:OLEObject Type="Embed" ProgID="Equation.3" ShapeID="_x0000_i1025" DrawAspect="Content" ObjectID="_0000000001" r:id="rId32"/>
                          </w:object>
                        </w:r>
                        <w:r>
                          <w:rPr>
                            <w:bCs/>
                            <w:color w:val="000000" w:themeColor="text1"/>
                          </w:rPr>
                          <w:t>;</w:t>
                        </w:r>
                      </w:p>
                    </w:tc>
                    <w:tc>
                      <w:tcPr>
                        <w:tcW w:w="993" w:type="dxa"/>
                        <w:vAlign w:val="center"/>
                        <w:hideMark/>
                      </w:tcPr>
                      <w:p>
                        <w:pPr>
                          <w:jc w:val="both"/>
                          <w:rPr>
                            <w:color w:val="000000" w:themeColor="text1"/>
                            <w:sz w:val="10"/>
                            <w:szCs w:val="10"/>
                          </w:rPr>
                        </w:pPr>
                      </w:p>
                      <w:p>
                        <w:pPr>
                          <w:spacing w:line="360" w:lineRule="auto"/>
                          <w:ind w:left="850" w:hanging="850"/>
                          <w:jc w:val="both"/>
                          <w:rPr>
                            <w:rFonts w:eastAsia="Calibri"/>
                            <w:color w:val="000000" w:themeColor="text1"/>
                            <w:szCs w:val="22"/>
                          </w:rPr>
                        </w:pPr>
                        <w:r>
                          <w:rPr>
                            <w:color w:val="000000" w:themeColor="text1"/>
                          </w:rPr>
                          <w:t>(1.1)</w:t>
                        </w:r>
                      </w:p>
                    </w:tc>
                  </w:tr>
                </w:tbl>
                <w:p>
                  <w:pPr>
                    <w:tabs>
                      <w:tab w:val="left" w:pos="720"/>
                    </w:tabs>
                    <w:jc w:val="both"/>
                    <w:rPr>
                      <w:rFonts w:eastAsia="Calibri"/>
                      <w:color w:val="000000" w:themeColor="text1"/>
                      <w:szCs w:val="22"/>
                    </w:rPr>
                  </w:pPr>
                  <w:r>
                    <w:rPr>
                      <w:color w:val="000000" w:themeColor="text1"/>
                    </w:rPr>
                    <w:t>čia:</w:t>
                    <w:tab/>
                  </w:r>
                  <w:r>
                    <w:rPr>
                      <w:i/>
                      <w:color w:val="000000" w:themeColor="text1"/>
                    </w:rPr>
                    <w:t>P</w:t>
                  </w:r>
                  <w:r>
                    <w:rPr>
                      <w:i/>
                      <w:color w:val="000000" w:themeColor="text1"/>
                      <w:vertAlign w:val="subscript"/>
                    </w:rPr>
                    <w:t>x</w:t>
                  </w:r>
                  <w:r>
                    <w:rPr>
                      <w:color w:val="000000" w:themeColor="text1"/>
                    </w:rPr>
                    <w:t xml:space="preserve"> – atitinkamo „x“ pastatui šildyti naudojamo šilumos šaltinio galia (W);</w:t>
                  </w:r>
                </w:p>
                <w:p>
                  <w:pPr>
                    <w:ind w:left="720"/>
                    <w:jc w:val="both"/>
                  </w:pPr>
                  <w:r>
                    <w:rPr>
                      <w:i/>
                      <w:color w:val="000000" w:themeColor="text1"/>
                    </w:rPr>
                    <w:t>η</w:t>
                  </w:r>
                  <w:r>
                    <w:rPr>
                      <w:i/>
                      <w:color w:val="000000" w:themeColor="text1"/>
                      <w:vertAlign w:val="subscript"/>
                    </w:rPr>
                    <w:t>2,</w:t>
                  </w:r>
                  <w:r>
                    <w:rPr>
                      <w:color w:val="000000" w:themeColor="text1"/>
                    </w:rPr>
                    <w:t xml:space="preserve"> – atitinkamo „x“ pastatui šildyti naudojamo šilumos šaltinio naudingumo koeficientas (vnt.);</w:t>
                  </w:r>
                </w:p>
              </w:sdtContent>
            </w:sdt>
            <w:sdt>
              <w:sdtPr>
                <w:alias w:val="14.5 pp."/>
                <w:tag w:val="part_8602e09530594c3aac5036e2379ab043"/>
                <w:lock w:val="sdtLocked"/>
                <w:richText/>
              </w:sdtPr>
              <w:sdtContent>
                <w:p>
                  <w:pPr>
                    <w:ind w:firstLine="709"/>
                    <w:jc w:val="both"/>
                    <w:rPr>
                      <w:color w:val="000000" w:themeColor="text1"/>
                    </w:rPr>
                  </w:pPr>
                  <w:sdt>
                    <w:sdtPr>
                      <w:alias w:val="Numeris"/>
                      <w:tag w:val="nr_8602e09530594c3aac5036e2379ab043"/>
                      <w:lock w:val="sdtLocked"/>
                      <w:richText/>
                    </w:sdtPr>
                    <w:sdtContent>
                      <w:r>
                        <w:rPr>
                          <w:szCs w:val="24"/>
                        </w:rPr>
                        <w:t>14.5</w:t>
                      </w:r>
                    </w:sdtContent>
                  </w:sdt>
                  <w:r>
                    <w:rPr>
                      <w:szCs w:val="24"/>
                    </w:rPr>
                    <w:t>. duomenys apie šilumos šaltinių galią ir minimalią leistiną išorės oro temperatūrą, kuriai esant gali veikti šilumos šaltinis. Jeigu tokių dokumentų nėra, tai turi būti nurodyta pastato būklės duomenyse.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Content>
        </w:sdt>
        <w:sdt>
          <w:sdtPr>
            <w:alias w:val="1 pr. 15 p."/>
            <w:tag w:val="part_f03bbd39738048da8e68e13280e791df"/>
            <w:lock w:val="sdtLocked"/>
            <w:richText/>
          </w:sdtPr>
          <w:sdtContent>
            <w:p>
              <w:pPr>
                <w:ind w:firstLine="720"/>
                <w:jc w:val="both"/>
                <w:rPr>
                  <w:color w:val="000000" w:themeColor="text1"/>
                </w:rPr>
              </w:pPr>
              <w:sdt>
                <w:sdtPr>
                  <w:alias w:val="Numeris"/>
                  <w:tag w:val="nr_f03bbd39738048da8e68e13280e791df"/>
                  <w:lock w:val="sdtLocked"/>
                  <w:richText/>
                </w:sdtPr>
                <w:sdtContent>
                  <w:r>
                    <w:rPr>
                      <w:color w:val="000000" w:themeColor="text1"/>
                    </w:rPr>
                    <w:t>15</w:t>
                  </w:r>
                </w:sdtContent>
              </w:sdt>
              <w:r>
                <w:rPr>
                  <w:color w:val="000000" w:themeColor="text1"/>
                </w:rPr>
                <w:t>. Duomenys apie pastato vėsinimo sistemą:</w:t>
              </w:r>
            </w:p>
            <w:sdt>
              <w:sdtPr>
                <w:alias w:val="1 pr. 15.1 pp."/>
                <w:tag w:val="part_6a7bd34340f1499494ccbbcc639dde8d"/>
                <w:lock w:val="sdtLocked"/>
                <w:richText/>
              </w:sdtPr>
              <w:sdtContent>
                <w:p>
                  <w:pPr>
                    <w:ind w:firstLine="720"/>
                    <w:jc w:val="both"/>
                    <w:rPr>
                      <w:color w:val="000000" w:themeColor="text1"/>
                    </w:rPr>
                  </w:pPr>
                  <w:sdt>
                    <w:sdtPr>
                      <w:alias w:val="Numeris"/>
                      <w:tag w:val="nr_6a7bd34340f1499494ccbbcc639dde8d"/>
                      <w:lock w:val="sdtLocked"/>
                      <w:richText/>
                    </w:sdtPr>
                    <w:sdtContent>
                      <w:r>
                        <w:rPr>
                          <w:color w:val="000000" w:themeColor="text1"/>
                        </w:rPr>
                        <w:t>15.1</w:t>
                      </w:r>
                    </w:sdtContent>
                  </w:sdt>
                  <w:r>
                    <w:rPr>
                      <w:color w:val="000000" w:themeColor="text1"/>
                    </w:rPr>
                    <w:t>. duomenys apie orą šaldančio įrenginio buvimą/nebuvimą pastate;</w:t>
                  </w:r>
                </w:p>
              </w:sdtContent>
            </w:sdt>
            <w:sdt>
              <w:sdtPr>
                <w:alias w:val="1 pr. 15.2 pp."/>
                <w:tag w:val="part_12b4699c87b94a31bc745044c21e4fd8"/>
                <w:lock w:val="sdtLocked"/>
                <w:richText/>
              </w:sdtPr>
              <w:sdtContent>
                <w:p>
                  <w:pPr>
                    <w:ind w:firstLine="720"/>
                    <w:jc w:val="both"/>
                    <w:rPr>
                      <w:color w:val="000000" w:themeColor="text1"/>
                    </w:rPr>
                  </w:pPr>
                  <w:sdt>
                    <w:sdtPr>
                      <w:alias w:val="Numeris"/>
                      <w:tag w:val="nr_12b4699c87b94a31bc745044c21e4fd8"/>
                      <w:lock w:val="sdtLocked"/>
                      <w:richText/>
                    </w:sdtPr>
                    <w:sdtContent>
                      <w:r>
                        <w:rPr>
                          <w:color w:val="000000" w:themeColor="text1"/>
                        </w:rPr>
                        <w:t>15.2</w:t>
                      </w:r>
                    </w:sdtContent>
                  </w:sdt>
                  <w:r>
                    <w:rPr>
                      <w:color w:val="000000" w:themeColor="text1"/>
                    </w:rPr>
                    <w:t>. pastato vėsinimui naudojamo orą šaldančio įrenginio apibūdinimas pagal Reglamento 2 priedo 2.43 lentelėje nurodytus duomenis;</w:t>
                  </w:r>
                </w:p>
              </w:sdtContent>
            </w:sdt>
            <w:sdt>
              <w:sdtPr>
                <w:alias w:val="1 pr. 15.3 pp."/>
                <w:tag w:val="part_8e292a3c71ae48069a90be264475b9d3"/>
                <w:lock w:val="sdtLocked"/>
                <w:richText/>
              </w:sdtPr>
              <w:sdtContent>
                <w:p>
                  <w:pPr>
                    <w:ind w:firstLine="709"/>
                    <w:jc w:val="both"/>
                    <w:rPr>
                      <w:color w:val="000000" w:themeColor="text1"/>
                    </w:rPr>
                  </w:pPr>
                  <w:sdt>
                    <w:sdtPr>
                      <w:alias w:val="Numeris"/>
                      <w:tag w:val="nr_8e292a3c71ae48069a90be264475b9d3"/>
                      <w:lock w:val="sdtLocked"/>
                      <w:richText/>
                    </w:sdtPr>
                    <w:sdtContent>
                      <w:r>
                        <w:rPr>
                          <w:lang w:eastAsia="lt-LT"/>
                        </w:rPr>
                        <w:t>15.3</w:t>
                      </w:r>
                    </w:sdtContent>
                  </w:sdt>
                  <w:r>
                    <w:rPr>
                      <w:lang w:eastAsia="lt-LT"/>
                    </w:rPr>
                    <w:t xml:space="preserve">. </w:t>
                  </w:r>
                  <w:r>
                    <w:rPr>
                      <w:szCs w:val="24"/>
                    </w:rPr>
                    <w:t xml:space="preserve">pastato plotas 0,01 m² tikslumu ir šiame plote vėsinti naudojamo orą šaldančio įrenginio energinio efektyvumo koeficientas </w:t>
                  </w:r>
                  <w:r>
                    <w:rPr>
                      <w:i/>
                      <w:szCs w:val="24"/>
                    </w:rPr>
                    <w:t>η</w:t>
                  </w:r>
                  <w:r>
                    <w:rPr>
                      <w:i/>
                      <w:szCs w:val="24"/>
                      <w:vertAlign w:val="subscript"/>
                    </w:rPr>
                    <w:t>EER</w:t>
                  </w:r>
                  <w:r>
                    <w:rPr>
                      <w:szCs w:val="24"/>
                    </w:rPr>
                    <w:t xml:space="preserve"> [3.35] 0,01 vnt. tikslumu. Jeigu yra šio energinio efektyvumo koeficiento vertę patvirtinantys dokumentai, turi būti nurodytas orą šaldančio įrenginio gamintojo pavadinimas, tipas (markė) ir skaičiavimuose naudojami šiuose dokumentuose nurodyti duomenys. Jeigu tokių dokumentų nėra arba nežinomas orą šaldančio įrenginio gamintojas ar gaminio tipas (markė), tai turi būti nurodyta pastato būklės duomenų lape ir skaičiavimų įvesties duomenyse, o skaičiavimuose turi būti naudojami Reglamento 2 priedo 2.43 lentelėje nurodyti duomenys</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1 pr. 16 p."/>
            <w:tag w:val="part_094da8ad7ac34172bcb3cc67591f7ab5"/>
            <w:lock w:val="sdtLocked"/>
            <w:richText/>
          </w:sdtPr>
          <w:sdtContent>
            <w:p>
              <w:pPr>
                <w:ind w:firstLine="720"/>
                <w:jc w:val="both"/>
                <w:rPr>
                  <w:color w:val="000000" w:themeColor="text1"/>
                </w:rPr>
              </w:pPr>
              <w:sdt>
                <w:sdtPr>
                  <w:alias w:val="Numeris"/>
                  <w:tag w:val="nr_094da8ad7ac34172bcb3cc67591f7ab5"/>
                  <w:lock w:val="sdtLocked"/>
                  <w:richText/>
                </w:sdtPr>
                <w:sdtContent>
                  <w:r>
                    <w:rPr>
                      <w:color w:val="000000" w:themeColor="text1"/>
                    </w:rPr>
                    <w:t>16</w:t>
                  </w:r>
                </w:sdtContent>
              </w:sdt>
              <w:r>
                <w:rPr>
                  <w:color w:val="000000" w:themeColor="text1"/>
                </w:rPr>
                <w:t>. Duomenys apie pastato sandarumą:</w:t>
              </w:r>
            </w:p>
            <w:sdt>
              <w:sdtPr>
                <w:alias w:val="1 pr. 16.1 pp."/>
                <w:tag w:val="part_f6aa583bf242404ab951632bde5669ec"/>
                <w:lock w:val="sdtLocked"/>
                <w:richText/>
              </w:sdtPr>
              <w:sdtContent>
                <w:p>
                  <w:pPr>
                    <w:ind w:firstLine="720"/>
                    <w:jc w:val="both"/>
                    <w:rPr>
                      <w:color w:val="000000" w:themeColor="text1"/>
                    </w:rPr>
                  </w:pPr>
                  <w:sdt>
                    <w:sdtPr>
                      <w:alias w:val="Numeris"/>
                      <w:tag w:val="nr_f6aa583bf242404ab951632bde5669ec"/>
                      <w:lock w:val="sdtLocked"/>
                      <w:richText/>
                    </w:sdtPr>
                    <w:sdtContent>
                      <w:r>
                        <w:rPr>
                          <w:color w:val="000000" w:themeColor="text1"/>
                        </w:rPr>
                        <w:t>16.1</w:t>
                      </w:r>
                    </w:sdtContent>
                  </w:sdt>
                  <w:r>
                    <w:rPr>
                      <w:color w:val="000000" w:themeColor="text1"/>
                    </w:rPr>
                    <w:t>. duomenys apie pastato sandarumo matavimų atlikimą/neatlikimą pagal LST EN ISO 9972:2015 [3.19] reikalavimus;</w:t>
                  </w:r>
                </w:p>
              </w:sdtContent>
            </w:sdt>
            <w:sdt>
              <w:sdtPr>
                <w:alias w:val="1 pr. 16.2 pp."/>
                <w:tag w:val="part_b15cbedc8be3498fb9cccd2445e01cfc"/>
                <w:lock w:val="sdtLocked"/>
                <w:richText/>
              </w:sdtPr>
              <w:sdtContent>
                <w:p>
                  <w:pPr>
                    <w:ind w:firstLine="720"/>
                    <w:jc w:val="both"/>
                  </w:pPr>
                  <w:sdt>
                    <w:sdtPr>
                      <w:alias w:val="Numeris"/>
                      <w:tag w:val="nr_b15cbedc8be3498fb9cccd2445e01cfc"/>
                      <w:lock w:val="sdtLocked"/>
                      <w:richText/>
                    </w:sdtPr>
                    <w:sdtContent>
                      <w:r>
                        <w:rPr>
                          <w:color w:val="000000" w:themeColor="text1"/>
                        </w:rPr>
                        <w:t>16.2</w:t>
                      </w:r>
                    </w:sdtContent>
                  </w:sdt>
                  <w:r>
                    <w:rPr>
                      <w:color w:val="000000" w:themeColor="text1"/>
                    </w:rPr>
                    <w:t xml:space="preserve">. pastato sandarumo matavimų pagal [3.19] atveju turi būti nurodoma bandymų protokole įrašyta pastato sandarumo vertė esant 50 Pa slėgių skirtumui 0,01 karto per valandą tikslumu, laipsnio rodiklio vertė pastato sandarumui perskaičiuoti prie kitų slėgių skirtumų pagal [3.19] nurodytą skaičiavimo metodą, bandymus atlikusios akredituotos laboratorijos pavadinimas, bandymų protokolo numeris ir bandymų protokolo išdavimo data. </w:t>
                  </w:r>
                </w:p>
              </w:sdtContent>
            </w:sdt>
          </w:sdtContent>
        </w:sdt>
        <w:sdt>
          <w:sdtPr>
            <w:alias w:val="17 p."/>
            <w:tag w:val="part_bc7071f15f044816b2f6f172fca4c753"/>
            <w:lock w:val="sdtLocked"/>
            <w:richText/>
          </w:sdtPr>
          <w:sdtContent>
            <w:p>
              <w:pPr>
                <w:suppressAutoHyphens/>
                <w:ind w:firstLine="709"/>
                <w:jc w:val="both"/>
                <w:rPr>
                  <w:color w:val="000000" w:themeColor="text1"/>
                </w:rPr>
              </w:pPr>
              <w:sdt>
                <w:sdtPr>
                  <w:alias w:val="Numeris"/>
                  <w:tag w:val="nr_bc7071f15f044816b2f6f172fca4c753"/>
                  <w:lock w:val="sdtLocked"/>
                  <w:richText/>
                </w:sdtPr>
                <w:sdtContent>
                  <w:r>
                    <w:rPr>
                      <w:lang w:eastAsia="lt-LT"/>
                    </w:rPr>
                    <w:t>17</w:t>
                  </w:r>
                </w:sdtContent>
              </w:sdt>
              <w:r>
                <w:rPr>
                  <w:lang w:eastAsia="lt-LT"/>
                </w:rPr>
                <w:t>. Jei pastate vartojama elektros energija iš nutolusių Saulės, vėjo ar hidroelektrinių, turi būti nurodytas elektros energijos tiekėjas, elektros energijos tiekimo sutarties data, numeris ir per metus pastatui pagal minėtą sutartį tiekiamas elektros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pabaiga"/>
            <w:tag w:val="part_eec6053662354883a5c03cba959c229d"/>
            <w:lock w:val="sdtLocked"/>
            <w:richText/>
          </w:sdtPr>
          <w:sdtContent>
            <w:p>
              <w:pPr>
                <w:jc w:val="center"/>
              </w:pPr>
              <w:r>
                <w:t>___________________________</w:t>
              </w:r>
            </w:p>
          </w:sdtContent>
        </w:sdt>
      </w:sdtContent>
    </w:sdt>
    <w:sdt>
      <w:sdtPr>
        <w:alias w:val="2 pr."/>
        <w:tag w:val="part_42e6f84024404a3e9e4b75e911f67e93"/>
        <w:lock w:val="sdtLocked"/>
        <w:richText/>
      </w:sdtPr>
      <w:sdtContent>
        <w:p>
          <w:pPr>
            <w:ind w:firstLine="4253"/>
            <w:sectPr>
              <w:pgSz w:w="11907" w:h="16840"/>
              <w:pgMar w:top="1134" w:right="708" w:bottom="1134" w:left="1701" w:header="567" w:footer="567" w:gutter="0"/>
              <w:pgNumType w:start="1"/>
              <w:cols w:space="1296"/>
              <w:titlePg/>
              <w:docGrid w:linePitch="326"/>
            </w:sectPr>
          </w:pPr>
        </w:p>
        <w:p>
          <w:pPr>
            <w:ind w:firstLine="4253"/>
            <w:rPr>
              <w:color w:val="000000"/>
            </w:rPr>
          </w:pPr>
          <w:r>
            <w:rPr>
              <w:color w:val="000000"/>
            </w:rPr>
            <w:t xml:space="preserve">Statybos techninio reglamento </w:t>
          </w:r>
        </w:p>
        <w:p>
          <w:pPr>
            <w:ind w:left="4253"/>
            <w:rPr>
              <w:color w:val="000000"/>
            </w:rPr>
          </w:pPr>
          <w:r>
            <w:rPr>
              <w:color w:val="000000"/>
            </w:rPr>
            <w:t xml:space="preserve">STR 2.01.02:2016 „Pastatų energinio naudingumo </w:t>
          </w:r>
        </w:p>
        <w:p>
          <w:pPr>
            <w:ind w:left="4253"/>
            <w:rPr>
              <w:color w:val="000000"/>
            </w:rPr>
          </w:pPr>
          <w:r>
            <w:rPr>
              <w:color w:val="000000"/>
            </w:rPr>
            <w:t>projektavimas ir sertifikavimas“</w:t>
          </w:r>
        </w:p>
        <w:p>
          <w:pPr>
            <w:ind w:firstLine="4253"/>
            <w:rPr>
              <w:color w:val="000000"/>
              <w:sz w:val="20"/>
            </w:rPr>
          </w:pPr>
          <w:sdt>
            <w:sdtPr>
              <w:alias w:val="Numeris"/>
              <w:tag w:val="nr_42e6f84024404a3e9e4b75e911f67e93"/>
              <w:lock w:val="sdtLocked"/>
              <w:richText/>
            </w:sdtPr>
            <w:sdtContent>
              <w:r>
                <w:rPr>
                  <w:color w:val="000000"/>
                </w:rPr>
                <w:t>2</w:t>
              </w:r>
            </w:sdtContent>
          </w:sdt>
          <w:r>
            <w:rPr>
              <w:color w:val="000000"/>
            </w:rPr>
            <w:t xml:space="preserve"> priedas</w:t>
          </w:r>
        </w:p>
        <w:p>
          <w:pPr>
            <w:ind w:firstLine="561"/>
            <w:rPr>
              <w:b/>
              <w:color w:val="000000"/>
              <w:szCs w:val="28"/>
            </w:rPr>
          </w:pPr>
        </w:p>
        <w:p>
          <w:pPr>
            <w:keepNext/>
            <w:overflowPunct w:val="0"/>
            <w:jc w:val="center"/>
            <w:outlineLvl w:val="1"/>
            <w:rPr>
              <w:rFonts w:ascii="Times New Roman Bold" w:hAnsi="Times New Roman Bold"/>
              <w:b/>
              <w:caps/>
              <w:color w:val="000000"/>
              <w:lang w:eastAsia="lt-LT"/>
            </w:rPr>
          </w:pPr>
          <w:sdt>
            <w:sdtPr>
              <w:alias w:val="Pavadinimas"/>
              <w:tag w:val="title_42e6f84024404a3e9e4b75e911f67e93"/>
              <w:lock w:val="sdtLocked"/>
              <w:richText/>
            </w:sdtPr>
            <w:sdtContent>
              <w:r>
                <w:rPr>
                  <w:rFonts w:ascii="Times New Roman Bold" w:hAnsi="Times New Roman Bold"/>
                  <w:b/>
                  <w:caps/>
                  <w:color w:val="000000"/>
                  <w:lang w:eastAsia="lt-LT"/>
                </w:rPr>
                <w:t>Pastato energinio naudingumo įvertinimo metodika</w:t>
              </w:r>
            </w:sdtContent>
          </w:sdt>
        </w:p>
        <w:p>
          <w:pPr>
            <w:rPr>
              <w:color w:val="000000"/>
              <w:sz w:val="18"/>
              <w:szCs w:val="18"/>
            </w:rPr>
          </w:pPr>
        </w:p>
        <w:sdt>
          <w:sdtPr>
            <w:alias w:val="skyrius"/>
            <w:tag w:val="part_b9c6ccbdc96a40d897f9d5aa1bc9c3b6"/>
            <w:lock w:val="sdtLocked"/>
            <w:richText/>
          </w:sdtPr>
          <w:sdtContent>
            <w:p>
              <w:pPr>
                <w:keepNext/>
                <w:keepLines/>
                <w:jc w:val="center"/>
                <w:outlineLvl w:val="2"/>
                <w:rPr>
                  <w:sz w:val="18"/>
                  <w:szCs w:val="18"/>
                </w:rPr>
              </w:pPr>
              <w:sdt>
                <w:sdtPr>
                  <w:alias w:val="Numeris"/>
                  <w:tag w:val="nr_b9c6ccbdc96a40d897f9d5aa1bc9c3b6"/>
                  <w:lock w:val="sdtLocked"/>
                  <w:richText/>
                </w:sdtPr>
                <w:sdtContent>
                  <w:r>
                    <w:rPr>
                      <w:b/>
                      <w:bCs/>
                    </w:rPr>
                    <w:t>I</w:t>
                  </w:r>
                </w:sdtContent>
              </w:sdt>
              <w:r>
                <w:rPr>
                  <w:b/>
                  <w:bCs/>
                </w:rPr>
                <w:t xml:space="preserve"> skyrius</w:t>
              </w:r>
            </w:p>
            <w:p>
              <w:pPr>
                <w:keepNext/>
                <w:keepLines/>
                <w:jc w:val="center"/>
                <w:outlineLvl w:val="2"/>
              </w:pPr>
              <w:sdt>
                <w:sdtPr>
                  <w:alias w:val="Pavadinimas"/>
                  <w:tag w:val="title_b9c6ccbdc96a40d897f9d5aa1bc9c3b6"/>
                  <w:lock w:val="sdtLocked"/>
                  <w:richText/>
                </w:sdtPr>
                <w:sdtContent>
                  <w:r>
                    <w:rPr>
                      <w:b/>
                      <w:bCs/>
                    </w:rPr>
                    <w:t>Bendrosios nuostatos</w:t>
                  </w:r>
                </w:sdtContent>
              </w:sdt>
            </w:p>
            <w:p>
              <w:pPr>
                <w:keepNext/>
                <w:keepLines/>
                <w:jc w:val="center"/>
                <w:outlineLvl w:val="2"/>
                <w:rPr>
                  <w:b/>
                  <w:bCs/>
                </w:rPr>
              </w:pPr>
            </w:p>
            <w:sdt>
              <w:sdtPr>
                <w:alias w:val="2 pr. 1 p."/>
                <w:tag w:val="part_9409ec80dd3649cd936abd393e675233"/>
                <w:lock w:val="sdtLocked"/>
                <w:richText/>
              </w:sdtPr>
              <w:sdtContent>
                <w:p>
                  <w:pPr>
                    <w:ind w:firstLine="570"/>
                    <w:jc w:val="both"/>
                    <w:rPr>
                      <w:szCs w:val="24"/>
                    </w:rPr>
                  </w:pPr>
                  <w:sdt>
                    <w:sdtPr>
                      <w:alias w:val="Numeris"/>
                      <w:tag w:val="nr_9409ec80dd3649cd936abd393e675233"/>
                      <w:lock w:val="sdtLocked"/>
                      <w:richText/>
                    </w:sdtPr>
                    <w:sdtContent>
                      <w:r>
                        <w:rPr>
                          <w:szCs w:val="24"/>
                        </w:rPr>
                        <w:t>1</w:t>
                      </w:r>
                    </w:sdtContent>
                  </w:sdt>
                  <w:r>
                    <w:rPr>
                      <w:szCs w:val="24"/>
                    </w:rPr>
                    <w:t>. Metodika skirta energijos suvartojimui pastate apskaičiuoti ir pastato energiniam naudingumui įvertinti. Pastato energijos sąnaudų skaičiavimams reikalingi išeities duomenys nustatomi</w:t>
                  </w:r>
                  <w:r>
                    <w:rPr>
                      <w:bCs/>
                      <w:szCs w:val="24"/>
                    </w:rPr>
                    <w:t xml:space="preserve"> pagal Reglamento 65 punkto reikalavimus. </w:t>
                  </w:r>
                  <w:r>
                    <w:rPr>
                      <w:szCs w:val="24"/>
                    </w:rPr>
                    <w:t>Pastato energinio naudingumo klasė nustatoma pagal šių pastato rodiklių vertes: pastato atitvarų skaičiuojamųjų savitųjų šilumos nuostolių; pastato sandarumo; mechaninio vėdinimo su rekuperacija sistemos techninių rodiklių; energijos sąnaudas pastatui šildyti; pastato pertvarų ir tarpaukštinių perdenginių šilumines savybes; pastato energijos vartojimo efektyvumo rodiklio C</w:t>
                  </w:r>
                  <w:r>
                    <w:rPr>
                      <w:szCs w:val="24"/>
                      <w:vertAlign w:val="subscript"/>
                    </w:rPr>
                    <w:t xml:space="preserve">1 </w:t>
                  </w:r>
                  <w:r>
                    <w:rPr>
                      <w:szCs w:val="24"/>
                    </w:rPr>
                    <w:t>vertę, apibūdinančią pirminės neatsinaujinančios energijos vartojimo efektyvumą šildymui, vėdinimui, vėsinimui ir apšvietimui; pastato energijos vartojimo efektyvumo rodiklio C</w:t>
                  </w:r>
                  <w:r>
                    <w:rPr>
                      <w:szCs w:val="24"/>
                      <w:vertAlign w:val="subscript"/>
                    </w:rPr>
                    <w:t>2</w:t>
                  </w:r>
                  <w:r>
                    <w:rPr>
                      <w:szCs w:val="24"/>
                    </w:rPr>
                    <w:t xml:space="preserve"> vertę, apibūdinančią pirminės neatsinaujinančios energijos vartojimo efektyvumą karštam buitiniam vandeniui ruošti; pastate sunaudojamos energijos dalį iš atsinaujinančių išteklių.</w:t>
                  </w:r>
                </w:p>
                <w:p>
                  <w:pPr>
                    <w:ind w:firstLine="632"/>
                    <w:jc w:val="both"/>
                    <w:rPr>
                      <w:szCs w:val="24"/>
                    </w:rPr>
                  </w:pPr>
                </w:p>
                <w:p>
                  <w:pPr>
                    <w:rPr>
                      <w:sz w:val="18"/>
                      <w:szCs w:val="18"/>
                    </w:rPr>
                  </w:pPr>
                </w:p>
              </w:sdtContent>
            </w:sdt>
          </w:sdtContent>
        </w:sdt>
        <w:sdt>
          <w:sdtPr>
            <w:alias w:val="skyrius"/>
            <w:tag w:val="part_ef4e0c8616a748729674513c19fe14f5"/>
            <w:lock w:val="sdtLocked"/>
            <w:richText/>
          </w:sdtPr>
          <w:sdtContent>
            <w:p>
              <w:pPr>
                <w:keepNext/>
                <w:keepLines/>
                <w:jc w:val="center"/>
                <w:outlineLvl w:val="2"/>
                <w:rPr>
                  <w:b/>
                  <w:bCs/>
                </w:rPr>
              </w:pPr>
              <w:sdt>
                <w:sdtPr>
                  <w:alias w:val="Numeris"/>
                  <w:tag w:val="nr_ef4e0c8616a748729674513c19fe14f5"/>
                  <w:lock w:val="sdtLocked"/>
                  <w:richText/>
                </w:sdtPr>
                <w:sdtContent>
                  <w:r>
                    <w:rPr>
                      <w:b/>
                      <w:bCs/>
                    </w:rPr>
                    <w:t>II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ef4e0c8616a748729674513c19fe14f5"/>
                  <w:lock w:val="sdtLocked"/>
                  <w:richText/>
                </w:sdtPr>
                <w:sdtContent>
                  <w:r>
                    <w:rPr>
                      <w:b/>
                      <w:bCs/>
                    </w:rPr>
                    <w:t xml:space="preserve">Atitvaros šiluminės varžos ir šilumos perdavimo koeficiento skaičiavimas </w:t>
                  </w:r>
                </w:sdtContent>
              </w:sdt>
            </w:p>
            <w:sdt>
              <w:sdtPr>
                <w:alias w:val="2 pr. 2 p."/>
                <w:tag w:val="part_026b111bc5ac4f5680817ae2a13881c0"/>
                <w:lock w:val="sdtLocked"/>
                <w:richText/>
              </w:sdtPr>
              <w:sdtContent>
                <w:p>
                  <w:pPr>
                    <w:ind w:firstLine="567"/>
                    <w:rPr>
                      <w:color w:val="000000"/>
                    </w:rPr>
                  </w:pPr>
                  <w:sdt>
                    <w:sdtPr>
                      <w:alias w:val="Numeris"/>
                      <w:tag w:val="nr_026b111bc5ac4f5680817ae2a13881c0"/>
                      <w:lock w:val="sdtLocked"/>
                      <w:richText/>
                    </w:sdtPr>
                    <w:sdtContent>
                      <w:r>
                        <w:rPr>
                          <w:color w:val="000000"/>
                        </w:rPr>
                        <w:t>2</w:t>
                      </w:r>
                    </w:sdtContent>
                  </w:sdt>
                  <w:r>
                    <w:rPr>
                      <w:color w:val="000000"/>
                    </w:rPr>
                    <w:t xml:space="preserve">. Atitvaros suminė šiluminė varža </w:t>
                  </w:r>
                  <w:r>
                    <w:rPr>
                      <w:i/>
                      <w:color w:val="000000"/>
                    </w:rPr>
                    <w:t>R</w:t>
                  </w:r>
                  <w:r>
                    <w:rPr>
                      <w:i/>
                      <w:color w:val="000000"/>
                      <w:vertAlign w:val="subscript"/>
                    </w:rPr>
                    <w:t>s</w:t>
                  </w:r>
                  <w:r>
                    <w:rPr>
                      <w:color w:val="000000"/>
                    </w:rPr>
                    <w:t xml:space="preserve"> </w:t>
                  </w:r>
                  <w:r>
                    <w:rPr>
                      <w:bCs/>
                      <w:color w:val="000000"/>
                    </w:rPr>
                    <w:t>(</w:t>
                  </w:r>
                  <w:r>
                    <w:rPr>
                      <w:color w:val="000000"/>
                    </w:rPr>
                    <w:t>m</w:t>
                  </w:r>
                  <w:r>
                    <w:rPr>
                      <w:color w:val="000000"/>
                      <w:vertAlign w:val="superscript"/>
                    </w:rPr>
                    <w:t>2</w:t>
                  </w:r>
                  <w:r>
                    <w:rPr>
                      <w:color w:val="000000"/>
                    </w:rPr>
                    <w:t>·K/W) apskaičiuojama pagal formulę [3.7], [3.13]:</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i/>
                            <w:color w:val="000000"/>
                            <w:position w:val="-14"/>
                            <w:szCs w:val="22"/>
                          </w:rPr>
                          <w:object w:dxaOrig="3100" w:dyaOrig="380">
                            <v:shape id="_x0000_i1026" type="#_x0000_t75" style="width:155.35pt;height:17.8pt" o:ole="">
                              <v:imagedata r:id="rId273" o:title=""/>
                            </v:shape>
                            <o:OLEObject Type="Embed" ProgID="Equation.3" ShapeID="_x0000_i1026" DrawAspect="Content" ObjectID="_0000000001" r:id="rId274"/>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(2.1)</w:t>
                        </w:r>
                      </w:p>
                    </w:tc>
                  </w:tr>
                </w:tbl>
                <w:p>
                  <w:pPr>
                    <w:tabs>
                      <w:tab w:val="left" w:pos="567"/>
                    </w:tabs>
                    <w:jc w:val="both"/>
                    <w:rPr>
                      <w:rFonts w:eastAsia="Calibri"/>
                      <w:color w:val="000000"/>
                      <w:szCs w:val="22"/>
                    </w:rPr>
                  </w:pPr>
                  <w:r>
                    <w:rPr>
                      <w:color w:val="000000"/>
                    </w:rPr>
                    <w:t>čia:</w:t>
                    <w:tab/>
                  </w:r>
                  <w:r>
                    <w:rPr>
                      <w:i/>
                      <w:color w:val="000000"/>
                    </w:rPr>
                    <w:t>R</w:t>
                  </w:r>
                  <w:r>
                    <w:rPr>
                      <w:i/>
                      <w:color w:val="000000"/>
                      <w:vertAlign w:val="subscript"/>
                    </w:rPr>
                    <w:t>g</w:t>
                  </w:r>
                  <w:r>
                    <w:rPr>
                      <w:i/>
                      <w:color w:val="000000"/>
                    </w:rPr>
                    <w:t xml:space="preserve"> </w:t>
                  </w:r>
                  <w:r>
                    <w:rPr>
                      <w:color w:val="000000"/>
                    </w:rPr>
                    <w:t>– nevėdinamo oro tarpo šiluminė varža (m</w:t>
                  </w:r>
                  <w:r>
                    <w:rPr>
                      <w:color w:val="000000"/>
                      <w:vertAlign w:val="superscript"/>
                    </w:rPr>
                    <w:t>2</w:t>
                  </w:r>
                  <w:r>
                    <w:rPr>
                      <w:color w:val="000000"/>
                    </w:rPr>
                    <w:t xml:space="preserve">·K/W), imama iš 2.1 lentelės. Jei nevėdinamo oro tarpo storis nežinomas, skaičiavimuose naudojama </w:t>
                  </w:r>
                  <w:smartTag w:uri="urn:schemas-microsoft-com:office:smarttags" w:element="metricconverter">
                    <w:smartTagPr>
                      <w:attr w:name="ProductID" w:val="10 mm"/>
                    </w:smartTagPr>
                    <w:r>
                      <w:rPr>
                        <w:color w:val="000000"/>
                      </w:rPr>
                      <w:t>10 mm</w:t>
                    </w:r>
                  </w:smartTag>
                  <w:r>
                    <w:rPr>
                      <w:color w:val="000000"/>
                    </w:rPr>
                    <w:t xml:space="preserve"> oro tarpo šiluminė varža;</w:t>
                  </w:r>
                </w:p>
                <w:p>
                  <w:pPr>
                    <w:ind w:firstLine="567"/>
                    <w:rPr>
                      <w:color w:val="000000"/>
                    </w:rPr>
                  </w:pPr>
                  <w:r>
                    <w:rPr>
                      <w:i/>
                      <w:color w:val="000000"/>
                    </w:rPr>
                    <w:t>R</w:t>
                  </w:r>
                  <w:r>
                    <w:rPr>
                      <w:i/>
                      <w:color w:val="000000"/>
                      <w:vertAlign w:val="subscript"/>
                    </w:rPr>
                    <w:t>q</w:t>
                  </w:r>
                  <w:r>
                    <w:rPr>
                      <w:color w:val="000000"/>
                    </w:rPr>
                    <w:t xml:space="preserve"> – plono sluoksnio (plėvelės) šiluminė varža (m</w:t>
                  </w:r>
                  <w:r>
                    <w:rPr>
                      <w:color w:val="000000"/>
                      <w:vertAlign w:val="superscript"/>
                    </w:rPr>
                    <w:t>2</w:t>
                  </w:r>
                  <w:r>
                    <w:rPr>
                      <w:color w:val="000000"/>
                    </w:rPr>
                    <w:t>·K/W), imama iš 2.2 lentelės;</w:t>
                  </w:r>
                </w:p>
                <w:p>
                  <w:pPr>
                    <w:ind w:firstLine="567"/>
                    <w:jc w:val="both"/>
                    <w:rPr>
                      <w:color w:val="000000"/>
                    </w:rPr>
                  </w:pPr>
                  <w:r>
                    <w:rPr>
                      <w:i/>
                      <w:color w:val="000000"/>
                    </w:rPr>
                    <w:t>R</w:t>
                  </w:r>
                  <w:r>
                    <w:rPr>
                      <w:i/>
                      <w:color w:val="000000"/>
                      <w:vertAlign w:val="subscript"/>
                    </w:rPr>
                    <w:t>1</w:t>
                  </w:r>
                  <w:r>
                    <w:rPr>
                      <w:i/>
                      <w:color w:val="000000"/>
                    </w:rPr>
                    <w:t>, R</w:t>
                  </w:r>
                  <w:r>
                    <w:rPr>
                      <w:i/>
                      <w:color w:val="000000"/>
                      <w:vertAlign w:val="subscript"/>
                    </w:rPr>
                    <w:t>2</w:t>
                  </w:r>
                  <w:r>
                    <w:rPr>
                      <w:i/>
                      <w:color w:val="000000"/>
                    </w:rPr>
                    <w:t>, … R</w:t>
                  </w:r>
                  <w:r>
                    <w:rPr>
                      <w:i/>
                      <w:color w:val="000000"/>
                      <w:vertAlign w:val="subscript"/>
                    </w:rPr>
                    <w:t>n</w:t>
                  </w:r>
                  <w:r>
                    <w:rPr>
                      <w:color w:val="000000"/>
                    </w:rPr>
                    <w:t xml:space="preserve"> – atskirų atitvaros sluoksnių šiluminės varžos (m</w:t>
                  </w:r>
                  <w:r>
                    <w:rPr>
                      <w:color w:val="000000"/>
                      <w:vertAlign w:val="superscript"/>
                    </w:rPr>
                    <w:t>2</w:t>
                  </w:r>
                  <w:r>
                    <w:rPr>
                      <w:color w:val="000000"/>
                    </w:rPr>
                    <w:t>·K/W) apskaičiuojamos pagal formulę:</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i/>
                            <w:color w:val="000000"/>
                            <w:position w:val="-28"/>
                            <w:szCs w:val="22"/>
                          </w:rPr>
                          <w:object w:dxaOrig="840" w:dyaOrig="650">
                            <v:shape id="_x0000_i1027" type="#_x0000_t75" style="width:42.05pt;height:32.35pt" o:ole="">
                              <v:imagedata r:id="rId275" o:title=""/>
                            </v:shape>
                            <o:OLEObject Type="Embed" ProgID="Equation.3" ShapeID="_x0000_i1027" DrawAspect="Content" ObjectID="_0000000001" r:id="rId276"/>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(2.2)</w:t>
                        </w:r>
                      </w:p>
                    </w:tc>
                  </w:tr>
                </w:tbl>
                <w:p>
                  <w:pPr>
                    <w:tabs>
                      <w:tab w:val="left" w:pos="567"/>
                    </w:tabs>
                    <w:rPr>
                      <w:rFonts w:eastAsia="Calibri"/>
                      <w:color w:val="000000"/>
                      <w:szCs w:val="22"/>
                    </w:rPr>
                  </w:pPr>
                  <w:r>
                    <w:rPr>
                      <w:color w:val="000000"/>
                    </w:rPr>
                    <w:t>čia:</w:t>
                    <w:tab/>
                  </w:r>
                  <w:r>
                    <w:rPr>
                      <w:i/>
                      <w:color w:val="000000"/>
                    </w:rPr>
                    <w:t>d</w:t>
                  </w:r>
                  <w:r>
                    <w:rPr>
                      <w:color w:val="000000"/>
                    </w:rPr>
                    <w:t xml:space="preserve"> – sluoksnio storis (m);</w:t>
                  </w:r>
                </w:p>
                <w:p>
                  <w:pPr>
                    <w:ind w:firstLine="567"/>
                    <w:jc w:val="both"/>
                    <w:rPr>
                      <w:color w:val="000000"/>
                    </w:rPr>
                  </w:pPr>
                  <w:r>
                    <w:rPr>
                      <w:i/>
                      <w:color w:val="000000"/>
                    </w:rPr>
                    <w:t>λ</w:t>
                  </w:r>
                  <w:r>
                    <w:rPr>
                      <w:i/>
                      <w:color w:val="000000"/>
                      <w:vertAlign w:val="subscript"/>
                    </w:rPr>
                    <w:t>ds</w:t>
                  </w:r>
                  <w:r>
                    <w:rPr>
                      <w:color w:val="000000"/>
                    </w:rPr>
                    <w:t xml:space="preserve"> – sluoksnio projektinis šilumos laidumo koeficientas, W/(m·K). Statybos produkto projektinė šilumos laidumo koeficiento vertė nustatoma pagal Reglamento 3 priedo reikalavimus.</w:t>
                  </w:r>
                </w:p>
                <w:p>
                  <w:pPr>
                    <w:ind w:firstLine="567"/>
                    <w:jc w:val="both"/>
                    <w:rPr>
                      <w:color w:val="000000"/>
                    </w:rPr>
                  </w:pPr>
                  <w:r>
                    <w:rPr>
                      <w:color w:val="000000"/>
                    </w:rPr>
                    <w:t>Atitvaros termoizoliacinių sluoksnių šiluminės varžos turi būti apskaičiuojamos pagal Reglamento 3 priedo nurodymus, t. y. šiuose skaičiavimuose turi būti įvertinta:</w:t>
                  </w:r>
                </w:p>
                <w:p>
                  <w:pPr>
                    <w:ind w:firstLine="567"/>
                    <w:jc w:val="both"/>
                    <w:rPr>
                      <w:color w:val="000000"/>
                    </w:rPr>
                  </w:pPr>
                  <w:r>
                    <w:rPr>
                      <w:color w:val="000000"/>
                    </w:rPr>
                    <w:t>- papildomi šilumos nutekėjimai per termoizoliacinius sluoksnius kertančias metalines jungtis;</w:t>
                  </w:r>
                </w:p>
                <w:p>
                  <w:pPr>
                    <w:ind w:firstLine="567"/>
                    <w:jc w:val="both"/>
                    <w:rPr>
                      <w:color w:val="000000"/>
                    </w:rPr>
                  </w:pPr>
                  <w:r>
                    <w:rPr>
                      <w:color w:val="000000"/>
                    </w:rPr>
                    <w:t xml:space="preserve">- termoizoliacinio sluoksnio tvirtinimui panaudoto karkaso įtaka šio sluoksnio šiluminei varžai. </w:t>
                  </w:r>
                </w:p>
                <w:p>
                  <w:pPr>
                    <w:ind w:firstLine="567"/>
                    <w:jc w:val="right"/>
                    <w:rPr>
                      <w:color w:val="000000"/>
                    </w:rPr>
                  </w:pPr>
                </w:p>
                <w:p>
                  <w:pPr>
                    <w:ind w:firstLine="567"/>
                    <w:jc w:val="center"/>
                    <w:rPr>
                      <w:b/>
                    </w:rPr>
                  </w:pPr>
                  <w:r>
                    <w:rPr>
                      <w:b/>
                    </w:rPr>
                    <w:t xml:space="preserve">Nevėdinamojo oro tarpo šiluminė varža </w:t>
                  </w:r>
                  <w:r>
                    <w:rPr>
                      <w:b/>
                      <w:i/>
                    </w:rPr>
                    <w:t>R</w:t>
                  </w:r>
                  <w:r>
                    <w:rPr>
                      <w:b/>
                      <w:i/>
                      <w:vertAlign w:val="subscript"/>
                    </w:rPr>
                    <w:t>g</w:t>
                  </w:r>
                  <w:r>
                    <w:rPr>
                      <w:b/>
                    </w:rPr>
                    <w:t xml:space="preserve"> (m</w:t>
                  </w:r>
                  <w:r>
                    <w:rPr>
                      <w:b/>
                      <w:vertAlign w:val="superscript"/>
                    </w:rPr>
                    <w:t>2</w:t>
                  </w:r>
                  <w:r>
                    <w:rPr>
                      <w:b/>
                    </w:rPr>
                    <w:t>·K/W)</w:t>
                  </w:r>
                </w:p>
                <w:p>
                  <w:pPr>
                    <w:ind w:firstLine="567"/>
                    <w:jc w:val="right"/>
                  </w:pPr>
                  <w:r>
                    <w:t>2.1 lentelė</w:t>
                  </w:r>
                </w:p>
                <w:tbl>
                  <w:tblPr>
                    <w:tblW w:w="0" w:type="auto"/>
                    <w:tblInd w:w="108"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694"/>
                    <w:gridCol w:w="2256"/>
                    <w:gridCol w:w="2256"/>
                    <w:gridCol w:w="2142"/>
                  </w:tblGrid>
                  <w:tr>
                    <w:trPr>
                      <w:cantSplit/>
                    </w:trPr>
                    <w:tc>
                      <w:tcPr>
                        <w:tcW w:w="2694" w:type="dxa"/>
                        <w:vMerge w:val="restart"/>
                        <w:tcBorders>
                          <w:top w:val="single" w:sz="6" w:space="0" w:color="auto"/>
                          <w:left w:val="single" w:sz="6" w:space="0" w:color="auto"/>
                          <w:bottom w:val="nil"/>
                          <w:right w:val="nil"/>
                        </w:tcBorders>
                        <w:vAlign w:val="center"/>
                        <w:hideMark/>
                      </w:tcPr>
                      <w:p>
                        <w:pPr>
                          <w:spacing w:line="276" w:lineRule="auto"/>
                          <w:jc w:val="center"/>
                          <w:rPr>
                            <w:rFonts w:eastAsia="Calibri"/>
                          </w:rPr>
                        </w:pPr>
                        <w:r>
                          <w:t xml:space="preserve">Oro tarpo storis </w:t>
                        </w:r>
                      </w:p>
                      <w:p>
                        <w:pPr>
                          <w:spacing w:line="276" w:lineRule="auto"/>
                          <w:jc w:val="center"/>
                          <w:rPr>
                            <w:rFonts w:eastAsia="Calibri"/>
                            <w:b/>
                            <w:szCs w:val="22"/>
                          </w:rPr>
                        </w:pPr>
                        <w:r>
                          <w:rPr>
                            <w:i/>
                          </w:rPr>
                          <w:t>d</w:t>
                        </w:r>
                        <w:r>
                          <w:t>, mm</w:t>
                        </w:r>
                      </w:p>
                    </w:tc>
                    <w:tc>
                      <w:tcPr>
                        <w:tcW w:w="6654" w:type="dxa"/>
                        <w:gridSpan w:val="3"/>
                        <w:tcBorders>
                          <w:top w:val="single" w:sz="6" w:space="0" w:color="auto"/>
                          <w:left w:val="single" w:sz="6" w:space="0" w:color="auto"/>
                          <w:bottom w:val="single" w:sz="6" w:space="0" w:color="auto"/>
                          <w:right w:val="single" w:sz="6" w:space="0" w:color="auto"/>
                        </w:tcBorders>
                      </w:tcPr>
                      <w:p>
                        <w:pPr>
                          <w:rPr>
                            <w:sz w:val="6"/>
                            <w:szCs w:val="6"/>
                          </w:rPr>
                        </w:pPr>
                      </w:p>
                      <w:p>
                        <w:pPr>
                          <w:spacing w:line="276" w:lineRule="auto"/>
                          <w:jc w:val="center"/>
                          <w:rPr>
                            <w:rFonts w:eastAsia="Calibri"/>
                            <w:szCs w:val="22"/>
                          </w:rPr>
                        </w:pPr>
                        <w:r>
                          <w:t xml:space="preserve">Šiluminė varža, </w:t>
                        </w:r>
                        <w:r>
                          <w:rPr>
                            <w:i/>
                          </w:rPr>
                          <w:t>R</w:t>
                        </w:r>
                        <w:r>
                          <w:rPr>
                            <w:i/>
                            <w:vertAlign w:val="subscript"/>
                          </w:rPr>
                          <w:t>g</w:t>
                        </w:r>
                        <w:r>
                          <w:t>, m</w:t>
                        </w:r>
                        <w:r>
                          <w:rPr>
                            <w:vertAlign w:val="superscript"/>
                          </w:rPr>
                          <w:t>2</w:t>
                        </w:r>
                        <w:r>
                          <w:t>·K/W</w:t>
                        </w:r>
                      </w:p>
                    </w:tc>
                  </w:tr>
                  <w:tr>
                    <w:trPr>
                      <w:cantSplit/>
                    </w:trPr>
                    <w:tc>
                      <w:tcPr>
                        <w:tcW w:w="2694" w:type="dxa"/>
                        <w:vMerge/>
                        <w:tcBorders>
                          <w:top w:val="single" w:sz="6" w:space="0" w:color="auto"/>
                          <w:left w:val="single" w:sz="6" w:space="0" w:color="auto"/>
                          <w:bottom w:val="nil"/>
                          <w:right w:val="nil"/>
                        </w:tcBorders>
                        <w:vAlign w:val="center"/>
                        <w:hideMark/>
                      </w:tcPr>
                      <w:p>
                        <w:pPr>
                          <w:rPr>
                            <w:rFonts w:eastAsia="Calibri"/>
                            <w:b/>
                            <w:szCs w:val="22"/>
                          </w:rPr>
                        </w:pPr>
                      </w:p>
                    </w:tc>
                    <w:tc>
                      <w:tcPr>
                        <w:tcW w:w="6654" w:type="dxa"/>
                        <w:gridSpan w:val="3"/>
                        <w:tcBorders>
                          <w:top w:val="single" w:sz="6" w:space="0" w:color="auto"/>
                          <w:left w:val="single" w:sz="6" w:space="0" w:color="auto"/>
                          <w:bottom w:val="single" w:sz="6" w:space="0" w:color="auto"/>
                          <w:right w:val="single" w:sz="6" w:space="0" w:color="auto"/>
                        </w:tcBorders>
                      </w:tcPr>
                      <w:p>
                        <w:pPr>
                          <w:rPr>
                            <w:sz w:val="6"/>
                            <w:szCs w:val="6"/>
                          </w:rPr>
                        </w:pPr>
                      </w:p>
                      <w:p>
                        <w:pPr>
                          <w:spacing w:line="276" w:lineRule="auto"/>
                          <w:jc w:val="center"/>
                          <w:rPr>
                            <w:rFonts w:eastAsia="Calibri"/>
                            <w:szCs w:val="22"/>
                          </w:rPr>
                        </w:pPr>
                        <w:r>
                          <w:t>Šilumos srauto kryptis</w:t>
                        </w:r>
                      </w:p>
                    </w:tc>
                  </w:tr>
                  <w:tr>
                    <w:trPr>
                      <w:cantSplit/>
                    </w:trPr>
                    <w:tc>
                      <w:tcPr>
                        <w:tcW w:w="2694" w:type="dxa"/>
                        <w:vMerge/>
                        <w:tcBorders>
                          <w:top w:val="single" w:sz="6" w:space="0" w:color="auto"/>
                          <w:left w:val="single" w:sz="6" w:space="0" w:color="auto"/>
                          <w:bottom w:val="nil"/>
                          <w:right w:val="nil"/>
                        </w:tcBorders>
                        <w:vAlign w:val="center"/>
                        <w:hideMark/>
                      </w:tcPr>
                      <w:p>
                        <w:pPr>
                          <w:rPr>
                            <w:rFonts w:eastAsia="Calibri"/>
                            <w:b/>
                            <w:szCs w:val="22"/>
                          </w:rPr>
                        </w:pPr>
                      </w:p>
                    </w:tc>
                    <w:tc>
                      <w:tcPr>
                        <w:tcW w:w="2256" w:type="dxa"/>
                        <w:tcBorders>
                          <w:top w:val="nil"/>
                          <w:left w:val="single" w:sz="6" w:space="0" w:color="auto"/>
                          <w:bottom w:val="nil"/>
                          <w:right w:val="single" w:sz="6" w:space="0" w:color="auto"/>
                        </w:tcBorders>
                      </w:tcPr>
                      <w:p>
                        <w:pPr>
                          <w:rPr>
                            <w:sz w:val="6"/>
                            <w:szCs w:val="6"/>
                          </w:rPr>
                        </w:pPr>
                      </w:p>
                      <w:p>
                        <w:pPr>
                          <w:spacing w:line="276" w:lineRule="auto"/>
                          <w:jc w:val="center"/>
                          <w:rPr>
                            <w:rFonts w:eastAsia="Calibri"/>
                            <w:szCs w:val="22"/>
                          </w:rPr>
                        </w:pPr>
                        <w:r>
                          <w:t xml:space="preserve">Horizontali  </w:t>
                          <w:sym w:font="Symbol" w:char="F0AE"/>
                        </w:r>
                      </w:p>
                    </w:tc>
                    <w:tc>
                      <w:tcPr>
                        <w:tcW w:w="2256" w:type="dxa"/>
                        <w:tcBorders>
                          <w:top w:val="nil"/>
                          <w:left w:val="single" w:sz="6" w:space="0" w:color="auto"/>
                          <w:bottom w:val="nil"/>
                          <w:right w:val="single" w:sz="6" w:space="0" w:color="auto"/>
                        </w:tcBorders>
                      </w:tcPr>
                      <w:p>
                        <w:pPr>
                          <w:rPr>
                            <w:sz w:val="6"/>
                            <w:szCs w:val="6"/>
                          </w:rPr>
                        </w:pPr>
                      </w:p>
                      <w:p>
                        <w:pPr>
                          <w:spacing w:line="276" w:lineRule="auto"/>
                          <w:jc w:val="center"/>
                          <w:rPr>
                            <w:rFonts w:eastAsia="Calibri"/>
                            <w:szCs w:val="22"/>
                          </w:rPr>
                        </w:pPr>
                        <w:r>
                          <w:t xml:space="preserve">Aukštyn </w:t>
                          <w:sym w:font="Symbol" w:char="F0AD"/>
                        </w:r>
                      </w:p>
                    </w:tc>
                    <w:tc>
                      <w:tcPr>
                        <w:tcW w:w="2142" w:type="dxa"/>
                        <w:tcBorders>
                          <w:top w:val="nil"/>
                          <w:left w:val="single" w:sz="6" w:space="0" w:color="auto"/>
                          <w:bottom w:val="nil"/>
                          <w:right w:val="single" w:sz="6" w:space="0" w:color="auto"/>
                        </w:tcBorders>
                      </w:tcPr>
                      <w:p>
                        <w:pPr>
                          <w:rPr>
                            <w:sz w:val="6"/>
                            <w:szCs w:val="6"/>
                          </w:rPr>
                        </w:pPr>
                      </w:p>
                      <w:p>
                        <w:pPr>
                          <w:spacing w:line="276" w:lineRule="auto"/>
                          <w:jc w:val="center"/>
                          <w:rPr>
                            <w:rFonts w:eastAsia="Calibri"/>
                            <w:szCs w:val="22"/>
                          </w:rPr>
                        </w:pPr>
                        <w:r>
                          <w:t xml:space="preserve">Žemyn </w:t>
                          <w:sym w:font="Symbol" w:char="F0AF"/>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5</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0,11</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0,11</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0,11</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7</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0,13</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0,13</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0,13</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10</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0,15</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0,15</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0,15</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15</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0,17</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0,16</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0,17</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25</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0,18</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0,16</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0,19</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50</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0,18</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0,16</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0,21</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100</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0,18</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0,16</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0,22</w:t>
                        </w:r>
                      </w:p>
                    </w:tc>
                  </w:tr>
                  <w:tr>
                    <w:tc>
                      <w:tcPr>
                        <w:tcW w:w="2694"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300</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0,18</w:t>
                        </w:r>
                      </w:p>
                    </w:tc>
                    <w:tc>
                      <w:tcPr>
                        <w:tcW w:w="2256"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0,16</w:t>
                        </w:r>
                      </w:p>
                    </w:tc>
                    <w:tc>
                      <w:tcPr>
                        <w:tcW w:w="2142" w:type="dxa"/>
                        <w:tcBorders>
                          <w:top w:val="single" w:sz="6" w:space="0" w:color="auto"/>
                          <w:left w:val="single" w:sz="6" w:space="0" w:color="auto"/>
                          <w:bottom w:val="single" w:sz="6" w:space="0" w:color="auto"/>
                          <w:right w:val="single" w:sz="6" w:space="0" w:color="auto"/>
                        </w:tcBorders>
                      </w:tcPr>
                      <w:p>
                        <w:pPr>
                          <w:rPr>
                            <w:sz w:val="4"/>
                            <w:szCs w:val="4"/>
                          </w:rPr>
                        </w:pPr>
                      </w:p>
                      <w:p>
                        <w:pPr>
                          <w:spacing w:line="276" w:lineRule="auto"/>
                          <w:jc w:val="center"/>
                          <w:rPr>
                            <w:rFonts w:eastAsia="Calibri"/>
                            <w:szCs w:val="22"/>
                          </w:rPr>
                        </w:pPr>
                        <w:r>
                          <w:t>0,23</w:t>
                        </w:r>
                      </w:p>
                    </w:tc>
                  </w:tr>
                </w:tbl>
                <w:p>
                  <w:pPr>
                    <w:ind w:firstLine="720"/>
                    <w:rPr>
                      <w:rFonts w:eastAsia="Calibri"/>
                      <w:szCs w:val="22"/>
                    </w:rPr>
                  </w:pPr>
                </w:p>
                <w:p>
                  <w:pPr>
                    <w:jc w:val="center"/>
                    <w:rPr>
                      <w:b/>
                      <w:color w:val="000000"/>
                      <w:spacing w:val="-6"/>
                    </w:rPr>
                  </w:pPr>
                  <w:r>
                    <w:rPr>
                      <w:b/>
                      <w:color w:val="000000"/>
                    </w:rPr>
                    <w:t xml:space="preserve">Plonų sluoksnių (plėvelių, kartono ir kt.) šiluminė varža </w:t>
                  </w:r>
                  <w:r>
                    <w:rPr>
                      <w:b/>
                      <w:i/>
                      <w:color w:val="000000"/>
                    </w:rPr>
                    <w:t>R</w:t>
                  </w:r>
                  <w:r>
                    <w:rPr>
                      <w:b/>
                      <w:i/>
                      <w:color w:val="000000"/>
                      <w:vertAlign w:val="subscript"/>
                    </w:rPr>
                    <w:t>q</w:t>
                  </w:r>
                  <w:r>
                    <w:rPr>
                      <w:b/>
                      <w:color w:val="000000"/>
                    </w:rPr>
                    <w:t xml:space="preserve"> (</w:t>
                  </w:r>
                  <w:r>
                    <w:rPr>
                      <w:b/>
                      <w:color w:val="000000"/>
                      <w:spacing w:val="-6"/>
                    </w:rPr>
                    <w:t>m</w:t>
                  </w:r>
                  <w:r>
                    <w:rPr>
                      <w:b/>
                      <w:color w:val="000000"/>
                      <w:spacing w:val="-6"/>
                      <w:vertAlign w:val="superscript"/>
                    </w:rPr>
                    <w:t>2</w:t>
                  </w:r>
                  <w:r>
                    <w:rPr>
                      <w:b/>
                      <w:color w:val="000000"/>
                      <w:spacing w:val="-6"/>
                    </w:rPr>
                    <w:t>·K/W)</w:t>
                  </w:r>
                </w:p>
                <w:p>
                  <w:pPr>
                    <w:ind w:firstLine="567"/>
                    <w:jc w:val="right"/>
                    <w:rPr>
                      <w:color w:val="000000"/>
                    </w:rPr>
                  </w:pPr>
                  <w:r>
                    <w:rPr>
                      <w:color w:val="000000"/>
                    </w:rPr>
                    <w:t>2.2 lentelė</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088"/>
                    <w:gridCol w:w="2260"/>
                  </w:tblGrid>
                  <w:tr>
                    <w:tc>
                      <w:tcPr>
                        <w:tcW w:w="7088"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Plono sluoksnio padėtis</w:t>
                        </w:r>
                      </w:p>
                    </w:tc>
                    <w:tc>
                      <w:tcPr>
                        <w:tcW w:w="2260"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b/>
                            <w:color w:val="000000"/>
                            <w:szCs w:val="22"/>
                          </w:rPr>
                        </w:pPr>
                        <w:r>
                          <w:rPr>
                            <w:i/>
                            <w:color w:val="000000"/>
                          </w:rPr>
                          <w:t>R</w:t>
                        </w:r>
                        <w:r>
                          <w:rPr>
                            <w:i/>
                            <w:color w:val="000000"/>
                            <w:vertAlign w:val="subscript"/>
                          </w:rPr>
                          <w:t>q</w:t>
                        </w:r>
                        <w:r>
                          <w:rPr>
                            <w:color w:val="000000"/>
                          </w:rPr>
                          <w:t xml:space="preserve">, </w:t>
                        </w:r>
                        <w:r>
                          <w:rPr>
                            <w:color w:val="000000"/>
                            <w:spacing w:val="-6"/>
                          </w:rPr>
                          <w:t>m</w:t>
                        </w:r>
                        <w:r>
                          <w:rPr>
                            <w:color w:val="000000"/>
                            <w:spacing w:val="-6"/>
                            <w:vertAlign w:val="superscript"/>
                          </w:rPr>
                          <w:t>2</w:t>
                        </w:r>
                        <w:r>
                          <w:rPr>
                            <w:color w:val="000000"/>
                            <w:spacing w:val="-6"/>
                          </w:rPr>
                          <w:t>·K/W</w:t>
                        </w:r>
                      </w:p>
                    </w:tc>
                  </w:tr>
                  <w:tr>
                    <w:tc>
                      <w:tcPr>
                        <w:tcW w:w="7088"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both"/>
                          <w:rPr>
                            <w:rFonts w:eastAsia="Calibri"/>
                            <w:color w:val="000000"/>
                            <w:szCs w:val="22"/>
                          </w:rPr>
                        </w:pPr>
                        <w:r>
                          <w:rPr>
                            <w:color w:val="000000"/>
                          </w:rPr>
                          <w:t>Glaudžiai prispaustas prie vieno iš atitvaros sluoksnio paviršiaus</w:t>
                        </w:r>
                      </w:p>
                    </w:tc>
                    <w:tc>
                      <w:tcPr>
                        <w:tcW w:w="2260"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0,02</w:t>
                        </w:r>
                      </w:p>
                    </w:tc>
                  </w:tr>
                  <w:tr>
                    <w:tc>
                      <w:tcPr>
                        <w:tcW w:w="7088"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both"/>
                          <w:rPr>
                            <w:rFonts w:eastAsia="Calibri"/>
                            <w:color w:val="000000"/>
                            <w:szCs w:val="22"/>
                          </w:rPr>
                        </w:pPr>
                        <w:r>
                          <w:rPr>
                            <w:color w:val="000000"/>
                          </w:rPr>
                          <w:t>Tarp atitvaros sluoksnių *</w:t>
                        </w:r>
                      </w:p>
                    </w:tc>
                    <w:tc>
                      <w:tcPr>
                        <w:tcW w:w="2260"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0,04</w:t>
                        </w:r>
                      </w:p>
                    </w:tc>
                  </w:tr>
                </w:tbl>
                <w:p>
                  <w:pPr>
                    <w:rPr>
                      <w:color w:val="000000"/>
                    </w:rPr>
                  </w:pPr>
                </w:p>
                <w:p>
                  <w:pPr>
                    <w:ind w:firstLine="567"/>
                    <w:rPr>
                      <w:rFonts w:eastAsia="Calibri"/>
                      <w:szCs w:val="22"/>
                    </w:rPr>
                  </w:pPr>
                  <w:r>
                    <w:rPr>
                      <w:sz w:val="22"/>
                    </w:rPr>
                    <w:t xml:space="preserve">* </w:t>
                  </w:r>
                  <w:r>
                    <w:t xml:space="preserve">Šiluminė varža </w:t>
                  </w:r>
                  <w:r>
                    <w:rPr>
                      <w:i/>
                    </w:rPr>
                    <w:t>R</w:t>
                  </w:r>
                  <w:r>
                    <w:rPr>
                      <w:i/>
                      <w:vertAlign w:val="subscript"/>
                    </w:rPr>
                    <w:t>q</w:t>
                  </w:r>
                  <w:r>
                    <w:t xml:space="preserve"> apibūdina plono sluoksnio šiluminę varžą, įskaitant šiluminę varžą, atsirandančią dėl nepakankamo šio sluoksnio sąlyčio su kitomis atitvaros dalimis.</w:t>
                  </w:r>
                </w:p>
                <w:p>
                  <w:pPr>
                    <w:ind w:firstLine="720"/>
                  </w:pPr>
                </w:p>
              </w:sdtContent>
            </w:sdt>
            <w:sdt>
              <w:sdtPr>
                <w:alias w:val="2 pr. 3 p."/>
                <w:tag w:val="part_ae5863d9f092435d815fc627e4b82bd5"/>
                <w:lock w:val="sdtLocked"/>
                <w:richText/>
              </w:sdtPr>
              <w:sdtContent>
                <w:p>
                  <w:pPr>
                    <w:ind w:firstLine="567"/>
                    <w:rPr>
                      <w:color w:val="000000"/>
                    </w:rPr>
                  </w:pPr>
                  <w:sdt>
                    <w:sdtPr>
                      <w:alias w:val="Numeris"/>
                      <w:tag w:val="nr_ae5863d9f092435d815fc627e4b82bd5"/>
                      <w:lock w:val="sdtLocked"/>
                      <w:richText/>
                    </w:sdtPr>
                    <w:sdtContent>
                      <w:r>
                        <w:rPr>
                          <w:caps/>
                          <w:color w:val="000000"/>
                        </w:rPr>
                        <w:t>3</w:t>
                      </w:r>
                    </w:sdtContent>
                  </w:sdt>
                  <w:r>
                    <w:rPr>
                      <w:caps/>
                      <w:color w:val="000000"/>
                    </w:rPr>
                    <w:t>. a</w:t>
                  </w:r>
                  <w:r>
                    <w:rPr>
                      <w:color w:val="000000"/>
                    </w:rPr>
                    <w:t>titvarų visuminė šiluminė varža (m</w:t>
                  </w:r>
                  <w:r>
                    <w:rPr>
                      <w:color w:val="000000"/>
                      <w:vertAlign w:val="superscript"/>
                    </w:rPr>
                    <w:t>2</w:t>
                  </w:r>
                  <w:r>
                    <w:rPr>
                      <w:color w:val="000000"/>
                    </w:rPr>
                    <w:t>·K/W) apskaičiuojama pagal formulę:</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0"/>
                            <w:szCs w:val="22"/>
                          </w:rPr>
                          <w:object w:dxaOrig="1680" w:dyaOrig="330">
                            <v:shape id="_x0000_i1028" type="#_x0000_t75" style="width:84.15pt;height:16.2pt" o:ole="">
                              <v:imagedata r:id="rId277" o:title=""/>
                            </v:shape>
                            <o:OLEObject Type="Embed" ProgID="Equation.3" ShapeID="_x0000_i1028" DrawAspect="Content" ObjectID="_0000000001" r:id="rId278"/>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(2.3)</w:t>
                        </w:r>
                      </w:p>
                    </w:tc>
                  </w:tr>
                </w:tbl>
                <w:p>
                  <w:pPr>
                    <w:tabs>
                      <w:tab w:val="left" w:pos="567"/>
                    </w:tabs>
                    <w:jc w:val="both"/>
                    <w:rPr>
                      <w:rFonts w:eastAsia="Calibri"/>
                      <w:color w:val="000000"/>
                      <w:szCs w:val="22"/>
                    </w:rPr>
                  </w:pPr>
                  <w:r>
                    <w:rPr>
                      <w:color w:val="000000"/>
                    </w:rPr>
                    <w:t>čia:</w:t>
                    <w:tab/>
                  </w:r>
                  <w:r>
                    <w:rPr>
                      <w:i/>
                      <w:color w:val="000000"/>
                    </w:rPr>
                    <w:t>R</w:t>
                  </w:r>
                  <w:r>
                    <w:rPr>
                      <w:i/>
                      <w:color w:val="000000"/>
                      <w:vertAlign w:val="subscript"/>
                    </w:rPr>
                    <w:t>si</w:t>
                  </w:r>
                  <w:r>
                    <w:rPr>
                      <w:color w:val="000000"/>
                    </w:rPr>
                    <w:t xml:space="preserve"> – atitvaros vidinio paviršiaus šiluminė varža (m</w:t>
                  </w:r>
                  <w:r>
                    <w:rPr>
                      <w:color w:val="000000"/>
                      <w:vertAlign w:val="superscript"/>
                    </w:rPr>
                    <w:t>2</w:t>
                  </w:r>
                  <w:r>
                    <w:rPr>
                      <w:color w:val="000000"/>
                    </w:rPr>
                    <w:t>·K/W), imama iš 2.3 lentelės;</w:t>
                  </w:r>
                </w:p>
                <w:p>
                  <w:pPr>
                    <w:ind w:firstLine="567"/>
                    <w:jc w:val="both"/>
                    <w:rPr>
                      <w:color w:val="000000"/>
                    </w:rPr>
                  </w:pPr>
                  <w:r>
                    <w:rPr>
                      <w:i/>
                      <w:color w:val="000000"/>
                    </w:rPr>
                    <w:t>R</w:t>
                  </w:r>
                  <w:r>
                    <w:rPr>
                      <w:i/>
                      <w:color w:val="000000"/>
                      <w:vertAlign w:val="subscript"/>
                    </w:rPr>
                    <w:t>s</w:t>
                  </w:r>
                  <w:r>
                    <w:rPr>
                      <w:color w:val="000000"/>
                    </w:rPr>
                    <w:t xml:space="preserve"> – atitvaros sluoksnių suminė šiluminė varža (m</w:t>
                  </w:r>
                  <w:r>
                    <w:rPr>
                      <w:color w:val="000000"/>
                      <w:vertAlign w:val="superscript"/>
                    </w:rPr>
                    <w:t>2</w:t>
                  </w:r>
                  <w:r>
                    <w:rPr>
                      <w:color w:val="000000"/>
                    </w:rPr>
                    <w:t>·K/W);</w:t>
                  </w:r>
                </w:p>
                <w:p>
                  <w:pPr>
                    <w:ind w:firstLine="567"/>
                    <w:jc w:val="both"/>
                    <w:rPr>
                      <w:color w:val="000000"/>
                    </w:rPr>
                  </w:pPr>
                  <w:r>
                    <w:rPr>
                      <w:i/>
                      <w:color w:val="000000"/>
                    </w:rPr>
                    <w:t>R</w:t>
                  </w:r>
                  <w:r>
                    <w:rPr>
                      <w:i/>
                      <w:color w:val="000000"/>
                      <w:vertAlign w:val="subscript"/>
                    </w:rPr>
                    <w:t>se</w:t>
                  </w:r>
                  <w:r>
                    <w:rPr>
                      <w:i/>
                      <w:color w:val="000000"/>
                    </w:rPr>
                    <w:t xml:space="preserve"> </w:t>
                  </w:r>
                  <w:r>
                    <w:rPr>
                      <w:color w:val="000000"/>
                    </w:rPr>
                    <w:t>– atitvaros išorinio paviršiaus šiluminė varža (m</w:t>
                  </w:r>
                  <w:r>
                    <w:rPr>
                      <w:color w:val="000000"/>
                      <w:vertAlign w:val="superscript"/>
                    </w:rPr>
                    <w:t>2</w:t>
                  </w:r>
                  <w:r>
                    <w:rPr>
                      <w:color w:val="000000"/>
                    </w:rPr>
                    <w:t>·K/W), imama iš 2.3 lentelės.</w:t>
                  </w:r>
                </w:p>
                <w:p>
                  <w:pPr>
                    <w:ind w:firstLine="567"/>
                    <w:rPr>
                      <w:color w:val="000000"/>
                    </w:rPr>
                  </w:pPr>
                </w:p>
                <w:p>
                  <w:pPr>
                    <w:jc w:val="center"/>
                    <w:rPr>
                      <w:b/>
                      <w:color w:val="000000"/>
                    </w:rPr>
                  </w:pPr>
                  <w:r>
                    <w:rPr>
                      <w:b/>
                      <w:color w:val="000000"/>
                    </w:rPr>
                    <w:t xml:space="preserve">Vidaus ir išorės paviršių šiluminės varžos </w:t>
                  </w:r>
                  <w:r>
                    <w:rPr>
                      <w:b/>
                      <w:i/>
                      <w:color w:val="000000"/>
                    </w:rPr>
                    <w:t>R</w:t>
                  </w:r>
                  <w:r>
                    <w:rPr>
                      <w:b/>
                      <w:i/>
                      <w:color w:val="000000"/>
                      <w:vertAlign w:val="subscript"/>
                    </w:rPr>
                    <w:t>si</w:t>
                  </w:r>
                  <w:r>
                    <w:rPr>
                      <w:b/>
                      <w:color w:val="000000"/>
                    </w:rPr>
                    <w:t xml:space="preserve"> ir </w:t>
                  </w:r>
                  <w:r>
                    <w:rPr>
                      <w:b/>
                      <w:i/>
                      <w:color w:val="000000"/>
                    </w:rPr>
                    <w:t>R</w:t>
                  </w:r>
                  <w:r>
                    <w:rPr>
                      <w:b/>
                      <w:i/>
                      <w:color w:val="000000"/>
                      <w:vertAlign w:val="subscript"/>
                    </w:rPr>
                    <w:t>se</w:t>
                  </w:r>
                  <w:r>
                    <w:rPr>
                      <w:b/>
                      <w:color w:val="000000"/>
                    </w:rPr>
                    <w:t xml:space="preserve"> (m</w:t>
                  </w:r>
                  <w:r>
                    <w:rPr>
                      <w:b/>
                      <w:color w:val="000000"/>
                      <w:vertAlign w:val="superscript"/>
                    </w:rPr>
                    <w:t>2</w:t>
                  </w:r>
                  <w:r>
                    <w:rPr>
                      <w:b/>
                      <w:color w:val="000000"/>
                    </w:rPr>
                    <w:t>·K/W)</w:t>
                  </w:r>
                </w:p>
                <w:p>
                  <w:pPr>
                    <w:ind w:firstLine="567"/>
                    <w:jc w:val="right"/>
                    <w:rPr>
                      <w:color w:val="000000"/>
                    </w:rPr>
                  </w:pPr>
                  <w:r>
                    <w:rPr>
                      <w:color w:val="000000"/>
                    </w:rPr>
                    <w:t>2.3 lentelė</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501"/>
                    <w:gridCol w:w="1501"/>
                    <w:gridCol w:w="1642"/>
                    <w:gridCol w:w="4927"/>
                  </w:tblGrid>
                  <w:tr>
                    <w:tc>
                      <w:tcPr>
                        <w:tcW w:w="4644" w:type="dxa"/>
                        <w:gridSpan w:val="3"/>
                        <w:tcBorders>
                          <w:top w:val="single" w:sz="6" w:space="0" w:color="auto"/>
                          <w:left w:val="single" w:sz="6" w:space="0" w:color="auto"/>
                          <w:bottom w:val="single" w:sz="6" w:space="0" w:color="auto"/>
                          <w:right w:val="single" w:sz="6" w:space="0" w:color="auto"/>
                        </w:tcBorders>
                        <w:vAlign w:val="center"/>
                      </w:tcPr>
                      <w:p>
                        <w:pPr>
                          <w:rPr>
                            <w:color w:val="000000"/>
                            <w:sz w:val="6"/>
                            <w:szCs w:val="6"/>
                          </w:rPr>
                        </w:pPr>
                      </w:p>
                      <w:p>
                        <w:pPr>
                          <w:spacing w:line="276" w:lineRule="auto"/>
                          <w:jc w:val="center"/>
                          <w:rPr>
                            <w:rFonts w:eastAsia="Calibri"/>
                            <w:color w:val="000000"/>
                          </w:rPr>
                        </w:pPr>
                        <w:r>
                          <w:rPr>
                            <w:color w:val="000000"/>
                          </w:rPr>
                          <w:t>Vidinio paviršiaus šiluminė varža,</w:t>
                        </w:r>
                      </w:p>
                      <w:p>
                        <w:pPr>
                          <w:rPr>
                            <w:color w:val="000000"/>
                            <w:sz w:val="6"/>
                            <w:szCs w:val="6"/>
                          </w:rPr>
                        </w:pPr>
                      </w:p>
                      <w:p>
                        <w:pPr>
                          <w:spacing w:line="276" w:lineRule="auto"/>
                          <w:ind w:firstLine="62"/>
                          <w:jc w:val="center"/>
                          <w:rPr>
                            <w:rFonts w:eastAsia="Calibri"/>
                            <w:color w:val="000000"/>
                            <w:szCs w:val="22"/>
                          </w:rPr>
                        </w:pPr>
                        <w:r>
                          <w:rPr>
                            <w:i/>
                            <w:color w:val="000000"/>
                          </w:rPr>
                          <w:t>R</w:t>
                        </w:r>
                        <w:r>
                          <w:rPr>
                            <w:i/>
                            <w:color w:val="000000"/>
                            <w:vertAlign w:val="subscript"/>
                          </w:rPr>
                          <w:t>si</w:t>
                        </w:r>
                        <w:r>
                          <w:rPr>
                            <w:color w:val="000000"/>
                          </w:rPr>
                          <w:t>, m</w:t>
                        </w:r>
                        <w:r>
                          <w:rPr>
                            <w:color w:val="000000"/>
                            <w:vertAlign w:val="superscript"/>
                          </w:rPr>
                          <w:t>2</w:t>
                        </w:r>
                        <w:r>
                          <w:rPr>
                            <w:color w:val="000000"/>
                          </w:rPr>
                          <w:t>·K/W</w:t>
                        </w:r>
                      </w:p>
                    </w:tc>
                    <w:tc>
                      <w:tcPr>
                        <w:tcW w:w="4927" w:type="dxa"/>
                        <w:tcBorders>
                          <w:top w:val="single" w:sz="6" w:space="0" w:color="auto"/>
                          <w:left w:val="single" w:sz="6" w:space="0" w:color="auto"/>
                          <w:bottom w:val="single" w:sz="6" w:space="0" w:color="auto"/>
                          <w:right w:val="single" w:sz="6" w:space="0" w:color="auto"/>
                        </w:tcBorders>
                        <w:vAlign w:val="center"/>
                      </w:tcPr>
                      <w:p>
                        <w:pPr>
                          <w:rPr>
                            <w:color w:val="000000"/>
                            <w:sz w:val="6"/>
                            <w:szCs w:val="6"/>
                          </w:rPr>
                        </w:pPr>
                      </w:p>
                      <w:p>
                        <w:pPr>
                          <w:spacing w:line="276" w:lineRule="auto"/>
                          <w:jc w:val="center"/>
                          <w:rPr>
                            <w:rFonts w:eastAsia="Calibri"/>
                            <w:color w:val="000000"/>
                          </w:rPr>
                        </w:pPr>
                        <w:r>
                          <w:rPr>
                            <w:color w:val="000000"/>
                          </w:rPr>
                          <w:t xml:space="preserve">Išorinio paviršiaus šiluminė varža, </w:t>
                        </w:r>
                      </w:p>
                      <w:p>
                        <w:pPr>
                          <w:rPr>
                            <w:color w:val="000000"/>
                            <w:sz w:val="6"/>
                            <w:szCs w:val="6"/>
                          </w:rPr>
                        </w:pPr>
                      </w:p>
                      <w:p>
                        <w:pPr>
                          <w:spacing w:line="276" w:lineRule="auto"/>
                          <w:jc w:val="center"/>
                          <w:rPr>
                            <w:rFonts w:eastAsia="Calibri"/>
                            <w:color w:val="000000"/>
                            <w:szCs w:val="22"/>
                          </w:rPr>
                        </w:pPr>
                        <w:r>
                          <w:rPr>
                            <w:i/>
                            <w:color w:val="000000"/>
                          </w:rPr>
                          <w:t>R</w:t>
                        </w:r>
                        <w:r>
                          <w:rPr>
                            <w:i/>
                            <w:color w:val="000000"/>
                            <w:vertAlign w:val="subscript"/>
                          </w:rPr>
                          <w:t>se</w:t>
                        </w:r>
                        <w:r>
                          <w:rPr>
                            <w:color w:val="000000"/>
                          </w:rPr>
                          <w:t>, m</w:t>
                        </w:r>
                        <w:r>
                          <w:rPr>
                            <w:color w:val="000000"/>
                            <w:vertAlign w:val="superscript"/>
                          </w:rPr>
                          <w:t>2</w:t>
                        </w:r>
                        <w:r>
                          <w:rPr>
                            <w:color w:val="000000"/>
                          </w:rPr>
                          <w:t>·K/W</w:t>
                        </w:r>
                      </w:p>
                    </w:tc>
                  </w:tr>
                  <w:tr>
                    <w:tc>
                      <w:tcPr>
                        <w:tcW w:w="9571" w:type="dxa"/>
                        <w:gridSpan w:val="4"/>
                        <w:tcBorders>
                          <w:top w:val="nil"/>
                          <w:left w:val="single" w:sz="6" w:space="0" w:color="auto"/>
                          <w:bottom w:val="nil"/>
                          <w:right w:val="single" w:sz="6" w:space="0" w:color="auto"/>
                        </w:tcBorders>
                        <w:hideMark/>
                      </w:tcPr>
                      <w:p>
                        <w:pPr>
                          <w:spacing w:line="276" w:lineRule="auto"/>
                          <w:jc w:val="center"/>
                          <w:rPr>
                            <w:rFonts w:eastAsia="Calibri"/>
                            <w:color w:val="000000"/>
                            <w:szCs w:val="22"/>
                          </w:rPr>
                        </w:pPr>
                        <w:r>
                          <w:rPr>
                            <w:caps/>
                            <w:color w:val="000000"/>
                          </w:rPr>
                          <w:t>š</w:t>
                        </w:r>
                        <w:r>
                          <w:rPr>
                            <w:color w:val="000000"/>
                          </w:rPr>
                          <w:t>ilumos srauto kryptis</w:t>
                        </w:r>
                      </w:p>
                    </w:tc>
                  </w:tr>
                  <w:tr>
                    <w:tc>
                      <w:tcPr>
                        <w:tcW w:w="1501" w:type="dxa"/>
                        <w:tcBorders>
                          <w:top w:val="single" w:sz="6" w:space="0" w:color="auto"/>
                          <w:left w:val="single" w:sz="6" w:space="0" w:color="auto"/>
                          <w:bottom w:val="single" w:sz="6" w:space="0" w:color="auto"/>
                          <w:right w:val="single" w:sz="6" w:space="0" w:color="auto"/>
                        </w:tcBorders>
                        <w:hideMark/>
                      </w:tcPr>
                      <w:p>
                        <w:pPr>
                          <w:spacing w:line="276" w:lineRule="auto"/>
                          <w:jc w:val="center"/>
                          <w:rPr>
                            <w:rFonts w:eastAsia="Calibri"/>
                            <w:color w:val="000000"/>
                            <w:spacing w:val="-2"/>
                          </w:rPr>
                        </w:pPr>
                        <w:r>
                          <w:rPr>
                            <w:color w:val="000000"/>
                            <w:spacing w:val="-2"/>
                          </w:rPr>
                          <w:t>horizontali</w:t>
                        </w:r>
                      </w:p>
                      <w:p>
                        <w:pPr>
                          <w:spacing w:line="276" w:lineRule="auto"/>
                          <w:jc w:val="center"/>
                          <w:rPr>
                            <w:rFonts w:eastAsia="Calibri"/>
                            <w:color w:val="000000"/>
                            <w:szCs w:val="22"/>
                          </w:rPr>
                        </w:pPr>
                        <w:r>
                          <w:rPr>
                            <w:color w:val="000000"/>
                          </w:rPr>
                          <w:sym w:font="Symbol" w:char="F0AE"/>
                        </w:r>
                      </w:p>
                    </w:tc>
                    <w:tc>
                      <w:tcPr>
                        <w:tcW w:w="1501" w:type="dxa"/>
                        <w:tcBorders>
                          <w:top w:val="single" w:sz="6" w:space="0" w:color="auto"/>
                          <w:left w:val="single" w:sz="6" w:space="0" w:color="auto"/>
                          <w:bottom w:val="single" w:sz="6" w:space="0" w:color="auto"/>
                          <w:right w:val="single" w:sz="6" w:space="0" w:color="auto"/>
                        </w:tcBorders>
                        <w:hideMark/>
                      </w:tcPr>
                      <w:p>
                        <w:pPr>
                          <w:spacing w:line="276" w:lineRule="auto"/>
                          <w:jc w:val="center"/>
                          <w:rPr>
                            <w:rFonts w:eastAsia="Calibri"/>
                            <w:color w:val="000000"/>
                          </w:rPr>
                        </w:pPr>
                        <w:r>
                          <w:rPr>
                            <w:color w:val="000000"/>
                          </w:rPr>
                          <w:t xml:space="preserve">aukštyn </w:t>
                        </w:r>
                      </w:p>
                      <w:p>
                        <w:pPr>
                          <w:spacing w:line="276" w:lineRule="auto"/>
                          <w:jc w:val="center"/>
                          <w:rPr>
                            <w:rFonts w:eastAsia="Calibri"/>
                            <w:color w:val="000000"/>
                            <w:szCs w:val="22"/>
                          </w:rPr>
                        </w:pPr>
                        <w:r>
                          <w:rPr>
                            <w:color w:val="000000"/>
                          </w:rPr>
                          <w:sym w:font="Symbol" w:char="F0AD"/>
                        </w:r>
                      </w:p>
                    </w:tc>
                    <w:tc>
                      <w:tcPr>
                        <w:tcW w:w="1642" w:type="dxa"/>
                        <w:tcBorders>
                          <w:top w:val="single" w:sz="6" w:space="0" w:color="auto"/>
                          <w:left w:val="single" w:sz="6" w:space="0" w:color="auto"/>
                          <w:bottom w:val="single" w:sz="6" w:space="0" w:color="auto"/>
                          <w:right w:val="single" w:sz="6" w:space="0" w:color="auto"/>
                        </w:tcBorders>
                        <w:hideMark/>
                      </w:tcPr>
                      <w:p>
                        <w:pPr>
                          <w:spacing w:line="276" w:lineRule="auto"/>
                          <w:jc w:val="center"/>
                          <w:rPr>
                            <w:rFonts w:eastAsia="Calibri"/>
                            <w:color w:val="000000"/>
                          </w:rPr>
                        </w:pPr>
                        <w:r>
                          <w:rPr>
                            <w:color w:val="000000"/>
                          </w:rPr>
                          <w:t xml:space="preserve">žemyn </w:t>
                        </w:r>
                      </w:p>
                      <w:p>
                        <w:pPr>
                          <w:spacing w:line="276" w:lineRule="auto"/>
                          <w:jc w:val="center"/>
                          <w:rPr>
                            <w:rFonts w:eastAsia="Calibri"/>
                            <w:color w:val="000000"/>
                            <w:szCs w:val="22"/>
                          </w:rPr>
                        </w:pPr>
                        <w:r>
                          <w:rPr>
                            <w:color w:val="000000"/>
                          </w:rPr>
                          <w:sym w:font="Symbol" w:char="F0AF"/>
                        </w:r>
                      </w:p>
                    </w:tc>
                    <w:tc>
                      <w:tcPr>
                        <w:tcW w:w="4927" w:type="dxa"/>
                        <w:tcBorders>
                          <w:top w:val="single" w:sz="6" w:space="0" w:color="auto"/>
                          <w:left w:val="single" w:sz="6" w:space="0" w:color="auto"/>
                          <w:bottom w:val="single" w:sz="6" w:space="0" w:color="auto"/>
                          <w:right w:val="single" w:sz="6" w:space="0" w:color="auto"/>
                        </w:tcBorders>
                        <w:vAlign w:val="center"/>
                        <w:hideMark/>
                      </w:tcPr>
                      <w:p>
                        <w:pPr>
                          <w:spacing w:line="276" w:lineRule="auto"/>
                          <w:jc w:val="center"/>
                          <w:rPr>
                            <w:rFonts w:eastAsia="Calibri"/>
                            <w:color w:val="000000"/>
                            <w:szCs w:val="22"/>
                          </w:rPr>
                        </w:pPr>
                        <w:r>
                          <w:rPr>
                            <w:color w:val="000000"/>
                          </w:rPr>
                          <w:t>Visomis kryptimis</w:t>
                        </w:r>
                      </w:p>
                    </w:tc>
                  </w:tr>
                  <w:tr>
                    <w:tc>
                      <w:tcPr>
                        <w:tcW w:w="1501"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0,13</w:t>
                        </w:r>
                      </w:p>
                    </w:tc>
                    <w:tc>
                      <w:tcPr>
                        <w:tcW w:w="1501"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0,10</w:t>
                        </w:r>
                      </w:p>
                    </w:tc>
                    <w:tc>
                      <w:tcPr>
                        <w:tcW w:w="1642"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0,17</w:t>
                        </w:r>
                      </w:p>
                    </w:tc>
                    <w:tc>
                      <w:tcPr>
                        <w:tcW w:w="4927" w:type="dxa"/>
                        <w:tcBorders>
                          <w:top w:val="single" w:sz="6" w:space="0" w:color="auto"/>
                          <w:left w:val="single" w:sz="6" w:space="0" w:color="auto"/>
                          <w:bottom w:val="single" w:sz="6" w:space="0" w:color="auto"/>
                          <w:right w:val="single" w:sz="6" w:space="0" w:color="auto"/>
                        </w:tcBorders>
                      </w:tcPr>
                      <w:p>
                        <w:pPr>
                          <w:rPr>
                            <w:color w:val="000000"/>
                            <w:sz w:val="4"/>
                            <w:szCs w:val="4"/>
                          </w:rPr>
                        </w:pPr>
                      </w:p>
                      <w:p>
                        <w:pPr>
                          <w:spacing w:line="276" w:lineRule="auto"/>
                          <w:jc w:val="center"/>
                          <w:rPr>
                            <w:rFonts w:eastAsia="Calibri"/>
                            <w:color w:val="000000"/>
                            <w:szCs w:val="22"/>
                          </w:rPr>
                        </w:pPr>
                        <w:r>
                          <w:rPr>
                            <w:color w:val="000000"/>
                          </w:rPr>
                          <w:t>0,04</w:t>
                        </w:r>
                      </w:p>
                    </w:tc>
                  </w:tr>
                </w:tbl>
                <w:p>
                  <w:pPr>
                    <w:rPr>
                      <w:color w:val="000000"/>
                    </w:rPr>
                  </w:pPr>
                </w:p>
                <w:p>
                  <w:pPr>
                    <w:ind w:firstLine="567"/>
                    <w:jc w:val="both"/>
                    <w:rPr>
                      <w:rFonts w:eastAsia="Calibri"/>
                      <w:color w:val="000000"/>
                      <w:szCs w:val="22"/>
                    </w:rPr>
                  </w:pPr>
                  <w:r>
                    <w:rPr>
                      <w:color w:val="000000"/>
                    </w:rPr>
                    <w:t>Horizontaliuoju vadinamas srautas, kurio kryptis vertikaliosios plokštumos atžvilgiu nesiskiria daugiau kaip ±30º.</w:t>
                  </w:r>
                </w:p>
                <w:p>
                  <w:pPr>
                    <w:ind w:firstLine="567"/>
                    <w:rPr>
                      <w:color w:val="000000"/>
                    </w:rPr>
                  </w:pPr>
                </w:p>
              </w:sdtContent>
            </w:sdt>
            <w:sdt>
              <w:sdtPr>
                <w:alias w:val="2 pr. 4 p."/>
                <w:tag w:val="part_656b62cd3ea24075ab58107e987c52bd"/>
                <w:lock w:val="sdtLocked"/>
                <w:richText/>
              </w:sdtPr>
              <w:sdtContent>
                <w:p>
                  <w:pPr>
                    <w:ind w:firstLine="567"/>
                    <w:jc w:val="both"/>
                    <w:rPr>
                      <w:color w:val="000000"/>
                      <w:spacing w:val="-6"/>
                    </w:rPr>
                  </w:pPr>
                  <w:sdt>
                    <w:sdtPr>
                      <w:alias w:val="Numeris"/>
                      <w:tag w:val="nr_656b62cd3ea24075ab58107e987c52bd"/>
                      <w:lock w:val="sdtLocked"/>
                      <w:richText/>
                    </w:sdtPr>
                    <w:sdtContent>
                      <w:r>
                        <w:rPr>
                          <w:caps/>
                          <w:color w:val="000000"/>
                        </w:rPr>
                        <w:t>4</w:t>
                      </w:r>
                    </w:sdtContent>
                  </w:sdt>
                  <w:r>
                    <w:rPr>
                      <w:caps/>
                      <w:color w:val="000000"/>
                    </w:rPr>
                    <w:t>. a</w:t>
                  </w:r>
                  <w:r>
                    <w:rPr>
                      <w:color w:val="000000"/>
                    </w:rPr>
                    <w:t>titvaros be oro sluoksnių šilumos perdavimo koeficientas</w:t>
                  </w:r>
                  <w:r>
                    <w:rPr>
                      <w:i/>
                      <w:color w:val="000000"/>
                    </w:rPr>
                    <w:t xml:space="preserve"> U</w:t>
                  </w:r>
                  <w:r>
                    <w:rPr>
                      <w:color w:val="000000"/>
                    </w:rPr>
                    <w:t xml:space="preserve"> (W/</w:t>
                  </w:r>
                  <w:r>
                    <w:rPr>
                      <w:color w:val="000000"/>
                      <w:spacing w:val="-6"/>
                    </w:rPr>
                    <w:t>(m</w:t>
                  </w:r>
                  <w:r>
                    <w:rPr>
                      <w:color w:val="000000"/>
                      <w:spacing w:val="-6"/>
                      <w:vertAlign w:val="superscript"/>
                    </w:rPr>
                    <w:t>2</w:t>
                  </w:r>
                  <w:r>
                    <w:rPr>
                      <w:color w:val="000000"/>
                      <w:spacing w:val="-6"/>
                    </w:rPr>
                    <w:t>·K)) apskaičiuojamas pagal formulę:</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730" w:dyaOrig="650">
                            <v:shape id="_x0000_i1029" type="#_x0000_t75" style="width:37.2pt;height:32.35pt" o:ole="">
                              <v:imagedata r:id="rId279" o:title=""/>
                            </v:shape>
                            <o:OLEObject Type="Embed" ProgID="Equation.3" ShapeID="_x0000_i1029" DrawAspect="Content" ObjectID="_0000000001" r:id="rId280"/>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(2.4)</w:t>
                        </w:r>
                      </w:p>
                    </w:tc>
                  </w:tr>
                </w:tbl>
                <w:p>
                  <w:pPr>
                    <w:tabs>
                      <w:tab w:val="left" w:pos="567"/>
                    </w:tabs>
                    <w:rPr>
                      <w:rFonts w:eastAsia="Calibri"/>
                      <w:color w:val="000000"/>
                      <w:spacing w:val="-6"/>
                      <w:szCs w:val="22"/>
                    </w:rPr>
                  </w:pPr>
                  <w:r>
                    <w:rPr>
                      <w:color w:val="000000"/>
                    </w:rPr>
                    <w:t>čia:</w:t>
                    <w:tab/>
                  </w:r>
                  <w:r>
                    <w:rPr>
                      <w:i/>
                      <w:color w:val="000000"/>
                    </w:rPr>
                    <w:t>R</w:t>
                  </w:r>
                  <w:r>
                    <w:rPr>
                      <w:i/>
                      <w:color w:val="000000"/>
                      <w:vertAlign w:val="subscript"/>
                    </w:rPr>
                    <w:t>t</w:t>
                  </w:r>
                  <w:r>
                    <w:rPr>
                      <w:i/>
                      <w:color w:val="000000"/>
                    </w:rPr>
                    <w:t xml:space="preserve"> </w:t>
                  </w:r>
                  <w:r>
                    <w:rPr>
                      <w:color w:val="000000"/>
                      <w:spacing w:val="-6"/>
                    </w:rPr>
                    <w:t xml:space="preserve">– </w:t>
                  </w:r>
                  <w:r>
                    <w:rPr>
                      <w:color w:val="000000"/>
                    </w:rPr>
                    <w:t>atitvaros visuminė šiluminė varža (</w:t>
                  </w:r>
                  <w:r>
                    <w:rPr>
                      <w:color w:val="000000"/>
                      <w:spacing w:val="-6"/>
                    </w:rPr>
                    <w:t>m</w:t>
                  </w:r>
                  <w:r>
                    <w:rPr>
                      <w:color w:val="000000"/>
                      <w:spacing w:val="-6"/>
                      <w:vertAlign w:val="superscript"/>
                    </w:rPr>
                    <w:t>2</w:t>
                  </w:r>
                  <w:r>
                    <w:rPr>
                      <w:color w:val="000000"/>
                      <w:spacing w:val="-6"/>
                    </w:rPr>
                    <w:t>·K/W).</w:t>
                  </w:r>
                </w:p>
                <w:p>
                  <w:pPr>
                    <w:rPr>
                      <w:color w:val="000000"/>
                    </w:rPr>
                  </w:pPr>
                </w:p>
                <w:p>
                  <w:pPr>
                    <w:ind w:firstLine="567"/>
                    <w:jc w:val="both"/>
                    <w:rPr>
                      <w:color w:val="000000"/>
                      <w:spacing w:val="-6"/>
                    </w:rPr>
                  </w:pPr>
                  <w:r>
                    <w:rPr>
                      <w:color w:val="000000"/>
                      <w:spacing w:val="-6"/>
                    </w:rPr>
                    <w:t xml:space="preserve">Atitvaros su nevėdinamu oro sluoksniu </w:t>
                  </w:r>
                  <w:r>
                    <w:rPr>
                      <w:bCs/>
                      <w:color w:val="000000"/>
                    </w:rPr>
                    <w:t>(žr. 2.1. pav.)</w:t>
                  </w:r>
                  <w:r>
                    <w:rPr>
                      <w:color w:val="000000"/>
                    </w:rPr>
                    <w:t xml:space="preserve"> šilumos perdavimo koeficientas</w:t>
                  </w:r>
                  <w:r>
                    <w:rPr>
                      <w:i/>
                      <w:color w:val="000000"/>
                    </w:rPr>
                    <w:t xml:space="preserve"> U</w:t>
                  </w:r>
                  <w:r>
                    <w:rPr>
                      <w:color w:val="000000"/>
                    </w:rPr>
                    <w:t xml:space="preserve"> (W/</w:t>
                  </w:r>
                  <w:r>
                    <w:rPr>
                      <w:color w:val="000000"/>
                      <w:spacing w:val="-6"/>
                    </w:rPr>
                    <w:t>(m</w:t>
                  </w:r>
                  <w:r>
                    <w:rPr>
                      <w:color w:val="000000"/>
                      <w:spacing w:val="-6"/>
                      <w:vertAlign w:val="superscript"/>
                    </w:rPr>
                    <w:t>2</w:t>
                  </w:r>
                  <w:r>
                    <w:rPr>
                      <w:color w:val="000000"/>
                      <w:spacing w:val="-6"/>
                    </w:rPr>
                    <w:t>·K)) apskaičiuojamas pagal formulę:</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bCs/>
                            <w:color w:val="000000"/>
                            <w:position w:val="-28"/>
                            <w:szCs w:val="22"/>
                          </w:rPr>
                          <w:object w:dxaOrig="2830" w:dyaOrig="600">
                            <v:shape id="_x0000_i1030" type="#_x0000_t75" style="width:142.4pt;height:29.95pt" o:ole="">
                              <v:imagedata r:id="rId281" o:title=""/>
                            </v:shape>
                            <o:OLEObject Type="Embed" ProgID="Equation.3" ShapeID="_x0000_i1030" DrawAspect="Content" ObjectID="_0000000001" r:id="rId282"/>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strike/>
                            <w:color w:val="000000"/>
                            <w:szCs w:val="22"/>
                          </w:rPr>
                        </w:pPr>
                        <w:r>
                          <w:rPr>
                            <w:color w:val="000000"/>
                          </w:rPr>
                          <w:t>(2.5)</w:t>
                        </w:r>
                      </w:p>
                    </w:tc>
                  </w:tr>
                </w:tbl>
                <w:p>
                  <w:pPr>
                    <w:ind w:firstLine="567"/>
                    <w:rPr>
                      <w:rFonts w:eastAsia="Calibri"/>
                      <w:color w:val="000000"/>
                      <w:szCs w:val="22"/>
                    </w:rPr>
                  </w:pPr>
                </w:p>
                <w:p>
                  <w:pPr>
                    <w:ind w:left="2160" w:firstLine="124"/>
                    <w:jc w:val="right"/>
                    <w:rPr>
                      <w:color w:val="000000"/>
                    </w:rPr>
                  </w:pPr>
                  <w:r>
                    <w:rPr>
                      <w:color w:val="000000"/>
                    </w:rPr>
                    <w:t>.</w:t>
                    <w:tab/>
                    <w:t xml:space="preserve"> </w:t>
                    <w:tab/>
                    <w:tab/>
                    <w:tab/>
                  </w:r>
                </w:p>
                <w:p>
                  <w:pPr>
                    <w:ind w:firstLine="3600"/>
                    <w:rPr>
                      <w:color w:val="000000"/>
                    </w:rPr>
                  </w:pPr>
                </w:p>
                <w:p>
                  <w:pPr>
                    <w:ind w:firstLine="567"/>
                    <w:jc w:val="center"/>
                    <w:rPr>
                      <w:color w:val="000000"/>
                    </w:rPr>
                  </w:pPr>
                  <w:r>
                    <w:rPr>
                      <w:color w:val="000000"/>
                      <w:lang w:eastAsia="lt-LT"/>
                    </w:rPr>
                    <w:drawing>
                      <wp:inline distT="0" distB="0" distL="0" distR="0">
                        <wp:extent cx="4362450" cy="2921000"/>
                        <wp:effectExtent l="0" t="0" r="0" b="0"/>
                        <wp:docPr id="21" name="Paveikslėlis 21" descr="nevedinama atitv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7" descr="nevedinama atitvara"/>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4362450" cy="2921000"/>
                                </a:xfrm>
                                <a:prstGeom prst="rect">
                                  <a:avLst/>
                                </a:prstGeom>
                                <a:noFill/>
                                <a:ln>
                                  <a:noFill/>
                                </a:ln>
                              </pic:spPr>
                            </pic:pic>
                          </a:graphicData>
                        </a:graphic>
                      </wp:inline>
                    </w:drawing>
                  </w:r>
                </w:p>
                <w:p>
                  <w:pPr>
                    <w:ind w:firstLine="567"/>
                    <w:jc w:val="center"/>
                    <w:rPr>
                      <w:color w:val="000000"/>
                    </w:rPr>
                  </w:pPr>
                </w:p>
                <w:p>
                  <w:pPr>
                    <w:suppressLineNumbers/>
                    <w:suppressAutoHyphens/>
                    <w:spacing w:line="360" w:lineRule="auto"/>
                    <w:ind w:firstLine="720"/>
                    <w:jc w:val="center"/>
                    <w:rPr>
                      <w:color w:val="000000"/>
                    </w:rPr>
                  </w:pPr>
                  <w:r>
                    <w:rPr>
                      <w:color w:val="000000"/>
                    </w:rPr>
                    <w:t>2.1. pav. Atitvaros su nevėdinamu oro sluoksniu schema</w:t>
                  </w:r>
                </w:p>
                <w:p>
                  <w:pPr>
                    <w:suppressLineNumbers/>
                    <w:suppressAutoHyphens/>
                    <w:ind w:firstLine="567"/>
                    <w:jc w:val="both"/>
                    <w:rPr>
                      <w:color w:val="000000"/>
                    </w:rPr>
                  </w:pPr>
                  <w:r>
                    <w:rPr>
                      <w:bCs/>
                      <w:color w:val="000000"/>
                    </w:rPr>
                    <w:t>Atitvaros su vėdinamu oro tarpsluoksniu (žr. 2.2. pav.)</w:t>
                  </w:r>
                  <w:r>
                    <w:rPr>
                      <w:color w:val="000000"/>
                    </w:rPr>
                    <w:t xml:space="preserve"> šilumos perdavimo koeficientas U (W/(m</w:t>
                  </w:r>
                  <w:r>
                    <w:rPr>
                      <w:color w:val="000000"/>
                      <w:vertAlign w:val="superscript"/>
                    </w:rPr>
                    <w:t>2</w:t>
                  </w:r>
                  <w:r>
                    <w:rPr>
                      <w:color w:val="000000"/>
                    </w:rPr>
                    <w:t>·K)) apskaičiuojamas pagal formulę:</w:t>
                  </w:r>
                </w:p>
                <w:tbl>
                  <w:tblPr>
                    <w:tblW w:w="0" w:type="auto"/>
                    <w:tblLook w:val="01E0" w:firstRow="1" w:lastRow="1" w:firstColumn="1" w:lastColumn="1" w:noHBand="0" w:noVBand="0"/>
                  </w:tblPr>
                  <w:tblGrid>
                    <w:gridCol w:w="8568"/>
                    <w:gridCol w:w="1003"/>
                  </w:tblGrid>
                  <w:tr>
                    <w:tc>
                      <w:tcPr>
                        <w:tcW w:w="8568" w:type="dxa"/>
                        <w:vAlign w:val="center"/>
                      </w:tcPr>
                      <w:p>
                        <w:pPr>
                          <w:rPr>
                            <w:color w:val="000000"/>
                            <w:sz w:val="10"/>
                            <w:szCs w:val="10"/>
                          </w:rPr>
                        </w:pPr>
                      </w:p>
                      <w:p>
                        <w:pPr>
                          <w:spacing w:line="360" w:lineRule="auto"/>
                          <w:ind w:left="850" w:hanging="850"/>
                          <w:jc w:val="center"/>
                          <w:rPr>
                            <w:rFonts w:eastAsia="Calibri"/>
                            <w:strike/>
                            <w:color w:val="000000"/>
                            <w:szCs w:val="22"/>
                          </w:rPr>
                        </w:pPr>
                        <w:r>
                          <w:rPr>
                            <w:rFonts w:eastAsia="Calibri"/>
                            <w:color w:val="000000"/>
                            <w:position w:val="-28"/>
                            <w:szCs w:val="22"/>
                          </w:rPr>
                          <w:object w:dxaOrig="2170" w:dyaOrig="650">
                            <v:shape id="_x0000_i1031" type="#_x0000_t75" style="width:108.4pt;height:32.35pt" o:ole="">
                              <v:imagedata r:id="rId284" o:title=""/>
                            </v:shape>
                            <o:OLEObject Type="Embed" ProgID="Equation.3" ShapeID="_x0000_i1031" DrawAspect="Content" ObjectID="_0000000001" r:id="rId285"/>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strike/>
                            <w:color w:val="000000"/>
                            <w:szCs w:val="22"/>
                          </w:rPr>
                        </w:pPr>
                        <w:r>
                          <w:rPr>
                            <w:color w:val="000000"/>
                          </w:rPr>
                          <w:t>(2.6)</w:t>
                        </w:r>
                      </w:p>
                    </w:tc>
                  </w:tr>
                </w:tbl>
                <w:p>
                  <w:pPr>
                    <w:jc w:val="right"/>
                    <w:rPr>
                      <w:rFonts w:eastAsia="Calibri"/>
                      <w:color w:val="000000"/>
                      <w:szCs w:val="22"/>
                    </w:rPr>
                  </w:pPr>
                </w:p>
                <w:p>
                  <w:pPr>
                    <w:suppressLineNumbers/>
                    <w:suppressAutoHyphens/>
                    <w:spacing w:line="360" w:lineRule="auto"/>
                    <w:jc w:val="center"/>
                    <w:rPr>
                      <w:color w:val="000000"/>
                    </w:rPr>
                  </w:pPr>
                  <w:r>
                    <w:rPr>
                      <w:color w:val="000000"/>
                      <w:lang w:eastAsia="lt-LT"/>
                    </w:rPr>
                    <w:drawing>
                      <wp:inline distT="0" distB="0" distL="0" distR="0">
                        <wp:extent cx="4210050" cy="2660650"/>
                        <wp:effectExtent l="0" t="0" r="0" b="6350"/>
                        <wp:docPr id="20" name="Paveikslėlis 20" descr="vedinama atitv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6" descr="vedinama atitvara"/>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4210050" cy="2660650"/>
                                </a:xfrm>
                                <a:prstGeom prst="rect">
                                  <a:avLst/>
                                </a:prstGeom>
                                <a:noFill/>
                                <a:ln>
                                  <a:noFill/>
                                </a:ln>
                              </pic:spPr>
                            </pic:pic>
                          </a:graphicData>
                        </a:graphic>
                      </wp:inline>
                    </w:drawing>
                  </w:r>
                </w:p>
                <w:p>
                  <w:pPr>
                    <w:suppressLineNumbers/>
                    <w:suppressAutoHyphens/>
                    <w:spacing w:line="360" w:lineRule="auto"/>
                    <w:ind w:firstLine="720"/>
                    <w:jc w:val="center"/>
                    <w:rPr>
                      <w:color w:val="000000"/>
                    </w:rPr>
                  </w:pPr>
                  <w:r>
                    <w:rPr>
                      <w:color w:val="000000"/>
                    </w:rPr>
                    <w:t>2.2. pav. Atitvaros su vėdinamu oro sluoksniu schema</w:t>
                  </w:r>
                </w:p>
                <w:p>
                  <w:pPr>
                    <w:suppressLineNumbers/>
                    <w:suppressAutoHyphens/>
                    <w:ind w:firstLine="567"/>
                    <w:jc w:val="both"/>
                    <w:rPr>
                      <w:bCs/>
                      <w:color w:val="000000"/>
                    </w:rPr>
                  </w:pPr>
                  <w:r>
                    <w:rPr>
                      <w:color w:val="000000"/>
                    </w:rPr>
                    <w:t>Jei atitvaros sluoksnį, kuriame yra Reglamento 3 priede 3.5 lentelėje išvardintas statybos produktas, kerta metalinės jungtys, tokios atitvaros šilumos perdavimo koeficientas turi būti skaičiuojamas Reglamento 3 priede nurodytu būdu.</w:t>
                  </w:r>
                </w:p>
                <w:p>
                  <w:pPr>
                    <w:ind w:firstLine="567"/>
                    <w:jc w:val="both"/>
                    <w:rPr>
                      <w:color w:val="000000"/>
                    </w:rPr>
                  </w:pPr>
                  <w:r>
                    <w:rPr>
                      <w:color w:val="000000"/>
                    </w:rPr>
                    <w:t>Šilumos perdavimo koeficiento vertė suapvalinama vienos šimtosios dalies tikslumu (iki dviejų skaitmenų po kablelio).</w:t>
                  </w:r>
                </w:p>
                <w:p>
                  <w:pPr>
                    <w:ind w:firstLine="567"/>
                    <w:rPr>
                      <w:color w:val="000000"/>
                    </w:rPr>
                  </w:pPr>
                </w:p>
                <w:p>
                  <w:pPr>
                    <w:rPr>
                      <w:color w:val="000000"/>
                      <w:sz w:val="18"/>
                      <w:szCs w:val="18"/>
                    </w:rPr>
                  </w:pPr>
                </w:p>
              </w:sdtContent>
            </w:sdt>
          </w:sdtContent>
        </w:sdt>
        <w:sdt>
          <w:sdtPr>
            <w:alias w:val="skyrius"/>
            <w:tag w:val="part_3300a3d47c6e4a479cc5ffa089aefae7"/>
            <w:lock w:val="sdtLocked"/>
            <w:richText/>
          </w:sdtPr>
          <w:sdtContent>
            <w:p>
              <w:pPr>
                <w:keepNext/>
                <w:keepLines/>
                <w:jc w:val="center"/>
                <w:outlineLvl w:val="2"/>
                <w:rPr>
                  <w:b/>
                  <w:bCs/>
                </w:rPr>
              </w:pPr>
              <w:sdt>
                <w:sdtPr>
                  <w:alias w:val="Numeris"/>
                  <w:tag w:val="nr_3300a3d47c6e4a479cc5ffa089aefae7"/>
                  <w:lock w:val="sdtLocked"/>
                  <w:richText/>
                </w:sdtPr>
                <w:sdtContent>
                  <w:r>
                    <w:rPr>
                      <w:b/>
                      <w:bCs/>
                    </w:rPr>
                    <w:t>III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3300a3d47c6e4a479cc5ffa089aefae7"/>
                  <w:lock w:val="sdtLocked"/>
                  <w:richText/>
                </w:sdtPr>
                <w:sdtContent>
                  <w:r>
                    <w:rPr>
                      <w:b/>
                      <w:bCs/>
                    </w:rPr>
                    <w:t>Pastato parametrų nustatymas pagal pastato paskirtį</w:t>
                  </w:r>
                </w:sdtContent>
              </w:sdt>
            </w:p>
            <w:sdt>
              <w:sdtPr>
                <w:alias w:val="2 pr. 5 p."/>
                <w:tag w:val="part_994669c30de544d19985af7cc5fb51d5"/>
                <w:lock w:val="sdtLocked"/>
                <w:richText/>
              </w:sdtPr>
              <w:sdtContent>
                <w:p>
                  <w:pPr>
                    <w:ind w:firstLine="570"/>
                    <w:jc w:val="both"/>
                    <w:rPr>
                      <w:color w:val="000000"/>
                    </w:rPr>
                  </w:pPr>
                  <w:sdt>
                    <w:sdtPr>
                      <w:alias w:val="Numeris"/>
                      <w:tag w:val="nr_994669c30de544d19985af7cc5fb51d5"/>
                      <w:lock w:val="sdtLocked"/>
                      <w:richText/>
                    </w:sdtPr>
                    <w:sdtContent>
                      <w:r>
                        <w:rPr>
                          <w:color w:val="000000"/>
                        </w:rPr>
                        <w:t>5</w:t>
                      </w:r>
                    </w:sdtContent>
                  </w:sdt>
                  <w:r>
                    <w:rPr>
                      <w:color w:val="000000"/>
                    </w:rPr>
                    <w:t>. Prieš atliekant pastato energinio naudingumo skaičiavimus, turi būti nustatyta pastato naudojimo paskirtis. Pastatas priskiriamas vienai iš 2.4 lentelėje nurodytų pastatų paskirčių. Pagal pastato paskirtį iš šio Reglamento priedo 2.4 lentelės bei Reglamento 2</w:t>
                  </w:r>
                  <w:r>
                    <w:rPr>
                      <w:color w:val="000000"/>
                      <w:spacing w:val="-6"/>
                    </w:rPr>
                    <w:t>–</w:t>
                  </w:r>
                  <w:r>
                    <w:rPr>
                      <w:color w:val="000000"/>
                    </w:rPr>
                    <w:t>7 ir 9</w:t>
                  </w:r>
                  <w:r>
                    <w:rPr>
                      <w:color w:val="000000"/>
                      <w:spacing w:val="-6"/>
                    </w:rPr>
                    <w:t>–</w:t>
                  </w:r>
                  <w:r>
                    <w:rPr>
                      <w:color w:val="000000"/>
                    </w:rPr>
                    <w:t xml:space="preserve">11 lentelių surandamos pastato energinio naudingumo skaičiavimams reikiamų dydžių vertės.  </w:t>
                  </w:r>
                </w:p>
                <w:p>
                  <w:pPr>
                    <w:ind w:firstLine="570"/>
                    <w:rPr>
                      <w:color w:val="000000"/>
                    </w:rPr>
                  </w:pPr>
                </w:p>
                <w:p>
                  <w:pPr>
                    <w:rPr>
                      <w:color w:val="000000"/>
                      <w:sz w:val="18"/>
                      <w:szCs w:val="18"/>
                    </w:rPr>
                  </w:pPr>
                </w:p>
              </w:sdtContent>
            </w:sdt>
          </w:sdtContent>
        </w:sdt>
        <w:sdt>
          <w:sdtPr>
            <w:alias w:val="skyrius"/>
            <w:tag w:val="part_67063243ed464f24951cab0eafd9106c"/>
            <w:lock w:val="sdtLocked"/>
            <w:richText/>
          </w:sdtPr>
          <w:sdtContent>
            <w:p>
              <w:pPr>
                <w:keepNext/>
                <w:keepLines/>
                <w:jc w:val="center"/>
                <w:outlineLvl w:val="2"/>
                <w:rPr>
                  <w:b/>
                  <w:bCs/>
                </w:rPr>
              </w:pPr>
              <w:sdt>
                <w:sdtPr>
                  <w:alias w:val="Numeris"/>
                  <w:tag w:val="nr_67063243ed464f24951cab0eafd9106c"/>
                  <w:lock w:val="sdtLocked"/>
                  <w:richText/>
                </w:sdtPr>
                <w:sdtContent>
                  <w:r>
                    <w:rPr>
                      <w:b/>
                      <w:bCs/>
                    </w:rPr>
                    <w:t>IV</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67063243ed464f24951cab0eafd9106c"/>
                  <w:lock w:val="sdtLocked"/>
                  <w:richText/>
                </w:sdtPr>
                <w:sdtContent>
                  <w:r>
                    <w:rPr>
                      <w:b/>
                      <w:bCs/>
                    </w:rPr>
                    <w:t xml:space="preserve">Mėnesinių šilumos nuostolių per pastato sienas skaičiavimas </w:t>
                  </w:r>
                </w:sdtContent>
              </w:sdt>
            </w:p>
            <w:sdt>
              <w:sdtPr>
                <w:alias w:val="2 pr. 6 p."/>
                <w:tag w:val="part_32099860f34e40699c561d87e390e752"/>
                <w:lock w:val="sdtLocked"/>
                <w:richText/>
              </w:sdtPr>
              <w:sdtContent>
                <w:p>
                  <w:pPr>
                    <w:ind w:firstLine="570"/>
                    <w:jc w:val="both"/>
                    <w:rPr>
                      <w:color w:val="000000"/>
                    </w:rPr>
                  </w:pPr>
                  <w:sdt>
                    <w:sdtPr>
                      <w:alias w:val="Numeris"/>
                      <w:tag w:val="nr_32099860f34e40699c561d87e390e752"/>
                      <w:lock w:val="sdtLocked"/>
                      <w:richText/>
                    </w:sdtPr>
                    <w:sdtContent>
                      <w:r>
                        <w:rPr>
                          <w:color w:val="000000"/>
                        </w:rPr>
                        <w:t>6</w:t>
                      </w:r>
                    </w:sdtContent>
                  </w:sdt>
                  <w:r>
                    <w:rPr>
                      <w:color w:val="000000"/>
                    </w:rPr>
                    <w:t xml:space="preserve">. Kiekvieno mėnesio </w:t>
                  </w:r>
                  <w:r>
                    <w:rPr>
                      <w:i/>
                      <w:color w:val="000000"/>
                    </w:rPr>
                    <w:t xml:space="preserve">„m“ </w:t>
                  </w:r>
                  <w:r>
                    <w:rPr>
                      <w:color w:val="000000"/>
                    </w:rPr>
                    <w:t xml:space="preserve">norminiai </w:t>
                  </w:r>
                  <w:r>
                    <w:rPr>
                      <w:i/>
                      <w:color w:val="000000"/>
                    </w:rPr>
                    <w:t>Q</w:t>
                  </w:r>
                  <w:r>
                    <w:rPr>
                      <w:i/>
                      <w:color w:val="000000"/>
                      <w:vertAlign w:val="subscript"/>
                    </w:rPr>
                    <w:t>N.H.w,m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R.H.w,m</w:t>
                  </w:r>
                  <w:r>
                    <w:rPr>
                      <w:color w:val="000000"/>
                    </w:rPr>
                    <w:t xml:space="preserve"> (kWh/(m</w:t>
                  </w:r>
                  <w:r>
                    <w:rPr>
                      <w:color w:val="000000"/>
                      <w:vertAlign w:val="superscript"/>
                    </w:rPr>
                    <w:t>2</w:t>
                  </w:r>
                  <w:r>
                    <w:rPr>
                      <w:color w:val="000000"/>
                    </w:rPr>
                    <w:t xml:space="preserve">·mėn.)) ir skaičiuojamieji </w:t>
                  </w:r>
                  <w:r>
                    <w:rPr>
                      <w:i/>
                      <w:color w:val="000000"/>
                    </w:rPr>
                    <w:t>Q</w:t>
                  </w:r>
                  <w:r>
                    <w:rPr>
                      <w:i/>
                      <w:color w:val="000000"/>
                      <w:vertAlign w:val="subscript"/>
                    </w:rPr>
                    <w:t>H.w,m</w:t>
                  </w:r>
                  <w:r>
                    <w:rPr>
                      <w:color w:val="000000"/>
                    </w:rPr>
                    <w:t xml:space="preserve"> (kWh/(m</w:t>
                  </w:r>
                  <w:r>
                    <w:rPr>
                      <w:color w:val="000000"/>
                      <w:vertAlign w:val="superscript"/>
                    </w:rPr>
                    <w:t>2</w:t>
                  </w:r>
                  <w:r>
                    <w:rPr>
                      <w:color w:val="000000"/>
                    </w:rPr>
                    <w:t xml:space="preserve">·mėn.)) šilumos nuostoliai per pastato sienas, pagal kuriuos skaičiuojami energijos poreikiai pastatui šildyti,  apskaičiuojami pagal formules:</w:t>
                  </w:r>
                </w:p>
                <w:p>
                  <w:pPr>
                    <w:ind w:firstLine="570"/>
                    <w:rPr>
                      <w:color w:val="000000"/>
                    </w:rPr>
                  </w:pPr>
                </w:p>
                <w:tbl>
                  <w:tblPr>
                    <w:tblW w:w="0" w:type="auto"/>
                    <w:tblLook w:val="01E0" w:firstRow="1" w:lastRow="1" w:firstColumn="1" w:lastColumn="1" w:noHBand="0" w:noVBand="0"/>
                  </w:tblPr>
                  <w:tblGrid>
                    <w:gridCol w:w="8568"/>
                    <w:gridCol w:w="1003"/>
                  </w:tblGrid>
                  <w:tr>
                    <w:tc>
                      <w:tcPr>
                        <w:tcW w:w="8568" w:type="dxa"/>
                        <w:hideMark/>
                      </w:tcPr>
                      <w:p>
                        <w:pPr>
                          <w:spacing w:line="276" w:lineRule="auto"/>
                          <w:ind w:left="850" w:hanging="850"/>
                          <w:jc w:val="center"/>
                          <w:rPr>
                            <w:rFonts w:eastAsia="Calibri"/>
                            <w:color w:val="000000"/>
                            <w:szCs w:val="22"/>
                          </w:rPr>
                        </w:pPr>
                        <w:r>
                          <w:rPr>
                            <w:rFonts w:eastAsia="Calibri"/>
                            <w:b/>
                            <w:bCs/>
                            <w:color w:val="000000"/>
                            <w:position w:val="-30"/>
                            <w:szCs w:val="22"/>
                          </w:rPr>
                          <w:object w:dxaOrig="5030" w:dyaOrig="650">
                            <v:shape id="_x0000_i1035" type="#_x0000_t75" style="width:250.8pt;height:32.35pt" o:ole="">
                              <v:imagedata r:id="rId287" o:title=""/>
                            </v:shape>
                            <o:OLEObject Type="Embed" ProgID="Equation.3" ShapeID="_x0000_i1035" DrawAspect="Content" ObjectID="_0000000001" r:id="rId288"/>
                          </w:object>
                        </w:r>
                        <w:r>
                          <w:rPr>
                            <w:bCs/>
                            <w:color w:val="000000"/>
                          </w:rPr>
                          <w:t>;</w:t>
                        </w:r>
                      </w:p>
                    </w:tc>
                    <w:tc>
                      <w:tcPr>
                        <w:tcW w:w="1003" w:type="dxa"/>
                        <w:vAlign w:val="center"/>
                        <w:hideMark/>
                      </w:tcPr>
                      <w:p>
                        <w:pPr>
                          <w:spacing w:line="276" w:lineRule="auto"/>
                          <w:ind w:left="850" w:hanging="850"/>
                          <w:jc w:val="right"/>
                          <w:rPr>
                            <w:rFonts w:eastAsia="Calibri"/>
                            <w:color w:val="000000"/>
                            <w:szCs w:val="22"/>
                          </w:rPr>
                        </w:pPr>
                        <w:r>
                          <w:rPr>
                            <w:bCs/>
                            <w:color w:val="000000"/>
                          </w:rPr>
                          <w:t>(2.7)</w:t>
                        </w:r>
                      </w:p>
                    </w:tc>
                  </w:tr>
                </w:tbl>
                <w:p>
                  <w:pPr>
                    <w:ind w:firstLine="570"/>
                    <w:rPr>
                      <w:rFonts w:eastAsia="Calibri"/>
                      <w:color w:val="000000"/>
                      <w:szCs w:val="22"/>
                    </w:rPr>
                  </w:pPr>
                </w:p>
                <w:tbl>
                  <w:tblPr>
                    <w:tblW w:w="0" w:type="auto"/>
                    <w:tblLook w:val="01E0" w:firstRow="1" w:lastRow="1" w:firstColumn="1" w:lastColumn="1" w:noHBand="0" w:noVBand="0"/>
                  </w:tblPr>
                  <w:tblGrid>
                    <w:gridCol w:w="8568"/>
                    <w:gridCol w:w="1003"/>
                  </w:tblGrid>
                  <w:tr>
                    <w:tc>
                      <w:tcPr>
                        <w:tcW w:w="8568" w:type="dxa"/>
                        <w:vAlign w:val="center"/>
                        <w:hideMark/>
                      </w:tcPr>
                      <w:p>
                        <w:pPr>
                          <w:spacing w:line="276" w:lineRule="auto"/>
                          <w:ind w:left="850" w:hanging="850"/>
                          <w:jc w:val="center"/>
                          <w:rPr>
                            <w:rFonts w:eastAsia="Calibri"/>
                            <w:bCs/>
                            <w:color w:val="000000"/>
                            <w:szCs w:val="22"/>
                          </w:rPr>
                        </w:pPr>
                        <w:r>
                          <w:rPr>
                            <w:rFonts w:eastAsia="Calibri"/>
                            <w:bCs/>
                            <w:color w:val="000000"/>
                            <w:position w:val="-32"/>
                            <w:szCs w:val="22"/>
                          </w:rPr>
                          <w:object w:dxaOrig="4560" w:dyaOrig="680">
                            <v:shape id="_x0000_i1036" type="#_x0000_t75" style="width:228.15pt;height:34pt" o:ole="">
                              <v:imagedata r:id="rId289" o:title=""/>
                            </v:shape>
                            <o:OLEObject Type="Embed" ProgID="Equation.3" ShapeID="_x0000_i1036" DrawAspect="Content" ObjectID="_0000000001" r:id="rId290"/>
                          </w:object>
                        </w:r>
                        <w:r>
                          <w:rPr>
                            <w:bCs/>
                            <w:color w:val="000000"/>
                          </w:rPr>
                          <w:t xml:space="preserve">; </w:t>
                        </w:r>
                      </w:p>
                    </w:tc>
                    <w:tc>
                      <w:tcPr>
                        <w:tcW w:w="1003" w:type="dxa"/>
                        <w:vAlign w:val="center"/>
                        <w:hideMark/>
                      </w:tcPr>
                      <w:p>
                        <w:pPr>
                          <w:spacing w:line="276" w:lineRule="auto"/>
                          <w:ind w:left="850" w:hanging="850"/>
                          <w:jc w:val="right"/>
                          <w:rPr>
                            <w:rFonts w:eastAsia="Calibri"/>
                            <w:bCs/>
                            <w:color w:val="000000"/>
                            <w:szCs w:val="22"/>
                          </w:rPr>
                        </w:pPr>
                        <w:r>
                          <w:rPr>
                            <w:bCs/>
                            <w:color w:val="000000"/>
                          </w:rPr>
                          <w:t>(2.8)</w:t>
                        </w:r>
                      </w:p>
                    </w:tc>
                  </w:tr>
                </w:tbl>
                <w:p>
                  <w:pPr>
                    <w:ind w:firstLine="570"/>
                    <w:rPr>
                      <w:rFonts w:eastAsia="Calibri"/>
                      <w:color w:val="000000"/>
                      <w:szCs w:val="22"/>
                    </w:rPr>
                  </w:pPr>
                </w:p>
                <w:tbl>
                  <w:tblPr>
                    <w:tblW w:w="0" w:type="auto"/>
                    <w:tblLook w:val="01E0" w:firstRow="1" w:lastRow="1" w:firstColumn="1" w:lastColumn="1" w:noHBand="0" w:noVBand="0"/>
                  </w:tblPr>
                  <w:tblGrid>
                    <w:gridCol w:w="8568"/>
                    <w:gridCol w:w="1003"/>
                  </w:tblGrid>
                  <w:tr>
                    <w:tc>
                      <w:tcPr>
                        <w:tcW w:w="8568" w:type="dxa"/>
                        <w:vAlign w:val="center"/>
                        <w:hideMark/>
                      </w:tcPr>
                      <w:p>
                        <w:pPr>
                          <w:spacing w:line="276" w:lineRule="auto"/>
                          <w:ind w:left="851" w:hanging="851"/>
                          <w:jc w:val="center"/>
                          <w:rPr>
                            <w:rFonts w:eastAsia="Calibri"/>
                            <w:bCs/>
                            <w:color w:val="000000"/>
                            <w:szCs w:val="22"/>
                          </w:rPr>
                        </w:pPr>
                        <w:r>
                          <w:rPr>
                            <w:rFonts w:eastAsia="Calibri"/>
                            <w:bCs/>
                            <w:color w:val="000000"/>
                            <w:position w:val="-32"/>
                            <w:szCs w:val="22"/>
                          </w:rPr>
                          <w:object w:dxaOrig="5460" w:dyaOrig="730">
                            <v:shape id="_x0000_i1037" type="#_x0000_t75" style="width:272.65pt;height:37.2pt" o:ole="">
                              <v:imagedata r:id="rId291" o:title=""/>
                            </v:shape>
                            <o:OLEObject Type="Embed" ProgID="Equation.3" ShapeID="_x0000_i1037" DrawAspect="Content" ObjectID="_0000000001" r:id="rId292"/>
                          </w:object>
                        </w:r>
                        <w:r>
                          <w:rPr>
                            <w:bCs/>
                            <w:color w:val="000000"/>
                          </w:rPr>
                          <w:t>;</w:t>
                        </w:r>
                      </w:p>
                    </w:tc>
                    <w:tc>
                      <w:tcPr>
                        <w:tcW w:w="1003" w:type="dxa"/>
                        <w:vAlign w:val="center"/>
                        <w:hideMark/>
                      </w:tcPr>
                      <w:p>
                        <w:pPr>
                          <w:spacing w:line="276" w:lineRule="auto"/>
                          <w:ind w:left="851" w:hanging="851"/>
                          <w:jc w:val="right"/>
                          <w:rPr>
                            <w:rFonts w:eastAsia="Calibri"/>
                            <w:bCs/>
                            <w:color w:val="000000"/>
                            <w:szCs w:val="22"/>
                          </w:rPr>
                        </w:pPr>
                        <w:r>
                          <w:rPr>
                            <w:bCs/>
                            <w:color w:val="000000"/>
                          </w:rPr>
                          <w:t>(2.9)</w:t>
                        </w:r>
                      </w:p>
                    </w:tc>
                  </w:tr>
                </w:tbl>
                <w:p>
                  <w:pPr>
                    <w:tabs>
                      <w:tab w:val="left" w:pos="567"/>
                    </w:tabs>
                    <w:rPr>
                      <w:rFonts w:eastAsia="Calibri"/>
                      <w:bCs/>
                      <w:color w:val="000000"/>
                      <w:szCs w:val="22"/>
                    </w:rPr>
                  </w:pPr>
                  <w:r>
                    <w:rPr>
                      <w:color w:val="000000"/>
                    </w:rPr>
                    <w:t>čia:</w:t>
                    <w:tab/>
                  </w:r>
                  <w:r>
                    <w:rPr>
                      <w:bCs/>
                      <w:i/>
                      <w:color w:val="000000"/>
                    </w:rPr>
                    <w:t xml:space="preserve">0,001 – </w:t>
                  </w:r>
                  <w:r>
                    <w:rPr>
                      <w:bCs/>
                      <w:color w:val="000000"/>
                    </w:rPr>
                    <w:t>daugiklis W pervesti į kW;</w:t>
                  </w:r>
                </w:p>
                <w:p>
                  <w:pPr>
                    <w:ind w:firstLine="567"/>
                    <w:jc w:val="both"/>
                    <w:rPr>
                      <w:bCs/>
                      <w:color w:val="000000"/>
                    </w:rPr>
                  </w:pPr>
                  <w:r>
                    <w:rPr>
                      <w:bCs/>
                      <w:i/>
                      <w:color w:val="000000"/>
                    </w:rPr>
                    <w:t>t</w:t>
                  </w:r>
                  <w:r>
                    <w:rPr>
                      <w:bCs/>
                      <w:i/>
                      <w:color w:val="000000"/>
                      <w:vertAlign w:val="subscript"/>
                    </w:rPr>
                    <w:t>m</w:t>
                  </w:r>
                  <w:r>
                    <w:rPr>
                      <w:bCs/>
                      <w:i/>
                      <w:color w:val="000000"/>
                    </w:rPr>
                    <w:t xml:space="preserve"> –</w:t>
                  </w:r>
                  <w:r>
                    <w:rPr>
                      <w:bCs/>
                      <w:color w:val="000000"/>
                    </w:rPr>
                    <w:t xml:space="preserve"> dienų skaičius atitinkamame metų mėnesyje (vnt.). Imama iš 2.6 lentelės;</w:t>
                  </w:r>
                </w:p>
                <w:p>
                  <w:pPr>
                    <w:ind w:firstLine="567"/>
                    <w:jc w:val="both"/>
                    <w:rPr>
                      <w:bCs/>
                      <w:color w:val="000000"/>
                    </w:rPr>
                  </w:pPr>
                  <w:r>
                    <w:rPr>
                      <w:bCs/>
                      <w:i/>
                      <w:color w:val="000000"/>
                    </w:rPr>
                    <w:t xml:space="preserve">24 </w:t>
                  </w:r>
                  <w:r>
                    <w:rPr>
                      <w:bCs/>
                      <w:color w:val="000000"/>
                    </w:rPr>
                    <w:t>– valandų kiekis dienoje (h);</w:t>
                  </w:r>
                </w:p>
                <w:p>
                  <w:pPr>
                    <w:ind w:firstLine="567"/>
                    <w:jc w:val="both"/>
                    <w:rPr>
                      <w:color w:val="000000"/>
                    </w:rPr>
                  </w:pPr>
                  <w:r>
                    <w:rPr>
                      <w:bCs/>
                      <w:i/>
                      <w:color w:val="000000"/>
                    </w:rPr>
                    <w:t>A</w:t>
                  </w:r>
                  <w:r>
                    <w:rPr>
                      <w:bCs/>
                      <w:i/>
                      <w:color w:val="000000"/>
                      <w:vertAlign w:val="subscript"/>
                    </w:rPr>
                    <w:t>w.sum</w:t>
                  </w:r>
                  <w:r>
                    <w:rPr>
                      <w:color w:val="000000"/>
                    </w:rPr>
                    <w:t xml:space="preserve"> – suminis sienų plotas (m</w:t>
                  </w:r>
                  <w:r>
                    <w:rPr>
                      <w:color w:val="000000"/>
                      <w:vertAlign w:val="superscript"/>
                    </w:rPr>
                    <w:t>2</w:t>
                  </w:r>
                  <w:r>
                    <w:rPr>
                      <w:color w:val="000000"/>
                    </w:rPr>
                    <w:t xml:space="preserve">), nustatomas pagal Reglamento 7 priedo reikalavimus; </w:t>
                  </w:r>
                </w:p>
                <w:p>
                  <w:pPr>
                    <w:ind w:firstLine="567"/>
                    <w:jc w:val="both"/>
                    <w:rPr>
                      <w:color w:val="000000"/>
                    </w:rPr>
                  </w:pPr>
                  <w:r>
                    <w:rPr>
                      <w:bCs/>
                      <w:i/>
                      <w:color w:val="000000"/>
                    </w:rPr>
                    <w:t>A</w:t>
                  </w:r>
                  <w:r>
                    <w:rPr>
                      <w:bCs/>
                      <w:i/>
                      <w:color w:val="000000"/>
                      <w:vertAlign w:val="subscript"/>
                    </w:rPr>
                    <w:t>w,x</w:t>
                  </w:r>
                  <w:r>
                    <w:rPr>
                      <w:color w:val="000000"/>
                    </w:rPr>
                    <w:t xml:space="preserve"> – atitinkamos „</w:t>
                  </w:r>
                  <w:r>
                    <w:rPr>
                      <w:i/>
                      <w:color w:val="000000"/>
                    </w:rPr>
                    <w:t>x</w:t>
                  </w:r>
                  <w:r>
                    <w:rPr>
                      <w:color w:val="000000"/>
                    </w:rPr>
                    <w:t>“ sienos ar sienos dalies plotas (m</w:t>
                  </w:r>
                  <w:r>
                    <w:rPr>
                      <w:color w:val="000000"/>
                      <w:vertAlign w:val="superscript"/>
                    </w:rPr>
                    <w:t>2</w:t>
                  </w:r>
                  <w:r>
                    <w:rPr>
                      <w:color w:val="000000"/>
                    </w:rPr>
                    <w:t xml:space="preserve">), nustatomas pagal Reglamento 7 priedo reikalavimus; </w:t>
                  </w:r>
                </w:p>
                <w:p>
                  <w:pPr>
                    <w:ind w:firstLine="567"/>
                    <w:jc w:val="both"/>
                    <w:rPr>
                      <w:color w:val="000000"/>
                    </w:rPr>
                  </w:pPr>
                  <w:r>
                    <w:rPr>
                      <w:i/>
                      <w:color w:val="000000"/>
                    </w:rPr>
                    <w:t>A</w:t>
                  </w:r>
                  <w:r>
                    <w:rPr>
                      <w:i/>
                      <w:color w:val="000000"/>
                      <w:vertAlign w:val="subscript"/>
                    </w:rPr>
                    <w:t>p</w:t>
                  </w:r>
                  <w:r>
                    <w:rPr>
                      <w:color w:val="000000"/>
                    </w:rPr>
                    <w:t xml:space="preserve"> – pastato šildomas plotas, m</w:t>
                  </w:r>
                  <w:r>
                    <w:rPr>
                      <w:color w:val="000000"/>
                      <w:vertAlign w:val="superscript"/>
                    </w:rPr>
                    <w:t>2</w:t>
                  </w:r>
                  <w:r>
                    <w:rPr>
                      <w:color w:val="000000"/>
                    </w:rPr>
                    <w:t>;</w:t>
                  </w:r>
                </w:p>
                <w:p>
                  <w:pPr>
                    <w:ind w:firstLine="567"/>
                    <w:jc w:val="both"/>
                    <w:rPr>
                      <w:color w:val="000000"/>
                    </w:rPr>
                  </w:pPr>
                  <w:r>
                    <w:rPr>
                      <w:bCs/>
                      <w:i/>
                      <w:color w:val="000000"/>
                    </w:rPr>
                    <w:t>U</w:t>
                  </w:r>
                  <w:r>
                    <w:rPr>
                      <w:bCs/>
                      <w:i/>
                      <w:color w:val="000000"/>
                      <w:vertAlign w:val="subscript"/>
                    </w:rPr>
                    <w:t>(C,B).w</w:t>
                  </w:r>
                  <w:r>
                    <w:rPr>
                      <w:color w:val="000000"/>
                    </w:rPr>
                    <w:t xml:space="preserve"> – sienų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67"/>
                    <w:jc w:val="both"/>
                    <w:rPr>
                      <w:color w:val="000000"/>
                    </w:rPr>
                  </w:pPr>
                  <w:r>
                    <w:rPr>
                      <w:bCs/>
                      <w:i/>
                      <w:color w:val="000000"/>
                    </w:rPr>
                    <w:t>U</w:t>
                  </w:r>
                  <w:r>
                    <w:rPr>
                      <w:bCs/>
                      <w:i/>
                      <w:color w:val="000000"/>
                      <w:vertAlign w:val="subscript"/>
                    </w:rPr>
                    <w:t>R.w</w:t>
                  </w:r>
                  <w:r>
                    <w:rPr>
                      <w:color w:val="000000"/>
                    </w:rPr>
                    <w:t xml:space="preserve"> – sienų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67"/>
                    <w:jc w:val="both"/>
                    <w:rPr>
                      <w:color w:val="000000"/>
                    </w:rPr>
                  </w:pPr>
                  <w:r>
                    <w:rPr>
                      <w:bCs/>
                      <w:i/>
                      <w:color w:val="000000"/>
                    </w:rPr>
                    <w:t>U</w:t>
                  </w:r>
                  <w:r>
                    <w:rPr>
                      <w:bCs/>
                      <w:i/>
                      <w:color w:val="000000"/>
                      <w:vertAlign w:val="subscript"/>
                    </w:rPr>
                    <w:t>w,x</w:t>
                  </w:r>
                  <w:r>
                    <w:rPr>
                      <w:color w:val="000000"/>
                    </w:rPr>
                    <w:t xml:space="preserve"> – atitinkamos „</w:t>
                  </w:r>
                  <w:r>
                    <w:rPr>
                      <w:i/>
                      <w:color w:val="000000"/>
                    </w:rPr>
                    <w:t>x</w:t>
                  </w:r>
                  <w:r>
                    <w:rPr>
                      <w:color w:val="000000"/>
                    </w:rPr>
                    <w:t>“ sienos ar sienos dalies skaičiuojamasis šilumos perdavimo koeficientas (W/</w:t>
                  </w:r>
                  <w:r>
                    <w:rPr>
                      <w:color w:val="000000"/>
                      <w:spacing w:val="-6"/>
                    </w:rPr>
                    <w:t>(m</w:t>
                  </w:r>
                  <w:r>
                    <w:rPr>
                      <w:color w:val="000000"/>
                      <w:spacing w:val="-6"/>
                      <w:vertAlign w:val="superscript"/>
                    </w:rPr>
                    <w:t>2</w:t>
                  </w:r>
                  <w:r>
                    <w:rPr>
                      <w:color w:val="000000"/>
                      <w:spacing w:val="-6"/>
                    </w:rPr>
                    <w:t>·K))</w:t>
                  </w:r>
                  <w:r>
                    <w:rPr>
                      <w:color w:val="000000"/>
                    </w:rPr>
                    <w:t>;</w:t>
                  </w:r>
                </w:p>
                <w:p>
                  <w:pPr>
                    <w:ind w:firstLine="567"/>
                    <w:jc w:val="both"/>
                    <w:rPr>
                      <w:color w:val="000000"/>
                    </w:rPr>
                  </w:pPr>
                  <w:r>
                    <w:rPr>
                      <w:i/>
                      <w:color w:val="000000"/>
                    </w:rPr>
                    <w:t>θ</w:t>
                  </w:r>
                  <w:r>
                    <w:rPr>
                      <w:i/>
                      <w:color w:val="000000"/>
                      <w:vertAlign w:val="subscript"/>
                    </w:rPr>
                    <w:t>iH</w:t>
                  </w:r>
                  <w:r>
                    <w:rPr>
                      <w:color w:val="000000"/>
                    </w:rPr>
                    <w:t xml:space="preserve"> – pastato vidaus temperatūra šildymo sezono metu (°C), imama iš 2.4 lentelės;</w:t>
                  </w:r>
                </w:p>
                <w:p>
                  <w:pPr>
                    <w:ind w:firstLine="567"/>
                    <w:jc w:val="both"/>
                    <w:rPr>
                      <w:color w:val="000000"/>
                    </w:rPr>
                  </w:pPr>
                  <w:r>
                    <w:rPr>
                      <w:i/>
                      <w:color w:val="000000"/>
                    </w:rPr>
                    <w:t>θ</w:t>
                  </w:r>
                  <w:r>
                    <w:rPr>
                      <w:i/>
                      <w:color w:val="000000"/>
                      <w:vertAlign w:val="subscript"/>
                    </w:rPr>
                    <w:t>e,m</w:t>
                  </w:r>
                  <w:r>
                    <w:rPr>
                      <w:color w:val="000000"/>
                    </w:rPr>
                    <w:t xml:space="preserve"> – atitinkamo mėnesio </w:t>
                  </w:r>
                  <w:r>
                    <w:rPr>
                      <w:i/>
                      <w:color w:val="000000"/>
                    </w:rPr>
                    <w:t xml:space="preserve">„m“ </w:t>
                  </w:r>
                  <w:r>
                    <w:rPr>
                      <w:color w:val="000000"/>
                    </w:rPr>
                    <w:t>vidutinė išorės oro temperatūra (°C), imama iš 2.6 lentelės;</w:t>
                  </w:r>
                </w:p>
                <w:p>
                  <w:pPr>
                    <w:ind w:firstLine="567"/>
                    <w:jc w:val="both"/>
                    <w:rPr>
                      <w:color w:val="000000"/>
                    </w:rPr>
                  </w:pPr>
                  <w:r>
                    <w:rPr>
                      <w:bCs/>
                      <w:i/>
                      <w:color w:val="000000"/>
                    </w:rPr>
                    <w:t>k</w:t>
                  </w:r>
                  <w:r>
                    <w:rPr>
                      <w:bCs/>
                      <w:i/>
                      <w:color w:val="000000"/>
                      <w:vertAlign w:val="subscript"/>
                    </w:rPr>
                    <w:t>w,m,x</w:t>
                  </w:r>
                  <w:r>
                    <w:rPr>
                      <w:color w:val="000000"/>
                    </w:rPr>
                    <w:t xml:space="preserve"> – kiekvieno mėnesio „m“ pataisos koeficientas atitinkamai „</w:t>
                  </w:r>
                  <w:r>
                    <w:rPr>
                      <w:i/>
                      <w:color w:val="000000"/>
                    </w:rPr>
                    <w:t>x</w:t>
                  </w:r>
                  <w:r>
                    <w:rPr>
                      <w:color w:val="000000"/>
                    </w:rPr>
                    <w:t>“ sienai ar sienos daliai, imamas iš 2.5 lentelės.</w:t>
                  </w:r>
                </w:p>
                <w:p>
                  <w:pPr>
                    <w:rPr>
                      <w:color w:val="000000"/>
                    </w:rPr>
                  </w:pPr>
                </w:p>
                <w:p>
                  <w:pPr>
                    <w:rPr>
                      <w:color w:val="000000"/>
                    </w:rPr>
                  </w:pPr>
                </w:p>
                <w:p>
                  <w:pPr>
                    <w:rPr>
                      <w:b/>
                      <w:color w:val="000000"/>
                    </w:rPr>
                    <w:sectPr>
                      <w:pgSz w:w="11907" w:h="16840"/>
                      <w:pgMar w:top="1134" w:right="708" w:bottom="1134" w:left="1701" w:header="567" w:footer="567" w:gutter="0"/>
                      <w:pgNumType w:start="1"/>
                      <w:cols w:space="1296"/>
                      <w:titlePg/>
                      <w:docGrid w:linePitch="326"/>
                    </w:sectPr>
                  </w:pPr>
                </w:p>
                <w:p>
                  <w:pPr>
                    <w:jc w:val="center"/>
                    <w:rPr>
                      <w:b/>
                      <w:color w:val="000000"/>
                    </w:rPr>
                  </w:pPr>
                </w:p>
                <w:p>
                  <w:pPr>
                    <w:jc w:val="center"/>
                    <w:rPr>
                      <w:color w:val="000000"/>
                    </w:rPr>
                  </w:pPr>
                  <w:sdt>
                    <w:sdtPr>
                      <w:alias w:val="Pavadinimas"/>
                      <w:tag w:val="title_32099860f34e40699c561d87e390e752"/>
                      <w:lock w:val="sdtLocked"/>
                      <w:richText/>
                    </w:sdtPr>
                    <w:sdtContent>
                      <w:r>
                        <w:rPr>
                          <w:b/>
                        </w:rPr>
                        <w:t>Įvairios paskirties pastatų įvairių rodiklių vertės pastatų energiniam naudingumui skaičiuoti [3.20]</w:t>
                      </w:r>
                    </w:sdtContent>
                  </w:sdt>
                </w:p>
                <w:p>
                  <w:pPr>
                    <w:jc w:val="right"/>
                    <w:rPr>
                      <w:color w:val="000000"/>
                    </w:rPr>
                  </w:pPr>
                  <w:r>
                    <w:rPr>
                      <w:color w:val="000000"/>
                    </w:rPr>
                    <w:t>2.4 lentelė</w:t>
                  </w:r>
                </w:p>
                <w:tbl>
                  <w:tblPr>
                    <w:tblW w:w="5000" w:type="pct"/>
                    <w:tblInd w:w="108" w:type="dxa"/>
                    <w:tblLook w:val="04A0" w:firstRow="1" w:lastRow="0" w:firstColumn="1" w:lastColumn="0" w:noHBand="0" w:noVBand="1"/>
                  </w:tblPr>
                  <w:tblGrid>
                    <w:gridCol w:w="861"/>
                    <w:gridCol w:w="951"/>
                    <w:gridCol w:w="1339"/>
                    <w:gridCol w:w="1561"/>
                    <w:gridCol w:w="952"/>
                    <w:gridCol w:w="1099"/>
                    <w:gridCol w:w="992"/>
                    <w:gridCol w:w="1068"/>
                    <w:gridCol w:w="1065"/>
                    <w:gridCol w:w="1323"/>
                    <w:gridCol w:w="1280"/>
                    <w:gridCol w:w="1228"/>
                    <w:gridCol w:w="1633"/>
                  </w:tblGrid>
                  <w:tr>
                    <w:trPr>
                      <w:trHeight w:val="2310"/>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Eil. Nr. </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 xml:space="preserve">Pastato paskirtis </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sz w:val="20"/>
                          </w:rPr>
                          <w:t xml:space="preserve">Pastato paskirčiai priskirtos STR 1.01.03:2017 [3.6] nurodytos pastatų paskirtys </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 xml:space="preserve">Vidaus tempe-ratūra šildymo sezono metu </w:t>
                        </w:r>
                        <w:r>
                          <w:rPr>
                            <w:i/>
                            <w:sz w:val="20"/>
                          </w:rPr>
                          <w:t>θ</w:t>
                        </w:r>
                        <w:r>
                          <w:rPr>
                            <w:i/>
                            <w:sz w:val="20"/>
                            <w:vertAlign w:val="subscript"/>
                          </w:rPr>
                          <w:t>iH</w:t>
                        </w:r>
                        <w:r>
                          <w:rPr>
                            <w:sz w:val="20"/>
                          </w:rPr>
                          <w:t>, °C</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 xml:space="preserve">Vidaus tempe-ratūra ne šildymo sezono metu (vasarą) </w:t>
                        </w:r>
                        <w:r>
                          <w:rPr>
                            <w:i/>
                            <w:sz w:val="20"/>
                          </w:rPr>
                          <w:t>θ</w:t>
                        </w:r>
                        <w:r>
                          <w:rPr>
                            <w:i/>
                            <w:sz w:val="20"/>
                            <w:vertAlign w:val="subscript"/>
                          </w:rPr>
                          <w:t>iC</w:t>
                        </w:r>
                        <w:r>
                          <w:rPr>
                            <w:sz w:val="20"/>
                          </w:rPr>
                          <w:t>, °C</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Plotas vienam žmogui*</w:t>
                        </w:r>
                      </w:p>
                      <w:p>
                        <w:pPr>
                          <w:spacing w:line="276" w:lineRule="auto"/>
                          <w:jc w:val="center"/>
                          <w:rPr>
                            <w:rFonts w:eastAsia="Calibri"/>
                            <w:sz w:val="20"/>
                          </w:rPr>
                        </w:pPr>
                        <w:r>
                          <w:rPr>
                            <w:i/>
                            <w:sz w:val="20"/>
                          </w:rPr>
                          <w:t>A</w:t>
                        </w:r>
                        <w:r>
                          <w:rPr>
                            <w:i/>
                            <w:sz w:val="20"/>
                            <w:vertAlign w:val="subscript"/>
                          </w:rPr>
                          <w:t>o</w:t>
                        </w:r>
                        <w:r>
                          <w:rPr>
                            <w:sz w:val="20"/>
                            <w:vertAlign w:val="subscript"/>
                          </w:rPr>
                          <w:t>,</w:t>
                        </w:r>
                        <w:r>
                          <w:rPr>
                            <w:sz w:val="20"/>
                          </w:rPr>
                          <w:t xml:space="preserve"> m</w:t>
                        </w:r>
                        <w:r>
                          <w:rPr>
                            <w:sz w:val="20"/>
                            <w:vertAlign w:val="superscript"/>
                          </w:rPr>
                          <w:t>2</w:t>
                        </w:r>
                        <w:r>
                          <w:rPr>
                            <w:sz w:val="20"/>
                          </w:rPr>
                          <w:t>/žm.</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Žmogaus išskiriama šiluma</w:t>
                        </w:r>
                      </w:p>
                      <w:p>
                        <w:pPr>
                          <w:spacing w:line="276" w:lineRule="auto"/>
                          <w:jc w:val="center"/>
                          <w:rPr>
                            <w:sz w:val="20"/>
                          </w:rPr>
                        </w:pPr>
                        <w:r>
                          <w:rPr>
                            <w:i/>
                            <w:sz w:val="20"/>
                          </w:rPr>
                          <w:t>g</w:t>
                        </w:r>
                        <w:r>
                          <w:rPr>
                            <w:i/>
                            <w:sz w:val="20"/>
                            <w:vertAlign w:val="subscript"/>
                          </w:rPr>
                          <w:t>o</w:t>
                        </w:r>
                        <w:r>
                          <w:rPr>
                            <w:sz w:val="20"/>
                          </w:rPr>
                          <w:t>,</w:t>
                        </w:r>
                      </w:p>
                      <w:p>
                        <w:pPr>
                          <w:spacing w:line="276" w:lineRule="auto"/>
                          <w:ind w:firstLine="57"/>
                          <w:jc w:val="center"/>
                          <w:rPr>
                            <w:rFonts w:eastAsia="Calibri"/>
                            <w:sz w:val="20"/>
                          </w:rPr>
                        </w:pPr>
                        <w:r>
                          <w:rPr>
                            <w:sz w:val="20"/>
                          </w:rPr>
                          <w:t xml:space="preserve">W/žm. </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Žmonių buvimo patalpoje laikas per parą (vidutinis mėnesio)</w:t>
                        </w:r>
                      </w:p>
                      <w:p>
                        <w:pPr>
                          <w:spacing w:line="276" w:lineRule="auto"/>
                          <w:jc w:val="center"/>
                          <w:rPr>
                            <w:sz w:val="20"/>
                          </w:rPr>
                        </w:pPr>
                        <w:r>
                          <w:rPr>
                            <w:i/>
                            <w:sz w:val="20"/>
                          </w:rPr>
                          <w:t>t</w:t>
                        </w:r>
                        <w:r>
                          <w:rPr>
                            <w:sz w:val="20"/>
                          </w:rPr>
                          <w:t>,</w:t>
                        </w:r>
                      </w:p>
                      <w:p>
                        <w:pPr>
                          <w:spacing w:line="276" w:lineRule="auto"/>
                          <w:ind w:firstLine="57"/>
                          <w:jc w:val="center"/>
                          <w:rPr>
                            <w:rFonts w:eastAsia="Calibri"/>
                            <w:sz w:val="20"/>
                          </w:rPr>
                        </w:pPr>
                        <w:r>
                          <w:rPr>
                            <w:sz w:val="20"/>
                          </w:rPr>
                          <w:t>h/(para)</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 xml:space="preserve">Metinis elektros energijos suvartojimas pastato ploto vienetui* </w:t>
                        </w:r>
                      </w:p>
                      <w:p>
                        <w:pPr>
                          <w:spacing w:line="276" w:lineRule="auto"/>
                          <w:jc w:val="center"/>
                          <w:rPr>
                            <w:i/>
                            <w:sz w:val="20"/>
                            <w:vertAlign w:val="subscript"/>
                          </w:rPr>
                        </w:pPr>
                        <w:r>
                          <w:rPr>
                            <w:i/>
                            <w:sz w:val="20"/>
                          </w:rPr>
                          <w:t>ψ</w:t>
                        </w:r>
                        <w:r>
                          <w:rPr>
                            <w:i/>
                            <w:sz w:val="20"/>
                            <w:vertAlign w:val="subscript"/>
                          </w:rPr>
                          <w:t xml:space="preserve"> E</w:t>
                        </w:r>
                      </w:p>
                      <w:p>
                        <w:pPr>
                          <w:spacing w:line="276" w:lineRule="auto"/>
                          <w:jc w:val="center"/>
                          <w:rPr>
                            <w:sz w:val="20"/>
                          </w:rPr>
                        </w:pPr>
                        <w:r>
                          <w:rPr>
                            <w:sz w:val="20"/>
                          </w:rPr>
                          <w:t>kWh/(m</w:t>
                        </w:r>
                        <w:r>
                          <w:rPr>
                            <w:sz w:val="20"/>
                            <w:vertAlign w:val="superscript"/>
                          </w:rPr>
                          <w:t>2</w:t>
                        </w:r>
                        <w:r>
                          <w:rPr>
                            <w:sz w:val="20"/>
                          </w:rPr>
                          <w:t>·</w:t>
                        </w:r>
                      </w:p>
                      <w:p>
                        <w:pPr>
                          <w:spacing w:line="276" w:lineRule="auto"/>
                          <w:jc w:val="center"/>
                          <w:rPr>
                            <w:rFonts w:eastAsia="Calibri"/>
                            <w:sz w:val="20"/>
                          </w:rPr>
                        </w:pPr>
                        <w:r>
                          <w:rPr>
                            <w:sz w:val="20"/>
                          </w:rPr>
                          <w:t xml:space="preserve">metai) </w:t>
                        </w:r>
                      </w:p>
                    </w:tc>
                    <w:tc>
                      <w:tcPr>
                        <w:tcW w:w="417" w:type="pct"/>
                        <w:tcBorders>
                          <w:top w:val="single" w:sz="4" w:space="0" w:color="auto"/>
                          <w:left w:val="nil"/>
                          <w:bottom w:val="single" w:sz="4" w:space="0" w:color="auto"/>
                          <w:right w:val="single" w:sz="4" w:space="0" w:color="auto"/>
                        </w:tcBorders>
                        <w:vAlign w:val="center"/>
                      </w:tcPr>
                      <w:p>
                        <w:pPr>
                          <w:spacing w:line="276" w:lineRule="auto"/>
                          <w:ind w:left="-113" w:right="-113"/>
                          <w:jc w:val="center"/>
                          <w:rPr>
                            <w:rFonts w:eastAsia="Calibri"/>
                            <w:sz w:val="20"/>
                          </w:rPr>
                        </w:pPr>
                        <w:r>
                          <w:rPr>
                            <w:bCs/>
                            <w:sz w:val="20"/>
                          </w:rPr>
                          <w:t>Elektros energijos dalis, sunaudojama pastato šildomose patalpose</w:t>
                        </w:r>
                        <w:r>
                          <w:rPr>
                            <w:sz w:val="20"/>
                          </w:rPr>
                          <w:t>,</w:t>
                        </w:r>
                      </w:p>
                      <w:p>
                        <w:pPr>
                          <w:spacing w:line="276" w:lineRule="auto"/>
                          <w:ind w:left="-113" w:right="-113"/>
                          <w:jc w:val="center"/>
                          <w:rPr>
                            <w:i/>
                            <w:sz w:val="20"/>
                          </w:rPr>
                        </w:pPr>
                        <w:r>
                          <w:rPr>
                            <w:i/>
                            <w:sz w:val="20"/>
                          </w:rPr>
                          <w:t>f</w:t>
                        </w:r>
                        <w:r>
                          <w:rPr>
                            <w:i/>
                            <w:sz w:val="20"/>
                            <w:vertAlign w:val="subscript"/>
                          </w:rPr>
                          <w:t>E</w:t>
                        </w:r>
                      </w:p>
                      <w:p>
                        <w:pPr>
                          <w:spacing w:line="276" w:lineRule="auto"/>
                          <w:jc w:val="center"/>
                          <w:rPr>
                            <w:rFonts w:eastAsia="Calibri"/>
                            <w:sz w:val="20"/>
                          </w:rPr>
                        </w:pP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Išorės oro kiekis 1 m</w:t>
                        </w:r>
                        <w:r>
                          <w:rPr>
                            <w:sz w:val="20"/>
                            <w:vertAlign w:val="superscript"/>
                          </w:rPr>
                          <w:t xml:space="preserve">2 </w:t>
                        </w:r>
                        <w:r>
                          <w:rPr>
                            <w:sz w:val="20"/>
                          </w:rPr>
                          <w:t>pastato vėdinti*,</w:t>
                        </w:r>
                      </w:p>
                      <w:p>
                        <w:pPr>
                          <w:spacing w:line="276" w:lineRule="auto"/>
                          <w:jc w:val="center"/>
                          <w:rPr>
                            <w:i/>
                            <w:sz w:val="20"/>
                          </w:rPr>
                        </w:pPr>
                        <w:r>
                          <w:rPr>
                            <w:i/>
                            <w:sz w:val="20"/>
                          </w:rPr>
                          <w:t>v</w:t>
                        </w:r>
                        <w:r>
                          <w:rPr>
                            <w:i/>
                            <w:sz w:val="20"/>
                            <w:vertAlign w:val="subscript"/>
                          </w:rPr>
                          <w:t>o</w:t>
                        </w:r>
                        <w:r>
                          <w:rPr>
                            <w:i/>
                            <w:sz w:val="20"/>
                          </w:rPr>
                          <w:t>,</w:t>
                        </w:r>
                      </w:p>
                      <w:p>
                        <w:pPr>
                          <w:spacing w:line="276" w:lineRule="auto"/>
                          <w:ind w:firstLine="57"/>
                          <w:jc w:val="center"/>
                          <w:rPr>
                            <w:rFonts w:eastAsia="Calibri"/>
                            <w:sz w:val="20"/>
                          </w:rPr>
                        </w:pPr>
                        <w:r>
                          <w:rPr>
                            <w:sz w:val="20"/>
                          </w:rPr>
                          <w:t>m</w:t>
                        </w:r>
                        <w:r>
                          <w:rPr>
                            <w:sz w:val="20"/>
                            <w:vertAlign w:val="superscript"/>
                          </w:rPr>
                          <w:t>3</w:t>
                        </w:r>
                        <w:r>
                          <w:rPr>
                            <w:sz w:val="20"/>
                          </w:rPr>
                          <w:t>/(h</w:t>
                          <w:sym w:font="SymbolPS" w:char="F09E"/>
                          <w:t>m</w:t>
                        </w:r>
                        <w:r>
                          <w:rPr>
                            <w:sz w:val="20"/>
                            <w:vertAlign w:val="superscript"/>
                          </w:rPr>
                          <w:t>2</w:t>
                        </w:r>
                        <w:r>
                          <w:rPr>
                            <w:sz w:val="20"/>
                          </w:rPr>
                          <w:t>)</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Metinis šiluminės energijos poreikis karštam vandeniui gaminti 1 m</w:t>
                        </w:r>
                        <w:r>
                          <w:rPr>
                            <w:sz w:val="20"/>
                            <w:vertAlign w:val="superscript"/>
                          </w:rPr>
                          <w:t>2</w:t>
                        </w:r>
                        <w:r>
                          <w:rPr>
                            <w:sz w:val="20"/>
                          </w:rPr>
                          <w:t xml:space="preserve"> pastato</w:t>
                        </w:r>
                        <w:r>
                          <w:rPr>
                            <w:sz w:val="20"/>
                            <w:vertAlign w:val="superscript"/>
                          </w:rPr>
                          <w:t>1</w:t>
                        </w:r>
                      </w:p>
                      <w:p>
                        <w:pPr>
                          <w:spacing w:line="276" w:lineRule="auto"/>
                          <w:jc w:val="center"/>
                          <w:rPr>
                            <w:sz w:val="20"/>
                          </w:rPr>
                        </w:pPr>
                        <w:r>
                          <w:rPr>
                            <w:i/>
                            <w:sz w:val="20"/>
                          </w:rPr>
                          <w:t>ψ</w:t>
                        </w:r>
                        <w:r>
                          <w:rPr>
                            <w:i/>
                            <w:sz w:val="20"/>
                            <w:vertAlign w:val="subscript"/>
                          </w:rPr>
                          <w:t>hw</w:t>
                        </w:r>
                        <w:r>
                          <w:rPr>
                            <w:i/>
                            <w:sz w:val="20"/>
                          </w:rPr>
                          <w:t>,</w:t>
                        </w:r>
                      </w:p>
                      <w:p>
                        <w:pPr>
                          <w:spacing w:line="276" w:lineRule="auto"/>
                          <w:jc w:val="center"/>
                          <w:rPr>
                            <w:rFonts w:eastAsia="Calibri"/>
                            <w:sz w:val="20"/>
                          </w:rPr>
                        </w:pPr>
                        <w:r>
                          <w:rPr>
                            <w:sz w:val="20"/>
                          </w:rPr>
                          <w:t>kWh/(m</w:t>
                        </w:r>
                        <w:r>
                          <w:rPr>
                            <w:sz w:val="20"/>
                            <w:vertAlign w:val="superscript"/>
                          </w:rPr>
                          <w:t>2</w:t>
                        </w:r>
                        <w:r>
                          <w:rPr>
                            <w:sz w:val="20"/>
                          </w:rPr>
                          <w:t>·metai)</w:t>
                        </w:r>
                      </w:p>
                    </w:tc>
                  </w:tr>
                  <w:tr>
                    <w:trPr>
                      <w:trHeight w:val="315"/>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Gyvenamosios paskirties vieno ir dviejų butų pastatai (namai)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sz w:val="20"/>
                          </w:rPr>
                          <w:t xml:space="preserve">Vienbučiai. Dvibučiai. </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70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12</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315"/>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2.</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Kiti gyvenamieji pastatai (namai )</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sz w:val="20"/>
                          </w:rPr>
                          <w:t>Daugiabučiai.</w:t>
                        </w:r>
                      </w:p>
                      <w:p>
                        <w:pPr>
                          <w:spacing w:line="276" w:lineRule="auto"/>
                          <w:jc w:val="center"/>
                          <w:rPr>
                            <w:sz w:val="20"/>
                          </w:rPr>
                        </w:pPr>
                        <w:r>
                          <w:rPr>
                            <w:sz w:val="20"/>
                          </w:rPr>
                          <w:t xml:space="preserve">Įvairių socialinių grupių. </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40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70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12</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r>
                  <w:tr>
                    <w:trPr>
                      <w:trHeight w:val="315"/>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3.</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Administracinės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Administraciniai</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630"/>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4.</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Mokslo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Mokslo</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70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4</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630"/>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5.</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Gydymo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Gydymo</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22</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16</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0,8</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r>
                  <w:tr>
                    <w:trPr>
                      <w:trHeight w:val="315"/>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6.</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Maitinimo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Maitinimo</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5</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0,8</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1,2</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60</w:t>
                        </w:r>
                      </w:p>
                    </w:tc>
                  </w:tr>
                  <w:tr>
                    <w:trPr>
                      <w:trHeight w:val="630"/>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7.</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Prekybos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Prekybos</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90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4</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0,8</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630"/>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8.</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Sporto paskirties pastatai, išskyrus baseinus</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Sporto, išskyrus baseinus</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18</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r>
                  <w:tr>
                    <w:trPr>
                      <w:trHeight w:val="315"/>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9.</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Baseinai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 xml:space="preserve">Sporto  baseinai</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28</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28</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4</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60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r>
                  <w:tr>
                    <w:trPr>
                      <w:trHeight w:val="534"/>
                    </w:trPr>
                    <w:tc>
                      <w:tcPr>
                        <w:tcW w:w="280"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10.</w:t>
                        </w:r>
                      </w:p>
                    </w:tc>
                    <w:tc>
                      <w:tcPr>
                        <w:tcW w:w="746" w:type="pct"/>
                        <w:gridSpan w:val="2"/>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Kultūros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Kultūros</w:t>
                        </w:r>
                      </w:p>
                    </w:tc>
                    <w:tc>
                      <w:tcPr>
                        <w:tcW w:w="31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5</w:t>
                        </w:r>
                      </w:p>
                    </w:tc>
                    <w:tc>
                      <w:tcPr>
                        <w:tcW w:w="348"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c>
                      <w:tcPr>
                        <w:tcW w:w="34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3</w:t>
                        </w:r>
                      </w:p>
                    </w:tc>
                    <w:tc>
                      <w:tcPr>
                        <w:tcW w:w="4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0,8</w:t>
                        </w:r>
                      </w:p>
                    </w:tc>
                    <w:tc>
                      <w:tcPr>
                        <w:tcW w:w="400"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w:t>
                        </w:r>
                      </w:p>
                    </w:tc>
                    <w:tc>
                      <w:tcPr>
                        <w:tcW w:w="531" w:type="pct"/>
                        <w:tcBorders>
                          <w:top w:val="nil"/>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514"/>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11.</w:t>
                        </w:r>
                      </w:p>
                    </w:tc>
                    <w:tc>
                      <w:tcPr>
                        <w:tcW w:w="746" w:type="pct"/>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Garažų, gamybos ir pramonės paskirties pastatai</w:t>
                        </w:r>
                      </w:p>
                    </w:tc>
                    <w:tc>
                      <w:tcPr>
                        <w:tcW w:w="508" w:type="pct"/>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sz w:val="20"/>
                            <w:lang w:eastAsia="zh-CN"/>
                          </w:rPr>
                        </w:pPr>
                        <w:r>
                          <w:rPr>
                            <w:rFonts w:eastAsia="Calibri"/>
                            <w:sz w:val="20"/>
                            <w:lang w:eastAsia="zh-CN"/>
                          </w:rPr>
                          <w:t>Garažų. Gamybos, pramonės.</w:t>
                        </w:r>
                      </w:p>
                      <w:p>
                        <w:pPr>
                          <w:spacing w:line="276" w:lineRule="auto"/>
                          <w:jc w:val="center"/>
                          <w:rPr>
                            <w:sz w:val="20"/>
                          </w:rPr>
                        </w:pPr>
                        <w:r>
                          <w:rPr>
                            <w:rFonts w:eastAsia="Calibri"/>
                            <w:sz w:val="20"/>
                            <w:lang w:eastAsia="zh-CN"/>
                          </w:rPr>
                          <w:t>Energetikos.</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18</w:t>
                        </w:r>
                        <w:r>
                          <w:rPr>
                            <w:sz w:val="20"/>
                            <w:vertAlign w:val="superscript"/>
                          </w:rPr>
                          <w:t>2</w:t>
                        </w:r>
                      </w:p>
                    </w:tc>
                    <w:tc>
                      <w:tcPr>
                        <w:tcW w:w="3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12.</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Sandėliavimo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Sandėliavimo</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18</w:t>
                        </w:r>
                        <w:r>
                          <w:rPr>
                            <w:sz w:val="20"/>
                            <w:vertAlign w:val="superscript"/>
                          </w:rPr>
                          <w:t>2</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0,3</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1,4</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13.</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Viešbučių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sz w:val="20"/>
                          </w:rPr>
                          <w:t>Viešbučių.</w:t>
                        </w:r>
                      </w:p>
                      <w:p>
                        <w:pPr>
                          <w:spacing w:line="276" w:lineRule="auto"/>
                          <w:jc w:val="center"/>
                          <w:rPr>
                            <w:sz w:val="20"/>
                          </w:rPr>
                        </w:pPr>
                        <w:r>
                          <w:rPr>
                            <w:rFonts w:eastAsia="Calibri"/>
                            <w:sz w:val="20"/>
                            <w:lang w:eastAsia="zh-CN"/>
                          </w:rPr>
                          <w:t>Bendro gyvenimo namai.</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40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70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12</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14.</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Paslaugų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rFonts w:eastAsia="Calibri"/>
                            <w:sz w:val="20"/>
                            <w:lang w:eastAsia="zh-CN"/>
                          </w:rPr>
                        </w:pPr>
                        <w:r>
                          <w:rPr>
                            <w:rFonts w:eastAsia="Calibri"/>
                            <w:sz w:val="20"/>
                            <w:lang w:eastAsia="zh-CN"/>
                          </w:rPr>
                          <w:t>Paslaugų.</w:t>
                        </w:r>
                      </w:p>
                      <w:p>
                        <w:pPr>
                          <w:spacing w:line="276" w:lineRule="auto"/>
                          <w:jc w:val="center"/>
                          <w:rPr>
                            <w:sz w:val="20"/>
                          </w:rPr>
                        </w:pPr>
                        <w:r>
                          <w:rPr>
                            <w:rFonts w:eastAsia="Calibri"/>
                            <w:sz w:val="20"/>
                            <w:lang w:eastAsia="zh-CN"/>
                          </w:rPr>
                          <w:t>Specialiųjų paslaugų.</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trike/>
                            <w:sz w:val="20"/>
                          </w:rPr>
                        </w:pPr>
                        <w:r>
                          <w:rPr>
                            <w:sz w:val="20"/>
                          </w:rPr>
                          <w:t>20</w:t>
                        </w:r>
                        <w:r>
                          <w:rPr>
                            <w:sz w:val="20"/>
                            <w:vertAlign w:val="superscript"/>
                          </w:rPr>
                          <w:t>2</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15.</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Transporto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Transporto</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r>
                          <w:rPr>
                            <w:sz w:val="20"/>
                            <w:vertAlign w:val="superscript"/>
                          </w:rPr>
                          <w:t>2</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16.</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Poilsio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rFonts w:eastAsia="Calibri"/>
                            <w:sz w:val="20"/>
                            <w:lang w:eastAsia="zh-CN"/>
                          </w:rPr>
                        </w:pPr>
                        <w:r>
                          <w:rPr>
                            <w:rFonts w:eastAsia="Calibri"/>
                            <w:sz w:val="20"/>
                            <w:lang w:eastAsia="zh-CN"/>
                          </w:rPr>
                          <w:t>Viešojo poilsio.</w:t>
                        </w:r>
                      </w:p>
                      <w:p>
                        <w:pPr>
                          <w:spacing w:line="276" w:lineRule="auto"/>
                          <w:jc w:val="center"/>
                          <w:rPr>
                            <w:sz w:val="20"/>
                          </w:rPr>
                        </w:pPr>
                        <w:r>
                          <w:rPr>
                            <w:rFonts w:eastAsia="Calibri"/>
                            <w:sz w:val="20"/>
                            <w:lang w:eastAsia="zh-CN"/>
                          </w:rPr>
                          <w:t>Asmeninio poilsio.</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18</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6</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10</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0,9</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80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 w:val="20"/>
                          </w:rPr>
                        </w:pPr>
                        <w:r>
                          <w:rPr>
                            <w:sz w:val="20"/>
                          </w:rPr>
                          <w:t>17.</w:t>
                        </w:r>
                      </w:p>
                    </w:tc>
                    <w:tc>
                      <w:tcPr>
                        <w:tcW w:w="746" w:type="pct"/>
                        <w:gridSpan w:val="2"/>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Specialiosios paskirties pastatai</w:t>
                        </w:r>
                      </w:p>
                    </w:tc>
                    <w:tc>
                      <w:tcPr>
                        <w:tcW w:w="508" w:type="pct"/>
                        <w:tcBorders>
                          <w:top w:val="single" w:sz="4" w:space="0" w:color="auto"/>
                          <w:left w:val="nil"/>
                          <w:bottom w:val="single" w:sz="4" w:space="0" w:color="auto"/>
                          <w:right w:val="single" w:sz="4" w:space="0" w:color="auto"/>
                        </w:tcBorders>
                        <w:vAlign w:val="center"/>
                      </w:tcPr>
                      <w:p>
                        <w:pPr>
                          <w:spacing w:line="276" w:lineRule="auto"/>
                          <w:jc w:val="center"/>
                          <w:rPr>
                            <w:sz w:val="20"/>
                          </w:rPr>
                        </w:pPr>
                        <w:r>
                          <w:rPr>
                            <w:rFonts w:eastAsia="Calibri"/>
                            <w:sz w:val="20"/>
                            <w:lang w:eastAsia="zh-CN"/>
                          </w:rPr>
                          <w:t>Specialieji</w:t>
                        </w:r>
                      </w:p>
                    </w:tc>
                    <w:tc>
                      <w:tcPr>
                        <w:tcW w:w="31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 w:val="20"/>
                          </w:rPr>
                        </w:pPr>
                        <w:r>
                          <w:rPr>
                            <w:sz w:val="20"/>
                          </w:rPr>
                          <w:t>20</w:t>
                        </w:r>
                        <w:r>
                          <w:rPr>
                            <w:sz w:val="20"/>
                            <w:vertAlign w:val="superscript"/>
                          </w:rPr>
                          <w:t>2</w:t>
                        </w:r>
                      </w:p>
                    </w:tc>
                    <w:tc>
                      <w:tcPr>
                        <w:tcW w:w="35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24</w:t>
                        </w:r>
                      </w:p>
                    </w:tc>
                    <w:tc>
                      <w:tcPr>
                        <w:tcW w:w="323"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40</w:t>
                        </w:r>
                      </w:p>
                    </w:tc>
                    <w:tc>
                      <w:tcPr>
                        <w:tcW w:w="348"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70</w:t>
                        </w:r>
                      </w:p>
                    </w:tc>
                    <w:tc>
                      <w:tcPr>
                        <w:tcW w:w="34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12</w:t>
                        </w:r>
                      </w:p>
                    </w:tc>
                    <w:tc>
                      <w:tcPr>
                        <w:tcW w:w="4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30</w:t>
                        </w:r>
                      </w:p>
                    </w:tc>
                    <w:tc>
                      <w:tcPr>
                        <w:tcW w:w="41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40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0,7</w:t>
                        </w:r>
                      </w:p>
                    </w:tc>
                    <w:tc>
                      <w:tcPr>
                        <w:tcW w:w="53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 w:val="20"/>
                          </w:rPr>
                        </w:pPr>
                        <w:r>
                          <w:rPr>
                            <w:sz w:val="20"/>
                          </w:rPr>
                          <w:t>20</w:t>
                        </w:r>
                      </w:p>
                    </w:tc>
                  </w:tr>
                  <w:tr>
                    <w:trPr>
                      <w:trHeight w:val="315"/>
                    </w:trPr>
                    <w:tc>
                      <w:tcPr>
                        <w:tcW w:w="28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sz w:val="20"/>
                          </w:rPr>
                        </w:pPr>
                        <w:r>
                          <w:rPr>
                            <w:sz w:val="20"/>
                          </w:rPr>
                          <w:t>18.</w:t>
                        </w:r>
                      </w:p>
                    </w:tc>
                    <w:tc>
                      <w:tcPr>
                        <w:tcW w:w="310" w:type="pct"/>
                        <w:tcBorders>
                          <w:top w:val="single" w:sz="4" w:space="0" w:color="auto"/>
                          <w:left w:val="nil"/>
                          <w:bottom w:val="single" w:sz="4" w:space="0" w:color="auto"/>
                          <w:right w:val="single" w:sz="4" w:space="0" w:color="auto"/>
                        </w:tcBorders>
                      </w:tcPr>
                      <w:p>
                        <w:pPr>
                          <w:spacing w:line="276" w:lineRule="auto"/>
                          <w:jc w:val="both"/>
                          <w:rPr>
                            <w:b/>
                            <w:i/>
                            <w:sz w:val="20"/>
                          </w:rPr>
                        </w:pPr>
                      </w:p>
                    </w:tc>
                    <w:tc>
                      <w:tcPr>
                        <w:tcW w:w="4410" w:type="pct"/>
                        <w:gridSpan w:val="11"/>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b/>
                            <w:i/>
                            <w:sz w:val="20"/>
                          </w:rPr>
                        </w:pPr>
                        <w:r>
                          <w:rPr>
                            <w:b/>
                            <w:i/>
                            <w:sz w:val="20"/>
                          </w:rPr>
                          <w:t xml:space="preserve">Pastabos: </w:t>
                        </w:r>
                      </w:p>
                      <w:p>
                        <w:pPr>
                          <w:jc w:val="both"/>
                          <w:rPr>
                            <w:rFonts w:eastAsia="Calibri"/>
                            <w:sz w:val="20"/>
                          </w:rPr>
                        </w:pPr>
                        <w:r>
                          <w:rPr>
                            <w:sz w:val="20"/>
                            <w:vertAlign w:val="superscript"/>
                          </w:rPr>
                          <w:t>1</w:t>
                        </w:r>
                        <w:r>
                          <w:rPr>
                            <w:sz w:val="20"/>
                          </w:rPr>
                          <w:t xml:space="preserve"> Metinis šiluminės energijos poreikis karštam vandeniui gaminti 1 m</w:t>
                        </w:r>
                        <w:r>
                          <w:rPr>
                            <w:sz w:val="20"/>
                            <w:vertAlign w:val="superscript"/>
                          </w:rPr>
                          <w:t>2</w:t>
                        </w:r>
                        <w:r>
                          <w:rPr>
                            <w:sz w:val="20"/>
                          </w:rPr>
                          <w:t xml:space="preserve"> pastato vertės susietos su pastato šildomu plotu.</w:t>
                        </w:r>
                      </w:p>
                      <w:p>
                        <w:pPr>
                          <w:jc w:val="both"/>
                          <w:rPr>
                            <w:sz w:val="20"/>
                          </w:rPr>
                        </w:pPr>
                        <w:r>
                          <w:rPr>
                            <w:sz w:val="20"/>
                            <w:vertAlign w:val="superscript"/>
                          </w:rPr>
                          <w:t>2</w:t>
                        </w:r>
                        <w:r>
                          <w:rPr>
                            <w:sz w:val="20"/>
                          </w:rPr>
                          <w:t xml:space="preserve"> </w:t>
                        </w:r>
                        <w:r>
                          <w:rPr>
                            <w:rFonts w:eastAsia="Calibri"/>
                            <w:sz w:val="20"/>
                            <w:lang w:eastAsia="zh-CN"/>
                          </w:rPr>
                          <w:t>Garažų, gamybos, pramonės, sandėliavimo, paslaugų, specialiųjų paslaugų, energetikos, transporto, specialios paskirties</w:t>
                        </w:r>
                        <w:r>
                          <w:rPr>
                            <w:sz w:val="20"/>
                          </w:rPr>
                          <w:t xml:space="preserve"> pastatų temperatūrų vertės skaičiavimuose turi būti naudojamos, kai pastato vidaus temperatūra šildymo sezono metu nežinoma. Kitais atvejais skaičiavimuose turi būti naudojama projekte numatyta pastato vidaus temperatūra šildymo sezono metu.</w:t>
                        </w:r>
                      </w:p>
                    </w:tc>
                  </w:tr>
                </w:tbl>
                <w:p>
                  <w:pPr>
                    <w:rPr>
                      <w:color w:val="000000"/>
                    </w:rPr>
                  </w:pPr>
                </w:p>
                <w:p>
                  <w:pPr>
                    <w:rPr>
                      <w:color w:val="000000"/>
                    </w:rPr>
                  </w:pPr>
                </w:p>
                <w:p>
                  <w:pPr>
                    <w:rPr>
                      <w:color w:val="000000"/>
                    </w:rPr>
                    <w:sectPr>
                      <w:pgSz w:w="16838" w:h="11906" w:orient="landscape"/>
                      <w:pgMar w:top="1701" w:right="851" w:bottom="851" w:left="851" w:header="567" w:footer="567" w:gutter="0"/>
                      <w:cols w:space="1296"/>
                    </w:sectPr>
                  </w:pPr>
                </w:p>
                <w:p>
                  <w:pPr>
                    <w:rPr>
                      <w:rFonts w:eastAsia="MS Mincho"/>
                      <w:i/>
                      <w:iCs/>
                      <w:sz w:val="20"/>
                    </w:rPr>
                  </w:pPr>
                  <w:r>
                    <w:rPr>
                      <w:rFonts w:eastAsia="MS Mincho"/>
                      <w:i/>
                      <w:iCs/>
                      <w:sz w:val="20"/>
                    </w:rPr>
                    <w:t>Lentelės pakeitimai:</w:t>
                  </w:r>
                </w:p>
                <w:p>
                  <w:pPr>
                    <w:jc w:val="both"/>
                    <w:rPr>
                      <w:rFonts w:eastAsia="MS Mincho"/>
                      <w:i/>
                      <w:iCs/>
                      <w:sz w:val="20"/>
                    </w:rPr>
                  </w:pPr>
                  <w:r>
                    <w:rPr>
                      <w:rFonts w:eastAsia="MS Mincho"/>
                      <w:i/>
                      <w:iCs/>
                      <w:sz w:val="20"/>
                    </w:rPr>
                    <w:t xml:space="preserve">Nr. </w:t>
                  </w:r>
                  <w:hyperlink r:id="rId293" w:history="1">
                    <w:r>
                      <w:rPr>
                        <w:rFonts w:eastAsia="MS Mincho"/>
                        <w:i/>
                        <w:iCs/>
                        <w:color w:val="0000FF"/>
                        <w:sz w:val="20"/>
                        <w:u w:val="single"/>
                      </w:rPr>
                      <w:t>D1-23</w:t>
                    </w:r>
                  </w:hyperlink>
                  <w:r>
                    <w:rPr>
                      <w:rFonts w:eastAsia="MS Mincho"/>
                      <w:i/>
                      <w:iCs/>
                      <w:sz w:val="20"/>
                    </w:rPr>
                    <w:t>, 2019-01-11, paskelbta TAR 2019-01-14, i. k. 2019-00444</w:t>
                  </w:r>
                </w:p>
                <w:p>
                  <w:pPr/>
                </w:p>
                <w:p>
                  <w:pPr>
                    <w:jc w:val="center"/>
                    <w:rPr>
                      <w:b/>
                    </w:rPr>
                  </w:pPr>
                  <w:r>
                    <w:rPr>
                      <w:b/>
                    </w:rPr>
                    <w:t xml:space="preserve">Pataisos koeficiento sienoms </w:t>
                  </w:r>
                  <w:r>
                    <w:rPr>
                      <w:b/>
                      <w:i/>
                    </w:rPr>
                    <w:t>k</w:t>
                  </w:r>
                  <w:r>
                    <w:rPr>
                      <w:b/>
                      <w:i/>
                      <w:vertAlign w:val="subscript"/>
                    </w:rPr>
                    <w:t>w,m</w:t>
                  </w:r>
                  <w:r>
                    <w:rPr>
                      <w:b/>
                    </w:rPr>
                    <w:t xml:space="preserve"> vertės</w:t>
                  </w:r>
                </w:p>
                <w:p>
                  <w:pPr>
                    <w:jc w:val="right"/>
                  </w:pPr>
                  <w:r>
                    <w:t>2.5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1"/>
                    <w:gridCol w:w="4779"/>
                  </w:tblGrid>
                  <w:tr>
                    <w:tc>
                      <w:tcPr>
                        <w:tcW w:w="2591"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Sienos apibūdinimas</w:t>
                        </w:r>
                      </w:p>
                    </w:tc>
                    <w:tc>
                      <w:tcPr>
                        <w:tcW w:w="2409"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w,m</w:t>
                        </w:r>
                      </w:p>
                    </w:tc>
                  </w:tr>
                  <w:tr>
                    <w:tc>
                      <w:tcPr>
                        <w:tcW w:w="259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Sienos tarp patalpų ir išorės</w:t>
                        </w:r>
                      </w:p>
                    </w:tc>
                    <w:tc>
                      <w:tcPr>
                        <w:tcW w:w="240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259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Sienos tarp patalpų ir šiltnamio</w:t>
                        </w:r>
                      </w:p>
                    </w:tc>
                    <w:tc>
                      <w:tcPr>
                        <w:tcW w:w="240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259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Sienos tarp patalpų ir įstiklinto balkono arba įstiklintų galerijų</w:t>
                        </w:r>
                      </w:p>
                    </w:tc>
                    <w:tc>
                      <w:tcPr>
                        <w:tcW w:w="240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259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Sienos tarp šildomo ir nešildomo pastato patalpų</w:t>
                        </w:r>
                      </w:p>
                    </w:tc>
                    <w:tc>
                      <w:tcPr>
                        <w:tcW w:w="240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0,75</w:t>
                        </w:r>
                      </w:p>
                    </w:tc>
                  </w:tr>
                  <w:tr>
                    <w:tc>
                      <w:tcPr>
                        <w:tcW w:w="259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Sienos tarp šildomų ir nešildomų apšiltintų patalpų</w:t>
                        </w:r>
                      </w:p>
                    </w:tc>
                    <w:tc>
                      <w:tcPr>
                        <w:tcW w:w="240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Apskaičiuojama pagal Reglamento 14 priedo reikalavimus</w:t>
                        </w:r>
                      </w:p>
                    </w:tc>
                  </w:tr>
                </w:tbl>
                <w:p>
                  <w:pPr>
                    <w:rPr>
                      <w:rFonts w:eastAsia="Calibri"/>
                      <w:szCs w:val="22"/>
                    </w:rPr>
                  </w:pPr>
                </w:p>
                <w:p>
                  <w:pPr>
                    <w:jc w:val="center"/>
                    <w:rPr>
                      <w:b/>
                    </w:rPr>
                  </w:pPr>
                  <w:r>
                    <w:rPr>
                      <w:b/>
                    </w:rPr>
                    <w:t xml:space="preserve">Dienų kiekis atitinkamą metų mėnesį </w:t>
                  </w:r>
                  <w:r>
                    <w:rPr>
                      <w:b/>
                      <w:i/>
                    </w:rPr>
                    <w:t>t</w:t>
                  </w:r>
                  <w:r>
                    <w:rPr>
                      <w:b/>
                      <w:i/>
                      <w:vertAlign w:val="subscript"/>
                    </w:rPr>
                    <w:t>m</w:t>
                  </w:r>
                  <w:r>
                    <w:rPr>
                      <w:b/>
                      <w:vertAlign w:val="subscript"/>
                    </w:rPr>
                    <w:t xml:space="preserve"> </w:t>
                  </w:r>
                  <w:r>
                    <w:rPr>
                      <w:b/>
                    </w:rPr>
                    <w:t xml:space="preserve">(vnt.) ir vidutinės mėnesio išorės oro temperatūros </w:t>
                  </w:r>
                  <w:r>
                    <w:rPr>
                      <w:b/>
                      <w:i/>
                    </w:rPr>
                    <w:t>θ</w:t>
                  </w:r>
                  <w:r>
                    <w:rPr>
                      <w:b/>
                      <w:i/>
                      <w:vertAlign w:val="subscript"/>
                    </w:rPr>
                    <w:t>e,m</w:t>
                  </w:r>
                  <w:r>
                    <w:rPr>
                      <w:b/>
                    </w:rPr>
                    <w:t xml:space="preserve"> (°C)</w:t>
                  </w:r>
                </w:p>
                <w:p>
                  <w:pPr>
                    <w:ind w:left="720"/>
                    <w:jc w:val="right"/>
                  </w:pPr>
                  <w:r>
                    <w:t>2.6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716"/>
                    <w:gridCol w:w="716"/>
                    <w:gridCol w:w="717"/>
                    <w:gridCol w:w="716"/>
                    <w:gridCol w:w="716"/>
                    <w:gridCol w:w="716"/>
                    <w:gridCol w:w="716"/>
                    <w:gridCol w:w="716"/>
                    <w:gridCol w:w="716"/>
                    <w:gridCol w:w="722"/>
                    <w:gridCol w:w="723"/>
                    <w:gridCol w:w="723"/>
                  </w:tblGrid>
                  <w:tr>
                    <w:trPr>
                      <w:gridBefore w:val="1"/>
                      <w:wBefore w:w="957" w:type="dxa"/>
                      <w:trHeight w:val="268"/>
                    </w:trPr>
                    <w:tc>
                      <w:tcPr>
                        <w:tcW w:w="8613" w:type="dxa"/>
                        <w:gridSpan w:val="12"/>
                        <w:tcBorders>
                          <w:top w:val="single" w:sz="4" w:space="0" w:color="auto"/>
                          <w:left w:val="single" w:sz="4" w:space="0" w:color="auto"/>
                          <w:bottom w:val="nil"/>
                          <w:right w:val="single" w:sz="4" w:space="0" w:color="auto"/>
                        </w:tcBorders>
                        <w:hideMark/>
                      </w:tcPr>
                      <w:p>
                        <w:pPr>
                          <w:spacing w:line="276" w:lineRule="auto"/>
                          <w:jc w:val="center"/>
                          <w:rPr>
                            <w:rFonts w:eastAsia="Calibri"/>
                            <w:spacing w:val="-6"/>
                            <w:szCs w:val="22"/>
                          </w:rPr>
                        </w:pPr>
                        <w:r>
                          <w:rPr>
                            <w:spacing w:val="-6"/>
                          </w:rPr>
                          <w:t>Metų mėnesio numeris</w:t>
                        </w:r>
                      </w:p>
                    </w:tc>
                  </w:tr>
                  <w:tr>
                    <w:tc>
                      <w:tcPr>
                        <w:tcW w:w="957"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szCs w:val="22"/>
                          </w:rPr>
                        </w:pP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7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7</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9</w:t>
                        </w:r>
                      </w:p>
                    </w:tc>
                    <w:tc>
                      <w:tcPr>
                        <w:tcW w:w="72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w:t>
                        </w:r>
                      </w:p>
                    </w:tc>
                    <w:tc>
                      <w:tcPr>
                        <w:tcW w:w="72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11</w:t>
                        </w:r>
                      </w:p>
                    </w:tc>
                    <w:tc>
                      <w:tcPr>
                        <w:tcW w:w="72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12</w:t>
                        </w:r>
                      </w:p>
                    </w:tc>
                  </w:tr>
                  <w:tr>
                    <w:tc>
                      <w:tcPr>
                        <w:tcW w:w="9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i/>
                          </w:rPr>
                          <w:t>t</w:t>
                        </w:r>
                        <w:r>
                          <w:rPr>
                            <w:i/>
                            <w:vertAlign w:val="subscript"/>
                          </w:rPr>
                          <w:t>m</w:t>
                        </w:r>
                        <w:r>
                          <w:rPr>
                            <w:i/>
                          </w:rPr>
                          <w:t xml:space="preserve">, </w:t>
                        </w:r>
                        <w:r>
                          <w:t>vnt</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28</w:t>
                        </w:r>
                      </w:p>
                    </w:tc>
                    <w:tc>
                      <w:tcPr>
                        <w:tcW w:w="717"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30</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30</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30</w:t>
                        </w:r>
                      </w:p>
                    </w:tc>
                    <w:tc>
                      <w:tcPr>
                        <w:tcW w:w="722"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c>
                      <w:tcPr>
                        <w:tcW w:w="723"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30</w:t>
                        </w:r>
                      </w:p>
                    </w:tc>
                    <w:tc>
                      <w:tcPr>
                        <w:tcW w:w="723"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2"/>
                          </w:rPr>
                        </w:pPr>
                        <w:r>
                          <w:rPr>
                            <w:bCs/>
                            <w:sz w:val="22"/>
                          </w:rPr>
                          <w:t>31</w:t>
                        </w:r>
                      </w:p>
                    </w:tc>
                  </w:tr>
                  <w:tr>
                    <w:tc>
                      <w:tcPr>
                        <w:tcW w:w="95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i/>
                          </w:rPr>
                          <w:t>θ</w:t>
                        </w:r>
                        <w:r>
                          <w:rPr>
                            <w:i/>
                            <w:vertAlign w:val="subscript"/>
                          </w:rPr>
                          <w:t>e,m</w:t>
                        </w:r>
                        <w:r>
                          <w:rPr>
                            <w:i/>
                          </w:rPr>
                          <w:t>,</w:t>
                        </w:r>
                        <w:r>
                          <w:t>°C</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-5,1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-4,4</w:t>
                        </w:r>
                      </w:p>
                    </w:tc>
                    <w:tc>
                      <w:tcPr>
                        <w:tcW w:w="717"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-0,7</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5,5</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11, 9</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15,4</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16,7</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16,2</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11,9</w:t>
                        </w:r>
                      </w:p>
                    </w:tc>
                    <w:tc>
                      <w:tcPr>
                        <w:tcW w:w="722"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7,2</w:t>
                        </w:r>
                      </w:p>
                    </w:tc>
                    <w:tc>
                      <w:tcPr>
                        <w:tcW w:w="723"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2</w:t>
                        </w:r>
                      </w:p>
                    </w:tc>
                    <w:tc>
                      <w:tcPr>
                        <w:tcW w:w="723"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szCs w:val="22"/>
                          </w:rPr>
                        </w:pPr>
                        <w:r>
                          <w:rPr>
                            <w:sz w:val="22"/>
                          </w:rPr>
                          <w:t>-2,4</w:t>
                        </w:r>
                      </w:p>
                    </w:tc>
                  </w:tr>
                </w:tbl>
                <w:p>
                  <w:pPr>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2 pr. 7 p."/>
                <w:tag w:val="part_2de34208b5ce403fb0bbc528f5b3529a"/>
                <w:lock w:val="sdtLocked"/>
                <w:richText/>
              </w:sdtPr>
              <w:sdtContent>
                <w:p>
                  <w:pPr>
                    <w:ind w:firstLine="570"/>
                    <w:jc w:val="both"/>
                    <w:rPr>
                      <w:color w:val="000000"/>
                    </w:rPr>
                  </w:pPr>
                  <w:sdt>
                    <w:sdtPr>
                      <w:alias w:val="Numeris"/>
                      <w:tag w:val="nr_2de34208b5ce403fb0bbc528f5b3529a"/>
                      <w:lock w:val="sdtLocked"/>
                      <w:richText/>
                    </w:sdtPr>
                    <w:sdtContent>
                      <w:r>
                        <w:rPr>
                          <w:color w:val="000000"/>
                        </w:rPr>
                        <w:t>7</w:t>
                      </w:r>
                    </w:sdtContent>
                  </w:sdt>
                  <w:r>
                    <w:rPr>
                      <w:color w:val="000000"/>
                    </w:rPr>
                    <w:t xml:space="preserve">. Kiekvieno mėnesio </w:t>
                  </w:r>
                  <w:r>
                    <w:rPr>
                      <w:i/>
                      <w:color w:val="000000"/>
                    </w:rPr>
                    <w:t>„m“</w:t>
                  </w:r>
                  <w:r>
                    <w:rPr>
                      <w:color w:val="000000"/>
                    </w:rPr>
                    <w:t xml:space="preserve"> skaičiuojamieji </w:t>
                  </w:r>
                  <w:r>
                    <w:rPr>
                      <w:i/>
                      <w:color w:val="000000"/>
                    </w:rPr>
                    <w:t>Q</w:t>
                  </w:r>
                  <w:r>
                    <w:rPr>
                      <w:i/>
                      <w:color w:val="000000"/>
                      <w:vertAlign w:val="subscript"/>
                    </w:rPr>
                    <w:t>C.w,m</w:t>
                  </w:r>
                  <w:r>
                    <w:rPr>
                      <w:color w:val="000000"/>
                    </w:rPr>
                    <w:t xml:space="preserve"> (kWh/(m</w:t>
                  </w:r>
                  <w:r>
                    <w:rPr>
                      <w:color w:val="000000"/>
                      <w:vertAlign w:val="superscript"/>
                    </w:rPr>
                    <w:t>2</w:t>
                  </w:r>
                  <w:r>
                    <w:rPr>
                      <w:color w:val="000000"/>
                    </w:rPr>
                    <w:t xml:space="preserve">·mėn.)) šilumos nuostoliai per pastato sienas, pagal kuriuos skaičiuojami energijos poreikiai pastatui vėsinti,  apskaičiuojami pagal formules:</w:t>
                  </w: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5460" w:dyaOrig="730">
                            <v:shape id="_x0000_i1038" type="#_x0000_t75" style="width:272.65pt;height:37.2pt" o:ole="">
                              <v:imagedata r:id="rId294" o:title=""/>
                            </v:shape>
                            <o:OLEObject Type="Embed" ProgID="Equation.3" ShapeID="_x0000_i1038" DrawAspect="Content" ObjectID="_0000000001" r:id="rId295"/>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(2.10)</w:t>
                        </w:r>
                      </w:p>
                    </w:tc>
                  </w:tr>
                </w:tbl>
                <w:p>
                  <w:pPr>
                    <w:tabs>
                      <w:tab w:val="left" w:pos="567"/>
                    </w:tabs>
                    <w:rPr>
                      <w:rFonts w:eastAsia="Calibri"/>
                      <w:color w:val="000000"/>
                      <w:szCs w:val="22"/>
                    </w:rPr>
                  </w:pPr>
                  <w:r>
                    <w:rPr>
                      <w:color w:val="000000"/>
                    </w:rPr>
                    <w:t xml:space="preserve">čia: </w:t>
                    <w:tab/>
                  </w:r>
                  <w:r>
                    <w:rPr>
                      <w:i/>
                      <w:color w:val="000000"/>
                    </w:rPr>
                    <w:t>θ</w:t>
                  </w:r>
                  <w:r>
                    <w:rPr>
                      <w:i/>
                      <w:color w:val="000000"/>
                      <w:vertAlign w:val="subscript"/>
                    </w:rPr>
                    <w:t>iC</w:t>
                  </w:r>
                  <w:r>
                    <w:rPr>
                      <w:color w:val="000000"/>
                    </w:rPr>
                    <w:t xml:space="preserve"> – pastato vidaus temperatūra nešildymo sezono metu (°C), imama iš 2.4 lentelės.</w:t>
                  </w:r>
                </w:p>
                <w:p>
                  <w:pPr>
                    <w:rPr>
                      <w:color w:val="000000"/>
                    </w:rPr>
                  </w:pPr>
                </w:p>
                <w:p>
                  <w:pPr>
                    <w:rPr>
                      <w:color w:val="000000"/>
                      <w:sz w:val="18"/>
                      <w:szCs w:val="18"/>
                    </w:rPr>
                  </w:pPr>
                </w:p>
              </w:sdtContent>
            </w:sdt>
          </w:sdtContent>
        </w:sdt>
        <w:sdt>
          <w:sdtPr>
            <w:alias w:val="skyrius"/>
            <w:tag w:val="part_523c7ad1a84847438524f34c97cdd592"/>
            <w:lock w:val="sdtLocked"/>
            <w:richText/>
          </w:sdtPr>
          <w:sdtContent>
            <w:p>
              <w:pPr>
                <w:keepNext/>
                <w:keepLines/>
                <w:jc w:val="center"/>
                <w:outlineLvl w:val="2"/>
                <w:rPr>
                  <w:b/>
                  <w:bCs/>
                </w:rPr>
              </w:pPr>
              <w:sdt>
                <w:sdtPr>
                  <w:alias w:val="Numeris"/>
                  <w:tag w:val="nr_523c7ad1a84847438524f34c97cdd592"/>
                  <w:lock w:val="sdtLocked"/>
                  <w:richText/>
                </w:sdtPr>
                <w:sdtContent>
                  <w:r>
                    <w:rPr>
                      <w:b/>
                      <w:bCs/>
                    </w:rPr>
                    <w:t>V</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523c7ad1a84847438524f34c97cdd592"/>
                  <w:lock w:val="sdtLocked"/>
                  <w:richText/>
                </w:sdtPr>
                <w:sdtContent>
                  <w:r>
                    <w:rPr>
                      <w:b/>
                      <w:bCs/>
                    </w:rPr>
                    <w:t>Mėnesinių šilumos nuostolių per pastato stogus skaičiavimas</w:t>
                  </w:r>
                </w:sdtContent>
              </w:sdt>
            </w:p>
            <w:sdt>
              <w:sdtPr>
                <w:alias w:val="2 pr. 8 p."/>
                <w:tag w:val="part_295f925d63634b3c944c4fb8639a0022"/>
                <w:lock w:val="sdtLocked"/>
                <w:richText/>
              </w:sdtPr>
              <w:sdtContent>
                <w:p>
                  <w:pPr>
                    <w:ind w:firstLine="570"/>
                    <w:jc w:val="both"/>
                    <w:rPr>
                      <w:color w:val="000000"/>
                    </w:rPr>
                  </w:pPr>
                  <w:sdt>
                    <w:sdtPr>
                      <w:alias w:val="Numeris"/>
                      <w:tag w:val="nr_295f925d63634b3c944c4fb8639a0022"/>
                      <w:lock w:val="sdtLocked"/>
                      <w:richText/>
                    </w:sdtPr>
                    <w:sdtContent>
                      <w:r>
                        <w:rPr>
                          <w:color w:val="000000"/>
                        </w:rPr>
                        <w:t>8</w:t>
                      </w:r>
                    </w:sdtContent>
                  </w:sdt>
                  <w:r>
                    <w:rPr>
                      <w:color w:val="000000"/>
                    </w:rPr>
                    <w:t xml:space="preserve">. Stogų atitvaroms priskiriamos ir perdangos po nešildoma pastoge, ir perdangos po patalpų oru vėdinamomis pastogėmis daugiaaukščiuose pastatuose. Kiekvieno mėnesio </w:t>
                  </w:r>
                  <w:r>
                    <w:rPr>
                      <w:i/>
                      <w:color w:val="000000"/>
                    </w:rPr>
                    <w:t>„m“</w:t>
                  </w:r>
                  <w:r>
                    <w:rPr>
                      <w:color w:val="000000"/>
                    </w:rPr>
                    <w:t xml:space="preserve"> norminiai </w:t>
                  </w:r>
                  <w:r>
                    <w:rPr>
                      <w:i/>
                      <w:color w:val="000000"/>
                    </w:rPr>
                    <w:t>Q</w:t>
                  </w:r>
                  <w:r>
                    <w:rPr>
                      <w:i/>
                      <w:color w:val="000000"/>
                      <w:vertAlign w:val="subscript"/>
                    </w:rPr>
                    <w:t>N.H.r,m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R.H.r,m</w:t>
                  </w:r>
                  <w:r>
                    <w:rPr>
                      <w:color w:val="000000"/>
                    </w:rPr>
                    <w:t xml:space="preserve"> (kWh/(m</w:t>
                  </w:r>
                  <w:r>
                    <w:rPr>
                      <w:color w:val="000000"/>
                      <w:vertAlign w:val="superscript"/>
                    </w:rPr>
                    <w:t>2</w:t>
                  </w:r>
                  <w:r>
                    <w:rPr>
                      <w:color w:val="000000"/>
                    </w:rPr>
                    <w:t xml:space="preserve">·mėn.)) ir skaičiuojamieji </w:t>
                  </w:r>
                  <w:r>
                    <w:rPr>
                      <w:i/>
                      <w:color w:val="000000"/>
                    </w:rPr>
                    <w:t>Q</w:t>
                  </w:r>
                  <w:r>
                    <w:rPr>
                      <w:i/>
                      <w:color w:val="000000"/>
                      <w:vertAlign w:val="subscript"/>
                    </w:rPr>
                    <w:t>H.r,m</w:t>
                  </w:r>
                  <w:r>
                    <w:rPr>
                      <w:color w:val="000000"/>
                    </w:rPr>
                    <w:t xml:space="preserve"> (kWh/(m</w:t>
                  </w:r>
                  <w:r>
                    <w:rPr>
                      <w:color w:val="000000"/>
                      <w:vertAlign w:val="superscript"/>
                    </w:rPr>
                    <w:t>2</w:t>
                  </w:r>
                  <w:r>
                    <w:rPr>
                      <w:color w:val="000000"/>
                    </w:rPr>
                    <w:t xml:space="preserve">·mėn.)) šilumos nuostoliai per pastato stogus, pagal kuriuos skaičiuojami energijos poreikiai pastatui šildyti,  apskaičiuojami pagal formules:</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b/>
                            <w:bCs/>
                            <w:color w:val="000000"/>
                            <w:position w:val="-30"/>
                            <w:szCs w:val="22"/>
                          </w:rPr>
                          <w:object w:dxaOrig="4860" w:dyaOrig="650">
                            <v:shape id="_x0000_i1039" type="#_x0000_t75" style="width:242.7pt;height:32.35pt" o:ole="">
                              <v:imagedata r:id="rId296" o:title=""/>
                            </v:shape>
                            <o:OLEObject Type="Embed" ProgID="Equation.3" ShapeID="_x0000_i1039" DrawAspect="Content" ObjectID="_0000000001" r:id="rId29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(2.11)</w:t>
                        </w:r>
                      </w:p>
                    </w:tc>
                  </w:tr>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4450" w:dyaOrig="680">
                            <v:shape id="_x0000_i1040" type="#_x0000_t75" style="width:221.65pt;height:34pt" o:ole="">
                              <v:imagedata r:id="rId298" o:title=""/>
                            </v:shape>
                            <o:OLEObject Type="Embed" ProgID="Equation.3" ShapeID="_x0000_i1040" DrawAspect="Content" ObjectID="_0000000001" r:id="rId299"/>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(2.12)</w:t>
                        </w:r>
                      </w:p>
                    </w:tc>
                  </w:tr>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5360" w:dyaOrig="730">
                            <v:shape id="_x0000_i1041" type="#_x0000_t75" style="width:267.8pt;height:37.2pt" o:ole="">
                              <v:imagedata r:id="rId300" o:title=""/>
                            </v:shape>
                            <o:OLEObject Type="Embed" ProgID="Equation.3" ShapeID="_x0000_i1041" DrawAspect="Content" ObjectID="_0000000001" r:id="rId30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(2.13)</w:t>
                        </w:r>
                      </w:p>
                    </w:tc>
                  </w:tr>
                </w:tbl>
                <w:p>
                  <w:pPr>
                    <w:tabs>
                      <w:tab w:val="left" w:pos="567"/>
                    </w:tabs>
                    <w:rPr>
                      <w:rFonts w:eastAsia="Calibri"/>
                      <w:color w:val="000000"/>
                      <w:szCs w:val="22"/>
                    </w:rPr>
                  </w:pPr>
                  <w:r>
                    <w:rPr>
                      <w:color w:val="000000"/>
                    </w:rPr>
                    <w:t>čia:</w:t>
                    <w:tab/>
                  </w:r>
                  <w:r>
                    <w:rPr>
                      <w:bCs/>
                      <w:i/>
                      <w:color w:val="000000"/>
                    </w:rPr>
                    <w:t>A</w:t>
                  </w:r>
                  <w:r>
                    <w:rPr>
                      <w:bCs/>
                      <w:i/>
                      <w:color w:val="000000"/>
                      <w:vertAlign w:val="subscript"/>
                    </w:rPr>
                    <w:t>r.sum.</w:t>
                  </w:r>
                  <w:r>
                    <w:rPr>
                      <w:color w:val="000000"/>
                    </w:rPr>
                    <w:t xml:space="preserve"> – suminis stogo plotas (m</w:t>
                  </w:r>
                  <w:r>
                    <w:rPr>
                      <w:color w:val="000000"/>
                      <w:vertAlign w:val="superscript"/>
                    </w:rPr>
                    <w:t>2</w:t>
                  </w:r>
                  <w:r>
                    <w:rPr>
                      <w:color w:val="000000"/>
                    </w:rPr>
                    <w:t xml:space="preserve">), nustatomas pagal Reglamento 7 priedo reikalavimus; </w:t>
                  </w:r>
                </w:p>
                <w:p>
                  <w:pPr>
                    <w:ind w:firstLine="567"/>
                    <w:jc w:val="both"/>
                    <w:rPr>
                      <w:color w:val="000000"/>
                    </w:rPr>
                  </w:pPr>
                  <w:r>
                    <w:rPr>
                      <w:bCs/>
                      <w:i/>
                      <w:color w:val="000000"/>
                    </w:rPr>
                    <w:t>A</w:t>
                  </w:r>
                  <w:r>
                    <w:rPr>
                      <w:bCs/>
                      <w:i/>
                      <w:color w:val="000000"/>
                      <w:vertAlign w:val="subscript"/>
                    </w:rPr>
                    <w:t>r,x</w:t>
                  </w:r>
                  <w:r>
                    <w:rPr>
                      <w:color w:val="000000"/>
                    </w:rPr>
                    <w:t xml:space="preserve"> – atitinkamo „</w:t>
                  </w:r>
                  <w:r>
                    <w:rPr>
                      <w:i/>
                      <w:color w:val="000000"/>
                    </w:rPr>
                    <w:t>x</w:t>
                  </w:r>
                  <w:r>
                    <w:rPr>
                      <w:color w:val="000000"/>
                    </w:rPr>
                    <w:t>“ stogo ar stogo dalies plotas (m</w:t>
                  </w:r>
                  <w:r>
                    <w:rPr>
                      <w:color w:val="000000"/>
                      <w:vertAlign w:val="superscript"/>
                    </w:rPr>
                    <w:t>2</w:t>
                  </w:r>
                  <w:r>
                    <w:rPr>
                      <w:color w:val="000000"/>
                    </w:rPr>
                    <w:t xml:space="preserve">), nustatomas pagal Reglamento 7 priedo reikalavimus; </w:t>
                  </w:r>
                </w:p>
                <w:p>
                  <w:pPr>
                    <w:ind w:firstLine="567"/>
                    <w:jc w:val="both"/>
                    <w:rPr>
                      <w:color w:val="000000"/>
                    </w:rPr>
                  </w:pPr>
                  <w:r>
                    <w:rPr>
                      <w:bCs/>
                      <w:i/>
                      <w:color w:val="000000"/>
                    </w:rPr>
                    <w:t>U</w:t>
                  </w:r>
                  <w:r>
                    <w:rPr>
                      <w:bCs/>
                      <w:i/>
                      <w:color w:val="000000"/>
                      <w:vertAlign w:val="subscript"/>
                    </w:rPr>
                    <w:t>(C,B).r</w:t>
                  </w:r>
                  <w:r>
                    <w:rPr>
                      <w:color w:val="000000"/>
                    </w:rPr>
                    <w:t xml:space="preserve"> – stogų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67"/>
                    <w:jc w:val="both"/>
                    <w:rPr>
                      <w:color w:val="000000"/>
                    </w:rPr>
                  </w:pPr>
                  <w:r>
                    <w:rPr>
                      <w:bCs/>
                      <w:i/>
                      <w:color w:val="000000"/>
                    </w:rPr>
                    <w:t>U</w:t>
                  </w:r>
                  <w:r>
                    <w:rPr>
                      <w:bCs/>
                      <w:i/>
                      <w:color w:val="000000"/>
                      <w:vertAlign w:val="subscript"/>
                    </w:rPr>
                    <w:t>R.r</w:t>
                  </w:r>
                  <w:r>
                    <w:rPr>
                      <w:color w:val="000000"/>
                    </w:rPr>
                    <w:t xml:space="preserve"> – stogų šilumos perdavimo koeficientas (W/</w:t>
                  </w:r>
                  <w:r>
                    <w:rPr>
                      <w:color w:val="000000"/>
                      <w:spacing w:val="-6"/>
                    </w:rPr>
                    <w:t>(m</w:t>
                  </w:r>
                  <w:r>
                    <w:rPr>
                      <w:color w:val="000000"/>
                      <w:spacing w:val="-6"/>
                      <w:vertAlign w:val="superscript"/>
                    </w:rPr>
                    <w:t>2</w:t>
                  </w:r>
                  <w:r>
                    <w:rPr>
                      <w:color w:val="000000"/>
                      <w:spacing w:val="-6"/>
                    </w:rPr>
                    <w:t>·K)</w:t>
                  </w:r>
                  <w:r>
                    <w:rPr>
                      <w:color w:val="000000"/>
                    </w:rPr>
                    <w:t>),</w:t>
                  </w:r>
                  <w:r>
                    <w:rPr>
                      <w:color w:val="000000"/>
                      <w:spacing w:val="-6"/>
                    </w:rPr>
                    <w:t xml:space="preserve"> imamas iš Reglamento 2 lentelės;</w:t>
                  </w:r>
                </w:p>
                <w:p>
                  <w:pPr>
                    <w:ind w:firstLine="567"/>
                    <w:jc w:val="both"/>
                    <w:rPr>
                      <w:caps/>
                      <w:color w:val="000000"/>
                      <w:sz w:val="22"/>
                    </w:rPr>
                  </w:pPr>
                  <w:r>
                    <w:rPr>
                      <w:bCs/>
                      <w:i/>
                      <w:color w:val="000000"/>
                    </w:rPr>
                    <w:t>U</w:t>
                  </w:r>
                  <w:r>
                    <w:rPr>
                      <w:bCs/>
                      <w:i/>
                      <w:color w:val="000000"/>
                      <w:vertAlign w:val="subscript"/>
                    </w:rPr>
                    <w:t>r,x</w:t>
                  </w:r>
                  <w:r>
                    <w:rPr>
                      <w:color w:val="000000"/>
                    </w:rPr>
                    <w:t xml:space="preserve"> – atitinkamo „</w:t>
                  </w:r>
                  <w:r>
                    <w:rPr>
                      <w:i/>
                      <w:color w:val="000000"/>
                    </w:rPr>
                    <w:t>x</w:t>
                  </w:r>
                  <w:r>
                    <w:rPr>
                      <w:color w:val="000000"/>
                    </w:rPr>
                    <w:t>“ stogo ar stogo dalies skaičiuojamasis šilumos perdavimo koeficientas (W/</w:t>
                  </w:r>
                  <w:r>
                    <w:rPr>
                      <w:color w:val="000000"/>
                      <w:spacing w:val="-6"/>
                    </w:rPr>
                    <w:t>(m</w:t>
                  </w:r>
                  <w:r>
                    <w:rPr>
                      <w:color w:val="000000"/>
                      <w:spacing w:val="-6"/>
                      <w:vertAlign w:val="superscript"/>
                    </w:rPr>
                    <w:t>2</w:t>
                  </w:r>
                  <w:r>
                    <w:rPr>
                      <w:color w:val="000000"/>
                      <w:spacing w:val="-6"/>
                    </w:rPr>
                    <w:t>·K))</w:t>
                  </w:r>
                  <w:r>
                    <w:rPr>
                      <w:color w:val="000000"/>
                    </w:rPr>
                    <w:t>;</w:t>
                  </w:r>
                </w:p>
                <w:p>
                  <w:pPr>
                    <w:ind w:firstLine="567"/>
                    <w:jc w:val="both"/>
                    <w:rPr>
                      <w:color w:val="000000"/>
                    </w:rPr>
                  </w:pPr>
                  <w:r>
                    <w:rPr>
                      <w:bCs/>
                      <w:i/>
                      <w:color w:val="000000"/>
                    </w:rPr>
                    <w:t>k</w:t>
                  </w:r>
                  <w:r>
                    <w:rPr>
                      <w:bCs/>
                      <w:i/>
                      <w:color w:val="000000"/>
                      <w:vertAlign w:val="subscript"/>
                    </w:rPr>
                    <w:t xml:space="preserve">r,m,x </w:t>
                  </w:r>
                  <w:r>
                    <w:rPr>
                      <w:color w:val="000000"/>
                    </w:rPr>
                    <w:t>– kiekvieno mėnesio „m“ pataisos koeficientas atitinkamam „</w:t>
                  </w:r>
                  <w:r>
                    <w:rPr>
                      <w:i/>
                      <w:color w:val="000000"/>
                    </w:rPr>
                    <w:t>x</w:t>
                  </w:r>
                  <w:r>
                    <w:rPr>
                      <w:color w:val="000000"/>
                    </w:rPr>
                    <w:t>“ stogui ar stogo daliai, imamas iš 2.7 lentelės.</w:t>
                  </w:r>
                </w:p>
                <w:p>
                  <w:pPr>
                    <w:ind w:left="570"/>
                    <w:rPr>
                      <w:color w:val="000000"/>
                    </w:rPr>
                  </w:pPr>
                </w:p>
                <w:p>
                  <w:pPr>
                    <w:jc w:val="center"/>
                    <w:rPr>
                      <w:b/>
                    </w:rPr>
                  </w:pPr>
                  <w:r>
                    <w:rPr>
                      <w:b/>
                    </w:rPr>
                    <w:t xml:space="preserve">Pataisos koeficiento stogams </w:t>
                  </w:r>
                  <w:r>
                    <w:rPr>
                      <w:b/>
                      <w:i/>
                    </w:rPr>
                    <w:t>k</w:t>
                  </w:r>
                  <w:r>
                    <w:rPr>
                      <w:b/>
                      <w:i/>
                      <w:vertAlign w:val="subscript"/>
                    </w:rPr>
                    <w:t xml:space="preserve">r,m </w:t>
                  </w:r>
                  <w:r>
                    <w:rPr>
                      <w:b/>
                    </w:rPr>
                    <w:t xml:space="preserve"> vertės</w:t>
                  </w:r>
                </w:p>
                <w:p>
                  <w:pPr>
                    <w:jc w:val="right"/>
                  </w:pPr>
                  <w:r>
                    <w:t>2.7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51"/>
                    <w:gridCol w:w="4369"/>
                  </w:tblGrid>
                  <w:tr>
                    <w:tc>
                      <w:tcPr>
                        <w:tcW w:w="2798"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 xml:space="preserve">Stogo apibūdinimas </w:t>
                        </w:r>
                      </w:p>
                    </w:tc>
                    <w:tc>
                      <w:tcPr>
                        <w:tcW w:w="2202"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r,m</w: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po nešildoma pastoge arba stogai tarp šildomų ir nešildomų pastato patalpų</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rFonts w:eastAsia="Calibri"/>
                            <w:position w:val="-10"/>
                            <w:szCs w:val="22"/>
                          </w:rPr>
                          <w:object w:dxaOrig="2090" w:dyaOrig="380">
                            <v:shape id="_x0000_i1042" type="#_x0000_t75" style="width:104.35pt;height:17.8pt" o:ole="">
                              <v:imagedata r:id="rId302" o:title=""/>
                            </v:shape>
                            <o:OLEObject Type="Embed" ProgID="Equation.3" ShapeID="_x0000_i1042" DrawAspect="Content" ObjectID="_0000000001" r:id="rId303"/>
                          </w:objec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Perdangos po patalpų oru vėdinamomis pastogėmis </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0,13</w: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Stogai tarp patalpų ir išorės</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Stogai tarp patalpų ir šiltnamio</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Stogai tarp patalpų ir įstiklinto balkono arba įstiklintų galerijų</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2798"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Stogai tarp šildomų ir nešildomų apšiltintų patalpų</w:t>
                        </w:r>
                      </w:p>
                    </w:tc>
                    <w:tc>
                      <w:tcPr>
                        <w:tcW w:w="220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Apskaičiuojama pagal Reglamento 14 priedo reikalavimus</w:t>
                        </w:r>
                      </w:p>
                    </w:tc>
                  </w:tr>
                </w:tbl>
                <w:p>
                  <w:pPr>
                    <w:rPr>
                      <w:rFonts w:eastAsia="Calibri"/>
                      <w:szCs w:val="22"/>
                    </w:rPr>
                  </w:pPr>
                </w:p>
              </w:sdtContent>
            </w:sdt>
            <w:sdt>
              <w:sdtPr>
                <w:alias w:val="2 pr. 9 p."/>
                <w:tag w:val="part_e71f515672374c29b6bc47e77a772518"/>
                <w:lock w:val="sdtLocked"/>
                <w:richText/>
              </w:sdtPr>
              <w:sdtContent>
                <w:p>
                  <w:pPr>
                    <w:ind w:firstLine="570"/>
                    <w:jc w:val="both"/>
                    <w:rPr>
                      <w:color w:val="000000"/>
                    </w:rPr>
                  </w:pPr>
                  <w:sdt>
                    <w:sdtPr>
                      <w:alias w:val="Numeris"/>
                      <w:tag w:val="nr_e71f515672374c29b6bc47e77a772518"/>
                      <w:lock w:val="sdtLocked"/>
                      <w:richText/>
                    </w:sdtPr>
                    <w:sdtContent>
                      <w:r>
                        <w:rPr>
                          <w:color w:val="000000"/>
                        </w:rPr>
                        <w:t>9</w:t>
                      </w:r>
                    </w:sdtContent>
                  </w:sdt>
                  <w:r>
                    <w:rPr>
                      <w:color w:val="000000"/>
                    </w:rPr>
                    <w:t xml:space="preserve">. Kiekvieno mėnesio </w:t>
                  </w:r>
                  <w:r>
                    <w:rPr>
                      <w:i/>
                      <w:color w:val="000000"/>
                    </w:rPr>
                    <w:t>„m“</w:t>
                  </w:r>
                  <w:r>
                    <w:rPr>
                      <w:color w:val="000000"/>
                    </w:rPr>
                    <w:t xml:space="preserve"> skaičiuojamieji šilumos nuostoliai per pastato stogus</w:t>
                  </w:r>
                  <w:r>
                    <w:rPr>
                      <w:i/>
                      <w:color w:val="000000"/>
                    </w:rPr>
                    <w:t xml:space="preserve"> Q</w:t>
                  </w:r>
                  <w:r>
                    <w:rPr>
                      <w:i/>
                      <w:color w:val="000000"/>
                      <w:vertAlign w:val="subscript"/>
                    </w:rPr>
                    <w:t>C.r,m</w:t>
                  </w:r>
                  <w:r>
                    <w:rPr>
                      <w:color w:val="000000"/>
                    </w:rPr>
                    <w:t xml:space="preserve"> (kWh/(m</w:t>
                  </w:r>
                  <w:r>
                    <w:rPr>
                      <w:color w:val="000000"/>
                      <w:vertAlign w:val="superscript"/>
                    </w:rPr>
                    <w:t>2</w:t>
                  </w:r>
                  <w:r>
                    <w:rPr>
                      <w:color w:val="000000"/>
                      <w:spacing w:val="-6"/>
                    </w:rPr>
                    <w:t>·</w:t>
                  </w:r>
                  <w:r>
                    <w:rPr>
                      <w:color w:val="000000"/>
                    </w:rPr>
                    <w:t>mėn.)), pagal kuriuos skaičiuojami energijos poreikiai pastatui vėsinti, apskaičiuojami pagal formulę:</w:t>
                  </w: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5270" w:dyaOrig="730">
                            <v:shape id="_x0000_i1043" type="#_x0000_t75" style="width:262.9pt;height:37.2pt" o:ole="">
                              <v:imagedata r:id="rId304" o:title=""/>
                            </v:shape>
                            <o:OLEObject Type="Embed" ProgID="Equation.3" ShapeID="_x0000_i1043" DrawAspect="Content" ObjectID="_0000000001" r:id="rId305"/>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(2.14)</w:t>
                        </w:r>
                      </w:p>
                    </w:tc>
                  </w:tr>
                </w:tbl>
                <w:p>
                  <w:pPr>
                    <w:rPr>
                      <w:color w:val="000000"/>
                      <w:sz w:val="18"/>
                      <w:szCs w:val="18"/>
                    </w:rPr>
                  </w:pPr>
                </w:p>
              </w:sdtContent>
            </w:sdt>
          </w:sdtContent>
        </w:sdt>
        <w:sdt>
          <w:sdtPr>
            <w:alias w:val="skyrius"/>
            <w:tag w:val="part_4f38e21d33874f08be3ea17b0aa32f7e"/>
            <w:lock w:val="sdtLocked"/>
            <w:richText/>
          </w:sdtPr>
          <w:sdtContent>
            <w:p>
              <w:pPr>
                <w:keepNext/>
                <w:keepLines/>
                <w:jc w:val="center"/>
                <w:outlineLvl w:val="2"/>
                <w:rPr>
                  <w:b/>
                  <w:bCs/>
                  <w:szCs w:val="24"/>
                  <w:lang w:eastAsia="lt-LT"/>
                </w:rPr>
              </w:pPr>
              <w:sdt>
                <w:sdtPr>
                  <w:alias w:val="Numeris"/>
                  <w:tag w:val="nr_4f38e21d33874f08be3ea17b0aa32f7e"/>
                  <w:lock w:val="sdtLocked"/>
                  <w:richText/>
                </w:sdtPr>
                <w:sdtContent>
                  <w:r>
                    <w:rPr>
                      <w:b/>
                      <w:bCs/>
                    </w:rPr>
                    <w:t>VI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4f38e21d33874f08be3ea17b0aa32f7e"/>
                  <w:lock w:val="sdtLocked"/>
                  <w:richText/>
                </w:sdtPr>
                <w:sdtContent>
                  <w:r>
                    <w:rPr>
                      <w:b/>
                      <w:bCs/>
                    </w:rPr>
                    <w:t xml:space="preserve">Mėnesinių šilumos nuostolių per pastato perdangas, kurios ribojasi su išore, skaičiavimas </w:t>
                  </w:r>
                </w:sdtContent>
              </w:sdt>
            </w:p>
            <w:sdt>
              <w:sdtPr>
                <w:alias w:val="2 pr. 10 p."/>
                <w:tag w:val="part_44752737cfbc4a1f8902e5fee1c9c752"/>
                <w:lock w:val="sdtLocked"/>
                <w:richText/>
              </w:sdtPr>
              <w:sdtContent>
                <w:p>
                  <w:pPr>
                    <w:ind w:firstLine="570"/>
                    <w:jc w:val="both"/>
                    <w:rPr>
                      <w:color w:val="000000"/>
                    </w:rPr>
                  </w:pPr>
                  <w:sdt>
                    <w:sdtPr>
                      <w:alias w:val="Numeris"/>
                      <w:tag w:val="nr_44752737cfbc4a1f8902e5fee1c9c752"/>
                      <w:lock w:val="sdtLocked"/>
                      <w:richText/>
                    </w:sdtPr>
                    <w:sdtContent>
                      <w:r>
                        <w:rPr>
                          <w:color w:val="000000"/>
                        </w:rPr>
                        <w:t>10</w:t>
                      </w:r>
                    </w:sdtContent>
                  </w:sdt>
                  <w:r>
                    <w:rPr>
                      <w:color w:val="000000"/>
                    </w:rPr>
                    <w:t xml:space="preserve">. Kiekvieno mėnesio </w:t>
                  </w:r>
                  <w:r>
                    <w:rPr>
                      <w:i/>
                      <w:color w:val="000000"/>
                    </w:rPr>
                    <w:t>„m“</w:t>
                  </w:r>
                  <w:r>
                    <w:rPr>
                      <w:color w:val="000000"/>
                    </w:rPr>
                    <w:t xml:space="preserve"> norminiai </w:t>
                  </w:r>
                  <w:r>
                    <w:rPr>
                      <w:i/>
                      <w:color w:val="000000"/>
                    </w:rPr>
                    <w:t>Q</w:t>
                  </w:r>
                  <w:r>
                    <w:rPr>
                      <w:i/>
                      <w:color w:val="000000"/>
                      <w:vertAlign w:val="subscript"/>
                    </w:rPr>
                    <w:t>N.H.ce,m</w:t>
                  </w:r>
                  <w:r>
                    <w:rPr>
                      <w:color w:val="000000"/>
                    </w:rPr>
                    <w:t xml:space="preserve"> (kWh/(m</w:t>
                  </w:r>
                  <w:r>
                    <w:rPr>
                      <w:color w:val="000000"/>
                      <w:vertAlign w:val="superscript"/>
                    </w:rPr>
                    <w:t>2</w:t>
                  </w:r>
                  <w:r>
                    <w:rPr>
                      <w:color w:val="000000"/>
                      <w:spacing w:val="-6"/>
                    </w:rPr>
                    <w:t>·</w:t>
                  </w:r>
                  <w:r>
                    <w:rPr>
                      <w:color w:val="000000"/>
                    </w:rPr>
                    <w:t xml:space="preserve">mėn.)), atskaitiniai </w:t>
                  </w:r>
                  <w:r>
                    <w:rPr>
                      <w:i/>
                      <w:color w:val="000000"/>
                    </w:rPr>
                    <w:t>Q</w:t>
                  </w:r>
                  <w:r>
                    <w:rPr>
                      <w:i/>
                      <w:color w:val="000000"/>
                      <w:vertAlign w:val="subscript"/>
                    </w:rPr>
                    <w:t>R.H.ce,m</w:t>
                  </w:r>
                  <w:r>
                    <w:rPr>
                      <w:color w:val="000000"/>
                    </w:rPr>
                    <w:t xml:space="preserve"> (kWh/(m</w:t>
                  </w:r>
                  <w:r>
                    <w:rPr>
                      <w:color w:val="000000"/>
                      <w:vertAlign w:val="superscript"/>
                    </w:rPr>
                    <w:t>2</w:t>
                  </w:r>
                  <w:r>
                    <w:rPr>
                      <w:color w:val="000000"/>
                      <w:spacing w:val="-6"/>
                    </w:rPr>
                    <w:t>·</w:t>
                  </w:r>
                  <w:r>
                    <w:rPr>
                      <w:color w:val="000000"/>
                    </w:rPr>
                    <w:t xml:space="preserve">mėn.)) ir skaičiuojamieji </w:t>
                  </w:r>
                  <w:r>
                    <w:rPr>
                      <w:i/>
                      <w:color w:val="000000"/>
                    </w:rPr>
                    <w:t>Q</w:t>
                  </w:r>
                  <w:r>
                    <w:rPr>
                      <w:i/>
                      <w:color w:val="000000"/>
                      <w:vertAlign w:val="subscript"/>
                    </w:rPr>
                    <w:t>H.ce,.m</w:t>
                  </w:r>
                  <w:r>
                    <w:rPr>
                      <w:color w:val="000000"/>
                    </w:rPr>
                    <w:t xml:space="preserve"> (kWh/(m</w:t>
                  </w:r>
                  <w:r>
                    <w:rPr>
                      <w:color w:val="000000"/>
                      <w:vertAlign w:val="superscript"/>
                    </w:rPr>
                    <w:t>2</w:t>
                  </w:r>
                  <w:r>
                    <w:rPr>
                      <w:color w:val="000000"/>
                      <w:spacing w:val="-6"/>
                    </w:rPr>
                    <w:t>·</w:t>
                  </w:r>
                  <w:r>
                    <w:rPr>
                      <w:color w:val="000000"/>
                    </w:rPr>
                    <w:t>mėn.)) šilumos nuostoliai per su išore besiribojančias pastato perdangas, pagal kuriuos skaičiuojami energijos poreikiai pastatui šildyti, apskaičiuojami pagal formules:</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b/>
                            <w:bCs/>
                            <w:color w:val="000000"/>
                            <w:position w:val="-30"/>
                            <w:szCs w:val="22"/>
                          </w:rPr>
                          <w:object w:dxaOrig="5080" w:dyaOrig="650">
                            <v:shape id="_x0000_i1044" type="#_x0000_t75" style="width:254.85pt;height:32.35pt" o:ole="">
                              <v:imagedata r:id="rId306" o:title=""/>
                            </v:shape>
                            <o:OLEObject Type="Embed" ProgID="Equation.3" ShapeID="_x0000_i1044" DrawAspect="Content" ObjectID="_0000000001" r:id="rId30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(2.15)</w:t>
                        </w:r>
                      </w:p>
                    </w:tc>
                  </w:tr>
                </w:tbl>
                <w:p>
                  <w:pPr>
                    <w:ind w:firstLine="570"/>
                    <w:rPr>
                      <w:rFonts w:eastAsia="Calibri"/>
                      <w:color w:val="000000"/>
                      <w:szCs w:val="22"/>
                    </w:rPr>
                  </w:pP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4720" w:dyaOrig="680">
                            <v:shape id="_x0000_i1045" type="#_x0000_t75" style="width:236.2pt;height:34pt" o:ole="">
                              <v:imagedata r:id="rId308" o:title=""/>
                            </v:shape>
                            <o:OLEObject Type="Embed" ProgID="Equation.3" ShapeID="_x0000_i1045" DrawAspect="Content" ObjectID="_0000000001" r:id="rId309"/>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(2.16)</w:t>
                        </w:r>
                      </w:p>
                    </w:tc>
                  </w:tr>
                </w:tbl>
                <w:p>
                  <w:pPr>
                    <w:ind w:firstLine="570"/>
                    <w:rPr>
                      <w:rFonts w:eastAsia="Calibri"/>
                      <w:color w:val="000000"/>
                      <w:szCs w:val="22"/>
                    </w:rPr>
                  </w:pP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5580" w:dyaOrig="730">
                            <v:shape id="_x0000_i1046" type="#_x0000_t75" style="width:279.1pt;height:37.2pt" o:ole="">
                              <v:imagedata r:id="rId310" o:title=""/>
                            </v:shape>
                            <o:OLEObject Type="Embed" ProgID="Equation.3" ShapeID="_x0000_i1046" DrawAspect="Content" ObjectID="_0000000001" r:id="rId31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(2.17)</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ce.sum</w:t>
                  </w:r>
                  <w:r>
                    <w:rPr>
                      <w:color w:val="000000"/>
                    </w:rPr>
                    <w:t xml:space="preserve"> – suminis perdangų plotas (m</w:t>
                  </w:r>
                  <w:r>
                    <w:rPr>
                      <w:color w:val="000000"/>
                      <w:vertAlign w:val="superscript"/>
                    </w:rPr>
                    <w:t>2</w:t>
                  </w:r>
                  <w:r>
                    <w:rPr>
                      <w:color w:val="000000"/>
                    </w:rPr>
                    <w:t xml:space="preserve">), nustatomas pagal Reglamento 7 priedo reikalavimus; </w:t>
                  </w:r>
                </w:p>
                <w:p>
                  <w:pPr>
                    <w:ind w:firstLine="570"/>
                    <w:jc w:val="both"/>
                    <w:rPr>
                      <w:color w:val="000000"/>
                    </w:rPr>
                  </w:pPr>
                  <w:r>
                    <w:rPr>
                      <w:bCs/>
                      <w:i/>
                      <w:color w:val="000000"/>
                    </w:rPr>
                    <w:t>A</w:t>
                  </w:r>
                  <w:r>
                    <w:rPr>
                      <w:bCs/>
                      <w:i/>
                      <w:color w:val="000000"/>
                      <w:vertAlign w:val="subscript"/>
                    </w:rPr>
                    <w:t>ce,x</w:t>
                  </w:r>
                  <w:r>
                    <w:rPr>
                      <w:color w:val="000000"/>
                    </w:rPr>
                    <w:t xml:space="preserve"> – atitinkamos „</w:t>
                  </w:r>
                  <w:r>
                    <w:rPr>
                      <w:i/>
                      <w:color w:val="000000"/>
                    </w:rPr>
                    <w:t>x</w:t>
                  </w:r>
                  <w:r>
                    <w:rPr>
                      <w:color w:val="000000"/>
                    </w:rPr>
                    <w:t>“ perdangos plotas (m</w:t>
                  </w:r>
                  <w:r>
                    <w:rPr>
                      <w:color w:val="000000"/>
                      <w:vertAlign w:val="superscript"/>
                    </w:rPr>
                    <w:t>2</w:t>
                  </w:r>
                  <w:r>
                    <w:rPr>
                      <w:color w:val="000000"/>
                    </w:rPr>
                    <w:t>), nustatomas pagal Reglamento 7 priedo reikalavimus;</w:t>
                  </w:r>
                </w:p>
                <w:p>
                  <w:pPr>
                    <w:ind w:firstLine="570"/>
                    <w:jc w:val="both"/>
                    <w:rPr>
                      <w:color w:val="000000"/>
                    </w:rPr>
                  </w:pPr>
                  <w:r>
                    <w:rPr>
                      <w:bCs/>
                      <w:i/>
                      <w:color w:val="000000"/>
                    </w:rPr>
                    <w:t>U</w:t>
                  </w:r>
                  <w:r>
                    <w:rPr>
                      <w:bCs/>
                      <w:i/>
                      <w:color w:val="000000"/>
                      <w:vertAlign w:val="subscript"/>
                    </w:rPr>
                    <w:t>(C,B).ce</w:t>
                  </w:r>
                  <w:r>
                    <w:rPr>
                      <w:color w:val="000000"/>
                    </w:rPr>
                    <w:t xml:space="preserve"> – perdangų, kurios ribojasi su išore,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70"/>
                    <w:jc w:val="both"/>
                    <w:rPr>
                      <w:color w:val="000000"/>
                    </w:rPr>
                  </w:pPr>
                  <w:r>
                    <w:rPr>
                      <w:bCs/>
                      <w:i/>
                      <w:color w:val="000000"/>
                    </w:rPr>
                    <w:t>U</w:t>
                  </w:r>
                  <w:r>
                    <w:rPr>
                      <w:bCs/>
                      <w:i/>
                      <w:color w:val="000000"/>
                      <w:vertAlign w:val="subscript"/>
                    </w:rPr>
                    <w:t>R.ce</w:t>
                  </w:r>
                  <w:r>
                    <w:rPr>
                      <w:color w:val="000000"/>
                    </w:rPr>
                    <w:t xml:space="preserve"> – perdangų, kurios ribojasi su išore,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70"/>
                    <w:jc w:val="both"/>
                    <w:rPr>
                      <w:color w:val="000000"/>
                    </w:rPr>
                  </w:pPr>
                  <w:r>
                    <w:rPr>
                      <w:bCs/>
                      <w:i/>
                      <w:color w:val="000000"/>
                    </w:rPr>
                    <w:t>U</w:t>
                  </w:r>
                  <w:r>
                    <w:rPr>
                      <w:bCs/>
                      <w:i/>
                      <w:color w:val="000000"/>
                      <w:vertAlign w:val="subscript"/>
                    </w:rPr>
                    <w:t>ce,x</w:t>
                  </w:r>
                  <w:r>
                    <w:rPr>
                      <w:color w:val="000000"/>
                    </w:rPr>
                    <w:t xml:space="preserve"> – atitinkamos „</w:t>
                  </w:r>
                  <w:r>
                    <w:rPr>
                      <w:i/>
                      <w:color w:val="000000"/>
                    </w:rPr>
                    <w:t>x</w:t>
                  </w:r>
                  <w:r>
                    <w:rPr>
                      <w:color w:val="000000"/>
                    </w:rPr>
                    <w:t>“ perdangos, kuri ribojasi su išore, skaičiuojamasis šilumos perdavimo koeficientas (W/</w:t>
                  </w:r>
                  <w:r>
                    <w:rPr>
                      <w:color w:val="000000"/>
                      <w:spacing w:val="-6"/>
                    </w:rPr>
                    <w:t>(m</w:t>
                  </w:r>
                  <w:r>
                    <w:rPr>
                      <w:color w:val="000000"/>
                      <w:spacing w:val="-6"/>
                      <w:vertAlign w:val="superscript"/>
                    </w:rPr>
                    <w:t>2</w:t>
                  </w:r>
                  <w:r>
                    <w:rPr>
                      <w:color w:val="000000"/>
                      <w:spacing w:val="-6"/>
                    </w:rPr>
                    <w:t>·K))</w:t>
                  </w:r>
                  <w:r>
                    <w:rPr>
                      <w:color w:val="000000"/>
                    </w:rPr>
                    <w:t>;</w:t>
                  </w:r>
                </w:p>
                <w:p>
                  <w:pPr>
                    <w:ind w:firstLine="570"/>
                    <w:jc w:val="both"/>
                    <w:rPr>
                      <w:color w:val="000000"/>
                    </w:rPr>
                  </w:pPr>
                  <w:r>
                    <w:rPr>
                      <w:bCs/>
                      <w:i/>
                      <w:color w:val="000000"/>
                    </w:rPr>
                    <w:t>k</w:t>
                  </w:r>
                  <w:r>
                    <w:rPr>
                      <w:bCs/>
                      <w:i/>
                      <w:color w:val="000000"/>
                      <w:vertAlign w:val="subscript"/>
                    </w:rPr>
                    <w:t xml:space="preserve">ce,m,x </w:t>
                  </w:r>
                  <w:r>
                    <w:rPr>
                      <w:color w:val="000000"/>
                    </w:rPr>
                    <w:t>– kiekvieno mėnesio „m“ pataisos koeficientas atitinkamai „</w:t>
                  </w:r>
                  <w:r>
                    <w:rPr>
                      <w:i/>
                      <w:color w:val="000000"/>
                    </w:rPr>
                    <w:t>x</w:t>
                  </w:r>
                  <w:r>
                    <w:rPr>
                      <w:color w:val="000000"/>
                    </w:rPr>
                    <w:t>“ perdangai ar jos daliai, imamas iš 2.8 lentelės.</w:t>
                  </w:r>
                </w:p>
                <w:p>
                  <w:pPr>
                    <w:ind w:left="567"/>
                    <w:rPr>
                      <w:color w:val="000000"/>
                    </w:rPr>
                  </w:pPr>
                </w:p>
                <w:p>
                  <w:pPr>
                    <w:jc w:val="center"/>
                    <w:rPr>
                      <w:b/>
                    </w:rPr>
                  </w:pPr>
                  <w:r>
                    <w:rPr>
                      <w:b/>
                    </w:rPr>
                    <w:t>Pataisos koeficiento perdangoms, kurios ribojasi su išore,</w:t>
                  </w:r>
                  <w:r>
                    <w:rPr>
                      <w:b/>
                      <w:i/>
                    </w:rPr>
                    <w:t xml:space="preserve"> k</w:t>
                  </w:r>
                  <w:r>
                    <w:rPr>
                      <w:b/>
                      <w:i/>
                      <w:vertAlign w:val="subscript"/>
                    </w:rPr>
                    <w:t>ce,m</w:t>
                  </w:r>
                  <w:r>
                    <w:rPr>
                      <w:b/>
                    </w:rPr>
                    <w:t xml:space="preserve"> vertės</w:t>
                  </w:r>
                </w:p>
                <w:p>
                  <w:pPr>
                    <w:jc w:val="right"/>
                  </w:pPr>
                  <w:r>
                    <w:t>2.8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56"/>
                    <w:gridCol w:w="4664"/>
                  </w:tblGrid>
                  <w:tr>
                    <w:tc>
                      <w:tcPr>
                        <w:tcW w:w="2649"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Perdangų, kurios ribojasi su išore, apibūdinimas</w:t>
                        </w:r>
                      </w:p>
                    </w:tc>
                    <w:tc>
                      <w:tcPr>
                        <w:tcW w:w="2351"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ce,m</w:t>
                        </w:r>
                      </w:p>
                    </w:tc>
                  </w:tr>
                  <w:tr>
                    <w:tc>
                      <w:tcPr>
                        <w:tcW w:w="264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tarp patalpų ir išorės</w:t>
                        </w:r>
                      </w:p>
                    </w:tc>
                    <w:tc>
                      <w:tcPr>
                        <w:tcW w:w="235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264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tarp patalpų ir šiltnamio</w:t>
                        </w:r>
                      </w:p>
                    </w:tc>
                    <w:tc>
                      <w:tcPr>
                        <w:tcW w:w="235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264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tarp patalpų ir įstiklinto balkono arba įstiklintų galerijų</w:t>
                        </w:r>
                      </w:p>
                    </w:tc>
                    <w:tc>
                      <w:tcPr>
                        <w:tcW w:w="235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264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tarp šildomo ir nešildomo pastato patalpų</w:t>
                        </w:r>
                      </w:p>
                    </w:tc>
                    <w:tc>
                      <w:tcPr>
                        <w:tcW w:w="235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0,75</w:t>
                        </w:r>
                      </w:p>
                    </w:tc>
                  </w:tr>
                  <w:tr>
                    <w:tc>
                      <w:tcPr>
                        <w:tcW w:w="264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Perdangos tarp šildomų ir nešildomų apšiltintų patalpų</w:t>
                        </w:r>
                      </w:p>
                    </w:tc>
                    <w:tc>
                      <w:tcPr>
                        <w:tcW w:w="235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Apskaičiuojama pagal Reglamento 14 priedo reikalavimus</w:t>
                        </w:r>
                      </w:p>
                    </w:tc>
                  </w:tr>
                </w:tbl>
                <w:p>
                  <w:pPr>
                    <w:rPr>
                      <w:rFonts w:eastAsia="Calibri"/>
                      <w:szCs w:val="22"/>
                    </w:rPr>
                  </w:pPr>
                </w:p>
              </w:sdtContent>
            </w:sdt>
            <w:sdt>
              <w:sdtPr>
                <w:alias w:val="2 pr. 11 p."/>
                <w:tag w:val="part_f0c5faf0205d44038c08083e4fb1e385"/>
                <w:lock w:val="sdtLocked"/>
                <w:richText/>
              </w:sdtPr>
              <w:sdtContent>
                <w:p>
                  <w:pPr>
                    <w:ind w:firstLine="570"/>
                    <w:jc w:val="both"/>
                    <w:rPr>
                      <w:color w:val="000000"/>
                    </w:rPr>
                  </w:pPr>
                  <w:sdt>
                    <w:sdtPr>
                      <w:alias w:val="Numeris"/>
                      <w:tag w:val="nr_f0c5faf0205d44038c08083e4fb1e385"/>
                      <w:lock w:val="sdtLocked"/>
                      <w:richText/>
                    </w:sdtPr>
                    <w:sdtContent>
                      <w:r>
                        <w:rPr>
                          <w:color w:val="000000"/>
                        </w:rPr>
                        <w:t>11</w:t>
                      </w:r>
                    </w:sdtContent>
                  </w:sdt>
                  <w:r>
                    <w:rPr>
                      <w:color w:val="000000"/>
                    </w:rPr>
                    <w:t xml:space="preserve">. Kiekvieno mėnesio </w:t>
                  </w:r>
                  <w:r>
                    <w:rPr>
                      <w:i/>
                      <w:color w:val="000000"/>
                    </w:rPr>
                    <w:t xml:space="preserve">„m“ </w:t>
                  </w:r>
                  <w:r>
                    <w:rPr>
                      <w:color w:val="000000"/>
                    </w:rPr>
                    <w:t>skaičiuojamieji šilumos nuostoliai per su išore besiribojančias pastato perdangas</w:t>
                  </w:r>
                  <w:r>
                    <w:rPr>
                      <w:i/>
                      <w:color w:val="000000"/>
                    </w:rPr>
                    <w:t xml:space="preserve"> Q</w:t>
                  </w:r>
                  <w:r>
                    <w:rPr>
                      <w:i/>
                      <w:color w:val="000000"/>
                      <w:vertAlign w:val="subscript"/>
                    </w:rPr>
                    <w:t>C.ce,m</w:t>
                  </w:r>
                  <w:r>
                    <w:rPr>
                      <w:color w:val="000000"/>
                    </w:rPr>
                    <w:t xml:space="preserve"> (kWh/(m</w:t>
                  </w:r>
                  <w:r>
                    <w:rPr>
                      <w:color w:val="000000"/>
                      <w:vertAlign w:val="superscript"/>
                    </w:rPr>
                    <w:t>2</w:t>
                  </w:r>
                  <w:r>
                    <w:rPr>
                      <w:color w:val="000000"/>
                      <w:spacing w:val="-6"/>
                    </w:rPr>
                    <w:t>·</w:t>
                  </w:r>
                  <w:r>
                    <w:rPr>
                      <w:color w:val="000000"/>
                    </w:rPr>
                    <w:t xml:space="preserve">mėn.)), pagal kuriuos skaičiuojami energijos poreikiai pastatui vėsinti,  apskaičiuojami pagal formulę:</w:t>
                  </w: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32"/>
                            <w:szCs w:val="22"/>
                          </w:rPr>
                          <w:object w:dxaOrig="5560" w:dyaOrig="730">
                            <v:shape id="_x0000_i1047" type="#_x0000_t75" style="width:278.3pt;height:37.2pt" o:ole="">
                              <v:imagedata r:id="rId312" o:title=""/>
                            </v:shape>
                            <o:OLEObject Type="Embed" ProgID="Equation.3" ShapeID="_x0000_i1047" DrawAspect="Content" ObjectID="_0000000001" r:id="rId313"/>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(2.18)</w:t>
                        </w:r>
                      </w:p>
                    </w:tc>
                  </w:tr>
                </w:tbl>
                <w:p>
                  <w:pPr>
                    <w:rPr>
                      <w:color w:val="000000"/>
                      <w:sz w:val="18"/>
                      <w:szCs w:val="18"/>
                    </w:rPr>
                  </w:pPr>
                </w:p>
              </w:sdtContent>
            </w:sdt>
          </w:sdtContent>
        </w:sdt>
        <w:sdt>
          <w:sdtPr>
            <w:alias w:val="skyrius"/>
            <w:tag w:val="part_3deeb24504434a0d84b3fe720c5d74e7"/>
            <w:lock w:val="sdtLocked"/>
            <w:richText/>
          </w:sdtPr>
          <w:sdtContent>
            <w:p>
              <w:pPr>
                <w:keepNext/>
                <w:keepLines/>
                <w:jc w:val="center"/>
                <w:outlineLvl w:val="2"/>
                <w:rPr>
                  <w:b/>
                  <w:bCs/>
                  <w:szCs w:val="24"/>
                  <w:lang w:eastAsia="lt-LT"/>
                </w:rPr>
              </w:pPr>
              <w:sdt>
                <w:sdtPr>
                  <w:alias w:val="Numeris"/>
                  <w:tag w:val="nr_3deeb24504434a0d84b3fe720c5d74e7"/>
                  <w:lock w:val="sdtLocked"/>
                  <w:richText/>
                </w:sdtPr>
                <w:sdtContent>
                  <w:r>
                    <w:rPr>
                      <w:b/>
                      <w:bCs/>
                    </w:rPr>
                    <w:t>VII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3deeb24504434a0d84b3fe720c5d74e7"/>
                  <w:lock w:val="sdtLocked"/>
                  <w:richText/>
                </w:sdtPr>
                <w:sdtContent>
                  <w:r>
                    <w:rPr>
                      <w:b/>
                      <w:bCs/>
                    </w:rPr>
                    <w:t xml:space="preserve">Mėnesinių šilumos nuostolių per pastato atitvaras, kurios ribojasi su gruntu, skaičiavimas  </w:t>
                  </w:r>
                </w:sdtContent>
              </w:sdt>
            </w:p>
            <w:sdt>
              <w:sdtPr>
                <w:alias w:val="2 pr. 12 p."/>
                <w:tag w:val="part_924a35c8b55649e18a439e12e3c5165f"/>
                <w:lock w:val="sdtLocked"/>
                <w:richText/>
              </w:sdtPr>
              <w:sdtContent>
                <w:p>
                  <w:pPr>
                    <w:ind w:firstLine="567"/>
                    <w:jc w:val="both"/>
                    <w:rPr>
                      <w:color w:val="000000"/>
                    </w:rPr>
                  </w:pPr>
                  <w:sdt>
                    <w:sdtPr>
                      <w:alias w:val="Numeris"/>
                      <w:tag w:val="nr_924a35c8b55649e18a439e12e3c5165f"/>
                      <w:lock w:val="sdtLocked"/>
                      <w:richText/>
                    </w:sdtPr>
                    <w:sdtContent>
                      <w:r>
                        <w:rPr>
                          <w:color w:val="000000"/>
                        </w:rPr>
                        <w:t>12</w:t>
                      </w:r>
                    </w:sdtContent>
                  </w:sdt>
                  <w:r>
                    <w:rPr>
                      <w:color w:val="000000"/>
                    </w:rPr>
                    <w:t xml:space="preserve">. Šilumos nuostolių skaičiavimuose naudojama grunto periodinio prasiskverbimo gylio </w:t>
                  </w:r>
                  <w:r>
                    <w:rPr>
                      <w:i/>
                      <w:color w:val="000000"/>
                    </w:rPr>
                    <w:t>δ</w:t>
                  </w:r>
                  <w:r>
                    <w:rPr>
                      <w:color w:val="000000"/>
                    </w:rPr>
                    <w:t xml:space="preserve"> (m) vertė imama </w:t>
                  </w:r>
                  <w:r>
                    <w:rPr>
                      <w:i/>
                      <w:color w:val="000000"/>
                    </w:rPr>
                    <w:t>δ</w:t>
                  </w:r>
                  <w:r>
                    <w:rPr>
                      <w:color w:val="000000"/>
                    </w:rPr>
                    <w:t xml:space="preserve">=3,2 m. Grunto šilumos laidumo koeficientas visuose skaičiavimuose imamas </w:t>
                  </w:r>
                  <w:r>
                    <w:rPr>
                      <w:i/>
                      <w:color w:val="000000"/>
                    </w:rPr>
                    <w:sym w:font="Symbol" w:char="F06C"/>
                  </w:r>
                  <w:r>
                    <w:rPr>
                      <w:i/>
                      <w:color w:val="000000"/>
                      <w:vertAlign w:val="subscript"/>
                    </w:rPr>
                    <w:t>gr</w:t>
                  </w:r>
                  <w:r>
                    <w:rPr>
                      <w:color w:val="000000"/>
                    </w:rPr>
                    <w:t xml:space="preserve"> = 2 W/(m·K).</w:t>
                  </w:r>
                </w:p>
                <w:p>
                  <w:pPr>
                    <w:ind w:firstLine="567"/>
                    <w:jc w:val="both"/>
                    <w:rPr>
                      <w:color w:val="000000"/>
                    </w:rPr>
                  </w:pPr>
                  <w:r>
                    <w:rPr>
                      <w:color w:val="000000"/>
                    </w:rPr>
                    <w:t>Grindų ant grunto šilumos perdavimo koeficientų skaičiavimuose naudojama būdingojo grindų matmens</w:t>
                  </w:r>
                  <w:r>
                    <w:rPr>
                      <w:i/>
                      <w:color w:val="000000"/>
                    </w:rPr>
                    <w:t xml:space="preserve"> B′</w:t>
                  </w:r>
                  <w:r>
                    <w:rPr>
                      <w:color w:val="000000"/>
                    </w:rPr>
                    <w:t xml:space="preserve"> (m) vertė apskaičiuojama taip [3.14]:</w:t>
                  </w: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26"/>
                            <w:szCs w:val="22"/>
                          </w:rPr>
                          <w:object w:dxaOrig="1040" w:dyaOrig="600">
                            <v:shape id="_x0000_i1048" type="#_x0000_t75" style="width:51.8pt;height:29.95pt" o:ole="">
                              <v:imagedata r:id="rId314" o:title=""/>
                            </v:shape>
                            <o:OLEObject Type="Embed" ProgID="Equation.3" ShapeID="_x0000_i1048" DrawAspect="Content" ObjectID="_0000000001" r:id="rId315"/>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(2.19)</w:t>
                        </w:r>
                      </w:p>
                    </w:tc>
                  </w:tr>
                </w:tbl>
                <w:p>
                  <w:pPr>
                    <w:tabs>
                      <w:tab w:val="left" w:pos="567"/>
                    </w:tabs>
                    <w:rPr>
                      <w:rFonts w:eastAsia="Calibri"/>
                      <w:color w:val="000000"/>
                      <w:szCs w:val="22"/>
                    </w:rPr>
                  </w:pPr>
                  <w:r>
                    <w:rPr>
                      <w:color w:val="000000"/>
                    </w:rPr>
                    <w:t>čia:</w:t>
                    <w:tab/>
                  </w:r>
                  <w:r>
                    <w:rPr>
                      <w:i/>
                      <w:color w:val="000000"/>
                    </w:rPr>
                    <w:t>A</w:t>
                  </w:r>
                  <w:r>
                    <w:rPr>
                      <w:color w:val="000000"/>
                    </w:rPr>
                    <w:t xml:space="preserve"> </w:t>
                  </w:r>
                  <w:r>
                    <w:rPr>
                      <w:color w:val="000000"/>
                      <w:spacing w:val="-6"/>
                    </w:rPr>
                    <w:t xml:space="preserve">– </w:t>
                  </w:r>
                  <w:r>
                    <w:rPr>
                      <w:color w:val="000000"/>
                    </w:rPr>
                    <w:t>grindų ant grunto plotas (m</w:t>
                  </w:r>
                  <w:r>
                    <w:rPr>
                      <w:color w:val="000000"/>
                      <w:vertAlign w:val="superscript"/>
                    </w:rPr>
                    <w:t>2</w:t>
                  </w:r>
                  <w:r>
                    <w:rPr>
                      <w:color w:val="000000"/>
                    </w:rPr>
                    <w:t>);</w:t>
                  </w:r>
                </w:p>
                <w:p>
                  <w:pPr>
                    <w:ind w:firstLine="567"/>
                    <w:rPr>
                      <w:color w:val="000000"/>
                    </w:rPr>
                  </w:pPr>
                  <w:r>
                    <w:rPr>
                      <w:i/>
                      <w:color w:val="000000"/>
                    </w:rPr>
                    <w:t>P</w:t>
                  </w:r>
                  <w:r>
                    <w:rPr>
                      <w:color w:val="000000"/>
                    </w:rPr>
                    <w:t xml:space="preserve"> </w:t>
                  </w:r>
                  <w:r>
                    <w:rPr>
                      <w:color w:val="000000"/>
                      <w:spacing w:val="-6"/>
                    </w:rPr>
                    <w:t>–</w:t>
                  </w:r>
                  <w:r>
                    <w:rPr>
                      <w:color w:val="000000"/>
                    </w:rPr>
                    <w:t xml:space="preserve"> grindų perimetras (m).</w:t>
                  </w:r>
                </w:p>
                <w:p>
                  <w:pPr>
                    <w:ind w:firstLine="720"/>
                    <w:rPr>
                      <w:color w:val="000000"/>
                    </w:rPr>
                  </w:pPr>
                </w:p>
                <w:p>
                  <w:pPr>
                    <w:ind w:firstLine="567"/>
                    <w:jc w:val="both"/>
                    <w:rPr>
                      <w:color w:val="000000"/>
                    </w:rPr>
                  </w:pPr>
                  <w:r>
                    <w:rPr>
                      <w:color w:val="000000"/>
                    </w:rPr>
                    <w:t xml:space="preserve">Dydžių </w:t>
                  </w:r>
                  <w:r>
                    <w:rPr>
                      <w:i/>
                      <w:color w:val="000000"/>
                    </w:rPr>
                    <w:t>A</w:t>
                  </w:r>
                  <w:r>
                    <w:rPr>
                      <w:color w:val="000000"/>
                    </w:rPr>
                    <w:t xml:space="preserve"> ir </w:t>
                  </w:r>
                  <w:r>
                    <w:rPr>
                      <w:i/>
                      <w:color w:val="000000"/>
                    </w:rPr>
                    <w:t>P</w:t>
                  </w:r>
                  <w:r>
                    <w:rPr>
                      <w:color w:val="000000"/>
                    </w:rPr>
                    <w:t xml:space="preserve"> vertėms apskaičiuoti imami pastato vidaus matmenys. Jei patalpa turi išorines ir vidines sienas, perimetrui apskaičiuoti imami tik su išore besiribojančių sienų ilgiai. Jei prie šildomo pastato priblokuotas nešildomas pastatas, laikoma, kad šildomas pastatas ribojasi su išore.</w:t>
                  </w:r>
                </w:p>
              </w:sdtContent>
            </w:sdt>
            <w:sdt>
              <w:sdtPr>
                <w:alias w:val="2 pr. 13 p."/>
                <w:tag w:val="part_9fc95a1ac8704a4096d619e4fd6df5bc"/>
                <w:lock w:val="sdtLocked"/>
                <w:richText/>
              </w:sdtPr>
              <w:sdtContent>
                <w:p>
                  <w:pPr>
                    <w:ind w:firstLine="570"/>
                    <w:jc w:val="both"/>
                    <w:rPr>
                      <w:color w:val="000000"/>
                    </w:rPr>
                  </w:pPr>
                  <w:sdt>
                    <w:sdtPr>
                      <w:alias w:val="Numeris"/>
                      <w:tag w:val="nr_9fc95a1ac8704a4096d619e4fd6df5bc"/>
                      <w:lock w:val="sdtLocked"/>
                      <w:richText/>
                    </w:sdtPr>
                    <w:sdtContent>
                      <w:r>
                        <w:rPr>
                          <w:color w:val="000000"/>
                        </w:rPr>
                        <w:t>13</w:t>
                      </w:r>
                    </w:sdtContent>
                  </w:sdt>
                  <w:r>
                    <w:rPr>
                      <w:color w:val="000000"/>
                    </w:rPr>
                    <w:t xml:space="preserve">. Kiekvieno mėnesio </w:t>
                  </w:r>
                  <w:r>
                    <w:rPr>
                      <w:i/>
                      <w:color w:val="000000"/>
                    </w:rPr>
                    <w:t>„m“</w:t>
                  </w:r>
                  <w:r>
                    <w:rPr>
                      <w:color w:val="000000"/>
                    </w:rPr>
                    <w:t xml:space="preserve"> norminiai </w:t>
                  </w:r>
                  <w:r>
                    <w:rPr>
                      <w:i/>
                      <w:color w:val="000000"/>
                    </w:rPr>
                    <w:t>Q</w:t>
                  </w:r>
                  <w:r>
                    <w:rPr>
                      <w:i/>
                      <w:color w:val="000000"/>
                      <w:vertAlign w:val="subscript"/>
                    </w:rPr>
                    <w:t>N.H.fg,m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R.H.fg,m</w:t>
                  </w:r>
                  <w:r>
                    <w:rPr>
                      <w:color w:val="000000"/>
                    </w:rPr>
                    <w:t xml:space="preserve"> (kWh/(m</w:t>
                  </w:r>
                  <w:r>
                    <w:rPr>
                      <w:color w:val="000000"/>
                      <w:vertAlign w:val="superscript"/>
                    </w:rPr>
                    <w:t>2</w:t>
                  </w:r>
                  <w:r>
                    <w:rPr>
                      <w:color w:val="000000"/>
                      <w:spacing w:val="-6"/>
                    </w:rPr>
                    <w:t>·</w:t>
                  </w:r>
                  <w:r>
                    <w:rPr>
                      <w:color w:val="000000"/>
                    </w:rPr>
                    <w:t xml:space="preserve">mėn.)) ir skaičiuojamieji </w:t>
                  </w:r>
                  <w:r>
                    <w:rPr>
                      <w:i/>
                      <w:color w:val="000000"/>
                    </w:rPr>
                    <w:t>Q</w:t>
                  </w:r>
                  <w:r>
                    <w:rPr>
                      <w:i/>
                      <w:color w:val="000000"/>
                      <w:vertAlign w:val="subscript"/>
                    </w:rPr>
                    <w:t>H.fg,m</w:t>
                  </w:r>
                  <w:r>
                    <w:rPr>
                      <w:color w:val="000000"/>
                    </w:rPr>
                    <w:t xml:space="preserve"> (kWh/(m</w:t>
                  </w:r>
                  <w:r>
                    <w:rPr>
                      <w:color w:val="000000"/>
                      <w:vertAlign w:val="superscript"/>
                    </w:rPr>
                    <w:t>2</w:t>
                  </w:r>
                  <w:r>
                    <w:rPr>
                      <w:color w:val="000000"/>
                      <w:spacing w:val="-6"/>
                    </w:rPr>
                    <w:t>·</w:t>
                  </w:r>
                  <w:r>
                    <w:rPr>
                      <w:color w:val="000000"/>
                    </w:rPr>
                    <w:t xml:space="preserve">mėn.)) šilumos nuostoliai per su gruntu besiribojančias pastato atitvaras, pagal kuriuos skaičiuojami energijos poreikiai pastatui šildyti,  apskaičiuojami pagal formules:</w:t>
                  </w: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46"/>
                            <w:szCs w:val="22"/>
                          </w:rPr>
                          <w:object w:dxaOrig="4810" w:dyaOrig="1060">
                            <v:shape id="_x0000_i1049" type="#_x0000_t75" style="width:240.25pt;height:54.2pt" o:ole="">
                              <v:imagedata r:id="rId316" o:title=""/>
                            </v:shape>
                            <o:OLEObject Type="Embed" ProgID="Equation.3" ShapeID="_x0000_i1049" DrawAspect="Content" ObjectID="_0000000001" r:id="rId31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(2.20)</w:t>
                        </w:r>
                      </w:p>
                    </w:tc>
                  </w:tr>
                </w:tbl>
                <w:p>
                  <w:pPr>
                    <w:ind w:firstLine="570"/>
                    <w:jc w:val="right"/>
                    <w:rPr>
                      <w:rFonts w:eastAsia="Calibri"/>
                      <w:strike/>
                      <w:color w:val="000000"/>
                      <w:szCs w:val="22"/>
                    </w:rPr>
                  </w:pP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position w:val="-50"/>
                            <w:szCs w:val="22"/>
                          </w:rPr>
                          <w:object w:dxaOrig="4710" w:dyaOrig="1110">
                            <v:shape id="_x0000_i1050" type="#_x0000_t75" style="width:235.4pt;height:55.8pt" o:ole="">
                              <v:imagedata r:id="rId318" o:title=""/>
                            </v:shape>
                            <o:OLEObject Type="Embed" ProgID="Equation.3" ShapeID="_x0000_i1050" DrawAspect="Content" ObjectID="_0000000001" r:id="rId319"/>
                          </w:objec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(2.21)</w:t>
                        </w:r>
                      </w:p>
                    </w:tc>
                  </w:tr>
                </w:tbl>
                <w:p>
                  <w:pPr>
                    <w:ind w:left="720"/>
                    <w:jc w:val="right"/>
                    <w:rPr>
                      <w:rFonts w:eastAsia="Calibri"/>
                      <w:bCs/>
                      <w:strike/>
                      <w:color w:val="000000"/>
                      <w:szCs w:val="22"/>
                    </w:rPr>
                  </w:pPr>
                </w:p>
                <w:tbl>
                  <w:tblPr>
                    <w:tblW w:w="0" w:type="auto"/>
                    <w:tblLook w:val="01E0" w:firstRow="1" w:lastRow="1" w:firstColumn="1" w:lastColumn="1" w:noHBand="0" w:noVBand="0"/>
                  </w:tblPr>
                  <w:tblGrid>
                    <w:gridCol w:w="8567"/>
                    <w:gridCol w:w="1003"/>
                  </w:tblGrid>
                  <w:tr>
                    <w:tc>
                      <w:tcPr>
                        <w:tcW w:w="8567"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szCs w:val="22"/>
                          </w:rPr>
                          <w:object w:dxaOrig="4270" w:dyaOrig="1110">
                            <v:shape id="_x0000_i1051" type="#_x0000_t75" style="width:213.55pt;height:55.8pt" o:ole="">
                              <v:imagedata r:id="rId320" o:title=""/>
                            </v:shape>
                            <o:OLEObject Type="Embed" ProgID="Equation.3" ShapeID="_x0000_i1051" DrawAspect="Content" ObjectID="_0000000001" r:id="rId321"/>
                          </w:object>
                        </w:r>
                      </w:p>
                    </w:tc>
                    <w:tc>
                      <w:tcPr>
                        <w:tcW w:w="1003"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(2.22)</w:t>
                        </w:r>
                      </w:p>
                    </w:tc>
                  </w:tr>
                </w:tbl>
                <w:p>
                  <w:pPr>
                    <w:tabs>
                      <w:tab w:val="left" w:pos="567"/>
                    </w:tabs>
                    <w:rPr>
                      <w:rFonts w:eastAsia="Calibri"/>
                      <w:color w:val="000000"/>
                      <w:szCs w:val="22"/>
                    </w:rPr>
                  </w:pPr>
                  <w:r>
                    <w:rPr>
                      <w:color w:val="000000"/>
                    </w:rPr>
                    <w:t>čia:</w:t>
                    <w:tab/>
                  </w:r>
                  <w:r>
                    <w:rPr>
                      <w:bCs/>
                      <w:i/>
                      <w:color w:val="000000"/>
                    </w:rPr>
                    <w:t>Φ</w:t>
                  </w:r>
                  <w:r>
                    <w:rPr>
                      <w:bCs/>
                      <w:i/>
                      <w:color w:val="000000"/>
                      <w:vertAlign w:val="subscript"/>
                    </w:rPr>
                    <w:t>N.H.fg1,m</w:t>
                  </w:r>
                  <w:r>
                    <w:rPr>
                      <w:bCs/>
                      <w:i/>
                      <w:color w:val="000000"/>
                    </w:rPr>
                    <w:t>, Φ</w:t>
                  </w:r>
                  <w:r>
                    <w:rPr>
                      <w:bCs/>
                      <w:i/>
                      <w:color w:val="000000"/>
                      <w:vertAlign w:val="subscript"/>
                    </w:rPr>
                    <w:t>R.H.fg,m1</w:t>
                  </w:r>
                  <w:r>
                    <w:rPr>
                      <w:bCs/>
                      <w:i/>
                      <w:color w:val="000000"/>
                    </w:rPr>
                    <w:t>, Φ</w:t>
                  </w:r>
                  <w:r>
                    <w:rPr>
                      <w:bCs/>
                      <w:i/>
                      <w:color w:val="000000"/>
                      <w:vertAlign w:val="subscript"/>
                    </w:rPr>
                    <w:t>H.fg1,m</w:t>
                  </w:r>
                  <w:r>
                    <w:rPr>
                      <w:bCs/>
                      <w:i/>
                      <w:color w:val="000000"/>
                    </w:rPr>
                    <w:t xml:space="preserve"> – </w:t>
                  </w:r>
                  <w:r>
                    <w:rPr>
                      <w:bCs/>
                      <w:color w:val="000000"/>
                    </w:rPr>
                    <w:t>a</w:t>
                  </w:r>
                  <w:r>
                    <w:rPr>
                      <w:color w:val="000000"/>
                    </w:rPr>
                    <w:t>pskaičiuojami pagal 15 punkto reikalavimus pagal (2.24), (2.25) ir (2.26) formules (W);</w:t>
                  </w:r>
                </w:p>
                <w:p>
                  <w:pPr>
                    <w:ind w:firstLine="567"/>
                    <w:rPr>
                      <w:color w:val="000000"/>
                    </w:rPr>
                  </w:pPr>
                  <w:r>
                    <w:rPr>
                      <w:bCs/>
                      <w:i/>
                      <w:color w:val="000000"/>
                    </w:rPr>
                    <w:t>Φ</w:t>
                  </w:r>
                  <w:r>
                    <w:rPr>
                      <w:bCs/>
                      <w:i/>
                      <w:color w:val="000000"/>
                      <w:vertAlign w:val="subscript"/>
                    </w:rPr>
                    <w:t>N.H.fg2,m</w:t>
                  </w:r>
                  <w:r>
                    <w:rPr>
                      <w:bCs/>
                      <w:i/>
                      <w:color w:val="000000"/>
                    </w:rPr>
                    <w:t>, Φ</w:t>
                  </w:r>
                  <w:r>
                    <w:rPr>
                      <w:bCs/>
                      <w:i/>
                      <w:color w:val="000000"/>
                      <w:vertAlign w:val="subscript"/>
                    </w:rPr>
                    <w:t>R.H.fg2,m</w:t>
                  </w:r>
                  <w:r>
                    <w:rPr>
                      <w:bCs/>
                      <w:i/>
                      <w:color w:val="000000"/>
                    </w:rPr>
                    <w:t>, Φ</w:t>
                  </w:r>
                  <w:r>
                    <w:rPr>
                      <w:bCs/>
                      <w:i/>
                      <w:color w:val="000000"/>
                      <w:vertAlign w:val="subscript"/>
                    </w:rPr>
                    <w:t>H.fg2,m</w:t>
                  </w:r>
                  <w:r>
                    <w:rPr>
                      <w:bCs/>
                      <w:i/>
                      <w:color w:val="000000"/>
                    </w:rPr>
                    <w:t xml:space="preserve"> – </w:t>
                  </w:r>
                  <w:r>
                    <w:rPr>
                      <w:bCs/>
                      <w:color w:val="000000"/>
                    </w:rPr>
                    <w:t>a</w:t>
                  </w:r>
                  <w:r>
                    <w:rPr>
                      <w:color w:val="000000"/>
                    </w:rPr>
                    <w:t>pskaičiuojami pagal 16 punkto reikalavimus pagal (2.34), (2.35) ir (2.36) formules (W);</w:t>
                  </w:r>
                </w:p>
                <w:p>
                  <w:pPr>
                    <w:ind w:firstLine="567"/>
                    <w:rPr>
                      <w:color w:val="000000"/>
                    </w:rPr>
                  </w:pPr>
                  <w:r>
                    <w:rPr>
                      <w:bCs/>
                      <w:i/>
                      <w:color w:val="000000"/>
                    </w:rPr>
                    <w:t>Φ</w:t>
                  </w:r>
                  <w:r>
                    <w:rPr>
                      <w:bCs/>
                      <w:i/>
                      <w:color w:val="000000"/>
                      <w:vertAlign w:val="subscript"/>
                    </w:rPr>
                    <w:t>N.H.fg3,m</w:t>
                  </w:r>
                  <w:r>
                    <w:rPr>
                      <w:bCs/>
                      <w:i/>
                      <w:color w:val="000000"/>
                    </w:rPr>
                    <w:t>, Φ</w:t>
                  </w:r>
                  <w:r>
                    <w:rPr>
                      <w:bCs/>
                      <w:i/>
                      <w:color w:val="000000"/>
                      <w:vertAlign w:val="subscript"/>
                    </w:rPr>
                    <w:t>R.H.fg3,m</w:t>
                  </w:r>
                  <w:r>
                    <w:rPr>
                      <w:bCs/>
                      <w:i/>
                      <w:color w:val="000000"/>
                    </w:rPr>
                    <w:t>, Φ</w:t>
                  </w:r>
                  <w:r>
                    <w:rPr>
                      <w:bCs/>
                      <w:i/>
                      <w:color w:val="000000"/>
                      <w:vertAlign w:val="subscript"/>
                    </w:rPr>
                    <w:t>H.fg3,m</w:t>
                  </w:r>
                  <w:r>
                    <w:rPr>
                      <w:bCs/>
                      <w:i/>
                      <w:color w:val="000000"/>
                    </w:rPr>
                    <w:t xml:space="preserve"> – </w:t>
                  </w:r>
                  <w:r>
                    <w:rPr>
                      <w:bCs/>
                      <w:color w:val="000000"/>
                    </w:rPr>
                    <w:t>a</w:t>
                  </w:r>
                  <w:r>
                    <w:rPr>
                      <w:color w:val="000000"/>
                    </w:rPr>
                    <w:t>pskaičiuojami pagal 17 punkto reikalavimus pagal (2.49), (2.50) ir (2.51) formules (W);</w:t>
                  </w:r>
                </w:p>
                <w:p>
                  <w:pPr>
                    <w:ind w:firstLine="567"/>
                    <w:rPr>
                      <w:color w:val="000000"/>
                    </w:rPr>
                  </w:pPr>
                  <w:r>
                    <w:rPr>
                      <w:bCs/>
                      <w:i/>
                      <w:color w:val="000000"/>
                    </w:rPr>
                    <w:t>Φ</w:t>
                  </w:r>
                  <w:r>
                    <w:rPr>
                      <w:bCs/>
                      <w:i/>
                      <w:color w:val="000000"/>
                      <w:vertAlign w:val="subscript"/>
                    </w:rPr>
                    <w:t>N.H.fg4,m</w:t>
                  </w:r>
                  <w:r>
                    <w:rPr>
                      <w:bCs/>
                      <w:i/>
                      <w:color w:val="000000"/>
                    </w:rPr>
                    <w:t>, Φ</w:t>
                  </w:r>
                  <w:r>
                    <w:rPr>
                      <w:bCs/>
                      <w:i/>
                      <w:color w:val="000000"/>
                      <w:vertAlign w:val="subscript"/>
                    </w:rPr>
                    <w:t>R.H.fg4,m</w:t>
                  </w:r>
                  <w:r>
                    <w:rPr>
                      <w:bCs/>
                      <w:i/>
                      <w:color w:val="000000"/>
                    </w:rPr>
                    <w:t>, Φ</w:t>
                  </w:r>
                  <w:r>
                    <w:rPr>
                      <w:bCs/>
                      <w:i/>
                      <w:color w:val="000000"/>
                      <w:vertAlign w:val="subscript"/>
                    </w:rPr>
                    <w:t>H.fg4,m</w:t>
                  </w:r>
                  <w:r>
                    <w:rPr>
                      <w:bCs/>
                      <w:i/>
                      <w:color w:val="000000"/>
                    </w:rPr>
                    <w:t xml:space="preserve"> – </w:t>
                  </w:r>
                  <w:r>
                    <w:rPr>
                      <w:bCs/>
                      <w:color w:val="000000"/>
                    </w:rPr>
                    <w:t>a</w:t>
                  </w:r>
                  <w:r>
                    <w:rPr>
                      <w:color w:val="000000"/>
                    </w:rPr>
                    <w:t>pskaičiuojami pagal 18 punkto reikalavimus pagal (2.60), (2.61) ir (2.62) formules (W);</w:t>
                  </w:r>
                </w:p>
                <w:p>
                  <w:pPr>
                    <w:ind w:firstLine="567"/>
                    <w:rPr>
                      <w:color w:val="000000"/>
                    </w:rPr>
                  </w:pPr>
                  <w:r>
                    <w:rPr>
                      <w:bCs/>
                      <w:i/>
                      <w:color w:val="000000"/>
                    </w:rPr>
                    <w:t>Φ</w:t>
                  </w:r>
                  <w:r>
                    <w:rPr>
                      <w:bCs/>
                      <w:i/>
                      <w:color w:val="000000"/>
                      <w:vertAlign w:val="subscript"/>
                    </w:rPr>
                    <w:t>N.H.fg5,m</w:t>
                  </w:r>
                  <w:r>
                    <w:rPr>
                      <w:bCs/>
                      <w:i/>
                      <w:color w:val="000000"/>
                    </w:rPr>
                    <w:t>, Φ</w:t>
                  </w:r>
                  <w:r>
                    <w:rPr>
                      <w:bCs/>
                      <w:i/>
                      <w:color w:val="000000"/>
                      <w:vertAlign w:val="subscript"/>
                    </w:rPr>
                    <w:t>R.H.fg5,.m</w:t>
                  </w:r>
                  <w:r>
                    <w:rPr>
                      <w:bCs/>
                      <w:i/>
                      <w:color w:val="000000"/>
                    </w:rPr>
                    <w:t>, Φ</w:t>
                  </w:r>
                  <w:r>
                    <w:rPr>
                      <w:bCs/>
                      <w:i/>
                      <w:color w:val="000000"/>
                      <w:vertAlign w:val="subscript"/>
                    </w:rPr>
                    <w:t>H.fg5,m</w:t>
                  </w:r>
                  <w:r>
                    <w:rPr>
                      <w:bCs/>
                      <w:i/>
                      <w:color w:val="000000"/>
                    </w:rPr>
                    <w:t xml:space="preserve"> – </w:t>
                  </w:r>
                  <w:r>
                    <w:rPr>
                      <w:bCs/>
                      <w:color w:val="000000"/>
                    </w:rPr>
                    <w:t>a</w:t>
                  </w:r>
                  <w:r>
                    <w:rPr>
                      <w:color w:val="000000"/>
                    </w:rPr>
                    <w:t>pskaičiuojami pagal 19 punkto reikalavimus pagal (2.71), (2.72) ir (2.73) formules (W).</w:t>
                  </w:r>
                </w:p>
                <w:p>
                  <w:pPr>
                    <w:ind w:firstLine="570"/>
                    <w:rPr>
                      <w:color w:val="000000"/>
                    </w:rPr>
                  </w:pPr>
                </w:p>
              </w:sdtContent>
            </w:sdt>
            <w:sdt>
              <w:sdtPr>
                <w:alias w:val="2 pr. 14 p."/>
                <w:tag w:val="part_5d4dc3e7990d46a0bccabfdff0dc340e"/>
                <w:lock w:val="sdtLocked"/>
                <w:richText/>
              </w:sdtPr>
              <w:sdtContent>
                <w:p>
                  <w:pPr>
                    <w:ind w:firstLine="570"/>
                    <w:jc w:val="both"/>
                    <w:rPr>
                      <w:color w:val="000000"/>
                    </w:rPr>
                  </w:pPr>
                  <w:sdt>
                    <w:sdtPr>
                      <w:alias w:val="Numeris"/>
                      <w:tag w:val="nr_5d4dc3e7990d46a0bccabfdff0dc340e"/>
                      <w:lock w:val="sdtLocked"/>
                      <w:richText/>
                    </w:sdtPr>
                    <w:sdtContent>
                      <w:r>
                        <w:rPr>
                          <w:color w:val="000000"/>
                        </w:rPr>
                        <w:t>14</w:t>
                      </w:r>
                    </w:sdtContent>
                  </w:sdt>
                  <w:r>
                    <w:rPr>
                      <w:color w:val="000000"/>
                    </w:rPr>
                    <w:t xml:space="preserve">. Kiekvieno mėnesio </w:t>
                  </w:r>
                  <w:r>
                    <w:rPr>
                      <w:i/>
                      <w:color w:val="000000"/>
                    </w:rPr>
                    <w:t>„m“</w:t>
                  </w:r>
                  <w:r>
                    <w:rPr>
                      <w:color w:val="000000"/>
                    </w:rPr>
                    <w:t xml:space="preserve"> skaičiuojamieji šilumos nuostoliai per su gruntu besiribojančias pastato atitvaras</w:t>
                  </w:r>
                  <w:r>
                    <w:rPr>
                      <w:i/>
                      <w:color w:val="000000"/>
                    </w:rPr>
                    <w:t xml:space="preserve"> Q</w:t>
                  </w:r>
                  <w:r>
                    <w:rPr>
                      <w:i/>
                      <w:color w:val="000000"/>
                      <w:vertAlign w:val="subscript"/>
                    </w:rPr>
                    <w:t>C.fg,m</w:t>
                  </w:r>
                  <w:r>
                    <w:rPr>
                      <w:color w:val="000000"/>
                    </w:rPr>
                    <w:t xml:space="preserve"> (kWh/(m</w:t>
                  </w:r>
                  <w:r>
                    <w:rPr>
                      <w:color w:val="000000"/>
                      <w:vertAlign w:val="superscript"/>
                    </w:rPr>
                    <w:t>2</w:t>
                  </w:r>
                  <w:r>
                    <w:rPr>
                      <w:color w:val="000000"/>
                      <w:spacing w:val="-6"/>
                    </w:rPr>
                    <w:t>·</w:t>
                  </w:r>
                  <w:r>
                    <w:rPr>
                      <w:color w:val="000000"/>
                    </w:rPr>
                    <w:t>mėn.)), pagal kuriuos skaičiuojami energijos poreikiai pastatui vėsinti apskaičiuojami pagal formulę:</w:t>
                  </w:r>
                </w:p>
                <w:tbl>
                  <w:tblPr>
                    <w:tblW w:w="9468" w:type="dxa"/>
                    <w:tblLook w:val="01E0" w:firstRow="1" w:lastRow="1" w:firstColumn="1" w:lastColumn="1" w:noHBand="0" w:noVBand="0"/>
                  </w:tblPr>
                  <w:tblGrid>
                    <w:gridCol w:w="8388"/>
                    <w:gridCol w:w="1080"/>
                  </w:tblGrid>
                  <w:tr>
                    <w:tc>
                      <w:tcPr>
                        <w:tcW w:w="8388"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szCs w:val="22"/>
                          </w:rPr>
                          <w:object w:dxaOrig="4230" w:dyaOrig="1110">
                            <v:shape id="_x0000_i1052" type="#_x0000_t75" style="width:211.15pt;height:55.8pt" o:ole="">
                              <v:imagedata r:id="rId322" o:title=""/>
                            </v:shape>
                            <o:OLEObject Type="Embed" ProgID="Equation.3" ShapeID="_x0000_i1052" DrawAspect="Content" ObjectID="_0000000001" r:id="rId323"/>
                          </w:object>
                        </w:r>
                      </w:p>
                    </w:tc>
                    <w:tc>
                      <w:tcPr>
                        <w:tcW w:w="1080" w:type="dxa"/>
                        <w:vAlign w:val="center"/>
                      </w:tcPr>
                      <w:p>
                        <w:pPr>
                          <w:rPr>
                            <w:color w:val="000000"/>
                            <w:sz w:val="10"/>
                            <w:szCs w:val="10"/>
                          </w:rPr>
                        </w:pPr>
                      </w:p>
                      <w:p>
                        <w:pPr>
                          <w:spacing w:line="360" w:lineRule="auto"/>
                          <w:ind w:left="850" w:hanging="850"/>
                          <w:rPr>
                            <w:rFonts w:eastAsia="Calibri"/>
                            <w:bCs/>
                            <w:color w:val="000000"/>
                            <w:szCs w:val="22"/>
                          </w:rPr>
                        </w:pPr>
                        <w:r>
                          <w:rPr>
                            <w:bCs/>
                            <w:color w:val="000000"/>
                          </w:rPr>
                          <w:t>(2.23)</w:t>
                        </w:r>
                      </w:p>
                    </w:tc>
                  </w:tr>
                </w:tbl>
                <w:p>
                  <w:pPr>
                    <w:tabs>
                      <w:tab w:val="left" w:pos="567"/>
                    </w:tabs>
                    <w:rPr>
                      <w:rFonts w:eastAsia="Calibri"/>
                      <w:color w:val="000000"/>
                      <w:szCs w:val="22"/>
                    </w:rPr>
                  </w:pPr>
                  <w:r>
                    <w:rPr>
                      <w:color w:val="000000"/>
                    </w:rPr>
                    <w:t>čia:</w:t>
                    <w:tab/>
                  </w:r>
                  <w:r>
                    <w:rPr>
                      <w:bCs/>
                      <w:i/>
                      <w:color w:val="000000"/>
                    </w:rPr>
                    <w:t>Φ</w:t>
                  </w:r>
                  <w:r>
                    <w:rPr>
                      <w:bCs/>
                      <w:i/>
                      <w:color w:val="000000"/>
                      <w:vertAlign w:val="subscript"/>
                    </w:rPr>
                    <w:t>C.fg1,m</w:t>
                  </w:r>
                  <w:r>
                    <w:rPr>
                      <w:bCs/>
                      <w:i/>
                      <w:color w:val="000000"/>
                    </w:rPr>
                    <w:t xml:space="preserve"> – </w:t>
                  </w:r>
                  <w:r>
                    <w:rPr>
                      <w:bCs/>
                      <w:color w:val="000000"/>
                    </w:rPr>
                    <w:t>a</w:t>
                  </w:r>
                  <w:r>
                    <w:rPr>
                      <w:color w:val="000000"/>
                    </w:rPr>
                    <w:t>pskaičiuojama pagal 15 punkto reikalavimus pagal (2.33) formulę (W);</w:t>
                  </w:r>
                </w:p>
                <w:p>
                  <w:pPr>
                    <w:ind w:left="567"/>
                    <w:rPr>
                      <w:color w:val="000000"/>
                    </w:rPr>
                  </w:pPr>
                  <w:r>
                    <w:rPr>
                      <w:bCs/>
                      <w:i/>
                      <w:color w:val="000000"/>
                    </w:rPr>
                    <w:t>Φ</w:t>
                  </w:r>
                  <w:r>
                    <w:rPr>
                      <w:bCs/>
                      <w:i/>
                      <w:color w:val="000000"/>
                      <w:vertAlign w:val="subscript"/>
                    </w:rPr>
                    <w:t>C.fg2,m</w:t>
                  </w:r>
                  <w:r>
                    <w:rPr>
                      <w:bCs/>
                      <w:i/>
                      <w:color w:val="000000"/>
                    </w:rPr>
                    <w:t xml:space="preserve"> - </w:t>
                  </w:r>
                  <w:r>
                    <w:rPr>
                      <w:bCs/>
                      <w:color w:val="000000"/>
                    </w:rPr>
                    <w:t>a</w:t>
                  </w:r>
                  <w:r>
                    <w:rPr>
                      <w:color w:val="000000"/>
                    </w:rPr>
                    <w:t>pskaičiuojama pagal 16 punkto reikalavimus pagal (2.48) formulę (W);</w:t>
                  </w:r>
                </w:p>
                <w:p>
                  <w:pPr>
                    <w:ind w:left="567"/>
                    <w:rPr>
                      <w:color w:val="000000"/>
                    </w:rPr>
                  </w:pPr>
                  <w:r>
                    <w:rPr>
                      <w:bCs/>
                      <w:i/>
                      <w:color w:val="000000"/>
                    </w:rPr>
                    <w:t>Φ</w:t>
                  </w:r>
                  <w:r>
                    <w:rPr>
                      <w:bCs/>
                      <w:i/>
                      <w:color w:val="000000"/>
                      <w:vertAlign w:val="subscript"/>
                    </w:rPr>
                    <w:t>C.fg3,m</w:t>
                  </w:r>
                  <w:r>
                    <w:rPr>
                      <w:bCs/>
                      <w:i/>
                      <w:color w:val="000000"/>
                    </w:rPr>
                    <w:t xml:space="preserve"> - </w:t>
                  </w:r>
                  <w:r>
                    <w:rPr>
                      <w:bCs/>
                      <w:color w:val="000000"/>
                    </w:rPr>
                    <w:t>a</w:t>
                  </w:r>
                  <w:r>
                    <w:rPr>
                      <w:color w:val="000000"/>
                    </w:rPr>
                    <w:t>pskaičiuojama pagal 17 punkto reikalavimus pagal (2.59) formulę (W);</w:t>
                  </w:r>
                </w:p>
                <w:p>
                  <w:pPr>
                    <w:ind w:left="567"/>
                    <w:rPr>
                      <w:color w:val="000000"/>
                    </w:rPr>
                  </w:pPr>
                  <w:r>
                    <w:rPr>
                      <w:bCs/>
                      <w:i/>
                      <w:color w:val="000000"/>
                    </w:rPr>
                    <w:t>Φ</w:t>
                  </w:r>
                  <w:r>
                    <w:rPr>
                      <w:bCs/>
                      <w:i/>
                      <w:color w:val="000000"/>
                      <w:vertAlign w:val="subscript"/>
                    </w:rPr>
                    <w:t>C.fg4,m</w:t>
                  </w:r>
                  <w:r>
                    <w:rPr>
                      <w:bCs/>
                      <w:i/>
                      <w:color w:val="000000"/>
                    </w:rPr>
                    <w:t xml:space="preserve"> - </w:t>
                  </w:r>
                  <w:r>
                    <w:rPr>
                      <w:bCs/>
                      <w:color w:val="000000"/>
                    </w:rPr>
                    <w:t>a</w:t>
                  </w:r>
                  <w:r>
                    <w:rPr>
                      <w:color w:val="000000"/>
                    </w:rPr>
                    <w:t>pskaičiuojama pagal 18 punkto reikalavimus pagal (2.70) formulę (W);</w:t>
                  </w:r>
                </w:p>
                <w:p>
                  <w:pPr>
                    <w:ind w:firstLine="570"/>
                    <w:rPr>
                      <w:color w:val="000000"/>
                    </w:rPr>
                  </w:pPr>
                  <w:r>
                    <w:rPr>
                      <w:bCs/>
                      <w:i/>
                      <w:color w:val="000000"/>
                    </w:rPr>
                    <w:t>Φ</w:t>
                  </w:r>
                  <w:r>
                    <w:rPr>
                      <w:bCs/>
                      <w:i/>
                      <w:color w:val="000000"/>
                      <w:vertAlign w:val="subscript"/>
                    </w:rPr>
                    <w:t>C.fg5,m</w:t>
                  </w:r>
                  <w:r>
                    <w:rPr>
                      <w:bCs/>
                      <w:i/>
                      <w:color w:val="000000"/>
                    </w:rPr>
                    <w:t xml:space="preserve"> - </w:t>
                  </w:r>
                  <w:r>
                    <w:rPr>
                      <w:bCs/>
                      <w:color w:val="000000"/>
                    </w:rPr>
                    <w:t>a</w:t>
                  </w:r>
                  <w:r>
                    <w:rPr>
                      <w:color w:val="000000"/>
                    </w:rPr>
                    <w:t>pskaičiuojama pagal 19 punkto reikalavimus pagal (2.82) formulę (W).</w:t>
                  </w:r>
                </w:p>
                <w:p>
                  <w:pPr>
                    <w:rPr>
                      <w:color w:val="000000"/>
                    </w:rPr>
                  </w:pPr>
                </w:p>
              </w:sdtContent>
            </w:sdt>
            <w:sdt>
              <w:sdtPr>
                <w:alias w:val="2 pr. 15 p."/>
                <w:tag w:val="part_876f456c49ef484ea0fda8144f47be08"/>
                <w:lock w:val="sdtLocked"/>
                <w:richText/>
              </w:sdtPr>
              <w:sdtContent>
                <w:p>
                  <w:pPr>
                    <w:ind w:firstLine="567"/>
                    <w:jc w:val="both"/>
                    <w:rPr>
                      <w:color w:val="000000"/>
                    </w:rPr>
                  </w:pPr>
                  <w:sdt>
                    <w:sdtPr>
                      <w:alias w:val="Numeris"/>
                      <w:tag w:val="nr_876f456c49ef484ea0fda8144f47be08"/>
                      <w:lock w:val="sdtLocked"/>
                      <w:richText/>
                    </w:sdtPr>
                    <w:sdtContent>
                      <w:r>
                        <w:rPr>
                          <w:color w:val="000000"/>
                        </w:rPr>
                        <w:t>15</w:t>
                      </w:r>
                    </w:sdtContent>
                  </w:sdt>
                  <w:r>
                    <w:rPr>
                      <w:color w:val="000000"/>
                    </w:rPr>
                    <w:t>. Šilumos srautų skaičiavimas per grindis ant grunto, kai grindys neapšiltintos arba jose įrengtas ištisinis horizontalusis termoizoliacinis sluoksnis (2.3. pav.), turi būti atliktas dviem variantais: turi būti apskaičiuoti šilumos srautai per grindis, susiję su energijos poreikiais pastatui šildyti, ir šilumos srautai, susiję su energijos poreikiais pastatui vėsinti.</w:t>
                  </w:r>
                </w:p>
                <w:p>
                  <w:pPr>
                    <w:jc w:val="center"/>
                    <w:rPr>
                      <w:color w:val="000000"/>
                    </w:rPr>
                  </w:pPr>
                </w:p>
                <w:p>
                  <w:pPr>
                    <w:jc w:val="center"/>
                    <w:rPr>
                      <w:i/>
                      <w:color w:val="000000"/>
                    </w:rPr>
                  </w:pPr>
                  <w:r>
                    <w:rPr>
                      <w:i/>
                      <w:color w:val="000000"/>
                      <w:lang w:eastAsia="lt-LT"/>
                    </w:rPr>
                    <w:drawing>
                      <wp:inline distT="0" distB="0" distL="0" distR="0">
                        <wp:extent cx="2882900" cy="2165350"/>
                        <wp:effectExtent l="0" t="0" r="0" b="6350"/>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2882900" cy="2165350"/>
                                </a:xfrm>
                                <a:prstGeom prst="rect">
                                  <a:avLst/>
                                </a:prstGeom>
                                <a:noFill/>
                                <a:ln>
                                  <a:noFill/>
                                </a:ln>
                              </pic:spPr>
                            </pic:pic>
                          </a:graphicData>
                        </a:graphic>
                      </wp:inline>
                    </w:drawing>
                  </w:r>
                </w:p>
                <w:p>
                  <w:pPr>
                    <w:jc w:val="both"/>
                    <w:rPr>
                      <w:color w:val="000000"/>
                    </w:rPr>
                  </w:pPr>
                  <w:r>
                    <w:rPr>
                      <w:color w:val="000000"/>
                    </w:rPr>
                    <w:t>2.3. pav. Grindų ant grunto schema. Grindys gali būti neapšiltintos arba su vienodu ištisiniu termoizoliaciniu sluoksniu po grindų plokšte, jos viduje arba virš jos</w:t>
                  </w:r>
                </w:p>
                <w:p>
                  <w:pPr>
                    <w:ind w:firstLine="570"/>
                    <w:rPr>
                      <w:color w:val="000000"/>
                    </w:rPr>
                  </w:pPr>
                </w:p>
                <w:sdt>
                  <w:sdtPr>
                    <w:alias w:val="2 pr. 15.1 pp."/>
                    <w:tag w:val="part_07388fdbf2b444c59b4e84e24cdcef74"/>
                    <w:lock w:val="sdtLocked"/>
                    <w:richText/>
                  </w:sdtPr>
                  <w:sdtContent>
                    <w:p>
                      <w:pPr>
                        <w:ind w:firstLine="567"/>
                        <w:jc w:val="both"/>
                        <w:rPr>
                          <w:color w:val="000000"/>
                        </w:rPr>
                      </w:pPr>
                      <w:sdt>
                        <w:sdtPr>
                          <w:alias w:val="Numeris"/>
                          <w:tag w:val="nr_07388fdbf2b444c59b4e84e24cdcef74"/>
                          <w:lock w:val="sdtLocked"/>
                          <w:richText/>
                        </w:sdtPr>
                        <w:sdtContent>
                          <w:r>
                            <w:rPr>
                              <w:color w:val="000000"/>
                            </w:rPr>
                            <w:t>15.1</w:t>
                          </w:r>
                        </w:sdtContent>
                      </w:sdt>
                      <w:r>
                        <w:rPr>
                          <w:color w:val="000000"/>
                        </w:rPr>
                        <w:t xml:space="preserve">. Kiekvieno mėnesio </w:t>
                      </w:r>
                      <w:r>
                        <w:rPr>
                          <w:i/>
                          <w:color w:val="000000"/>
                        </w:rPr>
                        <w:t xml:space="preserve">„m“ </w:t>
                      </w:r>
                      <w:r>
                        <w:rPr>
                          <w:color w:val="000000"/>
                        </w:rPr>
                        <w:t xml:space="preserve">norminis </w:t>
                      </w:r>
                      <w:r>
                        <w:rPr>
                          <w:bCs/>
                          <w:i/>
                          <w:color w:val="000000"/>
                        </w:rPr>
                        <w:t>Φ</w:t>
                      </w:r>
                      <w:r>
                        <w:rPr>
                          <w:i/>
                          <w:color w:val="000000"/>
                          <w:vertAlign w:val="subscript"/>
                        </w:rPr>
                        <w:t>N.H.fg1,m</w:t>
                      </w:r>
                      <w:r>
                        <w:rPr>
                          <w:color w:val="000000"/>
                        </w:rPr>
                        <w:t xml:space="preserve"> (W), atskaitinis </w:t>
                      </w:r>
                      <w:r>
                        <w:rPr>
                          <w:bCs/>
                          <w:i/>
                          <w:color w:val="000000"/>
                        </w:rPr>
                        <w:t>Φ</w:t>
                      </w:r>
                      <w:r>
                        <w:rPr>
                          <w:i/>
                          <w:color w:val="000000"/>
                          <w:vertAlign w:val="subscript"/>
                        </w:rPr>
                        <w:t>R.H.fg1,m</w:t>
                      </w:r>
                      <w:r>
                        <w:rPr>
                          <w:color w:val="000000"/>
                        </w:rPr>
                        <w:t xml:space="preserve"> (W) ir skaičiuojamasis </w:t>
                      </w:r>
                      <w:r>
                        <w:rPr>
                          <w:bCs/>
                          <w:i/>
                          <w:color w:val="000000"/>
                        </w:rPr>
                        <w:t>Φ</w:t>
                      </w:r>
                      <w:r>
                        <w:rPr>
                          <w:i/>
                          <w:color w:val="000000"/>
                          <w:vertAlign w:val="subscript"/>
                        </w:rPr>
                        <w:t>H.fg1,m</w:t>
                      </w:r>
                      <w:r>
                        <w:rPr>
                          <w:color w:val="000000"/>
                        </w:rPr>
                        <w:t xml:space="preserve"> (W) šilumos srautas per grindis, pagal kurį skaičiuojami energijos poreikiai pastatui šildyti, apskaičiuojamas pagal formules [3.14]:</w:t>
                      </w:r>
                    </w:p>
                    <w:tbl>
                      <w:tblPr>
                        <w:tblW w:w="0" w:type="auto"/>
                        <w:tblLook w:val="01E0" w:firstRow="1" w:lastRow="1" w:firstColumn="1" w:lastColumn="1" w:noHBand="0" w:noVBand="0"/>
                      </w:tblPr>
                      <w:tblGrid>
                        <w:gridCol w:w="8615"/>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8390" w:dyaOrig="760">
                                <v:shape id="_x0000_i1053" type="#_x0000_t75" style="width:419.85pt;height:38.85pt" o:ole="">
                                  <v:imagedata r:id="rId325" o:title=""/>
                                </v:shape>
                                <o:OLEObject Type="Embed" ProgID="Equation.3" ShapeID="_x0000_i1053" DrawAspect="Content" ObjectID="_0000000001" r:id="rId326"/>
                              </w:objec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(2.24)</w:t>
                            </w:r>
                          </w:p>
                        </w:tc>
                      </w:tr>
                    </w:tbl>
                    <w:p>
                      <w:pPr>
                        <w:jc w:val="right"/>
                        <w:rPr>
                          <w:rFonts w:eastAsia="Calibri"/>
                          <w:strike/>
                          <w:color w:val="000000"/>
                          <w:szCs w:val="22"/>
                        </w:rPr>
                      </w:pPr>
                    </w:p>
                    <w:tbl>
                      <w:tblPr>
                        <w:tblW w:w="9603" w:type="dxa"/>
                        <w:tblLook w:val="01E0" w:firstRow="1" w:lastRow="1" w:firstColumn="1" w:lastColumn="1" w:noHBand="0" w:noVBand="0"/>
                      </w:tblPr>
                      <w:tblGrid>
                        <w:gridCol w:w="8807"/>
                        <w:gridCol w:w="796"/>
                      </w:tblGrid>
                      <w:tr>
                        <w:tc>
                          <w:tcPr>
                            <w:tcW w:w="880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8040" w:dyaOrig="680">
                                <v:shape id="_x0000_i1054" type="#_x0000_t75" style="width:402.05pt;height:34pt" o:ole="">
                                  <v:imagedata r:id="rId327" o:title=""/>
                                </v:shape>
                                <o:OLEObject Type="Embed" ProgID="Equation.3" ShapeID="_x0000_i1054" DrawAspect="Content" ObjectID="_0000000001" r:id="rId328"/>
                              </w:object>
                            </w:r>
                            <w:r>
                              <w:rPr>
                                <w:bCs/>
                                <w:color w:val="000000"/>
                              </w:rPr>
                              <w:t>;</w:t>
                            </w:r>
                          </w:p>
                        </w:tc>
                        <w:tc>
                          <w:tcPr>
                            <w:tcW w:w="796"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(2.25)</w:t>
                            </w:r>
                          </w:p>
                        </w:tc>
                      </w:tr>
                    </w:tbl>
                    <w:p>
                      <w:pPr>
                        <w:jc w:val="right"/>
                        <w:rPr>
                          <w:rFonts w:eastAsia="Calibri"/>
                          <w:strike/>
                          <w:color w:val="000000"/>
                          <w:szCs w:val="22"/>
                        </w:rPr>
                      </w:pP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color w:val="000000"/>
                                <w:position w:val="-24"/>
                                <w:lang w:eastAsia="lt-LT"/>
                              </w:rPr>
                              <w:drawing>
                                <wp:inline distT="0" distB="0" distL="0" distR="0">
                                  <wp:extent cx="4851400" cy="444500"/>
                                  <wp:effectExtent l="0" t="0" r="6350" b="0"/>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
                                          <pic:cNvPicPr>
                                            <a:picLocks noChangeAspect="1" noChangeArrowheads="1"/>
                                          </pic:cNvPicPr>
                                        </pic:nvPicPr>
                                        <pic:blipFill>
                                          <a:blip r:embed="rId329" cstate="print">
                                            <a:extLst>
                                              <a:ext uri="{28A0092B-C50C-407E-A947-70E740481C1C}">
                                                <a14:useLocalDpi xmlns:a14="http://schemas.microsoft.com/office/drawing/2010/main" val="0"/>
                                              </a:ext>
                                            </a:extLst>
                                          </a:blip>
                                          <a:srcRect/>
                                          <a:stretch>
                                            <a:fillRect/>
                                          </a:stretch>
                                        </pic:blipFill>
                                        <pic:spPr bwMode="auto">
                                          <a:xfrm>
                                            <a:off x="0" y="0"/>
                                            <a:ext cx="4851400" cy="444500"/>
                                          </a:xfrm>
                                          <a:prstGeom prst="rect">
                                            <a:avLst/>
                                          </a:prstGeom>
                                          <a:noFill/>
                                          <a:ln>
                                            <a:noFill/>
                                          </a:ln>
                                        </pic:spPr>
                                      </pic:pic>
                                    </a:graphicData>
                                  </a:graphic>
                                </wp:inline>
                              </w:drawing>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(2.26)</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fg1.sum</w:t>
                      </w:r>
                      <w:r>
                        <w:rPr>
                          <w:color w:val="000000"/>
                        </w:rPr>
                        <w:t xml:space="preserve"> – grindų ant grunto, kai grindys neapšiltintos arba jose įrengtas ištisinis horizontalusis termoizoliacinis sluoksnis, suminis plotas (m</w:t>
                      </w:r>
                      <w:r>
                        <w:rPr>
                          <w:color w:val="000000"/>
                          <w:vertAlign w:val="superscript"/>
                        </w:rPr>
                        <w:t>2</w:t>
                      </w:r>
                      <w:r>
                        <w:rPr>
                          <w:color w:val="000000"/>
                        </w:rPr>
                        <w:t xml:space="preserve">). Nustatomas pagal Reglamento 7 priedo reikalavimus; </w:t>
                      </w:r>
                    </w:p>
                    <w:p>
                      <w:pPr>
                        <w:ind w:firstLine="570"/>
                        <w:jc w:val="both"/>
                        <w:rPr>
                          <w:color w:val="000000"/>
                        </w:rPr>
                      </w:pPr>
                      <w:r>
                        <w:rPr>
                          <w:bCs/>
                          <w:i/>
                          <w:color w:val="000000"/>
                        </w:rPr>
                        <w:t>A</w:t>
                      </w:r>
                      <w:r>
                        <w:rPr>
                          <w:bCs/>
                          <w:i/>
                          <w:color w:val="000000"/>
                          <w:vertAlign w:val="subscript"/>
                        </w:rPr>
                        <w:t>fg1,x</w:t>
                      </w:r>
                      <w:r>
                        <w:rPr>
                          <w:color w:val="000000"/>
                        </w:rPr>
                        <w:t xml:space="preserve"> – atitinkamų „</w:t>
                      </w:r>
                      <w:r>
                        <w:rPr>
                          <w:i/>
                          <w:color w:val="000000"/>
                        </w:rPr>
                        <w:t>x</w:t>
                      </w:r>
                      <w:r>
                        <w:rPr>
                          <w:color w:val="000000"/>
                        </w:rPr>
                        <w:t>“ grindų ant grunto, kai grindys neapšiltintos arba jose įrengtas ištisinis horizontalusis termoizoliacinis sluoksnis, plotas (m</w:t>
                      </w:r>
                      <w:r>
                        <w:rPr>
                          <w:color w:val="000000"/>
                          <w:vertAlign w:val="superscript"/>
                        </w:rPr>
                        <w:t>2</w:t>
                      </w:r>
                      <w:r>
                        <w:rPr>
                          <w:color w:val="000000"/>
                        </w:rPr>
                        <w:t xml:space="preserve">). Nustatomas pagal Reglamento 7 priedo reikalavimus; </w:t>
                      </w:r>
                    </w:p>
                    <w:p>
                      <w:pPr>
                        <w:ind w:firstLine="570"/>
                        <w:jc w:val="both"/>
                        <w:rPr>
                          <w:color w:val="000000"/>
                        </w:rPr>
                      </w:pPr>
                      <w:r>
                        <w:rPr>
                          <w:i/>
                          <w:color w:val="000000"/>
                        </w:rPr>
                        <w:t>H</w:t>
                      </w:r>
                      <w:r>
                        <w:rPr>
                          <w:i/>
                          <w:color w:val="000000"/>
                          <w:vertAlign w:val="subscript"/>
                        </w:rPr>
                        <w:t>pe1,x</w:t>
                      </w:r>
                      <w:r>
                        <w:rPr>
                          <w:color w:val="000000"/>
                        </w:rPr>
                        <w:t xml:space="preserve"> – kiekvienų „</w:t>
                      </w:r>
                      <w:r>
                        <w:rPr>
                          <w:i/>
                          <w:color w:val="000000"/>
                        </w:rPr>
                        <w:t>x</w:t>
                      </w:r>
                      <w:r>
                        <w:rPr>
                          <w:color w:val="000000"/>
                        </w:rPr>
                        <w:t>“ grindų išoriniai savitieji šilumos nuostoliai. Apskaičiuojami pagal (2.29) formulę;</w:t>
                      </w:r>
                    </w:p>
                    <w:p>
                      <w:pPr>
                        <w:ind w:firstLine="570"/>
                        <w:jc w:val="both"/>
                        <w:rPr>
                          <w:color w:val="000000"/>
                        </w:rPr>
                      </w:pPr>
                      <w:r>
                        <w:rPr>
                          <w:bCs/>
                          <w:i/>
                          <w:color w:val="000000"/>
                        </w:rPr>
                        <w:t>U</w:t>
                      </w:r>
                      <w:r>
                        <w:rPr>
                          <w:bCs/>
                          <w:i/>
                          <w:color w:val="000000"/>
                          <w:vertAlign w:val="subscript"/>
                        </w:rPr>
                        <w:t>(C,B).fg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70"/>
                        <w:jc w:val="both"/>
                        <w:rPr>
                          <w:color w:val="000000"/>
                          <w:spacing w:val="-6"/>
                        </w:rPr>
                      </w:pPr>
                      <w:r>
                        <w:rPr>
                          <w:bCs/>
                          <w:i/>
                          <w:color w:val="000000"/>
                        </w:rPr>
                        <w:t>U</w:t>
                      </w:r>
                      <w:r>
                        <w:rPr>
                          <w:bCs/>
                          <w:i/>
                          <w:color w:val="000000"/>
                          <w:vertAlign w:val="subscript"/>
                        </w:rPr>
                        <w:t>R.fg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70"/>
                        <w:jc w:val="both"/>
                        <w:rPr>
                          <w:color w:val="000000"/>
                          <w:spacing w:val="-6"/>
                        </w:rPr>
                      </w:pPr>
                      <w:r>
                        <w:rPr>
                          <w:bCs/>
                          <w:i/>
                          <w:color w:val="000000"/>
                        </w:rPr>
                        <w:t>U</w:t>
                      </w:r>
                      <w:r>
                        <w:rPr>
                          <w:bCs/>
                          <w:i/>
                          <w:color w:val="000000"/>
                          <w:vertAlign w:val="subscript"/>
                        </w:rPr>
                        <w:t>fg1,x</w:t>
                      </w:r>
                      <w:r>
                        <w:rPr>
                          <w:color w:val="000000"/>
                        </w:rPr>
                        <w:t xml:space="preserve"> – atitinkamų „</w:t>
                      </w:r>
                      <w:r>
                        <w:rPr>
                          <w:i/>
                          <w:color w:val="000000"/>
                        </w:rPr>
                        <w:t>x</w:t>
                      </w:r>
                      <w:r>
                        <w:rPr>
                          <w:color w:val="000000"/>
                        </w:rPr>
                        <w:t>“ grindų ant grunto, kai grindys neapšiltintos arba jose įrengtas ištisinis horizontalusis termoizoliacinis sluoksnis, skaičiuojamasis šilumos perdavimo koeficientas (W/</w:t>
                      </w:r>
                      <w:r>
                        <w:rPr>
                          <w:color w:val="000000"/>
                          <w:spacing w:val="-6"/>
                        </w:rPr>
                        <w:t>(m</w:t>
                      </w:r>
                      <w:r>
                        <w:rPr>
                          <w:color w:val="000000"/>
                          <w:spacing w:val="-6"/>
                          <w:vertAlign w:val="superscript"/>
                        </w:rPr>
                        <w:t>2</w:t>
                      </w:r>
                      <w:r>
                        <w:rPr>
                          <w:color w:val="000000"/>
                          <w:spacing w:val="-6"/>
                        </w:rPr>
                        <w:t>·K)). Atsižvelgiant į grindų apšiltinimą, apskaičiuojamas pagal (2.30) arba (2.31) formules;</w:t>
                      </w:r>
                    </w:p>
                    <w:p>
                      <w:pPr>
                        <w:ind w:firstLine="570"/>
                        <w:jc w:val="both"/>
                        <w:rPr>
                          <w:color w:val="000000"/>
                          <w:spacing w:val="-6"/>
                        </w:rPr>
                      </w:pPr>
                      <w:r>
                        <w:rPr>
                          <w:bCs/>
                          <w:i/>
                          <w:color w:val="000000"/>
                        </w:rPr>
                        <w:t xml:space="preserve">m </w:t>
                      </w:r>
                      <w:r>
                        <w:rPr>
                          <w:color w:val="000000"/>
                          <w:spacing w:val="-6"/>
                        </w:rPr>
                        <w:t xml:space="preserve">– atitinkamo metų mėnesio numeris. Pvz., sausį – </w:t>
                      </w:r>
                      <w:r>
                        <w:rPr>
                          <w:i/>
                          <w:color w:val="000000"/>
                          <w:spacing w:val="-6"/>
                        </w:rPr>
                        <w:t>m</w:t>
                      </w:r>
                      <w:r>
                        <w:rPr>
                          <w:color w:val="000000"/>
                          <w:spacing w:val="-6"/>
                        </w:rPr>
                        <w:t xml:space="preserve">=1, gruodį – </w:t>
                      </w:r>
                      <w:r>
                        <w:rPr>
                          <w:i/>
                          <w:color w:val="000000"/>
                          <w:spacing w:val="-6"/>
                        </w:rPr>
                        <w:t>m</w:t>
                      </w:r>
                      <w:r>
                        <w:rPr>
                          <w:color w:val="000000"/>
                          <w:spacing w:val="-6"/>
                        </w:rPr>
                        <w:t>=12;</w:t>
                      </w:r>
                    </w:p>
                    <w:p>
                      <w:pPr>
                        <w:ind w:firstLine="570"/>
                        <w:jc w:val="both"/>
                        <w:rPr>
                          <w:bCs/>
                          <w:color w:val="000000"/>
                        </w:rPr>
                      </w:pPr>
                      <w:r>
                        <w:rPr>
                          <w:bCs/>
                          <w:i/>
                          <w:color w:val="000000"/>
                        </w:rPr>
                        <w:t xml:space="preserve">τ </w:t>
                      </w:r>
                      <w:r>
                        <w:rPr>
                          <w:bCs/>
                          <w:color w:val="000000"/>
                        </w:rPr>
                        <w:t xml:space="preserve">– mėnesio su žemiausia temperatūra numeris, </w:t>
                      </w:r>
                      <w:r>
                        <w:rPr>
                          <w:bCs/>
                          <w:i/>
                          <w:color w:val="000000"/>
                        </w:rPr>
                        <w:t>τ</w:t>
                      </w:r>
                      <w:r>
                        <w:rPr>
                          <w:color w:val="000000"/>
                          <w:spacing w:val="-6"/>
                        </w:rPr>
                        <w:t xml:space="preserve"> =1</w:t>
                      </w:r>
                      <w:r>
                        <w:rPr>
                          <w:bCs/>
                          <w:color w:val="000000"/>
                        </w:rPr>
                        <w:t>;</w:t>
                      </w:r>
                    </w:p>
                    <w:p>
                      <w:pPr>
                        <w:ind w:firstLine="570"/>
                        <w:jc w:val="both"/>
                        <w:rPr>
                          <w:color w:val="000000"/>
                        </w:rPr>
                      </w:pPr>
                      <w:r>
                        <w:rPr>
                          <w:rFonts w:eastAsia="Calibri"/>
                          <w:color w:val="000000"/>
                          <w:position w:val="-10"/>
                          <w:szCs w:val="22"/>
                        </w:rPr>
                        <w:object w:dxaOrig="220" w:dyaOrig="380">
                          <v:shape id="_x0000_i1055" type="#_x0000_t75" style="width:11.35pt;height:17.8pt" o:ole="">
                            <v:imagedata r:id="rId330" o:title=""/>
                          </v:shape>
                          <o:OLEObject Type="Embed" ProgID="Equation.3" ShapeID="_x0000_i1055" DrawAspect="Content" ObjectID="_0000000001" r:id="rId331"/>
                        </w:object>
                      </w:r>
                      <w:r>
                        <w:rPr>
                          <w:color w:val="000000"/>
                        </w:rPr>
                        <w:t xml:space="preserve"> – išorės oro temperatūros metinė amplitudė (°C). Apskaičiuojama pagal 2.6 lentelėje nurodytas vidutines sausio (-5,2 °C) ir liepos (16,7 °C) mėnesių temperatūras:</w:t>
                      </w:r>
                    </w:p>
                    <w:p>
                      <w:pPr>
                        <w:ind w:left="567"/>
                        <w:rPr>
                          <w:bCs/>
                          <w:i/>
                          <w:color w:val="000000"/>
                        </w:rPr>
                      </w:pP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0"/>
                                <w:szCs w:val="22"/>
                              </w:rPr>
                              <w:object w:dxaOrig="3120" w:dyaOrig="600">
                                <v:shape id="_x0000_i1056" type="#_x0000_t75" style="width:156.15pt;height:29.95pt" o:ole="">
                                  <v:imagedata r:id="rId332" o:title=""/>
                                </v:shape>
                                <o:OLEObject Type="Embed" ProgID="Equation.3" ShapeID="_x0000_i1056" DrawAspect="Content" ObjectID="_0000000001" r:id="rId333"/>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(2.27)</w:t>
                            </w:r>
                          </w:p>
                        </w:tc>
                      </w:tr>
                    </w:tbl>
                    <w:p>
                      <w:pPr>
                        <w:ind w:firstLine="567"/>
                        <w:jc w:val="both"/>
                        <w:rPr>
                          <w:rFonts w:eastAsia="Calibri"/>
                          <w:bCs/>
                          <w:color w:val="000000"/>
                          <w:szCs w:val="22"/>
                        </w:rPr>
                      </w:pPr>
                      <w:r>
                        <w:rPr>
                          <w:bCs/>
                          <w:i/>
                          <w:color w:val="000000"/>
                        </w:rPr>
                        <w:t>β</w:t>
                      </w:r>
                      <w:r>
                        <w:rPr>
                          <w:bCs/>
                          <w:i/>
                          <w:color w:val="000000"/>
                          <w:vertAlign w:val="subscript"/>
                        </w:rPr>
                        <w:t>1,x</w:t>
                      </w:r>
                      <w:r>
                        <w:rPr>
                          <w:bCs/>
                          <w:i/>
                          <w:color w:val="000000"/>
                        </w:rPr>
                        <w:t xml:space="preserve"> </w:t>
                      </w:r>
                      <w:r>
                        <w:rPr>
                          <w:bCs/>
                          <w:color w:val="000000"/>
                        </w:rPr>
                        <w:t xml:space="preserve">– rodiklis, įvertinantis šilumos srauto per atitinkamas </w:t>
                      </w:r>
                      <w:r>
                        <w:rPr>
                          <w:bCs/>
                          <w:i/>
                          <w:color w:val="000000"/>
                        </w:rPr>
                        <w:t>‚x“</w:t>
                      </w:r>
                      <w:r>
                        <w:rPr>
                          <w:bCs/>
                          <w:color w:val="000000"/>
                        </w:rPr>
                        <w:t xml:space="preserve"> grindis ant grunto pokyčio vėlavimą lyginant su išorės oro temperatūros pokyčiu (mėnesiai);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2630" w:dyaOrig="650">
                                <v:shape id="_x0000_i1057" type="#_x0000_t75" style="width:131.05pt;height:32.35pt" o:ole="">
                                  <v:imagedata r:id="rId334" o:title=""/>
                                </v:shape>
                                <o:OLEObject Type="Embed" ProgID="Equation.3" ShapeID="_x0000_i1057" DrawAspect="Content" ObjectID="_0000000001" r:id="rId335"/>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(2.28)</w:t>
                            </w:r>
                          </w:p>
                        </w:tc>
                      </w:tr>
                    </w:tbl>
                    <w:p>
                      <w:pPr>
                        <w:tabs>
                          <w:tab w:val="left" w:pos="567"/>
                        </w:tabs>
                        <w:rPr>
                          <w:rFonts w:eastAsia="Calibri"/>
                          <w:bCs/>
                          <w:color w:val="000000"/>
                          <w:szCs w:val="22"/>
                        </w:rPr>
                      </w:pPr>
                      <w:r>
                        <w:rPr>
                          <w:bCs/>
                          <w:color w:val="000000"/>
                        </w:rPr>
                        <w:t>čia:</w:t>
                        <w:tab/>
                        <w:t>d</w:t>
                      </w:r>
                      <w:r>
                        <w:rPr>
                          <w:bCs/>
                          <w:color w:val="000000"/>
                          <w:vertAlign w:val="subscript"/>
                        </w:rPr>
                        <w:t xml:space="preserve">t1,x </w:t>
                      </w:r>
                      <w:r>
                        <w:rPr>
                          <w:bCs/>
                          <w:color w:val="000000"/>
                        </w:rPr>
                        <w:t>– apskaičiuojamas pagal (2.32) formulę.</w:t>
                      </w:r>
                    </w:p>
                    <w:p>
                      <w:pPr>
                        <w:ind w:firstLine="567"/>
                        <w:jc w:val="right"/>
                        <w:rPr>
                          <w:color w:val="000000"/>
                        </w:rPr>
                      </w:pPr>
                    </w:p>
                    <w:p>
                      <w:pPr>
                        <w:ind w:firstLine="567"/>
                        <w:jc w:val="both"/>
                        <w:rPr>
                          <w:color w:val="000000"/>
                        </w:rPr>
                      </w:pPr>
                      <w:r>
                        <w:rPr>
                          <w:color w:val="000000"/>
                        </w:rPr>
                        <w:t>Atitinkamų „</w:t>
                      </w:r>
                      <w:r>
                        <w:rPr>
                          <w:i/>
                          <w:color w:val="000000"/>
                        </w:rPr>
                        <w:t>x</w:t>
                      </w:r>
                      <w:r>
                        <w:rPr>
                          <w:color w:val="000000"/>
                        </w:rPr>
                        <w:t>“ grindų ant grunto išoriniai savitieji šilumos nuostoliai</w:t>
                      </w:r>
                      <w:r>
                        <w:rPr>
                          <w:i/>
                          <w:color w:val="000000"/>
                        </w:rPr>
                        <w:t xml:space="preserve"> H</w:t>
                      </w:r>
                      <w:r>
                        <w:rPr>
                          <w:i/>
                          <w:color w:val="000000"/>
                          <w:vertAlign w:val="subscript"/>
                        </w:rPr>
                        <w:t>pe1,x</w:t>
                      </w:r>
                      <w:r>
                        <w:rPr>
                          <w:color w:val="000000"/>
                        </w:rPr>
                        <w:t xml:space="preserve"> (W/K) apskaičiuojami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2"/>
                                <w:szCs w:val="22"/>
                              </w:rPr>
                              <w:object w:dxaOrig="3310" w:dyaOrig="760">
                                <v:shape id="_x0000_i1058" type="#_x0000_t75" style="width:165.85pt;height:38.85pt" o:ole="">
                                  <v:imagedata r:id="rId336" o:title=""/>
                                </v:shape>
                                <o:OLEObject Type="Embed" ProgID="Equation.3" ShapeID="_x0000_i1058" DrawAspect="Content" ObjectID="_0000000001" r:id="rId33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(2.29)</w:t>
                            </w:r>
                          </w:p>
                        </w:tc>
                      </w:tr>
                    </w:tbl>
                    <w:p>
                      <w:pPr>
                        <w:tabs>
                          <w:tab w:val="left" w:pos="567"/>
                        </w:tabs>
                        <w:jc w:val="both"/>
                        <w:rPr>
                          <w:rFonts w:eastAsia="Calibri"/>
                          <w:color w:val="000000"/>
                          <w:szCs w:val="22"/>
                        </w:rPr>
                      </w:pPr>
                      <w:r>
                        <w:rPr>
                          <w:color w:val="000000"/>
                        </w:rPr>
                        <w:t>čia:</w:t>
                        <w:tab/>
                      </w:r>
                      <w:r>
                        <w:rPr>
                          <w:i/>
                          <w:color w:val="000000"/>
                        </w:rPr>
                        <w:t>P</w:t>
                      </w:r>
                      <w:r>
                        <w:rPr>
                          <w:i/>
                          <w:color w:val="000000"/>
                          <w:vertAlign w:val="subscript"/>
                        </w:rPr>
                        <w:t>1,x</w:t>
                      </w:r>
                      <w:r>
                        <w:rPr>
                          <w:i/>
                          <w:color w:val="000000"/>
                        </w:rPr>
                        <w:t xml:space="preserve"> </w:t>
                      </w:r>
                      <w:r>
                        <w:rPr>
                          <w:color w:val="000000"/>
                          <w:spacing w:val="-6"/>
                        </w:rPr>
                        <w:t>–</w:t>
                      </w:r>
                      <w:r>
                        <w:rPr>
                          <w:color w:val="000000"/>
                        </w:rPr>
                        <w:t xml:space="preserve"> atitinkamų „</w:t>
                      </w:r>
                      <w:r>
                        <w:rPr>
                          <w:i/>
                          <w:color w:val="000000"/>
                        </w:rPr>
                        <w:t>x</w:t>
                      </w:r>
                      <w:r>
                        <w:rPr>
                          <w:color w:val="000000"/>
                        </w:rPr>
                        <w:t xml:space="preserve">“ grindų ant grunto, kai grindys neapšiltintos arba jose įrengtas ištisinis horizontalusis termoizoliacinis sluoksnis,  perimetras (m).</w:t>
                      </w:r>
                    </w:p>
                    <w:p>
                      <w:pPr>
                        <w:ind w:left="2880"/>
                        <w:rPr>
                          <w:color w:val="000000"/>
                        </w:rPr>
                      </w:pPr>
                    </w:p>
                    <w:p>
                      <w:pPr>
                        <w:ind w:firstLine="567"/>
                        <w:rPr>
                          <w:color w:val="000000"/>
                        </w:rPr>
                      </w:pPr>
                      <w:r>
                        <w:rPr>
                          <w:color w:val="000000"/>
                        </w:rPr>
                        <w:t>Atitinkamų „</w:t>
                      </w:r>
                      <w:r>
                        <w:rPr>
                          <w:i/>
                          <w:color w:val="000000"/>
                        </w:rPr>
                        <w:t>x</w:t>
                      </w:r>
                      <w:r>
                        <w:rPr>
                          <w:color w:val="000000"/>
                        </w:rPr>
                        <w:t xml:space="preserve">“ grindų ant grunto </w:t>
                      </w:r>
                      <w:r>
                        <w:rPr>
                          <w:i/>
                          <w:color w:val="000000"/>
                        </w:rPr>
                        <w:t>U</w:t>
                      </w:r>
                      <w:r>
                        <w:rPr>
                          <w:i/>
                          <w:color w:val="000000"/>
                          <w:vertAlign w:val="subscript"/>
                        </w:rPr>
                        <w:t>fg1,x</w:t>
                      </w:r>
                      <w:r>
                        <w:rPr>
                          <w:color w:val="000000"/>
                        </w:rPr>
                        <w:t xml:space="preserve"> vertė apskaičiuojama taip:</w:t>
                      </w:r>
                    </w:p>
                    <w:p>
                      <w:pPr>
                        <w:overflowPunct w:val="0"/>
                        <w:ind w:firstLine="567"/>
                        <w:textAlignment w:val="baseline"/>
                        <w:rPr>
                          <w:color w:val="000000"/>
                        </w:rPr>
                      </w:pPr>
                      <w:r>
                        <w:rPr>
                          <w:color w:val="000000"/>
                        </w:rPr>
                        <w:t>- jei grindys neapšiltintos arba mažai apšiltintos (</w:t>
                      </w:r>
                      <w:r>
                        <w:rPr>
                          <w:i/>
                          <w:color w:val="000000"/>
                        </w:rPr>
                        <w:t>d</w:t>
                      </w:r>
                      <w:r>
                        <w:rPr>
                          <w:i/>
                          <w:color w:val="000000"/>
                          <w:vertAlign w:val="subscript"/>
                        </w:rPr>
                        <w:t>t1,x</w:t>
                      </w:r>
                      <w:r>
                        <w:rPr>
                          <w:i/>
                          <w:color w:val="000000"/>
                        </w:rPr>
                        <w:t xml:space="preserve"> &lt; B′</w:t>
                      </w:r>
                      <w:r>
                        <w:rPr>
                          <w:i/>
                          <w:color w:val="000000"/>
                          <w:vertAlign w:val="subscript"/>
                        </w:rPr>
                        <w:t>1,x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2"/>
                                <w:szCs w:val="22"/>
                              </w:rPr>
                              <w:object w:dxaOrig="3530" w:dyaOrig="840">
                                <v:shape id="_x0000_i1059" type="#_x0000_t75" style="width:176.35pt;height:42.05pt" o:ole="">
                                  <v:imagedata r:id="rId338" o:title=""/>
                                </v:shape>
                                <o:OLEObject Type="Embed" ProgID="Equation.3" ShapeID="_x0000_i1059" DrawAspect="Content" ObjectID="_0000000001" r:id="rId339"/>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(2.30)</w:t>
                            </w:r>
                          </w:p>
                        </w:tc>
                      </w:tr>
                    </w:tbl>
                    <w:p>
                      <w:pPr>
                        <w:ind w:firstLine="567"/>
                        <w:rPr>
                          <w:rFonts w:eastAsia="Calibri"/>
                          <w:color w:val="000000"/>
                          <w:szCs w:val="22"/>
                        </w:rPr>
                      </w:pPr>
                      <w:r>
                        <w:rPr>
                          <w:color w:val="000000"/>
                        </w:rPr>
                        <w:t>- jei grindys gerai apšiltintos (</w:t>
                      </w:r>
                      <w:r>
                        <w:rPr>
                          <w:i/>
                          <w:color w:val="000000"/>
                        </w:rPr>
                        <w:t>d</w:t>
                      </w:r>
                      <w:r>
                        <w:rPr>
                          <w:i/>
                          <w:color w:val="000000"/>
                          <w:vertAlign w:val="subscript"/>
                        </w:rPr>
                        <w:t>t1,x</w:t>
                      </w:r>
                      <w:r>
                        <w:rPr>
                          <w:i/>
                          <w:color w:val="000000"/>
                        </w:rPr>
                        <w:t xml:space="preserve"> ≥ B′</w:t>
                      </w:r>
                      <w:r>
                        <w:rPr>
                          <w:i/>
                          <w:color w:val="000000"/>
                          <w:vertAlign w:val="subscript"/>
                        </w:rPr>
                        <w:t>1,x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2390" w:dyaOrig="710">
                                <v:shape id="_x0000_i1060" type="#_x0000_t75" style="width:119.75pt;height:35.6pt" o:ole="">
                                  <v:imagedata r:id="rId340" o:title=""/>
                                </v:shape>
                                <o:OLEObject Type="Embed" ProgID="Equation.3" ShapeID="_x0000_i1060" DrawAspect="Content" ObjectID="_0000000001" r:id="rId34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(2.31)</w:t>
                            </w:r>
                          </w:p>
                        </w:tc>
                      </w:tr>
                    </w:tbl>
                    <w:p>
                      <w:pPr>
                        <w:tabs>
                          <w:tab w:val="left" w:pos="567"/>
                        </w:tabs>
                        <w:jc w:val="both"/>
                        <w:rPr>
                          <w:rFonts w:eastAsia="Calibri"/>
                          <w:color w:val="000000"/>
                          <w:szCs w:val="22"/>
                        </w:rPr>
                      </w:pPr>
                      <w:r>
                        <w:rPr>
                          <w:color w:val="000000"/>
                        </w:rPr>
                        <w:t>čia:</w:t>
                        <w:tab/>
                      </w:r>
                      <w:r>
                        <w:rPr>
                          <w:i/>
                          <w:color w:val="000000"/>
                        </w:rPr>
                        <w:t>B'</w:t>
                      </w:r>
                      <w:r>
                        <w:rPr>
                          <w:i/>
                          <w:color w:val="000000"/>
                          <w:vertAlign w:val="subscript"/>
                        </w:rPr>
                        <w:t>1,x</w:t>
                      </w:r>
                      <w:r>
                        <w:rPr>
                          <w:color w:val="000000"/>
                        </w:rPr>
                        <w:t xml:space="preserve"> </w:t>
                      </w:r>
                      <w:r>
                        <w:rPr>
                          <w:color w:val="000000"/>
                          <w:spacing w:val="-6"/>
                        </w:rPr>
                        <w:t>–</w:t>
                      </w:r>
                      <w:r>
                        <w:rPr>
                          <w:color w:val="000000"/>
                        </w:rPr>
                        <w:t xml:space="preserve"> atitinkamų „</w:t>
                      </w:r>
                      <w:r>
                        <w:rPr>
                          <w:i/>
                          <w:color w:val="000000"/>
                        </w:rPr>
                        <w:t>x</w:t>
                      </w:r>
                      <w:r>
                        <w:rPr>
                          <w:color w:val="000000"/>
                        </w:rPr>
                        <w:t xml:space="preserve">“ grindų ant grunto, kai grindys neapšiltintos arba jose įrengtas ištisinis horizontalusis termoizoliacinis sluoksnis,  būdingasis grindų matmuo (m); </w:t>
                      </w:r>
                    </w:p>
                    <w:p>
                      <w:pPr>
                        <w:ind w:firstLine="567"/>
                        <w:jc w:val="both"/>
                        <w:rPr>
                          <w:color w:val="000000"/>
                        </w:rPr>
                      </w:pPr>
                      <w:r>
                        <w:rPr>
                          <w:i/>
                          <w:color w:val="000000"/>
                        </w:rPr>
                        <w:t>λ</w:t>
                      </w:r>
                      <w:r>
                        <w:rPr>
                          <w:i/>
                          <w:color w:val="000000"/>
                          <w:vertAlign w:val="subscript"/>
                        </w:rPr>
                        <w:t>gr</w:t>
                      </w:r>
                      <w:r>
                        <w:rPr>
                          <w:color w:val="000000"/>
                        </w:rPr>
                        <w:t xml:space="preserve"> – grunto šilumos laidumo koeficientas (W/(m·K)). </w:t>
                      </w:r>
                      <w:r>
                        <w:rPr>
                          <w:i/>
                          <w:color w:val="000000"/>
                        </w:rPr>
                        <w:sym w:font="Symbol" w:char="F06C"/>
                      </w:r>
                      <w:r>
                        <w:rPr>
                          <w:i/>
                          <w:color w:val="000000"/>
                          <w:vertAlign w:val="subscript"/>
                        </w:rPr>
                        <w:t>gr</w:t>
                      </w:r>
                      <w:r>
                        <w:rPr>
                          <w:color w:val="000000"/>
                        </w:rPr>
                        <w:t xml:space="preserve"> = 2 W/(m·K); </w:t>
                      </w:r>
                    </w:p>
                    <w:p>
                      <w:pPr>
                        <w:ind w:firstLine="567"/>
                        <w:jc w:val="both"/>
                        <w:rPr>
                          <w:color w:val="000000"/>
                        </w:rPr>
                      </w:pPr>
                      <w:r>
                        <w:rPr>
                          <w:i/>
                          <w:color w:val="000000"/>
                        </w:rPr>
                        <w:t>d</w:t>
                      </w:r>
                      <w:r>
                        <w:rPr>
                          <w:i/>
                          <w:color w:val="000000"/>
                          <w:vertAlign w:val="subscript"/>
                        </w:rPr>
                        <w:t>t1,x</w:t>
                      </w:r>
                      <w:r>
                        <w:rPr>
                          <w:color w:val="000000"/>
                        </w:rPr>
                        <w:t xml:space="preserve"> – atitinkamų „</w:t>
                      </w:r>
                      <w:r>
                        <w:rPr>
                          <w:i/>
                          <w:color w:val="000000"/>
                        </w:rPr>
                        <w:t>x</w:t>
                      </w:r>
                      <w:r>
                        <w:rPr>
                          <w:color w:val="000000"/>
                        </w:rPr>
                        <w:t>“ grindų ant grunto, kai grindys neapšiltintos arba jose įrengtas ištisinis horizontalusis termoizoliacinis sluoksnis, atstojamasis grindų plokštės storis, išreikštas grunto sluoksnio storiu (m):</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3100" w:dyaOrig="380">
                                <v:shape id="_x0000_i1061" type="#_x0000_t75" style="width:155.35pt;height:17.8pt" o:ole="">
                                  <v:imagedata r:id="rId342" o:title=""/>
                                </v:shape>
                                <o:OLEObject Type="Embed" ProgID="Equation.3" ShapeID="_x0000_i1061" DrawAspect="Content" ObjectID="_0000000001" r:id="rId343"/>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(2.32)</w:t>
                            </w:r>
                          </w:p>
                        </w:tc>
                      </w:tr>
                    </w:tbl>
                    <w:p>
                      <w:pPr>
                        <w:tabs>
                          <w:tab w:val="left" w:pos="567"/>
                        </w:tabs>
                        <w:jc w:val="both"/>
                        <w:rPr>
                          <w:rFonts w:eastAsia="Calibri"/>
                          <w:color w:val="000000"/>
                          <w:szCs w:val="22"/>
                        </w:rPr>
                      </w:pPr>
                      <w:r>
                        <w:rPr>
                          <w:color w:val="000000"/>
                        </w:rPr>
                        <w:t>čia:</w:t>
                        <w:tab/>
                      </w:r>
                      <w:r>
                        <w:rPr>
                          <w:i/>
                          <w:color w:val="000000"/>
                        </w:rPr>
                        <w:t>R</w:t>
                      </w:r>
                      <w:r>
                        <w:rPr>
                          <w:i/>
                          <w:color w:val="000000"/>
                          <w:vertAlign w:val="subscript"/>
                        </w:rPr>
                        <w:t>f,x</w:t>
                      </w:r>
                      <w:r>
                        <w:rPr>
                          <w:color w:val="000000"/>
                        </w:rPr>
                        <w:t xml:space="preserve"> </w:t>
                      </w:r>
                      <w:r>
                        <w:rPr>
                          <w:color w:val="000000"/>
                          <w:spacing w:val="-6"/>
                        </w:rPr>
                        <w:t>–</w:t>
                      </w:r>
                      <w:r>
                        <w:rPr>
                          <w:color w:val="000000"/>
                        </w:rPr>
                        <w:t xml:space="preserve"> atitinkamų „</w:t>
                      </w:r>
                      <w:r>
                        <w:rPr>
                          <w:i/>
                          <w:color w:val="000000"/>
                        </w:rPr>
                        <w:t>x</w:t>
                      </w:r>
                      <w:r>
                        <w:rPr>
                          <w:color w:val="000000"/>
                        </w:rPr>
                        <w:t>“ grindų ant grunto, kai grindys neapšiltintos arba jose įrengtas ištisinis horizontalusis termoizoliacinis sluoksnis, grindų plokštės šiluminė varža (m</w:t>
                      </w:r>
                      <w:r>
                        <w:rPr>
                          <w:color w:val="000000"/>
                          <w:vertAlign w:val="superscript"/>
                        </w:rPr>
                        <w:t>2</w:t>
                      </w:r>
                      <w:r>
                        <w:rPr>
                          <w:color w:val="000000"/>
                        </w:rPr>
                        <w:t>·K/W) (žr. 2.3. pav.);</w:t>
                      </w:r>
                    </w:p>
                    <w:p>
                      <w:pPr>
                        <w:ind w:firstLine="567"/>
                        <w:jc w:val="both"/>
                        <w:rPr>
                          <w:color w:val="000000"/>
                        </w:rPr>
                      </w:pPr>
                      <w:r>
                        <w:rPr>
                          <w:i/>
                          <w:color w:val="000000"/>
                        </w:rPr>
                        <w:t>w</w:t>
                      </w:r>
                      <w:r>
                        <w:rPr>
                          <w:i/>
                          <w:color w:val="000000"/>
                          <w:vertAlign w:val="subscript"/>
                        </w:rPr>
                        <w:t>x</w:t>
                      </w:r>
                      <w:r>
                        <w:rPr>
                          <w:color w:val="000000"/>
                        </w:rPr>
                        <w:t xml:space="preserve"> </w:t>
                      </w:r>
                      <w:r>
                        <w:rPr>
                          <w:color w:val="000000"/>
                          <w:spacing w:val="-6"/>
                        </w:rPr>
                        <w:t>–</w:t>
                      </w:r>
                      <w:r>
                        <w:rPr>
                          <w:color w:val="000000"/>
                        </w:rPr>
                        <w:t xml:space="preserve"> atitinkamas „</w:t>
                      </w:r>
                      <w:r>
                        <w:rPr>
                          <w:i/>
                          <w:color w:val="000000"/>
                        </w:rPr>
                        <w:t>x</w:t>
                      </w:r>
                      <w:r>
                        <w:rPr>
                          <w:color w:val="000000"/>
                        </w:rPr>
                        <w:t xml:space="preserve">“ grindis ant grunto, kai grindys neapšiltintos arba jose įrengtas ištisinis horizontalusis termoizoliacinis sluoksnis,  ribojančios sienos storis (m) (žr. 2.3. pav.).</w:t>
                      </w:r>
                    </w:p>
                    <w:p>
                      <w:pPr>
                        <w:ind w:firstLine="567"/>
                        <w:jc w:val="both"/>
                        <w:rPr>
                          <w:color w:val="000000"/>
                        </w:rPr>
                      </w:pPr>
                      <w:r>
                        <w:rPr>
                          <w:color w:val="000000"/>
                        </w:rPr>
                        <w:t>Galima nevertinti grindų betoninės plokštės ir plonos grindų dangos. Išlyginamojo grunto pasluoksnio λ toks pats kaip ir grunto, todėl jo šiluminė varža taip pat gali būti nevertinama.</w:t>
                      </w:r>
                    </w:p>
                  </w:sdtContent>
                </w:sdt>
                <w:sdt>
                  <w:sdtPr>
                    <w:alias w:val="2 pr. 15.2 pp."/>
                    <w:tag w:val="part_c39e88d2dc6c46abb8e47bc3f6ccb828"/>
                    <w:lock w:val="sdtLocked"/>
                    <w:richText/>
                  </w:sdtPr>
                  <w:sdtContent>
                    <w:p>
                      <w:pPr>
                        <w:ind w:firstLine="567"/>
                        <w:jc w:val="both"/>
                        <w:rPr>
                          <w:color w:val="000000"/>
                        </w:rPr>
                      </w:pPr>
                      <w:sdt>
                        <w:sdtPr>
                          <w:alias w:val="Numeris"/>
                          <w:tag w:val="nr_c39e88d2dc6c46abb8e47bc3f6ccb828"/>
                          <w:lock w:val="sdtLocked"/>
                          <w:richText/>
                        </w:sdtPr>
                        <w:sdtContent>
                          <w:r>
                            <w:rPr>
                              <w:color w:val="000000"/>
                            </w:rPr>
                            <w:t>15.2</w:t>
                          </w:r>
                        </w:sdtContent>
                      </w:sdt>
                      <w:r>
                        <w:rPr>
                          <w:color w:val="000000"/>
                        </w:rPr>
                        <w:t xml:space="preserve">. Kiekvieno mėnesio </w:t>
                      </w:r>
                      <w:r>
                        <w:rPr>
                          <w:i/>
                          <w:color w:val="000000"/>
                        </w:rPr>
                        <w:t xml:space="preserve">„m“ </w:t>
                      </w:r>
                      <w:r>
                        <w:rPr>
                          <w:color w:val="000000"/>
                        </w:rPr>
                        <w:t xml:space="preserve">skaičiuojamasis šilumos srautas per grindis ant grunto </w:t>
                      </w:r>
                      <w:r>
                        <w:rPr>
                          <w:i/>
                          <w:color w:val="000000"/>
                        </w:rPr>
                        <w:t>Φ</w:t>
                      </w:r>
                      <w:r>
                        <w:rPr>
                          <w:i/>
                          <w:color w:val="000000"/>
                          <w:vertAlign w:val="subscript"/>
                        </w:rPr>
                        <w:t>C.fg1,m</w:t>
                      </w:r>
                      <w:r>
                        <w:rPr>
                          <w:color w:val="000000"/>
                        </w:rPr>
                        <w:t xml:space="preserve"> (W), pagal kurį skaičiuojami energijos poreikiai pastatui vėsinti, apskaičiuojamas pagal formulę [3.14]:</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7600" w:dyaOrig="680">
                                <v:shape id="_x0000_i1062" type="#_x0000_t75" style="width:380.2pt;height:34pt" o:ole="">
                                  <v:imagedata r:id="rId344" o:title=""/>
                                </v:shape>
                                <o:OLEObject Type="Embed" ProgID="Equation.3" ShapeID="_x0000_i1062" DrawAspect="Content" ObjectID="_0000000001" r:id="rId345"/>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(2.33)</w:t>
                            </w:r>
                          </w:p>
                        </w:tc>
                      </w:tr>
                    </w:tbl>
                    <w:p>
                      <w:pPr>
                        <w:rPr>
                          <w:color w:val="000000"/>
                        </w:rPr>
                      </w:pPr>
                    </w:p>
                  </w:sdtContent>
                </w:sdt>
              </w:sdtContent>
            </w:sdt>
            <w:sdt>
              <w:sdtPr>
                <w:alias w:val="2 pr. 16 p."/>
                <w:tag w:val="part_f11abcfbf9fb4bc68687809f0ec51db9"/>
                <w:lock w:val="sdtLocked"/>
                <w:richText/>
              </w:sdtPr>
              <w:sdtContent>
                <w:p>
                  <w:pPr>
                    <w:ind w:firstLine="567"/>
                    <w:jc w:val="both"/>
                    <w:rPr>
                      <w:rFonts w:eastAsia="Calibri"/>
                      <w:color w:val="000000"/>
                      <w:szCs w:val="22"/>
                    </w:rPr>
                  </w:pPr>
                  <w:sdt>
                    <w:sdtPr>
                      <w:alias w:val="Numeris"/>
                      <w:tag w:val="nr_f11abcfbf9fb4bc68687809f0ec51db9"/>
                      <w:lock w:val="sdtLocked"/>
                      <w:richText/>
                    </w:sdtPr>
                    <w:sdtContent>
                      <w:r>
                        <w:rPr>
                          <w:color w:val="000000"/>
                        </w:rPr>
                        <w:t>16</w:t>
                      </w:r>
                    </w:sdtContent>
                  </w:sdt>
                  <w:r>
                    <w:rPr>
                      <w:color w:val="000000"/>
                    </w:rPr>
                    <w:t>. Šilumos srautų skaičiavimas per grindis ant grunto, kai grindys apšiltintos pakraščiuose (2.4.–2.6. pav.), turi būti atliktas dviem variantais: turi būti apskaičiuoti šilumos srautai per grindis, susiję su energijos poreikiais pastatui šildyti ir šilumos srautai, susiję su energijos poreikiais pastatui vėsinti.</w:t>
                  </w:r>
                </w:p>
                <w:p>
                  <w:pPr>
                    <w:jc w:val="center"/>
                    <w:rPr>
                      <w:color w:val="000000"/>
                    </w:rPr>
                  </w:pPr>
                </w:p>
                <w:p>
                  <w:pPr>
                    <w:jc w:val="center"/>
                    <w:rPr>
                      <w:color w:val="000000"/>
                    </w:rPr>
                  </w:pPr>
                  <w:r>
                    <w:rPr>
                      <w:color w:val="000000"/>
                      <w:lang w:eastAsia="lt-LT"/>
                    </w:rPr>
                    <w:drawing>
                      <wp:inline distT="0" distB="0" distL="0" distR="0">
                        <wp:extent cx="3232150" cy="1416050"/>
                        <wp:effectExtent l="0" t="0" r="6350" b="0"/>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
                                <pic:cNvPicPr>
                                  <a:picLocks noChangeAspect="1" noChangeArrowheads="1"/>
                                </pic:cNvPicPr>
                              </pic:nvPicPr>
                              <pic:blipFill>
                                <a:blip r:embed="rId346" cstate="print">
                                  <a:extLst>
                                    <a:ext uri="{28A0092B-C50C-407E-A947-70E740481C1C}">
                                      <a14:useLocalDpi xmlns:a14="http://schemas.microsoft.com/office/drawing/2010/main" val="0"/>
                                    </a:ext>
                                  </a:extLst>
                                </a:blip>
                                <a:srcRect/>
                                <a:stretch>
                                  <a:fillRect/>
                                </a:stretch>
                              </pic:blipFill>
                              <pic:spPr bwMode="auto">
                                <a:xfrm>
                                  <a:off x="0" y="0"/>
                                  <a:ext cx="3232150" cy="1416050"/>
                                </a:xfrm>
                                <a:prstGeom prst="rect">
                                  <a:avLst/>
                                </a:prstGeom>
                                <a:noFill/>
                                <a:ln>
                                  <a:noFill/>
                                </a:ln>
                              </pic:spPr>
                            </pic:pic>
                          </a:graphicData>
                        </a:graphic>
                      </wp:inline>
                    </w:drawing>
                  </w:r>
                </w:p>
                <w:p>
                  <w:pPr>
                    <w:ind w:firstLine="567"/>
                    <w:jc w:val="center"/>
                    <w:rPr>
                      <w:color w:val="000000"/>
                    </w:rPr>
                  </w:pPr>
                  <w:r>
                    <w:rPr>
                      <w:color w:val="000000"/>
                    </w:rPr>
                    <w:t>2.4. pav. Grindų ant grunto apšiltinimo schema, kai grindų pakraščiuose įrengtas horizontalusis termoizoliacinis sluoksnis</w:t>
                  </w:r>
                </w:p>
                <w:p>
                  <w:pPr>
                    <w:jc w:val="center"/>
                    <w:rPr>
                      <w:i/>
                      <w:color w:val="000000"/>
                    </w:rPr>
                  </w:pPr>
                </w:p>
                <w:tbl>
                  <w:tblPr>
                    <w:tblW w:w="0" w:type="auto"/>
                    <w:jc w:val="center"/>
                    <w:tblLook w:val="01E0" w:firstRow="1" w:lastRow="1" w:firstColumn="1" w:lastColumn="1" w:noHBand="0" w:noVBand="0"/>
                  </w:tblPr>
                  <w:tblGrid>
                    <w:gridCol w:w="4785"/>
                    <w:gridCol w:w="4785"/>
                  </w:tblGrid>
                  <w:tr>
                    <w:trPr>
                      <w:jc w:val="center"/>
                    </w:trPr>
                    <w:tc>
                      <w:tcPr>
                        <w:tcW w:w="4785" w:type="dxa"/>
                      </w:tcPr>
                      <w:p>
                        <w:pPr>
                          <w:spacing w:line="276" w:lineRule="auto"/>
                          <w:rPr>
                            <w:rFonts w:eastAsia="Calibri"/>
                            <w:color w:val="000000"/>
                          </w:rPr>
                        </w:pPr>
                      </w:p>
                      <w:p>
                        <w:pPr>
                          <w:spacing w:line="276" w:lineRule="auto"/>
                          <w:jc w:val="both"/>
                          <w:rPr>
                            <w:rFonts w:eastAsia="Calibri"/>
                            <w:color w:val="000000"/>
                            <w:szCs w:val="22"/>
                          </w:rPr>
                        </w:pPr>
                        <w:r>
                          <w:rPr>
                            <w:color w:val="000000"/>
                            <w:lang w:eastAsia="lt-LT"/>
                          </w:rPr>
                          <w:drawing>
                            <wp:inline distT="0" distB="0" distL="0" distR="0">
                              <wp:extent cx="2882900" cy="1397000"/>
                              <wp:effectExtent l="0" t="0" r="0" b="0"/>
                              <wp:docPr id="25" name="Paveikslėlis 25" descr="2-5 Grindu vertikalus apsiltinimas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descr="2-5 Grindu vertikalus apsiltinimas 2013"/>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2882900" cy="1397000"/>
                                      </a:xfrm>
                                      <a:prstGeom prst="rect">
                                        <a:avLst/>
                                      </a:prstGeom>
                                      <a:noFill/>
                                      <a:ln>
                                        <a:noFill/>
                                      </a:ln>
                                    </pic:spPr>
                                  </pic:pic>
                                </a:graphicData>
                              </a:graphic>
                            </wp:inline>
                          </w:drawing>
                        </w:r>
                      </w:p>
                    </w:tc>
                    <w:tc>
                      <w:tcPr>
                        <w:tcW w:w="4785" w:type="dxa"/>
                      </w:tcPr>
                      <w:p>
                        <w:pPr>
                          <w:spacing w:line="276" w:lineRule="auto"/>
                          <w:rPr>
                            <w:rFonts w:eastAsia="Calibri"/>
                            <w:color w:val="000000"/>
                          </w:rPr>
                        </w:pPr>
                      </w:p>
                      <w:p>
                        <w:pPr>
                          <w:spacing w:line="276" w:lineRule="auto"/>
                          <w:jc w:val="both"/>
                          <w:rPr>
                            <w:rFonts w:eastAsia="Calibri"/>
                            <w:b/>
                            <w:color w:val="000000"/>
                            <w:szCs w:val="22"/>
                          </w:rPr>
                        </w:pPr>
                        <w:r>
                          <w:rPr>
                            <w:color w:val="000000"/>
                            <w:lang w:eastAsia="lt-LT"/>
                          </w:rPr>
                          <w:drawing>
                            <wp:inline distT="0" distB="0" distL="0" distR="0">
                              <wp:extent cx="2870200" cy="1257300"/>
                              <wp:effectExtent l="0" t="0" r="6350" b="0"/>
                              <wp:docPr id="26" name="Paveikslėlis 26" descr="2-5 Grindu vertikalus apsiltinimas + rostverkas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descr="2-5 Grindu vertikalus apsiltinimas + rostverkas 2013"/>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0" y="0"/>
                                        <a:ext cx="2870200" cy="1257300"/>
                                      </a:xfrm>
                                      <a:prstGeom prst="rect">
                                        <a:avLst/>
                                      </a:prstGeom>
                                      <a:noFill/>
                                      <a:ln>
                                        <a:noFill/>
                                      </a:ln>
                                    </pic:spPr>
                                  </pic:pic>
                                </a:graphicData>
                              </a:graphic>
                            </wp:inline>
                          </w:drawing>
                        </w:r>
                      </w:p>
                    </w:tc>
                  </w:tr>
                </w:tbl>
                <w:p>
                  <w:pPr>
                    <w:rPr>
                      <w:color w:val="000000"/>
                    </w:rPr>
                  </w:pPr>
                </w:p>
                <w:p>
                  <w:pPr>
                    <w:ind w:firstLine="567"/>
                    <w:jc w:val="center"/>
                    <w:rPr>
                      <w:rFonts w:eastAsia="Calibri"/>
                      <w:color w:val="000000"/>
                      <w:szCs w:val="22"/>
                    </w:rPr>
                  </w:pPr>
                  <w:r>
                    <w:rPr>
                      <w:color w:val="000000"/>
                    </w:rPr>
                    <w:t>2.5. pav. Grindų ant grunto apšiltinimo schema, kai grindų pakraščiuose įrengtas vertikalusis termoizoliacinis sluoksnis</w:t>
                  </w:r>
                </w:p>
                <w:p>
                  <w:pPr>
                    <w:ind w:firstLine="567"/>
                    <w:rPr>
                      <w:color w:val="000000"/>
                    </w:rPr>
                  </w:pPr>
                </w:p>
                <w:p>
                  <w:pPr>
                    <w:jc w:val="center"/>
                    <w:rPr>
                      <w:color w:val="000000"/>
                    </w:rPr>
                  </w:pPr>
                  <w:r>
                    <w:rPr>
                      <w:color w:val="000000"/>
                      <w:lang w:eastAsia="lt-LT"/>
                    </w:rPr>
                    <w:drawing>
                      <wp:inline distT="0" distB="0" distL="0" distR="0">
                        <wp:extent cx="3238500" cy="2527300"/>
                        <wp:effectExtent l="0" t="0" r="0" b="6350"/>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349" cstate="print">
                                  <a:extLst>
                                    <a:ext uri="{28A0092B-C50C-407E-A947-70E740481C1C}">
                                      <a14:useLocalDpi xmlns:a14="http://schemas.microsoft.com/office/drawing/2010/main" val="0"/>
                                    </a:ext>
                                  </a:extLst>
                                </a:blip>
                                <a:srcRect/>
                                <a:stretch>
                                  <a:fillRect/>
                                </a:stretch>
                              </pic:blipFill>
                              <pic:spPr bwMode="auto">
                                <a:xfrm>
                                  <a:off x="0" y="0"/>
                                  <a:ext cx="3238500" cy="2527300"/>
                                </a:xfrm>
                                <a:prstGeom prst="rect">
                                  <a:avLst/>
                                </a:prstGeom>
                                <a:noFill/>
                                <a:ln>
                                  <a:noFill/>
                                </a:ln>
                              </pic:spPr>
                            </pic:pic>
                          </a:graphicData>
                        </a:graphic>
                      </wp:inline>
                    </w:drawing>
                  </w:r>
                </w:p>
                <w:p>
                  <w:pPr>
                    <w:ind w:firstLine="567"/>
                    <w:jc w:val="center"/>
                    <w:rPr>
                      <w:i/>
                      <w:color w:val="000000"/>
                    </w:rPr>
                  </w:pPr>
                  <w:r>
                    <w:rPr>
                      <w:color w:val="000000"/>
                    </w:rPr>
                    <w:t>2.6. pav. Grindų ant grunto apšiltinimo schema, kai grindų pakraščiuose įrengti horizontalusis ir vertikalusis termoizoliaciniai sluoksniai</w:t>
                  </w:r>
                </w:p>
                <w:p>
                  <w:pPr>
                    <w:rPr>
                      <w:strike/>
                      <w:color w:val="000000"/>
                    </w:rPr>
                  </w:pPr>
                </w:p>
                <w:sdt>
                  <w:sdtPr>
                    <w:alias w:val="2 pr. 16.1 pp."/>
                    <w:tag w:val="part_026154ad922b426782b078dab4b5c88f"/>
                    <w:lock w:val="sdtLocked"/>
                    <w:richText/>
                  </w:sdtPr>
                  <w:sdtContent>
                    <w:p>
                      <w:pPr>
                        <w:ind w:firstLine="567"/>
                        <w:jc w:val="both"/>
                        <w:rPr>
                          <w:color w:val="000000"/>
                        </w:rPr>
                      </w:pPr>
                      <w:sdt>
                        <w:sdtPr>
                          <w:alias w:val="Numeris"/>
                          <w:tag w:val="nr_026154ad922b426782b078dab4b5c88f"/>
                          <w:lock w:val="sdtLocked"/>
                          <w:richText/>
                        </w:sdtPr>
                        <w:sdtContent>
                          <w:r>
                            <w:rPr>
                              <w:color w:val="000000"/>
                            </w:rPr>
                            <w:t>16.1</w:t>
                          </w:r>
                        </w:sdtContent>
                      </w:sdt>
                      <w:r>
                        <w:rPr>
                          <w:color w:val="000000"/>
                        </w:rPr>
                        <w:t xml:space="preserve">. Kiekvieno mėnesio </w:t>
                      </w:r>
                      <w:r>
                        <w:rPr>
                          <w:i/>
                          <w:color w:val="000000"/>
                        </w:rPr>
                        <w:t>„m“</w:t>
                      </w:r>
                      <w:r>
                        <w:rPr>
                          <w:color w:val="000000"/>
                        </w:rPr>
                        <w:t xml:space="preserve"> norminis </w:t>
                      </w:r>
                      <w:r>
                        <w:rPr>
                          <w:i/>
                          <w:color w:val="000000"/>
                        </w:rPr>
                        <w:t>Φ</w:t>
                      </w:r>
                      <w:r>
                        <w:rPr>
                          <w:i/>
                          <w:color w:val="000000"/>
                          <w:vertAlign w:val="subscript"/>
                        </w:rPr>
                        <w:t>N.H.fg2,m</w:t>
                      </w:r>
                      <w:r>
                        <w:rPr>
                          <w:color w:val="000000"/>
                        </w:rPr>
                        <w:t xml:space="preserve"> (W), atskaitinis </w:t>
                      </w:r>
                      <w:r>
                        <w:rPr>
                          <w:i/>
                          <w:color w:val="000000"/>
                        </w:rPr>
                        <w:t>Φ</w:t>
                      </w:r>
                      <w:r>
                        <w:rPr>
                          <w:i/>
                          <w:color w:val="000000"/>
                          <w:vertAlign w:val="subscript"/>
                        </w:rPr>
                        <w:t>R.H.fg2,m</w:t>
                      </w:r>
                      <w:r>
                        <w:rPr>
                          <w:color w:val="000000"/>
                        </w:rPr>
                        <w:t xml:space="preserve"> (W) ir skaičiuojamasis </w:t>
                      </w:r>
                      <w:r>
                        <w:rPr>
                          <w:i/>
                          <w:color w:val="000000"/>
                        </w:rPr>
                        <w:t>Φ</w:t>
                      </w:r>
                      <w:r>
                        <w:rPr>
                          <w:i/>
                          <w:color w:val="000000"/>
                          <w:vertAlign w:val="subscript"/>
                        </w:rPr>
                        <w:t>H.fg2,m</w:t>
                      </w:r>
                      <w:r>
                        <w:rPr>
                          <w:color w:val="000000"/>
                        </w:rPr>
                        <w:t xml:space="preserve"> (W) šilumos srautas per pakraščiuose apšiltintas grindis, pagal kurį skaičiuojami energijos poreikiai pastatui šildyti, apskaičiuojamas pagal formules [3.14]:</w:t>
                      </w:r>
                    </w:p>
                    <w:tbl>
                      <w:tblPr>
                        <w:tblW w:w="5000" w:type="pct"/>
                        <w:tblLook w:val="01E0" w:firstRow="1" w:lastRow="1" w:firstColumn="1" w:lastColumn="1" w:noHBand="0" w:noVBand="0"/>
                      </w:tblPr>
                      <w:tblGrid>
                        <w:gridCol w:w="8876"/>
                        <w:gridCol w:w="1120"/>
                      </w:tblGrid>
                      <w:tr>
                        <w:tc>
                          <w:tcPr>
                            <w:tcW w:w="4440"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8480" w:dyaOrig="760">
                                <v:shape id="_x0000_i1063" type="#_x0000_t75" style="width:423.9pt;height:38.85pt" o:ole="">
                                  <v:imagedata r:id="rId350" o:title=""/>
                                </v:shape>
                                <o:OLEObject Type="Embed" ProgID="Equation.3" ShapeID="_x0000_i1063" DrawAspect="Content" ObjectID="_0000000001" r:id="rId351"/>
                              </w:object>
                            </w:r>
                          </w:p>
                        </w:tc>
                        <w:tc>
                          <w:tcPr>
                            <w:tcW w:w="560"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(2.34)</w:t>
                            </w:r>
                          </w:p>
                        </w:tc>
                      </w:tr>
                    </w:tbl>
                    <w:p>
                      <w:pPr>
                        <w:jc w:val="right"/>
                        <w:rPr>
                          <w:rFonts w:eastAsia="Calibri"/>
                          <w:strike/>
                          <w:color w:val="000000"/>
                          <w:szCs w:val="22"/>
                        </w:rPr>
                      </w:pPr>
                    </w:p>
                    <w:tbl>
                      <w:tblPr>
                        <w:tblW w:w="5000" w:type="pct"/>
                        <w:tblLook w:val="01E0" w:firstRow="1" w:lastRow="1" w:firstColumn="1" w:lastColumn="1" w:noHBand="0" w:noVBand="0"/>
                      </w:tblPr>
                      <w:tblGrid>
                        <w:gridCol w:w="9030"/>
                        <w:gridCol w:w="966"/>
                      </w:tblGrid>
                      <w:tr>
                        <w:tc>
                          <w:tcPr>
                            <w:tcW w:w="4517"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8120" w:dyaOrig="760">
                                <v:shape id="_x0000_i1064" type="#_x0000_t75" style="width:405.3pt;height:38.85pt" o:ole="">
                                  <v:imagedata r:id="rId352" o:title=""/>
                                </v:shape>
                                <o:OLEObject Type="Embed" ProgID="Equation.3" ShapeID="_x0000_i1064" DrawAspect="Content" ObjectID="_0000000001" r:id="rId353"/>
                              </w:object>
                            </w:r>
                            <w:r>
                              <w:rPr>
                                <w:bCs/>
                                <w:color w:val="000000"/>
                              </w:rPr>
                              <w:t>;</w:t>
                            </w:r>
                          </w:p>
                        </w:tc>
                        <w:tc>
                          <w:tcPr>
                            <w:tcW w:w="483"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(2.35)</w:t>
                            </w:r>
                          </w:p>
                        </w:tc>
                      </w:tr>
                    </w:tbl>
                    <w:p>
                      <w:pPr>
                        <w:jc w:val="right"/>
                        <w:rPr>
                          <w:rFonts w:eastAsia="Calibri"/>
                          <w:strike/>
                          <w:color w:val="000000"/>
                          <w:szCs w:val="22"/>
                        </w:rPr>
                      </w:pPr>
                    </w:p>
                    <w:tbl>
                      <w:tblPr>
                        <w:tblW w:w="5000" w:type="pct"/>
                        <w:tblLook w:val="01E0" w:firstRow="1" w:lastRow="1" w:firstColumn="1" w:lastColumn="1" w:noHBand="0" w:noVBand="0"/>
                      </w:tblPr>
                      <w:tblGrid>
                        <w:gridCol w:w="9030"/>
                        <w:gridCol w:w="966"/>
                      </w:tblGrid>
                      <w:tr>
                        <w:tc>
                          <w:tcPr>
                            <w:tcW w:w="4517"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5980" w:dyaOrig="1570">
                                <v:shape id="_x0000_i1065" type="#_x0000_t75" style="width:299.35pt;height:77.65pt" o:ole="">
                                  <v:imagedata r:id="rId354" o:title=""/>
                                </v:shape>
                                <o:OLEObject Type="Embed" ProgID="Equation.3" ShapeID="_x0000_i1065" DrawAspect="Content" ObjectID="_0000000001" r:id="rId355"/>
                              </w:object>
                            </w:r>
                          </w:p>
                        </w:tc>
                        <w:tc>
                          <w:tcPr>
                            <w:tcW w:w="483"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(2.36)</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fg2.sum</w:t>
                      </w:r>
                      <w:r>
                        <w:rPr>
                          <w:color w:val="000000"/>
                        </w:rPr>
                        <w:t xml:space="preserve"> – grindų ant grunto, kai grindys apšiltintos pakraščiuose, suminis plotas (m</w:t>
                      </w:r>
                      <w:r>
                        <w:rPr>
                          <w:color w:val="000000"/>
                          <w:vertAlign w:val="superscript"/>
                        </w:rPr>
                        <w:t>2</w:t>
                      </w:r>
                      <w:r>
                        <w:rPr>
                          <w:color w:val="000000"/>
                        </w:rPr>
                        <w:t xml:space="preserve">). Nustatomas pagal Reglamento 7 priedo reikalavimus; </w:t>
                      </w:r>
                    </w:p>
                    <w:p>
                      <w:pPr>
                        <w:ind w:firstLine="570"/>
                        <w:jc w:val="both"/>
                        <w:rPr>
                          <w:color w:val="000000"/>
                        </w:rPr>
                      </w:pPr>
                      <w:r>
                        <w:rPr>
                          <w:bCs/>
                          <w:i/>
                          <w:color w:val="000000"/>
                        </w:rPr>
                        <w:t>A</w:t>
                      </w:r>
                      <w:r>
                        <w:rPr>
                          <w:bCs/>
                          <w:i/>
                          <w:color w:val="000000"/>
                          <w:vertAlign w:val="subscript"/>
                        </w:rPr>
                        <w:t>fg2,x</w:t>
                      </w:r>
                      <w:r>
                        <w:rPr>
                          <w:color w:val="000000"/>
                        </w:rPr>
                        <w:t xml:space="preserve"> – atitinkamų „</w:t>
                      </w:r>
                      <w:r>
                        <w:rPr>
                          <w:i/>
                          <w:color w:val="000000"/>
                        </w:rPr>
                        <w:t>x</w:t>
                      </w:r>
                      <w:r>
                        <w:rPr>
                          <w:color w:val="000000"/>
                        </w:rPr>
                        <w:t>“ grindų ant grunto, kai grindys apšiltintos pakraščiuose, plotas (m</w:t>
                      </w:r>
                      <w:r>
                        <w:rPr>
                          <w:color w:val="000000"/>
                          <w:vertAlign w:val="superscript"/>
                        </w:rPr>
                        <w:t>2</w:t>
                      </w:r>
                      <w:r>
                        <w:rPr>
                          <w:color w:val="000000"/>
                        </w:rPr>
                        <w:t xml:space="preserve">). Nustatomas pagal Reglamento 7 priedo reikalavimus; </w:t>
                      </w:r>
                    </w:p>
                    <w:p>
                      <w:pPr>
                        <w:ind w:firstLine="570"/>
                        <w:jc w:val="both"/>
                        <w:rPr>
                          <w:strike/>
                          <w:color w:val="000000"/>
                        </w:rPr>
                      </w:pPr>
                      <w:r>
                        <w:rPr>
                          <w:i/>
                          <w:color w:val="000000"/>
                        </w:rPr>
                        <w:t>H</w:t>
                      </w:r>
                      <w:r>
                        <w:rPr>
                          <w:i/>
                          <w:color w:val="000000"/>
                          <w:vertAlign w:val="subscript"/>
                        </w:rPr>
                        <w:t>pe2,x</w:t>
                      </w:r>
                      <w:r>
                        <w:rPr>
                          <w:color w:val="000000"/>
                        </w:rPr>
                        <w:t xml:space="preserve"> </w:t>
                      </w:r>
                      <w:r>
                        <w:rPr>
                          <w:color w:val="000000"/>
                          <w:spacing w:val="-6"/>
                        </w:rPr>
                        <w:t>–</w:t>
                      </w:r>
                      <w:r>
                        <w:rPr>
                          <w:color w:val="000000"/>
                        </w:rPr>
                        <w:t xml:space="preserve"> kiekvienų „</w:t>
                      </w:r>
                      <w:r>
                        <w:rPr>
                          <w:i/>
                          <w:color w:val="000000"/>
                        </w:rPr>
                        <w:t>x</w:t>
                      </w:r>
                      <w:r>
                        <w:rPr>
                          <w:color w:val="000000"/>
                        </w:rPr>
                        <w:t>“ grindų išoriniai savitieji šilumos nuostoliai. Apskaičiuojami pagal (2.38) formulę;</w:t>
                      </w:r>
                    </w:p>
                    <w:p>
                      <w:pPr>
                        <w:ind w:firstLine="570"/>
                        <w:jc w:val="both"/>
                        <w:rPr>
                          <w:color w:val="000000"/>
                        </w:rPr>
                      </w:pPr>
                      <w:r>
                        <w:rPr>
                          <w:bCs/>
                          <w:i/>
                          <w:color w:val="000000"/>
                        </w:rPr>
                        <w:t>U</w:t>
                      </w:r>
                      <w:r>
                        <w:rPr>
                          <w:bCs/>
                          <w:i/>
                          <w:color w:val="000000"/>
                          <w:vertAlign w:val="subscript"/>
                        </w:rPr>
                        <w:t>(C,B).fg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70"/>
                        <w:jc w:val="both"/>
                        <w:rPr>
                          <w:color w:val="000000"/>
                          <w:spacing w:val="-6"/>
                        </w:rPr>
                      </w:pPr>
                      <w:r>
                        <w:rPr>
                          <w:bCs/>
                          <w:i/>
                          <w:color w:val="000000"/>
                        </w:rPr>
                        <w:t>U</w:t>
                      </w:r>
                      <w:r>
                        <w:rPr>
                          <w:bCs/>
                          <w:i/>
                          <w:color w:val="000000"/>
                          <w:vertAlign w:val="subscript"/>
                        </w:rPr>
                        <w:t>R.fg</w:t>
                      </w:r>
                      <w:r>
                        <w:rPr>
                          <w:color w:val="000000"/>
                        </w:rPr>
                        <w:t xml:space="preserve"> – atitvarų, kurios ribojasi su gruntu, atskaitinis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70"/>
                        <w:jc w:val="both"/>
                        <w:rPr>
                          <w:color w:val="000000"/>
                          <w:spacing w:val="-6"/>
                        </w:rPr>
                      </w:pPr>
                      <w:r>
                        <w:rPr>
                          <w:bCs/>
                          <w:i/>
                          <w:color w:val="000000"/>
                        </w:rPr>
                        <w:t>U</w:t>
                      </w:r>
                      <w:r>
                        <w:rPr>
                          <w:bCs/>
                          <w:i/>
                          <w:color w:val="000000"/>
                          <w:vertAlign w:val="subscript"/>
                        </w:rPr>
                        <w:t>fg2,x</w:t>
                      </w:r>
                      <w:r>
                        <w:rPr>
                          <w:color w:val="000000"/>
                        </w:rPr>
                        <w:t xml:space="preserve"> – atitinkamų „</w:t>
                      </w:r>
                      <w:r>
                        <w:rPr>
                          <w:i/>
                          <w:color w:val="000000"/>
                        </w:rPr>
                        <w:t>x</w:t>
                      </w:r>
                      <w:r>
                        <w:rPr>
                          <w:color w:val="000000"/>
                        </w:rPr>
                        <w:t xml:space="preserve">“ grindų ant grunto, kai grindys apšiltintos pakraščiuose,  skaičiuojamasis šilumos perdavimo koeficientas (W/</w:t>
                      </w:r>
                      <w:r>
                        <w:rPr>
                          <w:color w:val="000000"/>
                          <w:spacing w:val="-6"/>
                        </w:rPr>
                        <w:t>(m</w:t>
                      </w:r>
                      <w:r>
                        <w:rPr>
                          <w:color w:val="000000"/>
                          <w:spacing w:val="-6"/>
                          <w:vertAlign w:val="superscript"/>
                        </w:rPr>
                        <w:t>2</w:t>
                      </w:r>
                      <w:r>
                        <w:rPr>
                          <w:color w:val="000000"/>
                          <w:spacing w:val="-6"/>
                        </w:rPr>
                        <w:t>·K)). Atsižvelgiant į grindų apšiltinimą, apskaičiuojamas pagal (2.40) formulę.</w:t>
                      </w:r>
                    </w:p>
                    <w:p>
                      <w:pPr>
                        <w:ind w:firstLine="570"/>
                        <w:jc w:val="both"/>
                        <w:rPr>
                          <w:bCs/>
                          <w:color w:val="000000"/>
                        </w:rPr>
                      </w:pPr>
                      <w:r>
                        <w:rPr>
                          <w:bCs/>
                          <w:i/>
                          <w:color w:val="000000"/>
                        </w:rPr>
                        <w:t>β</w:t>
                      </w:r>
                      <w:r>
                        <w:rPr>
                          <w:bCs/>
                          <w:i/>
                          <w:color w:val="000000"/>
                          <w:vertAlign w:val="subscript"/>
                        </w:rPr>
                        <w:t>2,x</w:t>
                      </w:r>
                      <w:r>
                        <w:rPr>
                          <w:bCs/>
                          <w:i/>
                          <w:color w:val="000000"/>
                        </w:rPr>
                        <w:t xml:space="preserve"> </w:t>
                      </w:r>
                      <w:r>
                        <w:rPr>
                          <w:bCs/>
                          <w:color w:val="000000"/>
                        </w:rPr>
                        <w:t xml:space="preserve">– rodiklis, įvertinantis šilumos srauto per atitinkamas </w:t>
                      </w:r>
                      <w:r>
                        <w:rPr>
                          <w:bCs/>
                          <w:i/>
                          <w:color w:val="000000"/>
                        </w:rPr>
                        <w:t>‚x“</w:t>
                      </w:r>
                      <w:r>
                        <w:rPr>
                          <w:bCs/>
                          <w:color w:val="000000"/>
                        </w:rPr>
                        <w:t xml:space="preserve"> pakraščiuose apšiltintas grindis ant grunto,</w:t>
                      </w:r>
                      <w:r>
                        <w:rPr>
                          <w:color w:val="000000"/>
                        </w:rPr>
                        <w:t xml:space="preserve"> </w:t>
                      </w:r>
                      <w:r>
                        <w:rPr>
                          <w:bCs/>
                          <w:color w:val="000000"/>
                        </w:rPr>
                        <w:t>pokyčio vėlavimą lyginant su išorės oro temperatūros pokyčiu (mėnesiai);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2660" w:dyaOrig="650">
                                <v:shape id="_x0000_i1066" type="#_x0000_t75" style="width:132.65pt;height:32.35pt" o:ole="">
                                  <v:imagedata r:id="rId356" o:title=""/>
                                </v:shape>
                                <o:OLEObject Type="Embed" ProgID="Equation.3" ShapeID="_x0000_i1066" DrawAspect="Content" ObjectID="_0000000001" r:id="rId35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(2.37)</w:t>
                            </w:r>
                          </w:p>
                        </w:tc>
                      </w:tr>
                    </w:tbl>
                    <w:p>
                      <w:pPr>
                        <w:tabs>
                          <w:tab w:val="left" w:pos="567"/>
                        </w:tabs>
                        <w:rPr>
                          <w:rFonts w:eastAsia="Calibri"/>
                          <w:bCs/>
                          <w:color w:val="000000"/>
                          <w:szCs w:val="22"/>
                        </w:rPr>
                      </w:pPr>
                      <w:r>
                        <w:rPr>
                          <w:bCs/>
                          <w:color w:val="000000"/>
                        </w:rPr>
                        <w:t>čia:</w:t>
                        <w:tab/>
                        <w:t>d</w:t>
                      </w:r>
                      <w:r>
                        <w:rPr>
                          <w:bCs/>
                          <w:color w:val="000000"/>
                          <w:vertAlign w:val="subscript"/>
                        </w:rPr>
                        <w:t xml:space="preserve">t2,x </w:t>
                      </w:r>
                      <w:r>
                        <w:rPr>
                          <w:bCs/>
                          <w:color w:val="000000"/>
                        </w:rPr>
                        <w:t xml:space="preserve">– apskaičiuojamas pagal </w:t>
                      </w:r>
                      <w:r>
                        <w:rPr>
                          <w:color w:val="000000"/>
                        </w:rPr>
                        <w:t>(2.43) formulę</w:t>
                      </w:r>
                      <w:r>
                        <w:rPr>
                          <w:bCs/>
                          <w:color w:val="000000"/>
                        </w:rPr>
                        <w:t>.</w:t>
                      </w:r>
                    </w:p>
                    <w:p>
                      <w:pPr>
                        <w:rPr>
                          <w:color w:val="000000"/>
                        </w:rPr>
                      </w:pPr>
                    </w:p>
                    <w:p>
                      <w:pPr>
                        <w:ind w:firstLine="567"/>
                        <w:jc w:val="both"/>
                        <w:rPr>
                          <w:color w:val="000000"/>
                        </w:rPr>
                      </w:pPr>
                      <w:r>
                        <w:rPr>
                          <w:color w:val="000000"/>
                        </w:rPr>
                        <w:t xml:space="preserve">Atitinkamų </w:t>
                      </w:r>
                      <w:r>
                        <w:rPr>
                          <w:i/>
                          <w:color w:val="000000"/>
                        </w:rPr>
                        <w:t>„x“</w:t>
                      </w:r>
                      <w:r>
                        <w:rPr>
                          <w:color w:val="000000"/>
                        </w:rPr>
                        <w:t xml:space="preserve"> grindų išoriniai savitieji šilumos nuostoliai </w:t>
                      </w:r>
                      <w:r>
                        <w:rPr>
                          <w:i/>
                          <w:color w:val="000000"/>
                        </w:rPr>
                        <w:t xml:space="preserve"> H</w:t>
                      </w:r>
                      <w:r>
                        <w:rPr>
                          <w:i/>
                          <w:color w:val="000000"/>
                          <w:vertAlign w:val="subscript"/>
                        </w:rPr>
                        <w:t>pe2,x</w:t>
                      </w:r>
                      <w:r>
                        <w:rPr>
                          <w:color w:val="000000"/>
                        </w:rPr>
                        <w:t xml:space="preserve"> (W/K),  kai grindų pakraščiuose įrengtas horizontalusis termoizoliacinis sluoksnis, apskaičiuojami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7310" w:dyaOrig="1010">
                                <v:shape id="_x0000_i1067" type="#_x0000_t75" style="width:364.85pt;height:50.15pt" o:ole="">
                                  <v:imagedata r:id="rId358" o:title=""/>
                                </v:shape>
                                <o:OLEObject Type="Embed" ProgID="Equation.3" ShapeID="_x0000_i1067" DrawAspect="Content" ObjectID="_0000000001" r:id="rId359"/>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(2.38)</w:t>
                            </w:r>
                          </w:p>
                        </w:tc>
                      </w:tr>
                    </w:tbl>
                    <w:p>
                      <w:pPr>
                        <w:tabs>
                          <w:tab w:val="left" w:pos="567"/>
                        </w:tabs>
                        <w:jc w:val="both"/>
                        <w:rPr>
                          <w:rFonts w:eastAsia="Calibri"/>
                          <w:color w:val="000000"/>
                          <w:szCs w:val="22"/>
                        </w:rPr>
                      </w:pPr>
                      <w:r>
                        <w:rPr>
                          <w:color w:val="000000"/>
                        </w:rPr>
                        <w:t>čia:</w:t>
                        <w:tab/>
                      </w:r>
                      <w:r>
                        <w:rPr>
                          <w:i/>
                          <w:color w:val="000000"/>
                        </w:rPr>
                        <w:t>D</w:t>
                      </w:r>
                      <w:r>
                        <w:rPr>
                          <w:i/>
                          <w:color w:val="000000"/>
                          <w:vertAlign w:val="subscript"/>
                        </w:rPr>
                        <w:t>h,x</w:t>
                      </w:r>
                      <w:r>
                        <w:rPr>
                          <w:color w:val="000000"/>
                          <w:vertAlign w:val="subscript"/>
                        </w:rPr>
                        <w:t xml:space="preserve"> </w:t>
                      </w:r>
                      <w:r>
                        <w:rPr>
                          <w:color w:val="000000"/>
                        </w:rPr>
                        <w:t>– atitinkamų „</w:t>
                      </w:r>
                      <w:r>
                        <w:rPr>
                          <w:i/>
                          <w:color w:val="000000"/>
                        </w:rPr>
                        <w:t>x</w:t>
                      </w:r>
                      <w:r>
                        <w:rPr>
                          <w:color w:val="000000"/>
                        </w:rPr>
                        <w:t>“ grindų</w:t>
                      </w:r>
                      <w:r>
                        <w:rPr>
                          <w:color w:val="000000"/>
                          <w:vertAlign w:val="subscript"/>
                        </w:rPr>
                        <w:t xml:space="preserve"> </w:t>
                      </w:r>
                      <w:r>
                        <w:rPr>
                          <w:color w:val="000000"/>
                        </w:rPr>
                        <w:t>horizontaliojo termoizoliacinio sluoksnio plotis (m) (žr. 2.4. ir 2.6. pav.).</w:t>
                      </w:r>
                    </w:p>
                    <w:p>
                      <w:pPr>
                        <w:ind w:firstLine="567"/>
                        <w:rPr>
                          <w:color w:val="000000"/>
                        </w:rPr>
                      </w:pPr>
                    </w:p>
                    <w:p>
                      <w:pPr>
                        <w:ind w:firstLine="567"/>
                        <w:jc w:val="both"/>
                        <w:rPr>
                          <w:color w:val="000000"/>
                        </w:rPr>
                      </w:pPr>
                      <w:r>
                        <w:rPr>
                          <w:color w:val="000000"/>
                        </w:rPr>
                        <w:t xml:space="preserve">Atitinkamų </w:t>
                      </w:r>
                      <w:r>
                        <w:rPr>
                          <w:i/>
                          <w:color w:val="000000"/>
                        </w:rPr>
                        <w:t>„x“</w:t>
                      </w:r>
                      <w:r>
                        <w:rPr>
                          <w:color w:val="000000"/>
                        </w:rPr>
                        <w:t xml:space="preserve"> grindų išoriniai savitieji šilumos nuostoliai </w:t>
                      </w:r>
                      <w:r>
                        <w:rPr>
                          <w:i/>
                          <w:color w:val="000000"/>
                        </w:rPr>
                        <w:t>H</w:t>
                      </w:r>
                      <w:r>
                        <w:rPr>
                          <w:i/>
                          <w:color w:val="000000"/>
                          <w:vertAlign w:val="subscript"/>
                        </w:rPr>
                        <w:t>pe2,x</w:t>
                      </w:r>
                      <w:r>
                        <w:rPr>
                          <w:color w:val="000000"/>
                        </w:rPr>
                        <w:t xml:space="preserve"> (W/K), kai grindų pakraščiuose įrengtas vertikalusis termoizoliacinis sluoksnis, apskaičiuojami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44"/>
                                <w:szCs w:val="22"/>
                              </w:rPr>
                              <w:object w:dxaOrig="7580" w:dyaOrig="1010">
                                <v:shape id="_x0000_i1068" type="#_x0000_t75" style="width:378.6pt;height:50.15pt" o:ole="">
                                  <v:imagedata r:id="rId360" o:title=""/>
                                </v:shape>
                                <o:OLEObject Type="Embed" ProgID="Equation.3" ShapeID="_x0000_i1068" DrawAspect="Content" ObjectID="_0000000001" r:id="rId36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(2.39)</w:t>
                            </w:r>
                          </w:p>
                        </w:tc>
                      </w:tr>
                    </w:tbl>
                    <w:p>
                      <w:pPr>
                        <w:tabs>
                          <w:tab w:val="left" w:pos="567"/>
                        </w:tabs>
                        <w:jc w:val="both"/>
                        <w:rPr>
                          <w:rFonts w:eastAsia="Calibri"/>
                          <w:color w:val="000000"/>
                          <w:szCs w:val="22"/>
                        </w:rPr>
                      </w:pPr>
                      <w:r>
                        <w:rPr>
                          <w:color w:val="000000"/>
                        </w:rPr>
                        <w:t>čia:</w:t>
                        <w:tab/>
                      </w:r>
                      <w:r>
                        <w:rPr>
                          <w:i/>
                          <w:color w:val="000000"/>
                        </w:rPr>
                        <w:t>D</w:t>
                      </w:r>
                      <w:r>
                        <w:rPr>
                          <w:i/>
                          <w:color w:val="000000"/>
                          <w:vertAlign w:val="subscript"/>
                        </w:rPr>
                        <w:t>v,x</w:t>
                      </w:r>
                      <w:r>
                        <w:rPr>
                          <w:color w:val="000000"/>
                          <w:vertAlign w:val="subscript"/>
                        </w:rPr>
                        <w:t xml:space="preserve"> </w:t>
                      </w:r>
                      <w:r>
                        <w:rPr>
                          <w:color w:val="000000"/>
                        </w:rPr>
                        <w:t>– atitinkamų „</w:t>
                      </w:r>
                      <w:r>
                        <w:rPr>
                          <w:i/>
                          <w:color w:val="000000"/>
                        </w:rPr>
                        <w:t>x</w:t>
                      </w:r>
                      <w:r>
                        <w:rPr>
                          <w:color w:val="000000"/>
                        </w:rPr>
                        <w:t>“ grindų</w:t>
                      </w:r>
                      <w:r>
                        <w:rPr>
                          <w:color w:val="000000"/>
                          <w:vertAlign w:val="subscript"/>
                        </w:rPr>
                        <w:t xml:space="preserve"> </w:t>
                      </w:r>
                      <w:r>
                        <w:rPr>
                          <w:color w:val="000000"/>
                        </w:rPr>
                        <w:t>vertikaliojo termoizoliacinio sluoksnio gylis (m) (žr. 2.5. ir 2.6. pav.)</w:t>
                      </w:r>
                    </w:p>
                    <w:p>
                      <w:pPr>
                        <w:jc w:val="both"/>
                        <w:rPr>
                          <w:color w:val="000000"/>
                        </w:rPr>
                      </w:pPr>
                    </w:p>
                    <w:p>
                      <w:pPr>
                        <w:ind w:firstLine="567"/>
                        <w:jc w:val="both"/>
                        <w:rPr>
                          <w:color w:val="000000"/>
                        </w:rPr>
                      </w:pPr>
                      <w:r>
                        <w:rPr>
                          <w:color w:val="000000"/>
                        </w:rPr>
                        <w:t>Kai grindų pakraščiuose įrengti horizontalusis ir vertikalusis termoizoliaciniai sluoksniai, skaičiavimams naudojami to termoizoliacinio sluoksnio duomenys, kurio šilumos perdavimo koeficientas, apskaičiuotas pagal (2.40) formulę, mažiausias.</w:t>
                      </w:r>
                    </w:p>
                    <w:p>
                      <w:pPr>
                        <w:ind w:firstLine="629"/>
                        <w:jc w:val="both"/>
                        <w:rPr>
                          <w:color w:val="000000"/>
                        </w:rPr>
                      </w:pPr>
                    </w:p>
                    <w:p>
                      <w:pPr>
                        <w:ind w:firstLine="567"/>
                        <w:jc w:val="both"/>
                        <w:rPr>
                          <w:color w:val="000000"/>
                        </w:rPr>
                      </w:pPr>
                      <w:r>
                        <w:rPr>
                          <w:color w:val="000000"/>
                        </w:rPr>
                        <w:t>Atitinkamų „</w:t>
                      </w:r>
                      <w:r>
                        <w:rPr>
                          <w:i/>
                          <w:color w:val="000000"/>
                        </w:rPr>
                        <w:t>x</w:t>
                      </w:r>
                      <w:r>
                        <w:rPr>
                          <w:color w:val="000000"/>
                        </w:rPr>
                        <w:t xml:space="preserve">“ grindų šilumos perdavimo koeficientas </w:t>
                      </w:r>
                      <w:r>
                        <w:rPr>
                          <w:i/>
                          <w:color w:val="000000"/>
                        </w:rPr>
                        <w:t>U</w:t>
                      </w:r>
                      <w:r>
                        <w:rPr>
                          <w:i/>
                          <w:color w:val="000000"/>
                          <w:vertAlign w:val="subscript"/>
                        </w:rPr>
                        <w:t>fg2,x</w:t>
                      </w:r>
                      <w:r>
                        <w:rPr>
                          <w:color w:val="000000"/>
                        </w:rPr>
                        <w:t xml:space="preserve"> (W/(m</w:t>
                      </w:r>
                      <w:r>
                        <w:rPr>
                          <w:color w:val="000000"/>
                          <w:vertAlign w:val="superscript"/>
                        </w:rPr>
                        <w:t>2</w:t>
                      </w:r>
                      <w:r>
                        <w:rPr>
                          <w:color w:val="000000"/>
                        </w:rPr>
                        <w:t>·K)) apskaičiuojamas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bCs/>
                                <w:i/>
                                <w:color w:val="000000"/>
                              </w:rPr>
                              <w:object w:dxaOrig="2450" w:dyaOrig="680">
                                <v:shape id="_x0000_i1069" type="#_x0000_t75" style="width:122.15pt;height:34pt" o:ole="">
                                  <v:imagedata r:id="rId362" o:title=""/>
                                </v:shape>
                                <o:OLEObject Type="Embed" ProgID="Equation.3" ShapeID="_x0000_i1069" DrawAspect="Content" ObjectID="_0000000001" r:id="rId363"/>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(2.40)</w:t>
                            </w:r>
                          </w:p>
                        </w:tc>
                      </w:tr>
                    </w:tbl>
                    <w:p>
                      <w:pPr>
                        <w:tabs>
                          <w:tab w:val="left" w:pos="567"/>
                        </w:tabs>
                        <w:jc w:val="both"/>
                        <w:rPr>
                          <w:rFonts w:eastAsia="Calibri"/>
                          <w:color w:val="000000"/>
                          <w:szCs w:val="22"/>
                        </w:rPr>
                      </w:pPr>
                      <w:r>
                        <w:rPr>
                          <w:color w:val="000000"/>
                        </w:rPr>
                        <w:t>čia:</w:t>
                        <w:tab/>
                      </w:r>
                      <w:r>
                        <w:rPr>
                          <w:i/>
                          <w:color w:val="000000"/>
                        </w:rPr>
                        <w:t>U</w:t>
                      </w:r>
                      <w:r>
                        <w:rPr>
                          <w:i/>
                          <w:color w:val="000000"/>
                          <w:vertAlign w:val="subscript"/>
                        </w:rPr>
                        <w:t>02,x</w:t>
                      </w:r>
                      <w:r>
                        <w:rPr>
                          <w:color w:val="000000"/>
                        </w:rPr>
                        <w:t xml:space="preserve"> </w:t>
                      </w:r>
                      <w:r>
                        <w:rPr>
                          <w:color w:val="000000"/>
                          <w:spacing w:val="-6"/>
                        </w:rPr>
                        <w:t>– atitinkamų „</w:t>
                      </w:r>
                      <w:r>
                        <w:rPr>
                          <w:i/>
                          <w:color w:val="000000"/>
                          <w:spacing w:val="-6"/>
                        </w:rPr>
                        <w:t>x</w:t>
                      </w:r>
                      <w:r>
                        <w:rPr>
                          <w:color w:val="000000"/>
                          <w:spacing w:val="-6"/>
                        </w:rPr>
                        <w:t xml:space="preserve">“ </w:t>
                      </w:r>
                      <w:r>
                        <w:rPr>
                          <w:color w:val="000000"/>
                        </w:rPr>
                        <w:t>grindų šilumos perdavimo koeficiento dedamoji, priklausanti nuo grindų, ploto, perimetro ir grindis ribojančių sienų storio (W/(m</w:t>
                      </w:r>
                      <w:r>
                        <w:rPr>
                          <w:color w:val="000000"/>
                          <w:vertAlign w:val="superscript"/>
                        </w:rPr>
                        <w:t>2</w:t>
                      </w:r>
                      <w:r>
                        <w:rPr>
                          <w:color w:val="000000"/>
                        </w:rPr>
                        <w:t>·K). Apskaičiuojama pagal (2.41) arba (2.42) formules;</w:t>
                      </w:r>
                    </w:p>
                    <w:p>
                      <w:pPr>
                        <w:ind w:firstLine="567"/>
                        <w:jc w:val="both"/>
                        <w:rPr>
                          <w:color w:val="000000"/>
                        </w:rPr>
                      </w:pPr>
                      <w:r>
                        <w:rPr>
                          <w:i/>
                          <w:color w:val="000000"/>
                        </w:rPr>
                        <w:sym w:font="Symbol" w:char="F059"/>
                      </w:r>
                      <w:r>
                        <w:rPr>
                          <w:i/>
                          <w:color w:val="000000"/>
                          <w:vertAlign w:val="subscript"/>
                        </w:rPr>
                        <w:t>g.e.2,x</w:t>
                      </w:r>
                      <w:r>
                        <w:rPr>
                          <w:color w:val="000000"/>
                        </w:rPr>
                        <w:t xml:space="preserve"> </w:t>
                      </w:r>
                      <w:r>
                        <w:rPr>
                          <w:color w:val="000000"/>
                          <w:spacing w:val="-6"/>
                        </w:rPr>
                        <w:t>–</w:t>
                      </w:r>
                      <w:r>
                        <w:rPr>
                          <w:color w:val="000000"/>
                        </w:rPr>
                        <w:t xml:space="preserve"> atitinkamų „</w:t>
                      </w:r>
                      <w:r>
                        <w:rPr>
                          <w:i/>
                          <w:color w:val="000000"/>
                        </w:rPr>
                        <w:t>x</w:t>
                      </w:r>
                      <w:r>
                        <w:rPr>
                          <w:color w:val="000000"/>
                        </w:rPr>
                        <w:t>“ grindų pakraščių apšiltinimo ilginis šilumos perdavimo koeficientas (W/(m·K)). Apskaičiuojama pagal (2.46) arba (2.47) formules.</w:t>
                      </w:r>
                    </w:p>
                    <w:p>
                      <w:pPr>
                        <w:ind w:firstLine="567"/>
                        <w:jc w:val="both"/>
                        <w:rPr>
                          <w:color w:val="000000"/>
                        </w:rPr>
                      </w:pPr>
                    </w:p>
                    <w:p>
                      <w:pPr>
                        <w:ind w:firstLine="567"/>
                        <w:jc w:val="both"/>
                        <w:rPr>
                          <w:color w:val="000000"/>
                        </w:rPr>
                      </w:pPr>
                      <w:r>
                        <w:rPr>
                          <w:color w:val="000000"/>
                        </w:rPr>
                        <w:t>Atitinkamų „</w:t>
                      </w:r>
                      <w:r>
                        <w:rPr>
                          <w:i/>
                          <w:color w:val="000000"/>
                        </w:rPr>
                        <w:t>x</w:t>
                      </w:r>
                      <w:r>
                        <w:rPr>
                          <w:color w:val="000000"/>
                        </w:rPr>
                        <w:t xml:space="preserve">“ grindų </w:t>
                      </w:r>
                      <w:r>
                        <w:rPr>
                          <w:i/>
                          <w:color w:val="000000"/>
                        </w:rPr>
                        <w:t>U</w:t>
                      </w:r>
                      <w:r>
                        <w:rPr>
                          <w:i/>
                          <w:color w:val="000000"/>
                          <w:vertAlign w:val="subscript"/>
                        </w:rPr>
                        <w:t>02,x</w:t>
                      </w:r>
                      <w:r>
                        <w:rPr>
                          <w:color w:val="000000"/>
                        </w:rPr>
                        <w:t xml:space="preserve"> vertė apskaičiuojama taip:</w:t>
                      </w:r>
                    </w:p>
                    <w:p>
                      <w:pPr>
                        <w:overflowPunct w:val="0"/>
                        <w:ind w:firstLine="567"/>
                        <w:jc w:val="both"/>
                        <w:textAlignment w:val="baseline"/>
                        <w:rPr>
                          <w:color w:val="000000"/>
                        </w:rPr>
                      </w:pPr>
                      <w:r>
                        <w:rPr>
                          <w:color w:val="000000"/>
                        </w:rPr>
                        <w:t>- jei grindys neapšiltintos arba mažai apšiltintos (</w:t>
                      </w:r>
                      <w:r>
                        <w:rPr>
                          <w:i/>
                          <w:color w:val="000000"/>
                        </w:rPr>
                        <w:t>d</w:t>
                      </w:r>
                      <w:r>
                        <w:rPr>
                          <w:i/>
                          <w:color w:val="000000"/>
                          <w:vertAlign w:val="subscript"/>
                        </w:rPr>
                        <w:t>t2,x</w:t>
                      </w:r>
                      <w:r>
                        <w:rPr>
                          <w:i/>
                          <w:color w:val="000000"/>
                        </w:rPr>
                        <w:t xml:space="preserve"> &lt; B′</w:t>
                      </w:r>
                      <w:r>
                        <w:rPr>
                          <w:i/>
                          <w:color w:val="000000"/>
                          <w:vertAlign w:val="subscript"/>
                        </w:rPr>
                        <w:t>2,x</w:t>
                      </w:r>
                      <w:r>
                        <w:rPr>
                          <w:color w:val="000000"/>
                        </w:rPr>
                        <w:t>), tai: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bCs/>
                                <w:color w:val="000000"/>
                              </w:rPr>
                              <w:object w:dxaOrig="3480" w:dyaOrig="840">
                                <v:shape id="_x0000_i1070" type="#_x0000_t75" style="width:173.95pt;height:42.05pt" o:ole="">
                                  <v:imagedata r:id="rId364" o:title=""/>
                                </v:shape>
                                <o:OLEObject Type="Embed" ProgID="Equation.3" ShapeID="_x0000_i1070" DrawAspect="Content" ObjectID="_0000000001" r:id="rId365"/>
                              </w:object>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(2.41)</w:t>
                            </w:r>
                          </w:p>
                        </w:tc>
                      </w:tr>
                    </w:tbl>
                    <w:p>
                      <w:pPr>
                        <w:ind w:firstLine="567"/>
                        <w:rPr>
                          <w:rFonts w:eastAsia="Calibri"/>
                          <w:color w:val="000000"/>
                          <w:szCs w:val="22"/>
                        </w:rPr>
                      </w:pPr>
                      <w:r>
                        <w:rPr>
                          <w:color w:val="000000"/>
                        </w:rPr>
                        <w:t>- jei grindys gerai apšiltintos (</w:t>
                      </w:r>
                      <w:r>
                        <w:rPr>
                          <w:i/>
                          <w:color w:val="000000"/>
                        </w:rPr>
                        <w:t>d</w:t>
                      </w:r>
                      <w:r>
                        <w:rPr>
                          <w:i/>
                          <w:color w:val="000000"/>
                          <w:vertAlign w:val="subscript"/>
                        </w:rPr>
                        <w:t>t2,x</w:t>
                      </w:r>
                      <w:r>
                        <w:rPr>
                          <w:i/>
                          <w:color w:val="000000"/>
                        </w:rPr>
                        <w:t xml:space="preserve"> ≥ B</w:t>
                      </w:r>
                      <w:r>
                        <w:rPr>
                          <w:color w:val="000000"/>
                        </w:rPr>
                        <w:t>′</w:t>
                      </w:r>
                      <w:r>
                        <w:rPr>
                          <w:i/>
                          <w:color w:val="000000"/>
                          <w:vertAlign w:val="subscript"/>
                        </w:rPr>
                        <w:t>2,x</w:t>
                      </w:r>
                      <w:r>
                        <w:rPr>
                          <w:color w:val="000000"/>
                        </w:rPr>
                        <w:t>), tai: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2440" w:dyaOrig="710">
                                <v:shape id="_x0000_i1071" type="#_x0000_t75" style="width:122.15pt;height:35.6pt" o:ole="">
                                  <v:imagedata r:id="rId366" o:title=""/>
                                </v:shape>
                                <o:OLEObject Type="Embed" ProgID="Equation.3" ShapeID="_x0000_i1071" DrawAspect="Content" ObjectID="_0000000001" r:id="rId367"/>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(2.42)</w:t>
                            </w:r>
                          </w:p>
                        </w:tc>
                      </w:tr>
                    </w:tbl>
                    <w:p>
                      <w:pPr>
                        <w:tabs>
                          <w:tab w:val="left" w:pos="567"/>
                        </w:tabs>
                        <w:jc w:val="both"/>
                        <w:rPr>
                          <w:rFonts w:eastAsia="Calibri"/>
                          <w:color w:val="000000"/>
                          <w:szCs w:val="22"/>
                        </w:rPr>
                      </w:pPr>
                      <w:r>
                        <w:rPr>
                          <w:color w:val="000000"/>
                        </w:rPr>
                        <w:t>čia:</w:t>
                        <w:tab/>
                      </w:r>
                      <w:r>
                        <w:rPr>
                          <w:i/>
                          <w:color w:val="000000"/>
                        </w:rPr>
                        <w:t>B′</w:t>
                      </w:r>
                      <w:r>
                        <w:rPr>
                          <w:i/>
                          <w:color w:val="000000"/>
                          <w:vertAlign w:val="subscript"/>
                        </w:rPr>
                        <w:t>2,i</w:t>
                      </w:r>
                      <w:r>
                        <w:rPr>
                          <w:color w:val="000000"/>
                        </w:rPr>
                        <w:t xml:space="preserve"> – atitinkamų „</w:t>
                      </w:r>
                      <w:r>
                        <w:rPr>
                          <w:i/>
                          <w:color w:val="000000"/>
                        </w:rPr>
                        <w:t>x</w:t>
                      </w:r>
                      <w:r>
                        <w:rPr>
                          <w:color w:val="000000"/>
                        </w:rPr>
                        <w:t xml:space="preserve">“ grindų ant grunto, kai grindys apšiltintos pakraščiuose, būdingasis grindų matmuo (m); </w:t>
                      </w:r>
                    </w:p>
                    <w:p>
                      <w:pPr>
                        <w:ind w:firstLine="567"/>
                        <w:rPr>
                          <w:color w:val="000000"/>
                        </w:rPr>
                      </w:pPr>
                      <w:r>
                        <w:rPr>
                          <w:i/>
                          <w:color w:val="000000"/>
                        </w:rPr>
                        <w:t>λ</w:t>
                      </w:r>
                      <w:r>
                        <w:rPr>
                          <w:i/>
                          <w:color w:val="000000"/>
                          <w:vertAlign w:val="subscript"/>
                        </w:rPr>
                        <w:t>gr</w:t>
                      </w:r>
                      <w:r>
                        <w:rPr>
                          <w:color w:val="000000"/>
                        </w:rPr>
                        <w:t xml:space="preserve"> – grunto šilumos laidumo koeficientas (W/(m·K)). </w:t>
                      </w:r>
                      <w:r>
                        <w:rPr>
                          <w:i/>
                          <w:color w:val="000000"/>
                        </w:rPr>
                        <w:sym w:font="Symbol" w:char="F06C"/>
                      </w:r>
                      <w:r>
                        <w:rPr>
                          <w:i/>
                          <w:color w:val="000000"/>
                          <w:vertAlign w:val="subscript"/>
                        </w:rPr>
                        <w:t>gr</w:t>
                      </w:r>
                      <w:r>
                        <w:rPr>
                          <w:color w:val="000000"/>
                        </w:rPr>
                        <w:t xml:space="preserve"> = 2 W/(m·K); </w:t>
                      </w:r>
                    </w:p>
                    <w:p>
                      <w:pPr>
                        <w:ind w:firstLine="567"/>
                        <w:jc w:val="both"/>
                        <w:rPr>
                          <w:color w:val="000000"/>
                        </w:rPr>
                      </w:pPr>
                      <w:r>
                        <w:rPr>
                          <w:i/>
                          <w:color w:val="000000"/>
                        </w:rPr>
                        <w:t>d</w:t>
                      </w:r>
                      <w:r>
                        <w:rPr>
                          <w:i/>
                          <w:color w:val="000000"/>
                          <w:vertAlign w:val="subscript"/>
                        </w:rPr>
                        <w:t>t2,x</w:t>
                      </w:r>
                      <w:r>
                        <w:rPr>
                          <w:color w:val="000000"/>
                        </w:rPr>
                        <w:t xml:space="preserve"> – atitinkamų „</w:t>
                      </w:r>
                      <w:r>
                        <w:rPr>
                          <w:i/>
                          <w:color w:val="000000"/>
                        </w:rPr>
                        <w:t>x</w:t>
                      </w:r>
                      <w:r>
                        <w:rPr>
                          <w:color w:val="000000"/>
                        </w:rPr>
                        <w:t>“ grindų ant grunto, kai grindys apšiltintos pakraščiuose, atstojamasis grindų plokštės storis, išreikštas grunto sluoksnio storiu (m):</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3090" w:dyaOrig="380">
                                <v:shape id="_x0000_i1072" type="#_x0000_t75" style="width:154.5pt;height:17.8pt" o:ole="">
                                  <v:imagedata r:id="rId368" o:title=""/>
                                </v:shape>
                                <o:OLEObject Type="Embed" ProgID="Equation.3" ShapeID="_x0000_i1072" DrawAspect="Content" ObjectID="_0000000001" r:id="rId369"/>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(2.43)</w:t>
                            </w:r>
                          </w:p>
                        </w:tc>
                      </w:tr>
                    </w:tbl>
                    <w:p>
                      <w:pPr>
                        <w:tabs>
                          <w:tab w:val="left" w:pos="567"/>
                        </w:tabs>
                        <w:rPr>
                          <w:rFonts w:eastAsia="Calibri"/>
                          <w:color w:val="000000"/>
                          <w:szCs w:val="22"/>
                        </w:rPr>
                      </w:pPr>
                      <w:r>
                        <w:rPr>
                          <w:color w:val="000000"/>
                        </w:rPr>
                        <w:t>čia:</w:t>
                        <w:tab/>
                      </w:r>
                      <w:r>
                        <w:rPr>
                          <w:i/>
                          <w:color w:val="000000"/>
                        </w:rPr>
                        <w:t>R</w:t>
                      </w:r>
                      <w:r>
                        <w:rPr>
                          <w:i/>
                          <w:color w:val="000000"/>
                          <w:vertAlign w:val="subscript"/>
                        </w:rPr>
                        <w:t>f,x</w:t>
                      </w:r>
                      <w:r>
                        <w:rPr>
                          <w:color w:val="000000"/>
                        </w:rPr>
                        <w:t xml:space="preserve"> </w:t>
                      </w:r>
                      <w:r>
                        <w:rPr>
                          <w:color w:val="000000"/>
                          <w:spacing w:val="-6"/>
                        </w:rPr>
                        <w:t>–</w:t>
                      </w:r>
                      <w:r>
                        <w:rPr>
                          <w:color w:val="000000"/>
                        </w:rPr>
                        <w:t xml:space="preserve"> atitinkamų „</w:t>
                      </w:r>
                      <w:r>
                        <w:rPr>
                          <w:i/>
                          <w:color w:val="000000"/>
                        </w:rPr>
                        <w:t>x</w:t>
                      </w:r>
                      <w:r>
                        <w:rPr>
                          <w:color w:val="000000"/>
                        </w:rPr>
                        <w:t>“ grindų ant grunto, kai grindys apšiltintos pakraščiuose, grindų plokštės šiluminė varža (m</w:t>
                      </w:r>
                      <w:r>
                        <w:rPr>
                          <w:color w:val="000000"/>
                          <w:vertAlign w:val="superscript"/>
                        </w:rPr>
                        <w:t>2</w:t>
                      </w:r>
                      <w:r>
                        <w:rPr>
                          <w:color w:val="000000"/>
                        </w:rPr>
                        <w:t>·K/W) (žr. 2.4. –2.6. pav.);</w:t>
                      </w:r>
                    </w:p>
                    <w:p>
                      <w:pPr>
                        <w:ind w:firstLine="567"/>
                        <w:jc w:val="both"/>
                        <w:rPr>
                          <w:color w:val="000000"/>
                        </w:rPr>
                      </w:pPr>
                      <w:r>
                        <w:rPr>
                          <w:i/>
                          <w:color w:val="000000"/>
                        </w:rPr>
                        <w:t>w</w:t>
                      </w:r>
                      <w:r>
                        <w:rPr>
                          <w:i/>
                          <w:color w:val="000000"/>
                          <w:vertAlign w:val="subscript"/>
                        </w:rPr>
                        <w:t>x</w:t>
                      </w:r>
                      <w:r>
                        <w:rPr>
                          <w:color w:val="000000"/>
                        </w:rPr>
                        <w:t xml:space="preserve"> </w:t>
                      </w:r>
                      <w:r>
                        <w:rPr>
                          <w:color w:val="000000"/>
                          <w:spacing w:val="-6"/>
                        </w:rPr>
                        <w:t>–</w:t>
                      </w:r>
                      <w:r>
                        <w:rPr>
                          <w:color w:val="000000"/>
                        </w:rPr>
                        <w:t xml:space="preserve"> atitinkamas „</w:t>
                      </w:r>
                      <w:r>
                        <w:rPr>
                          <w:i/>
                          <w:color w:val="000000"/>
                        </w:rPr>
                        <w:t>x</w:t>
                      </w:r>
                      <w:r>
                        <w:rPr>
                          <w:color w:val="000000"/>
                        </w:rPr>
                        <w:t>“ grindis ant grunto ribojantis sienos storis (m) (žr. 2.4.–2.6. pav.).</w:t>
                      </w:r>
                    </w:p>
                    <w:p>
                      <w:pPr>
                        <w:ind w:firstLine="567"/>
                        <w:rPr>
                          <w:color w:val="000000"/>
                        </w:rPr>
                      </w:pPr>
                    </w:p>
                    <w:p>
                      <w:pPr>
                        <w:ind w:firstLine="567"/>
                        <w:jc w:val="both"/>
                        <w:rPr>
                          <w:color w:val="000000"/>
                        </w:rPr>
                      </w:pPr>
                      <w:r>
                        <w:rPr>
                          <w:color w:val="000000"/>
                        </w:rPr>
                        <w:t>Apskaičiuojama atitinkamų „</w:t>
                      </w:r>
                      <w:r>
                        <w:rPr>
                          <w:i/>
                          <w:color w:val="000000"/>
                        </w:rPr>
                        <w:t>x</w:t>
                      </w:r>
                      <w:r>
                        <w:rPr>
                          <w:color w:val="000000"/>
                        </w:rPr>
                        <w:t xml:space="preserve">“ grindų ant grunto papildomosios šiluminės varžos, esant horizontaliajam </w:t>
                      </w:r>
                      <w:r>
                        <w:rPr>
                          <w:i/>
                          <w:color w:val="000000"/>
                        </w:rPr>
                        <w:t>R′</w:t>
                      </w:r>
                      <w:r>
                        <w:rPr>
                          <w:i/>
                          <w:color w:val="000000"/>
                          <w:vertAlign w:val="subscript"/>
                        </w:rPr>
                        <w:t>h.ins,x</w:t>
                      </w:r>
                      <w:r>
                        <w:rPr>
                          <w:color w:val="000000"/>
                        </w:rPr>
                        <w:t xml:space="preserve"> (m</w:t>
                      </w:r>
                      <w:r>
                        <w:rPr>
                          <w:color w:val="000000"/>
                          <w:vertAlign w:val="superscript"/>
                        </w:rPr>
                        <w:t>2</w:t>
                      </w:r>
                      <w:r>
                        <w:rPr>
                          <w:color w:val="000000"/>
                        </w:rPr>
                        <w:t xml:space="preserve">·K/W) ir vertikaliam </w:t>
                      </w:r>
                      <w:r>
                        <w:rPr>
                          <w:i/>
                          <w:color w:val="000000"/>
                        </w:rPr>
                        <w:t>R′</w:t>
                      </w:r>
                      <w:r>
                        <w:rPr>
                          <w:i/>
                          <w:color w:val="000000"/>
                          <w:vertAlign w:val="subscript"/>
                        </w:rPr>
                        <w:t>v.ins,x</w:t>
                      </w:r>
                      <w:r>
                        <w:rPr>
                          <w:color w:val="000000"/>
                        </w:rPr>
                        <w:t xml:space="preserve"> (m</w:t>
                      </w:r>
                      <w:r>
                        <w:rPr>
                          <w:color w:val="000000"/>
                          <w:vertAlign w:val="superscript"/>
                        </w:rPr>
                        <w:t>2</w:t>
                      </w:r>
                      <w:r>
                        <w:rPr>
                          <w:color w:val="000000"/>
                        </w:rPr>
                        <w:t>·K/W) pakraščių apšiltinimui: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720" w:hanging="850"/>
                              <w:jc w:val="right"/>
                              <w:rPr>
                                <w:rFonts w:eastAsia="Calibri"/>
                                <w:color w:val="000000"/>
                                <w:szCs w:val="22"/>
                              </w:rPr>
                            </w:pPr>
                            <w:r>
                              <w:rPr>
                                <w:rFonts w:eastAsia="Calibri"/>
                                <w:color w:val="000000"/>
                                <w:position w:val="-30"/>
                                <w:szCs w:val="22"/>
                              </w:rPr>
                              <w:object w:dxaOrig="2480" w:dyaOrig="680">
                                <v:shape id="_x0000_i1073" type="#_x0000_t75" style="width:123.8pt;height:34pt" o:ole="">
                                  <v:imagedata r:id="rId370" o:title=""/>
                                </v:shape>
                                <o:OLEObject Type="Embed" ProgID="Equation.3" ShapeID="_x0000_i1073" DrawAspect="Content" ObjectID="_0000000001" r:id="rId371"/>
                              </w:object>
                            </w:r>
                            <w:r>
                              <w:rPr>
                                <w:color w:val="000000"/>
                              </w:rPr>
                              <w:t xml:space="preserve">     ir      </w:t>
                            </w:r>
                            <w:r>
                              <w:rPr>
                                <w:rFonts w:eastAsia="Calibri"/>
                                <w:color w:val="000000"/>
                                <w:position w:val="-30"/>
                                <w:szCs w:val="22"/>
                              </w:rPr>
                              <w:object w:dxaOrig="2610" w:dyaOrig="760">
                                <v:shape id="_x0000_i1074" type="#_x0000_t75" style="width:130.25pt;height:38.85pt" o:ole="">
                                  <v:imagedata r:id="rId372" o:title=""/>
                                </v:shape>
                                <o:OLEObject Type="Embed" ProgID="Equation.3" ShapeID="_x0000_i1074" DrawAspect="Content" ObjectID="_0000000001" r:id="rId373"/>
                              </w:object>
                            </w:r>
                            <w:r>
                              <w:rPr>
                                <w:color w:val="000000"/>
                              </w:rPr>
                              <w:t>;</w:t>
                              <w:tab/>
                              <w:tab/>
                              <w:t xml:space="preserve"> </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(2.44)</w:t>
                            </w:r>
                          </w:p>
                        </w:tc>
                      </w:tr>
                    </w:tbl>
                    <w:p>
                      <w:pPr>
                        <w:tabs>
                          <w:tab w:val="left" w:pos="567"/>
                        </w:tabs>
                        <w:jc w:val="both"/>
                        <w:rPr>
                          <w:rFonts w:eastAsia="Calibri"/>
                          <w:color w:val="000000"/>
                          <w:szCs w:val="22"/>
                        </w:rPr>
                      </w:pPr>
                      <w:r>
                        <w:rPr>
                          <w:color w:val="000000"/>
                        </w:rPr>
                        <w:t>čia:</w:t>
                        <w:tab/>
                      </w:r>
                      <w:r>
                        <w:rPr>
                          <w:i/>
                          <w:color w:val="000000"/>
                        </w:rPr>
                        <w:t>R</w:t>
                      </w:r>
                      <w:r>
                        <w:rPr>
                          <w:i/>
                          <w:color w:val="000000"/>
                          <w:vertAlign w:val="subscript"/>
                        </w:rPr>
                        <w:t>h.ins,x</w:t>
                      </w:r>
                      <w:r>
                        <w:rPr>
                          <w:i/>
                          <w:color w:val="000000"/>
                        </w:rPr>
                        <w:t xml:space="preserve"> </w:t>
                      </w:r>
                      <w:r>
                        <w:rPr>
                          <w:color w:val="000000"/>
                          <w:spacing w:val="-6"/>
                        </w:rPr>
                        <w:t xml:space="preserve">– </w:t>
                      </w:r>
                      <w:r>
                        <w:rPr>
                          <w:color w:val="000000"/>
                        </w:rPr>
                        <w:t>atitinkamų „</w:t>
                      </w:r>
                      <w:r>
                        <w:rPr>
                          <w:i/>
                          <w:color w:val="000000"/>
                        </w:rPr>
                        <w:t>x</w:t>
                      </w:r>
                      <w:r>
                        <w:rPr>
                          <w:color w:val="000000"/>
                        </w:rPr>
                        <w:t xml:space="preserve">“ grindų </w:t>
                      </w:r>
                      <w:r>
                        <w:rPr>
                          <w:color w:val="000000"/>
                          <w:spacing w:val="-6"/>
                        </w:rPr>
                        <w:t>horizontaliojo</w:t>
                      </w:r>
                      <w:r>
                        <w:rPr>
                          <w:color w:val="000000"/>
                        </w:rPr>
                        <w:t xml:space="preserve"> pakraščių termoizoliacinio sluoksnio šiluminė varža (m</w:t>
                      </w:r>
                      <w:r>
                        <w:rPr>
                          <w:color w:val="000000"/>
                          <w:vertAlign w:val="superscript"/>
                        </w:rPr>
                        <w:t>2</w:t>
                      </w:r>
                      <w:r>
                        <w:rPr>
                          <w:color w:val="000000"/>
                        </w:rPr>
                        <w:t>·K/W);</w:t>
                      </w:r>
                    </w:p>
                    <w:p>
                      <w:pPr>
                        <w:ind w:firstLine="567"/>
                        <w:jc w:val="both"/>
                        <w:rPr>
                          <w:color w:val="000000"/>
                        </w:rPr>
                      </w:pPr>
                      <w:r>
                        <w:rPr>
                          <w:i/>
                          <w:color w:val="000000"/>
                        </w:rPr>
                        <w:t>R</w:t>
                      </w:r>
                      <w:r>
                        <w:rPr>
                          <w:i/>
                          <w:color w:val="000000"/>
                          <w:vertAlign w:val="subscript"/>
                        </w:rPr>
                        <w:t>v.ins,x</w:t>
                      </w:r>
                      <w:r>
                        <w:rPr>
                          <w:i/>
                          <w:color w:val="000000"/>
                        </w:rPr>
                        <w:t xml:space="preserve"> </w:t>
                      </w:r>
                      <w:r>
                        <w:rPr>
                          <w:color w:val="000000"/>
                          <w:spacing w:val="-6"/>
                        </w:rPr>
                        <w:t xml:space="preserve">– </w:t>
                      </w:r>
                      <w:r>
                        <w:rPr>
                          <w:color w:val="000000"/>
                        </w:rPr>
                        <w:t>atitinkamų „</w:t>
                      </w:r>
                      <w:r>
                        <w:rPr>
                          <w:i/>
                          <w:color w:val="000000"/>
                        </w:rPr>
                        <w:t>x</w:t>
                      </w:r>
                      <w:r>
                        <w:rPr>
                          <w:color w:val="000000"/>
                        </w:rPr>
                        <w:t xml:space="preserve">“ grindų </w:t>
                      </w:r>
                      <w:r>
                        <w:rPr>
                          <w:color w:val="000000"/>
                          <w:spacing w:val="-6"/>
                        </w:rPr>
                        <w:t>vertikaliojo</w:t>
                      </w:r>
                      <w:r>
                        <w:rPr>
                          <w:color w:val="000000"/>
                        </w:rPr>
                        <w:t xml:space="preserve"> pakraščių termoizoliacinio sluoksnio šiluminė varža (m</w:t>
                      </w:r>
                      <w:r>
                        <w:rPr>
                          <w:color w:val="000000"/>
                          <w:vertAlign w:val="superscript"/>
                        </w:rPr>
                        <w:t>2</w:t>
                      </w:r>
                      <w:r>
                        <w:rPr>
                          <w:color w:val="000000"/>
                        </w:rPr>
                        <w:t>·K/W);</w:t>
                      </w:r>
                    </w:p>
                    <w:p>
                      <w:pPr>
                        <w:ind w:firstLine="567"/>
                        <w:jc w:val="both"/>
                        <w:rPr>
                          <w:color w:val="000000"/>
                        </w:rPr>
                      </w:pPr>
                      <w:r>
                        <w:rPr>
                          <w:i/>
                          <w:color w:val="000000"/>
                        </w:rPr>
                        <w:t>d</w:t>
                      </w:r>
                      <w:r>
                        <w:rPr>
                          <w:i/>
                          <w:color w:val="000000"/>
                          <w:vertAlign w:val="subscript"/>
                        </w:rPr>
                        <w:t>h.ins,x</w:t>
                      </w:r>
                      <w:r>
                        <w:rPr>
                          <w:color w:val="000000"/>
                        </w:rPr>
                        <w:t xml:space="preserve"> </w:t>
                      </w:r>
                      <w:r>
                        <w:rPr>
                          <w:color w:val="000000"/>
                          <w:spacing w:val="-6"/>
                        </w:rPr>
                        <w:t>–</w:t>
                      </w:r>
                      <w:r>
                        <w:rPr>
                          <w:color w:val="000000"/>
                        </w:rPr>
                        <w:t xml:space="preserve"> atitinkamų „</w:t>
                      </w:r>
                      <w:r>
                        <w:rPr>
                          <w:i/>
                          <w:color w:val="000000"/>
                        </w:rPr>
                        <w:t>x</w:t>
                      </w:r>
                      <w:r>
                        <w:rPr>
                          <w:color w:val="000000"/>
                        </w:rPr>
                        <w:t>“ grindų horizontaliojo pakraščių termoizoliacinio sluoksnio storis (m);</w:t>
                      </w:r>
                    </w:p>
                    <w:p>
                      <w:pPr>
                        <w:ind w:firstLine="567"/>
                        <w:jc w:val="both"/>
                        <w:rPr>
                          <w:color w:val="000000"/>
                        </w:rPr>
                      </w:pPr>
                      <w:r>
                        <w:rPr>
                          <w:i/>
                          <w:color w:val="000000"/>
                        </w:rPr>
                        <w:t>d</w:t>
                      </w:r>
                      <w:r>
                        <w:rPr>
                          <w:i/>
                          <w:color w:val="000000"/>
                          <w:vertAlign w:val="subscript"/>
                        </w:rPr>
                        <w:t>v.ins,x</w:t>
                      </w:r>
                      <w:r>
                        <w:rPr>
                          <w:color w:val="000000"/>
                        </w:rPr>
                        <w:t xml:space="preserve"> </w:t>
                      </w:r>
                      <w:r>
                        <w:rPr>
                          <w:color w:val="000000"/>
                          <w:spacing w:val="-6"/>
                        </w:rPr>
                        <w:t>–</w:t>
                      </w:r>
                      <w:r>
                        <w:rPr>
                          <w:color w:val="000000"/>
                        </w:rPr>
                        <w:t xml:space="preserve"> atitinkamų „</w:t>
                      </w:r>
                      <w:r>
                        <w:rPr>
                          <w:i/>
                          <w:color w:val="000000"/>
                        </w:rPr>
                        <w:t>x</w:t>
                      </w:r>
                      <w:r>
                        <w:rPr>
                          <w:color w:val="000000"/>
                        </w:rPr>
                        <w:t xml:space="preserve">“ grindų </w:t>
                      </w:r>
                      <w:r>
                        <w:rPr>
                          <w:color w:val="000000"/>
                          <w:spacing w:val="-6"/>
                        </w:rPr>
                        <w:t>vertikaliojo</w:t>
                      </w:r>
                      <w:r>
                        <w:rPr>
                          <w:color w:val="000000"/>
                        </w:rPr>
                        <w:t xml:space="preserve"> pakraščių termoizoliacinio sluoksnio storis (m);</w:t>
                      </w:r>
                    </w:p>
                    <w:p>
                      <w:pPr>
                        <w:ind w:firstLine="567"/>
                        <w:jc w:val="both"/>
                        <w:rPr>
                          <w:color w:val="000000"/>
                        </w:rPr>
                      </w:pPr>
                      <w:r>
                        <w:rPr>
                          <w:i/>
                          <w:color w:val="000000"/>
                        </w:rPr>
                        <w:sym w:font="Symbol" w:char="F06C"/>
                      </w:r>
                      <w:r>
                        <w:rPr>
                          <w:i/>
                          <w:color w:val="000000"/>
                          <w:vertAlign w:val="subscript"/>
                        </w:rPr>
                        <w:t>gr</w:t>
                      </w:r>
                      <w:r>
                        <w:rPr>
                          <w:color w:val="000000"/>
                        </w:rPr>
                        <w:t xml:space="preserve"> </w:t>
                      </w:r>
                      <w:r>
                        <w:rPr>
                          <w:color w:val="000000"/>
                          <w:spacing w:val="-6"/>
                        </w:rPr>
                        <w:t>–</w:t>
                      </w:r>
                      <w:r>
                        <w:rPr>
                          <w:color w:val="000000"/>
                        </w:rPr>
                        <w:t xml:space="preserve"> grunto šilumos laidumo koeficientas (W/(m·K)). </w:t>
                      </w:r>
                      <w:r>
                        <w:rPr>
                          <w:i/>
                          <w:color w:val="000000"/>
                        </w:rPr>
                        <w:sym w:font="Symbol" w:char="F06C"/>
                      </w:r>
                      <w:r>
                        <w:rPr>
                          <w:i/>
                          <w:color w:val="000000"/>
                          <w:vertAlign w:val="subscript"/>
                        </w:rPr>
                        <w:t>gr</w:t>
                      </w:r>
                      <w:r>
                        <w:rPr>
                          <w:color w:val="000000"/>
                        </w:rPr>
                        <w:t xml:space="preserve"> = 2 W/(m·K).</w:t>
                      </w:r>
                    </w:p>
                    <w:p>
                      <w:pPr>
                        <w:ind w:firstLine="567"/>
                        <w:jc w:val="both"/>
                        <w:rPr>
                          <w:color w:val="000000"/>
                        </w:rPr>
                      </w:pPr>
                    </w:p>
                    <w:p>
                      <w:pPr>
                        <w:ind w:firstLine="567"/>
                        <w:jc w:val="both"/>
                        <w:rPr>
                          <w:color w:val="000000"/>
                        </w:rPr>
                      </w:pPr>
                      <w:r>
                        <w:rPr>
                          <w:color w:val="000000"/>
                        </w:rPr>
                        <w:t>Apskaičiuojamas atitinkamų „</w:t>
                      </w:r>
                      <w:r>
                        <w:rPr>
                          <w:i/>
                          <w:color w:val="000000"/>
                        </w:rPr>
                        <w:t>x</w:t>
                      </w:r>
                      <w:r>
                        <w:rPr>
                          <w:color w:val="000000"/>
                        </w:rPr>
                        <w:t xml:space="preserve">“ grindų atstojamasis papildomojo apšiltinančio sluoksnio storis (išreikštas grunto sluoksnio storiu), esant horizontaliajam </w:t>
                      </w:r>
                      <w:r>
                        <w:rPr>
                          <w:i/>
                          <w:color w:val="000000"/>
                        </w:rPr>
                        <w:t>d′</w:t>
                      </w:r>
                      <w:r>
                        <w:rPr>
                          <w:i/>
                          <w:color w:val="000000"/>
                          <w:vertAlign w:val="subscript"/>
                        </w:rPr>
                        <w:t>h,x</w:t>
                      </w:r>
                      <w:r>
                        <w:rPr>
                          <w:color w:val="000000"/>
                        </w:rPr>
                        <w:t xml:space="preserve"> (m) ir vertikaliajam </w:t>
                      </w:r>
                      <w:r>
                        <w:rPr>
                          <w:i/>
                          <w:color w:val="000000"/>
                        </w:rPr>
                        <w:t>d′</w:t>
                      </w:r>
                      <w:r>
                        <w:rPr>
                          <w:i/>
                          <w:color w:val="000000"/>
                          <w:vertAlign w:val="subscript"/>
                        </w:rPr>
                        <w:t>v,x</w:t>
                      </w:r>
                      <w:r>
                        <w:rPr>
                          <w:color w:val="000000"/>
                        </w:rPr>
                        <w:t xml:space="preserve"> (m) pakraščių apšiltinimui: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1770" w:dyaOrig="380">
                                <v:shape id="_x0000_i1075" type="#_x0000_t75" style="width:88.2pt;height:17.8pt" o:ole="">
                                  <v:imagedata r:id="rId374" o:title=""/>
                                </v:shape>
                                <o:OLEObject Type="Embed" ProgID="Equation.3" ShapeID="_x0000_i1075" DrawAspect="Content" ObjectID="_0000000001" r:id="rId375"/>
                              </w:object>
                            </w:r>
                            <w:r>
                              <w:rPr>
                                <w:color w:val="000000"/>
                              </w:rPr>
                              <w:t xml:space="preserve">    ir     </w:t>
                            </w:r>
                            <w:r>
                              <w:rPr>
                                <w:rFonts w:eastAsia="Calibri"/>
                                <w:color w:val="000000"/>
                                <w:position w:val="-14"/>
                                <w:szCs w:val="22"/>
                              </w:rPr>
                              <w:object w:dxaOrig="1820" w:dyaOrig="380">
                                <v:shape id="_x0000_i1076" type="#_x0000_t75" style="width:89.8pt;height:17.8pt" o:ole="">
                                  <v:imagedata r:id="rId376" o:title=""/>
                                </v:shape>
                                <o:OLEObject Type="Embed" ProgID="Equation.3" ShapeID="_x0000_i1076" DrawAspect="Content" ObjectID="_0000000001" r:id="rId377"/>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(2.45)</w:t>
                            </w:r>
                          </w:p>
                        </w:tc>
                      </w:tr>
                    </w:tbl>
                    <w:p>
                      <w:pPr>
                        <w:ind w:left="2160" w:firstLine="629"/>
                        <w:jc w:val="right"/>
                        <w:rPr>
                          <w:rFonts w:eastAsia="Calibri"/>
                          <w:color w:val="000000"/>
                          <w:szCs w:val="22"/>
                        </w:rPr>
                      </w:pPr>
                    </w:p>
                    <w:p>
                      <w:pPr>
                        <w:ind w:firstLine="567"/>
                        <w:rPr>
                          <w:color w:val="000000"/>
                        </w:rPr>
                      </w:pPr>
                      <w:r>
                        <w:rPr>
                          <w:color w:val="000000"/>
                        </w:rPr>
                        <w:t>Atitinkamų „</w:t>
                      </w:r>
                      <w:r>
                        <w:rPr>
                          <w:i/>
                          <w:color w:val="000000"/>
                        </w:rPr>
                        <w:t>x</w:t>
                      </w:r>
                      <w:r>
                        <w:rPr>
                          <w:color w:val="000000"/>
                        </w:rPr>
                        <w:t>“ grindų</w:t>
                      </w:r>
                      <w:r>
                        <w:rPr>
                          <w:i/>
                          <w:color w:val="000000"/>
                        </w:rPr>
                        <w:t xml:space="preserve"> Ψ</w:t>
                      </w:r>
                      <w:r>
                        <w:rPr>
                          <w:i/>
                          <w:color w:val="000000"/>
                          <w:vertAlign w:val="subscript"/>
                        </w:rPr>
                        <w:t>g.e.2,x</w:t>
                      </w:r>
                      <w:r>
                        <w:rPr>
                          <w:color w:val="000000"/>
                        </w:rPr>
                        <w:t xml:space="preserve"> vertė apskaičiuojama taip:</w:t>
                      </w:r>
                    </w:p>
                    <w:p>
                      <w:pPr>
                        <w:ind w:left="567"/>
                        <w:jc w:val="both"/>
                        <w:rPr>
                          <w:color w:val="000000"/>
                        </w:rPr>
                      </w:pPr>
                      <w:r>
                        <w:rPr>
                          <w:color w:val="000000"/>
                        </w:rPr>
                        <w:t>- kai termoizoliacinis sluoksnis įrengtas pagal pastato perimetrą horizontaliai (2.4. pav.):</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bCs/>
                                <w:color w:val="000000"/>
                              </w:rPr>
                              <w:object w:dxaOrig="4700" w:dyaOrig="840">
                                <v:shape id="_x0000_i1077" type="#_x0000_t75" style="width:233.8pt;height:42.05pt" o:ole="">
                                  <v:imagedata r:id="rId378" o:title=""/>
                                </v:shape>
                                <o:OLEObject Type="Embed" ProgID="Equation.3" ShapeID="_x0000_i1077" DrawAspect="Content" ObjectID="_0000000001" r:id="rId379"/>
                              </w:object>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(2.46)</w:t>
                            </w:r>
                          </w:p>
                        </w:tc>
                      </w:tr>
                    </w:tbl>
                    <w:p>
                      <w:pPr>
                        <w:tabs>
                          <w:tab w:val="left" w:pos="567"/>
                        </w:tabs>
                        <w:rPr>
                          <w:rFonts w:eastAsia="Calibri"/>
                          <w:color w:val="000000"/>
                          <w:szCs w:val="22"/>
                        </w:rPr>
                      </w:pPr>
                      <w:r>
                        <w:rPr>
                          <w:color w:val="000000"/>
                        </w:rPr>
                        <w:t xml:space="preserve">čia: </w:t>
                        <w:tab/>
                      </w:r>
                      <w:r>
                        <w:rPr>
                          <w:i/>
                          <w:color w:val="000000"/>
                        </w:rPr>
                        <w:t>d</w:t>
                      </w:r>
                      <w:r>
                        <w:rPr>
                          <w:i/>
                          <w:color w:val="000000"/>
                          <w:vertAlign w:val="subscript"/>
                        </w:rPr>
                        <w:t>t2,x</w:t>
                      </w:r>
                      <w:r>
                        <w:rPr>
                          <w:color w:val="000000"/>
                        </w:rPr>
                        <w:t xml:space="preserve"> – apskaičiuojamas pagal (2.43) formulę;</w:t>
                      </w:r>
                    </w:p>
                    <w:p>
                      <w:pPr>
                        <w:ind w:firstLine="567"/>
                        <w:rPr>
                          <w:color w:val="000000"/>
                        </w:rPr>
                      </w:pPr>
                      <w:r>
                        <w:rPr>
                          <w:i/>
                          <w:color w:val="000000"/>
                        </w:rPr>
                        <w:t>d’</w:t>
                      </w:r>
                      <w:r>
                        <w:rPr>
                          <w:i/>
                          <w:color w:val="000000"/>
                          <w:vertAlign w:val="subscript"/>
                        </w:rPr>
                        <w:t>h,x</w:t>
                      </w:r>
                      <w:r>
                        <w:rPr>
                          <w:i/>
                          <w:color w:val="000000"/>
                        </w:rPr>
                        <w:t xml:space="preserve"> </w:t>
                      </w:r>
                      <w:r>
                        <w:rPr>
                          <w:color w:val="000000"/>
                        </w:rPr>
                        <w:t>– apskaičiuojamas pagal (2.45) formulę.</w:t>
                      </w:r>
                    </w:p>
                    <w:p>
                      <w:pPr>
                        <w:ind w:firstLine="567"/>
                        <w:rPr>
                          <w:color w:val="000000"/>
                        </w:rPr>
                      </w:pPr>
                    </w:p>
                    <w:p>
                      <w:pPr>
                        <w:ind w:firstLine="567"/>
                        <w:jc w:val="both"/>
                        <w:rPr>
                          <w:color w:val="000000"/>
                        </w:rPr>
                      </w:pPr>
                      <w:r>
                        <w:rPr>
                          <w:color w:val="000000"/>
                        </w:rPr>
                        <w:t>Formulė (2.46) taip pat taikoma, jei horizontalusis pakraščių termoizoliacinis sluoksnis įrengtas virš grindų plokštės arba išorinėje pamatų pusėje.</w:t>
                      </w:r>
                    </w:p>
                    <w:p>
                      <w:pPr>
                        <w:ind w:firstLine="567"/>
                        <w:jc w:val="both"/>
                        <w:rPr>
                          <w:color w:val="000000"/>
                        </w:rPr>
                      </w:pPr>
                    </w:p>
                    <w:p>
                      <w:pPr>
                        <w:ind w:firstLine="567"/>
                        <w:jc w:val="both"/>
                        <w:rPr>
                          <w:color w:val="000000"/>
                        </w:rPr>
                      </w:pPr>
                      <w:r>
                        <w:rPr>
                          <w:color w:val="000000"/>
                        </w:rPr>
                        <w:t xml:space="preserve">- kai termoizoliacinis sluoksnis įrengtas pagal pastato perimetrą vertikaliai, pamatų vidinėje arba išorinėje pusėje (2.5. pav.): </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4"/>
                                <w:szCs w:val="22"/>
                              </w:rPr>
                              <w:object w:dxaOrig="4870" w:dyaOrig="840">
                                <v:shape id="_x0000_i1078" type="#_x0000_t75" style="width:243.5pt;height:42.05pt" o:ole="">
                                  <v:imagedata r:id="rId380" o:title=""/>
                                </v:shape>
                                <o:OLEObject Type="Embed" ProgID="Equation.3" ShapeID="_x0000_i1078" DrawAspect="Content" ObjectID="_0000000001" r:id="rId38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(2.47)</w:t>
                            </w:r>
                          </w:p>
                        </w:tc>
                      </w:tr>
                    </w:tbl>
                    <w:p>
                      <w:pPr>
                        <w:ind w:left="1440" w:firstLine="567"/>
                        <w:jc w:val="right"/>
                        <w:rPr>
                          <w:rFonts w:eastAsia="Calibri"/>
                          <w:color w:val="000000"/>
                          <w:szCs w:val="22"/>
                        </w:rPr>
                      </w:pPr>
                    </w:p>
                    <w:p>
                      <w:pPr>
                        <w:ind w:firstLine="567"/>
                        <w:jc w:val="both"/>
                        <w:rPr>
                          <w:color w:val="000000"/>
                        </w:rPr>
                      </w:pPr>
                      <w:r>
                        <w:rPr>
                          <w:color w:val="000000"/>
                        </w:rPr>
                        <w:t xml:space="preserve">- kai termoizoliacinis sluoksnis įrengtas pagal pastato perimetrą vertikaliai ir horizontaliai, pagal (2.46) ir (2.47) formules turi būti apskaičiuotos </w:t>
                      </w:r>
                      <w:r>
                        <w:rPr>
                          <w:i/>
                          <w:color w:val="000000"/>
                        </w:rPr>
                        <w:t>Ψ</w:t>
                      </w:r>
                      <w:r>
                        <w:rPr>
                          <w:i/>
                          <w:color w:val="000000"/>
                          <w:vertAlign w:val="subscript"/>
                        </w:rPr>
                        <w:t>g.e.2,x</w:t>
                      </w:r>
                      <w:r>
                        <w:rPr>
                          <w:color w:val="000000"/>
                        </w:rPr>
                        <w:t xml:space="preserve"> vertės ir tolimesniems skaičiavimams turi būti naudojama vertė, kuri labiausiai mažina </w:t>
                      </w:r>
                      <w:r>
                        <w:rPr>
                          <w:i/>
                          <w:color w:val="000000"/>
                        </w:rPr>
                        <w:t>U</w:t>
                      </w:r>
                      <w:r>
                        <w:rPr>
                          <w:i/>
                          <w:color w:val="000000"/>
                          <w:vertAlign w:val="subscript"/>
                        </w:rPr>
                        <w:t>fg2,x</w:t>
                      </w:r>
                      <w:r>
                        <w:rPr>
                          <w:color w:val="000000"/>
                        </w:rPr>
                        <w:t xml:space="preserve"> vertę, apskaičiuojamą pagal (2.40) formulę. </w:t>
                      </w:r>
                    </w:p>
                    <w:p>
                      <w:pPr>
                        <w:ind w:firstLine="567"/>
                        <w:jc w:val="both"/>
                        <w:rPr>
                          <w:color w:val="000000"/>
                          <w:spacing w:val="-4"/>
                        </w:rPr>
                      </w:pPr>
                    </w:p>
                    <w:p>
                      <w:pPr>
                        <w:ind w:firstLine="567"/>
                        <w:jc w:val="both"/>
                        <w:rPr>
                          <w:color w:val="000000"/>
                          <w:spacing w:val="-4"/>
                        </w:rPr>
                      </w:pPr>
                      <w:r>
                        <w:rPr>
                          <w:color w:val="000000"/>
                          <w:spacing w:val="-4"/>
                        </w:rPr>
                        <w:t xml:space="preserve">Kai pamato sienos požeminės dalies šilumos laidumo koeficientas mažesnis už grunto, gali būti laikoma, kad ši pamato dalis yra vertikalusis apšiltinimas (žr. 2.6. pav.) ir </w:t>
                      </w:r>
                      <w:r>
                        <w:rPr>
                          <w:i/>
                          <w:color w:val="000000"/>
                        </w:rPr>
                        <w:t>Ψ</w:t>
                      </w:r>
                      <w:r>
                        <w:rPr>
                          <w:i/>
                          <w:color w:val="000000"/>
                          <w:vertAlign w:val="subscript"/>
                        </w:rPr>
                        <w:t>g.e.2,x</w:t>
                      </w:r>
                      <w:r>
                        <w:rPr>
                          <w:color w:val="000000"/>
                        </w:rPr>
                        <w:t xml:space="preserve"> vertė</w:t>
                      </w:r>
                      <w:r>
                        <w:rPr>
                          <w:color w:val="000000"/>
                          <w:spacing w:val="-4"/>
                        </w:rPr>
                        <w:t xml:space="preserve"> skaičiuojama pagal </w:t>
                      </w:r>
                      <w:r>
                        <w:rPr>
                          <w:color w:val="000000"/>
                        </w:rPr>
                        <w:t>(2.47)</w:t>
                      </w:r>
                      <w:r>
                        <w:rPr>
                          <w:color w:val="000000"/>
                          <w:spacing w:val="-4"/>
                        </w:rPr>
                        <w:t xml:space="preserve"> formulę.</w:t>
                      </w:r>
                    </w:p>
                    <w:p>
                      <w:pPr>
                        <w:rPr>
                          <w:color w:val="000000"/>
                        </w:rPr>
                      </w:pPr>
                    </w:p>
                  </w:sdtContent>
                </w:sdt>
                <w:sdt>
                  <w:sdtPr>
                    <w:alias w:val="2 pr. 16.2 pp."/>
                    <w:tag w:val="part_887994dda9f54d10ad9f750112c5e169"/>
                    <w:lock w:val="sdtLocked"/>
                    <w:richText/>
                  </w:sdtPr>
                  <w:sdtContent>
                    <w:p>
                      <w:pPr>
                        <w:ind w:firstLine="567"/>
                        <w:jc w:val="both"/>
                        <w:rPr>
                          <w:color w:val="000000"/>
                        </w:rPr>
                      </w:pPr>
                      <w:sdt>
                        <w:sdtPr>
                          <w:alias w:val="Numeris"/>
                          <w:tag w:val="nr_887994dda9f54d10ad9f750112c5e169"/>
                          <w:lock w:val="sdtLocked"/>
                          <w:richText/>
                        </w:sdtPr>
                        <w:sdtContent>
                          <w:r>
                            <w:rPr>
                              <w:color w:val="000000"/>
                            </w:rPr>
                            <w:t>16.2</w:t>
                          </w:r>
                        </w:sdtContent>
                      </w:sdt>
                      <w:r>
                        <w:rPr>
                          <w:color w:val="000000"/>
                        </w:rPr>
                        <w:t xml:space="preserve">. Kiekvieno mėnesio </w:t>
                      </w:r>
                      <w:r>
                        <w:rPr>
                          <w:i/>
                          <w:color w:val="000000"/>
                        </w:rPr>
                        <w:t>„m“</w:t>
                      </w:r>
                      <w:r>
                        <w:rPr>
                          <w:color w:val="000000"/>
                        </w:rPr>
                        <w:t xml:space="preserve"> skaičiuojamasis  šilumos srautas per pakraščiuose apšiltintas grindis ant grunto </w:t>
                      </w:r>
                      <w:r>
                        <w:rPr>
                          <w:i/>
                          <w:color w:val="000000"/>
                        </w:rPr>
                        <w:t>Φ</w:t>
                      </w:r>
                      <w:r>
                        <w:rPr>
                          <w:i/>
                          <w:color w:val="000000"/>
                          <w:vertAlign w:val="subscript"/>
                        </w:rPr>
                        <w:t>C.fg2,m</w:t>
                      </w:r>
                      <w:r>
                        <w:rPr>
                          <w:color w:val="000000"/>
                        </w:rPr>
                        <w:t xml:space="preserve"> (W), pagal kurį skaičiuojami energijos poreikiai pastatui vėsinti, apskaičiuojamas pagal formulę [3.14]:</w:t>
                      </w:r>
                    </w:p>
                    <w:tbl>
                      <w:tblPr>
                        <w:tblW w:w="5000" w:type="pct"/>
                        <w:tblLook w:val="01E0" w:firstRow="1" w:lastRow="1" w:firstColumn="1" w:lastColumn="1" w:noHBand="0" w:noVBand="0"/>
                      </w:tblPr>
                      <w:tblGrid>
                        <w:gridCol w:w="8839"/>
                        <w:gridCol w:w="1157"/>
                      </w:tblGrid>
                      <w:tr>
                        <w:tc>
                          <w:tcPr>
                            <w:tcW w:w="8462"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5890" w:dyaOrig="1570">
                                <v:shape id="_x0000_i1079" type="#_x0000_t75" style="width:295.3pt;height:77.65pt" o:ole="">
                                  <v:imagedata r:id="rId382" o:title=""/>
                                </v:shape>
                                <o:OLEObject Type="Embed" ProgID="Equation.3" ShapeID="_x0000_i1079" DrawAspect="Content" ObjectID="_0000000001" r:id="rId383"/>
                              </w:object>
                            </w:r>
                          </w:p>
                        </w:tc>
                        <w:tc>
                          <w:tcPr>
                            <w:tcW w:w="1108"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(2.48)</w:t>
                            </w:r>
                          </w:p>
                        </w:tc>
                      </w:tr>
                    </w:tbl>
                    <w:p>
                      <w:pPr>
                        <w:rPr>
                          <w:rFonts w:eastAsia="Calibri"/>
                          <w:color w:val="000000"/>
                          <w:szCs w:val="22"/>
                        </w:rPr>
                      </w:pPr>
                    </w:p>
                  </w:sdtContent>
                </w:sdt>
              </w:sdtContent>
            </w:sdt>
            <w:sdt>
              <w:sdtPr>
                <w:alias w:val="2 pr. 17 p."/>
                <w:tag w:val="part_bacd817d0e4a48fea8fba5d2a73a8b79"/>
                <w:lock w:val="sdtLocked"/>
                <w:richText/>
              </w:sdtPr>
              <w:sdtContent>
                <w:p>
                  <w:pPr>
                    <w:ind w:firstLine="567"/>
                    <w:jc w:val="both"/>
                    <w:rPr>
                      <w:color w:val="000000"/>
                    </w:rPr>
                  </w:pPr>
                  <w:sdt>
                    <w:sdtPr>
                      <w:alias w:val="Numeris"/>
                      <w:tag w:val="nr_bacd817d0e4a48fea8fba5d2a73a8b79"/>
                      <w:lock w:val="sdtLocked"/>
                      <w:richText/>
                    </w:sdtPr>
                    <w:sdtContent>
                      <w:r>
                        <w:rPr>
                          <w:color w:val="000000"/>
                        </w:rPr>
                        <w:t>17</w:t>
                      </w:r>
                    </w:sdtContent>
                  </w:sdt>
                  <w:r>
                    <w:rPr>
                      <w:color w:val="000000"/>
                    </w:rPr>
                    <w:t>. Šilumos srautų skaičiavimas per šildomo rūsio atitvaras, kurios ribojasi su gruntu (2.7. pav.), turi būti atliktas dviem variantais: turi būti apskaičiuoti šilumos srautai per grindis, susiję su energijos poreikiais pastatui šildyti ir šilumos srautai, susiję su energijos poreikiais pastatui vėsinti.</w:t>
                  </w:r>
                </w:p>
                <w:p>
                  <w:pPr>
                    <w:ind w:firstLine="567"/>
                    <w:jc w:val="center"/>
                    <w:rPr>
                      <w:color w:val="000000"/>
                    </w:rPr>
                  </w:pPr>
                  <w:r>
                    <w:rPr>
                      <w:color w:val="000000"/>
                      <w:lang w:eastAsia="lt-LT"/>
                    </w:rPr>
                    <w:drawing>
                      <wp:inline distT="0" distB="0" distL="0" distR="0">
                        <wp:extent cx="3238500" cy="1854200"/>
                        <wp:effectExtent l="0" t="0" r="0" b="0"/>
                        <wp:docPr id="28"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pic:cNvPicPr>
                                  <a:picLocks noChangeAspect="1" noChangeArrowheads="1"/>
                                </pic:cNvPicPr>
                              </pic:nvPicPr>
                              <pic:blipFill>
                                <a:blip r:embed="rId384" cstate="print">
                                  <a:extLst>
                                    <a:ext uri="{28A0092B-C50C-407E-A947-70E740481C1C}">
                                      <a14:useLocalDpi xmlns:a14="http://schemas.microsoft.com/office/drawing/2010/main" val="0"/>
                                    </a:ext>
                                  </a:extLst>
                                </a:blip>
                                <a:srcRect/>
                                <a:stretch>
                                  <a:fillRect/>
                                </a:stretch>
                              </pic:blipFill>
                              <pic:spPr bwMode="auto">
                                <a:xfrm>
                                  <a:off x="0" y="0"/>
                                  <a:ext cx="3238500" cy="1854200"/>
                                </a:xfrm>
                                <a:prstGeom prst="rect">
                                  <a:avLst/>
                                </a:prstGeom>
                                <a:noFill/>
                                <a:ln>
                                  <a:noFill/>
                                </a:ln>
                              </pic:spPr>
                            </pic:pic>
                          </a:graphicData>
                        </a:graphic>
                      </wp:inline>
                    </w:drawing>
                  </w:r>
                </w:p>
                <w:p>
                  <w:pPr>
                    <w:ind w:firstLine="567"/>
                    <w:jc w:val="center"/>
                    <w:rPr>
                      <w:color w:val="000000"/>
                    </w:rPr>
                  </w:pPr>
                  <w:r>
                    <w:rPr>
                      <w:color w:val="000000"/>
                    </w:rPr>
                    <w:t>2.7. pav. Šildomo rūsio schema</w:t>
                  </w:r>
                </w:p>
                <w:p>
                  <w:pPr>
                    <w:ind w:firstLine="567"/>
                    <w:jc w:val="center"/>
                    <w:rPr>
                      <w:color w:val="000000"/>
                    </w:rPr>
                  </w:pPr>
                </w:p>
                <w:sdt>
                  <w:sdtPr>
                    <w:alias w:val="2 pr. 17.1 pp."/>
                    <w:tag w:val="part_cc98234a39ff4be0ad5e163eabe076e1"/>
                    <w:lock w:val="sdtLocked"/>
                    <w:richText/>
                  </w:sdtPr>
                  <w:sdtContent>
                    <w:p>
                      <w:pPr>
                        <w:ind w:firstLine="567"/>
                        <w:jc w:val="both"/>
                        <w:rPr>
                          <w:color w:val="000000"/>
                        </w:rPr>
                      </w:pPr>
                      <w:sdt>
                        <w:sdtPr>
                          <w:alias w:val="Numeris"/>
                          <w:tag w:val="nr_cc98234a39ff4be0ad5e163eabe076e1"/>
                          <w:lock w:val="sdtLocked"/>
                          <w:richText/>
                        </w:sdtPr>
                        <w:sdtContent>
                          <w:r>
                            <w:rPr>
                              <w:color w:val="000000"/>
                            </w:rPr>
                            <w:t>17.1</w:t>
                          </w:r>
                        </w:sdtContent>
                      </w:sdt>
                      <w:r>
                        <w:rPr>
                          <w:color w:val="000000"/>
                        </w:rPr>
                        <w:t xml:space="preserve">. kiekvieno mėnesio </w:t>
                      </w:r>
                      <w:r>
                        <w:rPr>
                          <w:i/>
                          <w:color w:val="000000"/>
                        </w:rPr>
                        <w:t xml:space="preserve">„m“ </w:t>
                      </w:r>
                      <w:r>
                        <w:rPr>
                          <w:color w:val="000000"/>
                        </w:rPr>
                        <w:t xml:space="preserve">norminis </w:t>
                      </w:r>
                      <w:r>
                        <w:rPr>
                          <w:i/>
                          <w:color w:val="000000"/>
                        </w:rPr>
                        <w:t>Φ</w:t>
                      </w:r>
                      <w:r>
                        <w:rPr>
                          <w:i/>
                          <w:color w:val="000000"/>
                          <w:vertAlign w:val="subscript"/>
                        </w:rPr>
                        <w:t>N.H.fg3,m</w:t>
                      </w:r>
                      <w:r>
                        <w:rPr>
                          <w:color w:val="000000"/>
                        </w:rPr>
                        <w:t xml:space="preserve"> (W), atskaitinis </w:t>
                      </w:r>
                      <w:r>
                        <w:rPr>
                          <w:i/>
                          <w:color w:val="000000"/>
                        </w:rPr>
                        <w:t>Φ</w:t>
                      </w:r>
                      <w:r>
                        <w:rPr>
                          <w:i/>
                          <w:color w:val="000000"/>
                          <w:vertAlign w:val="subscript"/>
                        </w:rPr>
                        <w:t>R.H.fg3,m</w:t>
                      </w:r>
                      <w:r>
                        <w:rPr>
                          <w:color w:val="000000"/>
                        </w:rPr>
                        <w:t xml:space="preserve"> (W) ir skaičiuojamasis </w:t>
                      </w:r>
                      <w:r>
                        <w:rPr>
                          <w:i/>
                          <w:color w:val="000000"/>
                        </w:rPr>
                        <w:t>Φ</w:t>
                      </w:r>
                      <w:r>
                        <w:rPr>
                          <w:i/>
                          <w:color w:val="000000"/>
                          <w:vertAlign w:val="subscript"/>
                        </w:rPr>
                        <w:t>H.fg3,m</w:t>
                      </w:r>
                      <w:r>
                        <w:rPr>
                          <w:color w:val="000000"/>
                        </w:rPr>
                        <w:t xml:space="preserve"> (W) šilumos srautas per su gruntu besiribojančias šildomų rūsių atitvaras, pagal kurį skaičiuojami energijos poreikiai pastatui šildyti, apskaičiuojamas pagal formules [3.14]:</w:t>
                      </w:r>
                    </w:p>
                    <w:tbl>
                      <w:tblPr>
                        <w:tblW w:w="0" w:type="auto"/>
                        <w:tblLook w:val="01E0" w:firstRow="1" w:lastRow="1" w:firstColumn="1" w:lastColumn="1" w:noHBand="0" w:noVBand="0"/>
                      </w:tblPr>
                      <w:tblGrid>
                        <w:gridCol w:w="8646"/>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8430" w:dyaOrig="760">
                                <v:shape id="_x0000_i1080" type="#_x0000_t75" style="width:421.5pt;height:38.85pt" o:ole="">
                                  <v:imagedata r:id="rId385" o:title=""/>
                                </v:shape>
                                <o:OLEObject Type="Embed" ProgID="Equation.3" ShapeID="_x0000_i1080" DrawAspect="Content" ObjectID="_0000000001" r:id="rId386"/>
                              </w:objec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(2.49)</w:t>
                            </w:r>
                          </w:p>
                        </w:tc>
                      </w:tr>
                    </w:tbl>
                    <w:p>
                      <w:pPr>
                        <w:jc w:val="right"/>
                        <w:rPr>
                          <w:rFonts w:eastAsia="Calibri"/>
                          <w:bCs/>
                          <w:strike/>
                          <w:color w:val="000000"/>
                          <w:szCs w:val="22"/>
                        </w:rPr>
                      </w:pP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8070" w:dyaOrig="680">
                                <v:shape id="_x0000_i1081" type="#_x0000_t75" style="width:403.7pt;height:34pt" o:ole="">
                                  <v:imagedata r:id="rId387" o:title=""/>
                                </v:shape>
                                <o:OLEObject Type="Embed" ProgID="Equation.3" ShapeID="_x0000_i1081" DrawAspect="Content" ObjectID="_0000000001" r:id="rId388"/>
                              </w:object>
                            </w:r>
                            <w:r>
                              <w:rPr>
                                <w:color w:val="000000"/>
                              </w:rPr>
                              <w:t xml:space="preserve">;        </w:t>
                            </w:r>
                          </w:p>
                        </w:tc>
                        <w:tc>
                          <w:tcPr>
                            <w:tcW w:w="1003" w:type="dxa"/>
                            <w:vAlign w:val="center"/>
                          </w:tcPr>
                          <w:p>
                            <w:pPr>
                              <w:rPr>
                                <w:color w:val="000000"/>
                                <w:sz w:val="10"/>
                                <w:szCs w:val="10"/>
                              </w:rPr>
                            </w:pPr>
                          </w:p>
                          <w:p>
                            <w:pPr>
                              <w:spacing w:line="360" w:lineRule="auto"/>
                              <w:ind w:left="850" w:hanging="788"/>
                              <w:jc w:val="right"/>
                              <w:rPr>
                                <w:rFonts w:eastAsia="Calibri"/>
                                <w:color w:val="000000"/>
                                <w:szCs w:val="22"/>
                              </w:rPr>
                            </w:pPr>
                            <w:r>
                              <w:rPr>
                                <w:color w:val="000000"/>
                              </w:rPr>
                              <w:t>(2.50)</w:t>
                            </w:r>
                          </w:p>
                        </w:tc>
                      </w:tr>
                    </w:tbl>
                    <w:p>
                      <w:pPr>
                        <w:ind w:firstLine="567"/>
                        <w:rPr>
                          <w:rFonts w:eastAsia="Calibri"/>
                          <w:color w:val="000000"/>
                          <w:szCs w:val="22"/>
                        </w:rPr>
                      </w:pPr>
                    </w:p>
                    <w:tbl>
                      <w:tblPr>
                        <w:tblW w:w="5000" w:type="pct"/>
                        <w:tblLook w:val="01E0" w:firstRow="1" w:lastRow="1" w:firstColumn="1" w:lastColumn="1" w:noHBand="0" w:noVBand="0"/>
                      </w:tblPr>
                      <w:tblGrid>
                        <w:gridCol w:w="9164"/>
                        <w:gridCol w:w="832"/>
                      </w:tblGrid>
                      <w:tr>
                        <w:tc>
                          <w:tcPr>
                            <w:tcW w:w="4584"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7820" w:dyaOrig="680">
                                <v:shape id="_x0000_i1082" type="#_x0000_t75" style="width:389.95pt;height:34pt" o:ole="">
                                  <v:imagedata r:id="rId389" o:title=""/>
                                </v:shape>
                                <o:OLEObject Type="Embed" ProgID="Equation.3" ShapeID="_x0000_i1082" DrawAspect="Content" ObjectID="_0000000001" r:id="rId390"/>
                              </w:object>
                            </w:r>
                            <w:r>
                              <w:rPr>
                                <w:bCs/>
                                <w:color w:val="000000"/>
                              </w:rPr>
                              <w:t>;</w:t>
                            </w:r>
                          </w:p>
                        </w:tc>
                        <w:tc>
                          <w:tcPr>
                            <w:tcW w:w="416"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(2.51)</w:t>
                            </w:r>
                          </w:p>
                        </w:tc>
                      </w:tr>
                    </w:tbl>
                    <w:p>
                      <w:pPr>
                        <w:tabs>
                          <w:tab w:val="left" w:pos="567"/>
                        </w:tabs>
                        <w:jc w:val="both"/>
                        <w:rPr>
                          <w:color w:val="000000"/>
                        </w:rPr>
                      </w:pPr>
                    </w:p>
                    <w:p>
                      <w:pPr>
                        <w:tabs>
                          <w:tab w:val="left" w:pos="567"/>
                        </w:tabs>
                        <w:jc w:val="both"/>
                        <w:rPr>
                          <w:color w:val="000000"/>
                        </w:rPr>
                      </w:pPr>
                    </w:p>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fg3.sum</w:t>
                      </w:r>
                      <w:r>
                        <w:rPr>
                          <w:color w:val="000000"/>
                        </w:rPr>
                        <w:t xml:space="preserve"> – šildomų rūsių atitvarų, kurios ribojasi su gruntu, suminis plotas (m</w:t>
                      </w:r>
                      <w:r>
                        <w:rPr>
                          <w:color w:val="000000"/>
                          <w:vertAlign w:val="superscript"/>
                        </w:rPr>
                        <w:t>2</w:t>
                      </w:r>
                      <w:r>
                        <w:rPr>
                          <w:color w:val="000000"/>
                        </w:rPr>
                        <w:t xml:space="preserve">). Nustatomas pagal Reglamento 7 priedo reikalavimus; </w:t>
                      </w:r>
                    </w:p>
                    <w:p>
                      <w:pPr>
                        <w:ind w:firstLine="567"/>
                        <w:jc w:val="both"/>
                        <w:rPr>
                          <w:color w:val="000000"/>
                        </w:rPr>
                      </w:pPr>
                      <w:r>
                        <w:rPr>
                          <w:bCs/>
                          <w:i/>
                          <w:color w:val="000000"/>
                        </w:rPr>
                        <w:t>A</w:t>
                      </w:r>
                      <w:r>
                        <w:rPr>
                          <w:bCs/>
                          <w:i/>
                          <w:color w:val="000000"/>
                          <w:vertAlign w:val="subscript"/>
                        </w:rPr>
                        <w:t>fg3,x</w:t>
                      </w:r>
                      <w:r>
                        <w:rPr>
                          <w:bCs/>
                          <w:i/>
                          <w:color w:val="000000"/>
                        </w:rPr>
                        <w:t xml:space="preserve"> </w:t>
                      </w:r>
                      <w:r>
                        <w:rPr>
                          <w:color w:val="000000"/>
                        </w:rPr>
                        <w:t xml:space="preserve">– atitinkamo „x“ rūsio su gruntu besiribojančių sienų ir grindų bendras plotas  (m</w:t>
                      </w:r>
                      <w:r>
                        <w:rPr>
                          <w:color w:val="000000"/>
                          <w:vertAlign w:val="superscript"/>
                        </w:rPr>
                        <w:t>2</w:t>
                      </w:r>
                      <w:r>
                        <w:rPr>
                          <w:color w:val="000000"/>
                        </w:rPr>
                        <w:t xml:space="preserve">): </w:t>
                      </w:r>
                      <w:r>
                        <w:rPr>
                          <w:i/>
                          <w:color w:val="000000"/>
                        </w:rPr>
                        <w:t>A</w:t>
                      </w:r>
                      <w:r>
                        <w:rPr>
                          <w:i/>
                          <w:color w:val="000000"/>
                          <w:vertAlign w:val="subscript"/>
                        </w:rPr>
                        <w:t>fg3,x</w:t>
                      </w:r>
                      <w:r>
                        <w:rPr>
                          <w:i/>
                          <w:color w:val="000000"/>
                        </w:rPr>
                        <w:t>=A</w:t>
                      </w:r>
                      <w:r>
                        <w:rPr>
                          <w:i/>
                          <w:color w:val="000000"/>
                          <w:vertAlign w:val="subscript"/>
                        </w:rPr>
                        <w:t>bf3,x</w:t>
                      </w:r>
                      <w:r>
                        <w:rPr>
                          <w:i/>
                          <w:color w:val="000000"/>
                        </w:rPr>
                        <w:t>+z</w:t>
                      </w:r>
                      <w:r>
                        <w:rPr>
                          <w:i/>
                          <w:color w:val="000000"/>
                          <w:vertAlign w:val="subscript"/>
                        </w:rPr>
                        <w:t>bf,x</w:t>
                      </w:r>
                      <w:r>
                        <w:rPr>
                          <w:i/>
                          <w:color w:val="000000"/>
                        </w:rPr>
                        <w:t>·P</w:t>
                      </w:r>
                      <w:r>
                        <w:rPr>
                          <w:i/>
                          <w:color w:val="000000"/>
                          <w:vertAlign w:val="subscript"/>
                        </w:rPr>
                        <w:t>3,x</w:t>
                      </w:r>
                      <w:r>
                        <w:rPr>
                          <w:color w:val="000000"/>
                        </w:rPr>
                        <w:t>. Nustatomas pagal Reglamento 7 priedo reikalavimus;</w:t>
                      </w:r>
                    </w:p>
                    <w:p>
                      <w:pPr>
                        <w:ind w:firstLine="567"/>
                        <w:jc w:val="both"/>
                        <w:rPr>
                          <w:color w:val="000000"/>
                        </w:rPr>
                      </w:pPr>
                      <w:r>
                        <w:rPr>
                          <w:bCs/>
                          <w:i/>
                          <w:color w:val="000000"/>
                        </w:rPr>
                        <w:t>A</w:t>
                      </w:r>
                      <w:r>
                        <w:rPr>
                          <w:bCs/>
                          <w:i/>
                          <w:color w:val="000000"/>
                          <w:vertAlign w:val="subscript"/>
                        </w:rPr>
                        <w:t>bf3,x</w:t>
                      </w:r>
                      <w:r>
                        <w:rPr>
                          <w:color w:val="000000"/>
                        </w:rPr>
                        <w:t xml:space="preserve"> – atitinkamų „</w:t>
                      </w:r>
                      <w:r>
                        <w:rPr>
                          <w:i/>
                          <w:color w:val="000000"/>
                        </w:rPr>
                        <w:t>x</w:t>
                      </w:r>
                      <w:r>
                        <w:rPr>
                          <w:color w:val="000000"/>
                        </w:rPr>
                        <w:t>“ šildomų rūsių atitvarų, kurios ribojasi su gruntu, grindų plotas (m</w:t>
                      </w:r>
                      <w:r>
                        <w:rPr>
                          <w:color w:val="000000"/>
                          <w:vertAlign w:val="superscript"/>
                        </w:rPr>
                        <w:t>2</w:t>
                      </w:r>
                      <w:r>
                        <w:rPr>
                          <w:color w:val="000000"/>
                        </w:rPr>
                        <w:t xml:space="preserve">). Nustatomas pagal Reglamento 7 priedo reikalavimus; </w:t>
                      </w:r>
                    </w:p>
                    <w:p>
                      <w:pPr>
                        <w:ind w:firstLine="567"/>
                        <w:jc w:val="both"/>
                        <w:rPr>
                          <w:color w:val="000000"/>
                        </w:rPr>
                      </w:pPr>
                      <w:r>
                        <w:rPr>
                          <w:i/>
                          <w:color w:val="000000"/>
                        </w:rPr>
                        <w:t>H</w:t>
                      </w:r>
                      <w:r>
                        <w:rPr>
                          <w:i/>
                          <w:color w:val="000000"/>
                          <w:vertAlign w:val="subscript"/>
                        </w:rPr>
                        <w:t>pe3,x</w:t>
                      </w:r>
                      <w:r>
                        <w:rPr>
                          <w:color w:val="000000"/>
                        </w:rPr>
                        <w:t xml:space="preserve"> – kiekvienų „</w:t>
                      </w:r>
                      <w:r>
                        <w:rPr>
                          <w:i/>
                          <w:color w:val="000000"/>
                        </w:rPr>
                        <w:t>x</w:t>
                      </w:r>
                      <w:r>
                        <w:rPr>
                          <w:color w:val="000000"/>
                        </w:rPr>
                        <w:t>“ šildomų rūsių atitvarų, kurios ribojasi su gruntu, išoriniai savitieji šilumos nuostoliai. Apskaičiuojami pagal (2.53) formulę;</w:t>
                      </w:r>
                    </w:p>
                    <w:p>
                      <w:pPr>
                        <w:ind w:firstLine="567"/>
                        <w:jc w:val="both"/>
                        <w:rPr>
                          <w:color w:val="000000"/>
                        </w:rPr>
                      </w:pPr>
                      <w:r>
                        <w:rPr>
                          <w:bCs/>
                          <w:i/>
                          <w:color w:val="000000"/>
                        </w:rPr>
                        <w:t>U</w:t>
                      </w:r>
                      <w:r>
                        <w:rPr>
                          <w:bCs/>
                          <w:i/>
                          <w:color w:val="000000"/>
                          <w:vertAlign w:val="subscript"/>
                        </w:rPr>
                        <w:t>(C,B).fg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67"/>
                        <w:jc w:val="both"/>
                        <w:rPr>
                          <w:color w:val="000000"/>
                          <w:spacing w:val="-6"/>
                        </w:rPr>
                      </w:pPr>
                      <w:r>
                        <w:rPr>
                          <w:bCs/>
                          <w:i/>
                          <w:color w:val="000000"/>
                        </w:rPr>
                        <w:t>U</w:t>
                      </w:r>
                      <w:r>
                        <w:rPr>
                          <w:bCs/>
                          <w:i/>
                          <w:color w:val="000000"/>
                          <w:vertAlign w:val="subscript"/>
                        </w:rPr>
                        <w:t>R.fg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67"/>
                        <w:jc w:val="both"/>
                        <w:rPr>
                          <w:bCs/>
                          <w:color w:val="000000"/>
                        </w:rPr>
                      </w:pPr>
                      <w:r>
                        <w:rPr>
                          <w:bCs/>
                          <w:i/>
                          <w:color w:val="000000"/>
                        </w:rPr>
                        <w:t>U</w:t>
                      </w:r>
                      <w:r>
                        <w:rPr>
                          <w:bCs/>
                          <w:i/>
                          <w:color w:val="000000"/>
                          <w:vertAlign w:val="subscript"/>
                        </w:rPr>
                        <w:t>fg3,x</w:t>
                      </w:r>
                      <w:r>
                        <w:rPr>
                          <w:bCs/>
                          <w:i/>
                          <w:color w:val="000000"/>
                        </w:rPr>
                        <w:t xml:space="preserve"> – </w:t>
                      </w:r>
                      <w:r>
                        <w:rPr>
                          <w:bCs/>
                          <w:color w:val="000000"/>
                        </w:rPr>
                        <w:t xml:space="preserve">atitinkamo „x“ rūsio vidutinis su gruntu besiribojančių sienų ir grindų šilumos perdavimo koeficientas </w:t>
                      </w:r>
                      <w:r>
                        <w:rPr>
                          <w:color w:val="000000"/>
                        </w:rPr>
                        <w:t>(W/</w:t>
                      </w:r>
                      <w:r>
                        <w:rPr>
                          <w:color w:val="000000"/>
                          <w:spacing w:val="-6"/>
                        </w:rPr>
                        <w:t>(m</w:t>
                      </w:r>
                      <w:r>
                        <w:rPr>
                          <w:color w:val="000000"/>
                          <w:spacing w:val="-6"/>
                          <w:vertAlign w:val="superscript"/>
                        </w:rPr>
                        <w:t>2</w:t>
                      </w:r>
                      <w:r>
                        <w:rPr>
                          <w:color w:val="000000"/>
                          <w:spacing w:val="-6"/>
                        </w:rPr>
                        <w:t xml:space="preserve">·K)): </w:t>
                        <w:object w:dxaOrig="3720" w:dyaOrig="680">
                          <v:shape id="_x0000_i1083" type="#_x0000_t75" style="width:186.05pt;height:34pt" o:ole="">
                            <v:imagedata r:id="rId391" o:title=""/>
                          </v:shape>
                          <o:OLEObject Type="Embed" ProgID="Equation.3" ShapeID="_x0000_i1083" DrawAspect="Content" ObjectID="_0000000001" r:id="rId392"/>
                        </w:object>
                      </w:r>
                      <w:r>
                        <w:rPr>
                          <w:bCs/>
                          <w:i/>
                          <w:color w:val="000000"/>
                        </w:rPr>
                        <w:t xml:space="preserve"> </w:t>
                      </w:r>
                      <w:r>
                        <w:rPr>
                          <w:color w:val="000000"/>
                        </w:rPr>
                        <w:t>;</w:t>
                      </w:r>
                    </w:p>
                    <w:p>
                      <w:pPr>
                        <w:ind w:firstLine="567"/>
                        <w:jc w:val="both"/>
                        <w:rPr>
                          <w:color w:val="000000"/>
                          <w:spacing w:val="-6"/>
                        </w:rPr>
                      </w:pPr>
                      <w:r>
                        <w:rPr>
                          <w:bCs/>
                          <w:i/>
                          <w:color w:val="000000"/>
                        </w:rPr>
                        <w:t>U</w:t>
                      </w:r>
                      <w:r>
                        <w:rPr>
                          <w:bCs/>
                          <w:i/>
                          <w:color w:val="000000"/>
                          <w:vertAlign w:val="subscript"/>
                        </w:rPr>
                        <w:t>bf3,x</w:t>
                      </w:r>
                      <w:r>
                        <w:rPr>
                          <w:color w:val="000000"/>
                        </w:rPr>
                        <w:t xml:space="preserve"> – atitinkamų „</w:t>
                      </w:r>
                      <w:r>
                        <w:rPr>
                          <w:i/>
                          <w:color w:val="000000"/>
                        </w:rPr>
                        <w:t>x</w:t>
                      </w:r>
                      <w:r>
                        <w:rPr>
                          <w:color w:val="000000"/>
                        </w:rPr>
                        <w:t>“ šildomų rūsių grindų skaičiuojamasis šilumos perdavimo koeficientas (W/</w:t>
                      </w:r>
                      <w:r>
                        <w:rPr>
                          <w:color w:val="000000"/>
                          <w:spacing w:val="-6"/>
                        </w:rPr>
                        <w:t>(m</w:t>
                      </w:r>
                      <w:r>
                        <w:rPr>
                          <w:color w:val="000000"/>
                          <w:spacing w:val="-6"/>
                          <w:vertAlign w:val="superscript"/>
                        </w:rPr>
                        <w:t>2</w:t>
                      </w:r>
                      <w:r>
                        <w:rPr>
                          <w:color w:val="000000"/>
                          <w:spacing w:val="-6"/>
                        </w:rPr>
                        <w:t>·K)). Apskaičiuojamas pagal (2.54) arba (2.55) formulę atsižvelgiant į grindų apšiltinimą,;</w:t>
                      </w:r>
                    </w:p>
                    <w:p>
                      <w:pPr>
                        <w:ind w:firstLine="567"/>
                        <w:jc w:val="both"/>
                        <w:rPr>
                          <w:color w:val="000000"/>
                          <w:spacing w:val="-6"/>
                        </w:rPr>
                      </w:pPr>
                      <w:r>
                        <w:rPr>
                          <w:bCs/>
                          <w:i/>
                          <w:color w:val="000000"/>
                        </w:rPr>
                        <w:t>U</w:t>
                      </w:r>
                      <w:r>
                        <w:rPr>
                          <w:bCs/>
                          <w:i/>
                          <w:color w:val="000000"/>
                          <w:vertAlign w:val="subscript"/>
                        </w:rPr>
                        <w:t>bw3,x</w:t>
                      </w:r>
                      <w:r>
                        <w:rPr>
                          <w:color w:val="000000"/>
                        </w:rPr>
                        <w:t xml:space="preserve"> – atitinkamų „</w:t>
                      </w:r>
                      <w:r>
                        <w:rPr>
                          <w:i/>
                          <w:color w:val="000000"/>
                        </w:rPr>
                        <w:t>x</w:t>
                      </w:r>
                      <w:r>
                        <w:rPr>
                          <w:color w:val="000000"/>
                        </w:rPr>
                        <w:t>“ šildomų rūsių sienų skaičiuojamasis šilumos perdavimo koeficientas (W/</w:t>
                      </w:r>
                      <w:r>
                        <w:rPr>
                          <w:color w:val="000000"/>
                          <w:spacing w:val="-6"/>
                        </w:rPr>
                        <w:t>(m</w:t>
                      </w:r>
                      <w:r>
                        <w:rPr>
                          <w:color w:val="000000"/>
                          <w:spacing w:val="-6"/>
                          <w:vertAlign w:val="superscript"/>
                        </w:rPr>
                        <w:t>2</w:t>
                      </w:r>
                      <w:r>
                        <w:rPr>
                          <w:color w:val="000000"/>
                          <w:spacing w:val="-6"/>
                        </w:rPr>
                        <w:t>·K)). Apskaičiuojamas pagal (2.57) formulę;</w:t>
                      </w:r>
                    </w:p>
                    <w:p>
                      <w:pPr>
                        <w:ind w:firstLine="567"/>
                        <w:jc w:val="both"/>
                        <w:rPr>
                          <w:color w:val="000000"/>
                          <w:spacing w:val="-6"/>
                        </w:rPr>
                      </w:pPr>
                      <w:r>
                        <w:rPr>
                          <w:i/>
                          <w:color w:val="000000"/>
                        </w:rPr>
                        <w:t>z</w:t>
                      </w:r>
                      <w:r>
                        <w:rPr>
                          <w:i/>
                          <w:color w:val="000000"/>
                          <w:vertAlign w:val="subscript"/>
                        </w:rPr>
                        <w:t>bf,x</w:t>
                      </w:r>
                      <w:r>
                        <w:rPr>
                          <w:i/>
                          <w:color w:val="000000"/>
                        </w:rPr>
                        <w:t xml:space="preserve"> </w:t>
                      </w:r>
                      <w:r>
                        <w:rPr>
                          <w:color w:val="000000"/>
                        </w:rPr>
                        <w:t>– atitinkamų „</w:t>
                      </w:r>
                      <w:r>
                        <w:rPr>
                          <w:i/>
                          <w:color w:val="000000"/>
                        </w:rPr>
                        <w:t>x</w:t>
                      </w:r>
                      <w:r>
                        <w:rPr>
                          <w:color w:val="000000"/>
                        </w:rPr>
                        <w:t>“ rūsio grindų gylis nuo grunto paviršiaus (m). Nustatomas pagal Reglamento 7 priedo reikalavimus;</w:t>
                      </w:r>
                    </w:p>
                    <w:p>
                      <w:pPr>
                        <w:ind w:firstLine="567"/>
                        <w:jc w:val="both"/>
                        <w:rPr>
                          <w:bCs/>
                          <w:color w:val="000000"/>
                        </w:rPr>
                      </w:pPr>
                      <w:r>
                        <w:rPr>
                          <w:bCs/>
                          <w:i/>
                          <w:color w:val="000000"/>
                        </w:rPr>
                        <w:t>β</w:t>
                      </w:r>
                      <w:r>
                        <w:rPr>
                          <w:bCs/>
                          <w:i/>
                          <w:color w:val="000000"/>
                          <w:vertAlign w:val="subscript"/>
                        </w:rPr>
                        <w:t>3,x</w:t>
                      </w:r>
                      <w:r>
                        <w:rPr>
                          <w:bCs/>
                          <w:i/>
                          <w:color w:val="000000"/>
                        </w:rPr>
                        <w:t xml:space="preserve"> </w:t>
                      </w:r>
                      <w:r>
                        <w:rPr>
                          <w:bCs/>
                          <w:color w:val="000000"/>
                        </w:rPr>
                        <w:t xml:space="preserve">– rodiklis, įvertinantis šilumos srauto per atitinkamas </w:t>
                      </w:r>
                      <w:r>
                        <w:rPr>
                          <w:bCs/>
                          <w:i/>
                          <w:color w:val="000000"/>
                        </w:rPr>
                        <w:t>‚x“</w:t>
                      </w:r>
                      <w:r>
                        <w:rPr>
                          <w:bCs/>
                          <w:color w:val="000000"/>
                        </w:rPr>
                        <w:t xml:space="preserve"> grindis ant grunto,</w:t>
                      </w:r>
                      <w:r>
                        <w:rPr>
                          <w:color w:val="000000"/>
                        </w:rPr>
                        <w:t xml:space="preserve"> kai grindys apšiltintos pakraščiuose,  </w:t>
                      </w:r>
                      <w:r>
                        <w:rPr>
                          <w:bCs/>
                          <w:color w:val="000000"/>
                        </w:rPr>
                        <w:t>pokyčio vėlavimą lyginant su išorės oro temperatūros pokyčiu (mėnesiai);</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2550" w:dyaOrig="620">
                                <v:shape id="_x0000_i1084" type="#_x0000_t75" style="width:127.8pt;height:31.55pt" o:ole="">
                                  <v:imagedata r:id="rId393" o:title=""/>
                                </v:shape>
                                <o:OLEObject Type="Embed" ProgID="Equation.3" ShapeID="_x0000_i1084" DrawAspect="Content" ObjectID="_0000000001" r:id="rId394"/>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(2.52)</w:t>
                            </w:r>
                          </w:p>
                        </w:tc>
                      </w:tr>
                    </w:tbl>
                    <w:p>
                      <w:pPr>
                        <w:tabs>
                          <w:tab w:val="left" w:pos="567"/>
                        </w:tabs>
                        <w:rPr>
                          <w:bCs/>
                          <w:color w:val="000000"/>
                        </w:rPr>
                      </w:pPr>
                    </w:p>
                    <w:p>
                      <w:pPr>
                        <w:tabs>
                          <w:tab w:val="left" w:pos="567"/>
                        </w:tabs>
                        <w:rPr>
                          <w:rFonts w:eastAsia="Calibri"/>
                          <w:bCs/>
                          <w:color w:val="000000"/>
                          <w:szCs w:val="22"/>
                        </w:rPr>
                      </w:pPr>
                      <w:r>
                        <w:rPr>
                          <w:bCs/>
                          <w:color w:val="000000"/>
                        </w:rPr>
                        <w:t>čia:</w:t>
                        <w:tab/>
                        <w:t>d</w:t>
                      </w:r>
                      <w:r>
                        <w:rPr>
                          <w:bCs/>
                          <w:color w:val="000000"/>
                          <w:vertAlign w:val="subscript"/>
                        </w:rPr>
                        <w:t xml:space="preserve">t3,x </w:t>
                      </w:r>
                      <w:r>
                        <w:rPr>
                          <w:bCs/>
                          <w:color w:val="000000"/>
                        </w:rPr>
                        <w:t xml:space="preserve">– apskaičiuojamas pagal </w:t>
                      </w:r>
                      <w:r>
                        <w:rPr>
                          <w:color w:val="000000"/>
                        </w:rPr>
                        <w:t>(2.56) formulę.</w:t>
                      </w:r>
                    </w:p>
                    <w:p>
                      <w:pPr>
                        <w:ind w:firstLine="567"/>
                        <w:jc w:val="both"/>
                        <w:rPr>
                          <w:color w:val="000000"/>
                        </w:rPr>
                      </w:pPr>
                      <w:r>
                        <w:rPr>
                          <w:color w:val="000000"/>
                        </w:rPr>
                        <w:t>Atitinkamų „</w:t>
                      </w:r>
                      <w:r>
                        <w:rPr>
                          <w:i/>
                          <w:color w:val="000000"/>
                        </w:rPr>
                        <w:t>x</w:t>
                      </w:r>
                      <w:r>
                        <w:rPr>
                          <w:color w:val="000000"/>
                        </w:rPr>
                        <w:t>“ šildomų rūsių atitvarų, kurios ribojasi su gruntu, išoriniai savitieji šilumos nuostoliai</w:t>
                      </w:r>
                      <w:r>
                        <w:rPr>
                          <w:i/>
                          <w:color w:val="000000"/>
                        </w:rPr>
                        <w:t xml:space="preserve"> H</w:t>
                      </w:r>
                      <w:r>
                        <w:rPr>
                          <w:i/>
                          <w:color w:val="000000"/>
                          <w:vertAlign w:val="subscript"/>
                        </w:rPr>
                        <w:t xml:space="preserve">pe3,x </w:t>
                      </w:r>
                      <w:r>
                        <w:rPr>
                          <w:color w:val="000000"/>
                        </w:rPr>
                        <w:t xml:space="preserve"> (W/K), apskaičiuojami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7030" w:dyaOrig="900">
                                <v:shape id="_x0000_i1085" type="#_x0000_t75" style="width:351.9pt;height:45.3pt" o:ole="">
                                  <v:imagedata r:id="rId395" o:title=""/>
                                </v:shape>
                                <o:OLEObject Type="Embed" ProgID="Equation.3" ShapeID="_x0000_i1085" DrawAspect="Content" ObjectID="_0000000001" r:id="rId396"/>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(2.53)</w:t>
                            </w:r>
                          </w:p>
                        </w:tc>
                      </w:tr>
                    </w:tbl>
                    <w:p>
                      <w:pPr>
                        <w:ind w:firstLine="567"/>
                        <w:jc w:val="both"/>
                        <w:rPr>
                          <w:rFonts w:eastAsia="Calibri"/>
                          <w:color w:val="000000"/>
                          <w:szCs w:val="22"/>
                        </w:rPr>
                      </w:pPr>
                      <w:r>
                        <w:rPr>
                          <w:color w:val="000000"/>
                        </w:rPr>
                        <w:t>Atitinkamų „</w:t>
                      </w:r>
                      <w:r>
                        <w:rPr>
                          <w:i/>
                          <w:color w:val="000000"/>
                        </w:rPr>
                        <w:t>x</w:t>
                      </w:r>
                      <w:r>
                        <w:rPr>
                          <w:color w:val="000000"/>
                        </w:rPr>
                        <w:t xml:space="preserve">“ šildomo rūsio grindų šilumos perdavimo koeficientas </w:t>
                      </w:r>
                      <w:r>
                        <w:rPr>
                          <w:i/>
                          <w:color w:val="000000"/>
                        </w:rPr>
                        <w:t>U</w:t>
                      </w:r>
                      <w:r>
                        <w:rPr>
                          <w:i/>
                          <w:color w:val="000000"/>
                          <w:vertAlign w:val="subscript"/>
                        </w:rPr>
                        <w:t>bf3,x</w:t>
                      </w:r>
                      <w:r>
                        <w:rPr>
                          <w:color w:val="000000"/>
                        </w:rPr>
                        <w:t xml:space="preserve">  apskaičiuojamas pagal formules:</w:t>
                      </w:r>
                    </w:p>
                    <w:p>
                      <w:pPr>
                        <w:ind w:firstLine="567"/>
                        <w:rPr>
                          <w:color w:val="000000"/>
                        </w:rPr>
                      </w:pPr>
                      <w:r>
                        <w:rPr>
                          <w:color w:val="000000"/>
                        </w:rPr>
                        <w:t>a) neapšiltintų arba mažai apšiltintų rūsio grindų (</w:t>
                      </w:r>
                      <w:r>
                        <w:rPr>
                          <w:i/>
                          <w:color w:val="000000"/>
                        </w:rPr>
                        <w:t>d</w:t>
                      </w:r>
                      <w:r>
                        <w:rPr>
                          <w:i/>
                          <w:color w:val="000000"/>
                          <w:vertAlign w:val="subscript"/>
                        </w:rPr>
                        <w:t>t3,x</w:t>
                      </w:r>
                      <w:r>
                        <w:rPr>
                          <w:i/>
                          <w:color w:val="000000"/>
                        </w:rPr>
                        <w:t xml:space="preserve"> + 0,5·z</w:t>
                      </w:r>
                      <w:r>
                        <w:rPr>
                          <w:i/>
                          <w:color w:val="000000"/>
                          <w:vertAlign w:val="subscript"/>
                        </w:rPr>
                        <w:t>bf,x</w:t>
                      </w:r>
                      <w:r>
                        <w:rPr>
                          <w:i/>
                          <w:color w:val="000000"/>
                        </w:rPr>
                        <w:t xml:space="preserve"> &lt; B′</w:t>
                      </w:r>
                      <w:r>
                        <w:rPr>
                          <w:i/>
                          <w:color w:val="000000"/>
                          <w:vertAlign w:val="subscript"/>
                        </w:rPr>
                        <w:t>3,x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color w:val="000000"/>
                              </w:rPr>
                            </w:pPr>
                            <w:r>
                              <w:object w:dxaOrig="5330" w:dyaOrig="840">
                                <v:shape id="_x0000_i1086" type="#_x0000_t75" style="width:266.15pt;height:42.05pt" o:ole="">
                                  <v:imagedata r:id="rId397" o:title=""/>
                                </v:shape>
                                <o:OLEObject Type="Embed" ProgID="Equation.3" ShapeID="_x0000_i1086" DrawAspect="Content" ObjectID="_0000000001" r:id="rId398"/>
                              </w:objec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(2.54)</w:t>
                            </w:r>
                          </w:p>
                        </w:tc>
                      </w:tr>
                    </w:tbl>
                    <w:p/>
                    <w:p>
                      <w:pPr>
                        <w:ind w:firstLine="567"/>
                        <w:rPr>
                          <w:rFonts w:eastAsia="Calibri"/>
                          <w:color w:val="000000"/>
                          <w:szCs w:val="22"/>
                        </w:rPr>
                      </w:pPr>
                      <w:r>
                        <w:rPr>
                          <w:color w:val="000000"/>
                        </w:rPr>
                        <w:t>b) gerai apšiltintų rūsio grindų (</w:t>
                      </w:r>
                      <w:r>
                        <w:rPr>
                          <w:i/>
                          <w:color w:val="000000"/>
                        </w:rPr>
                        <w:t>d</w:t>
                      </w:r>
                      <w:r>
                        <w:rPr>
                          <w:i/>
                          <w:color w:val="000000"/>
                          <w:vertAlign w:val="subscript"/>
                        </w:rPr>
                        <w:t>t3,x</w:t>
                      </w:r>
                      <w:r>
                        <w:rPr>
                          <w:i/>
                          <w:color w:val="000000"/>
                        </w:rPr>
                        <w:t xml:space="preserve"> + 0,5·z</w:t>
                      </w:r>
                      <w:r>
                        <w:rPr>
                          <w:i/>
                          <w:color w:val="000000"/>
                          <w:vertAlign w:val="subscript"/>
                        </w:rPr>
                        <w:t>bf,x</w:t>
                      </w:r>
                      <w:r>
                        <w:rPr>
                          <w:i/>
                          <w:color w:val="000000"/>
                        </w:rPr>
                        <w:t xml:space="preserve"> ≥ B</w:t>
                      </w:r>
                      <w:r>
                        <w:rPr>
                          <w:color w:val="000000"/>
                        </w:rPr>
                        <w:t>′</w:t>
                      </w:r>
                      <w:r>
                        <w:rPr>
                          <w:i/>
                          <w:color w:val="000000"/>
                          <w:vertAlign w:val="subscript"/>
                        </w:rPr>
                        <w:t>3,x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3500" w:dyaOrig="730">
                                <v:shape id="_x0000_i1087" type="#_x0000_t75" style="width:174.75pt;height:37.2pt" o:ole="">
                                  <v:imagedata r:id="rId399" o:title=""/>
                                </v:shape>
                                <o:OLEObject Type="Embed" ProgID="Equation.3" ShapeID="_x0000_i1087" DrawAspect="Content" ObjectID="_0000000001" r:id="rId400"/>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(2.55)</w:t>
                            </w:r>
                          </w:p>
                        </w:tc>
                      </w:tr>
                    </w:tbl>
                    <w:p>
                      <w:pPr>
                        <w:ind w:firstLine="567"/>
                        <w:rPr>
                          <w:rFonts w:eastAsia="Calibri"/>
                          <w:color w:val="000000"/>
                          <w:szCs w:val="22"/>
                        </w:rPr>
                      </w:pPr>
                      <w:r>
                        <w:rPr>
                          <w:color w:val="000000"/>
                        </w:rPr>
                        <w:t>Atitinkamų „</w:t>
                      </w:r>
                      <w:r>
                        <w:rPr>
                          <w:i/>
                          <w:color w:val="000000"/>
                        </w:rPr>
                        <w:t>x</w:t>
                      </w:r>
                      <w:r>
                        <w:rPr>
                          <w:color w:val="000000"/>
                        </w:rPr>
                        <w:t xml:space="preserve">“ rūsio grindų atstojamasis storis </w:t>
                      </w:r>
                      <w:r>
                        <w:rPr>
                          <w:i/>
                          <w:color w:val="000000"/>
                        </w:rPr>
                        <w:t>d</w:t>
                      </w:r>
                      <w:r>
                        <w:rPr>
                          <w:i/>
                          <w:color w:val="000000"/>
                          <w:vertAlign w:val="subscript"/>
                        </w:rPr>
                        <w:t>t3,x</w:t>
                      </w:r>
                      <w:r>
                        <w:rPr>
                          <w:color w:val="000000"/>
                        </w:rPr>
                        <w:t xml:space="preserve"> apskaičiuojamas:</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3040" w:dyaOrig="380">
                                <v:shape id="_x0000_i1088" type="#_x0000_t75" style="width:152.1pt;height:17.8pt" o:ole="">
                                  <v:imagedata r:id="rId401" o:title=""/>
                                </v:shape>
                                <o:OLEObject Type="Embed" ProgID="Equation.3" ShapeID="_x0000_i1088" DrawAspect="Content" ObjectID="_0000000001" r:id="rId402"/>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(2.56)</w:t>
                            </w:r>
                          </w:p>
                        </w:tc>
                      </w:tr>
                    </w:tbl>
                    <w:p>
                      <w:pPr>
                        <w:tabs>
                          <w:tab w:val="left" w:pos="567"/>
                        </w:tabs>
                        <w:jc w:val="both"/>
                        <w:rPr>
                          <w:color w:val="000000"/>
                        </w:rPr>
                      </w:pPr>
                    </w:p>
                    <w:p>
                      <w:pPr>
                        <w:tabs>
                          <w:tab w:val="left" w:pos="567"/>
                        </w:tabs>
                        <w:jc w:val="both"/>
                        <w:rPr>
                          <w:rFonts w:eastAsia="Calibri"/>
                          <w:color w:val="000000"/>
                          <w:szCs w:val="22"/>
                        </w:rPr>
                      </w:pPr>
                      <w:r>
                        <w:rPr>
                          <w:color w:val="000000"/>
                        </w:rPr>
                        <w:t>čia:</w:t>
                        <w:tab/>
                      </w:r>
                      <w:r>
                        <w:rPr>
                          <w:i/>
                          <w:color w:val="000000"/>
                        </w:rPr>
                        <w:t>R</w:t>
                      </w:r>
                      <w:r>
                        <w:rPr>
                          <w:i/>
                          <w:color w:val="000000"/>
                          <w:vertAlign w:val="subscript"/>
                        </w:rPr>
                        <w:t>bf,x</w:t>
                      </w:r>
                      <w:r>
                        <w:rPr>
                          <w:i/>
                          <w:color w:val="000000"/>
                        </w:rPr>
                        <w:t xml:space="preserve"> </w:t>
                      </w:r>
                      <w:r>
                        <w:rPr>
                          <w:color w:val="000000"/>
                        </w:rPr>
                        <w:t>– atitinkamų „</w:t>
                      </w:r>
                      <w:r>
                        <w:rPr>
                          <w:i/>
                          <w:color w:val="000000"/>
                        </w:rPr>
                        <w:t>x</w:t>
                      </w:r>
                      <w:r>
                        <w:rPr>
                          <w:color w:val="000000"/>
                        </w:rPr>
                        <w:t>“ rūsio grindų (su termoizoliaciniu sluoksniu) suminė varža (m</w:t>
                      </w:r>
                      <w:r>
                        <w:rPr>
                          <w:color w:val="000000"/>
                          <w:vertAlign w:val="superscript"/>
                        </w:rPr>
                        <w:t>2</w:t>
                      </w:r>
                      <w:r>
                        <w:rPr>
                          <w:color w:val="000000"/>
                        </w:rPr>
                        <w:t xml:space="preserve">·K/W). Apskaičiuojant </w:t>
                      </w:r>
                      <w:r>
                        <w:rPr>
                          <w:i/>
                          <w:color w:val="000000"/>
                        </w:rPr>
                        <w:t>R</w:t>
                      </w:r>
                      <w:r>
                        <w:rPr>
                          <w:i/>
                          <w:color w:val="000000"/>
                          <w:vertAlign w:val="subscript"/>
                        </w:rPr>
                        <w:t>bf,x</w:t>
                      </w:r>
                      <w:r>
                        <w:rPr>
                          <w:i/>
                          <w:color w:val="000000"/>
                        </w:rPr>
                        <w:t>, g</w:t>
                      </w:r>
                      <w:r>
                        <w:rPr>
                          <w:color w:val="000000"/>
                        </w:rPr>
                        <w:t>alima nevertinti grindų betoninės plokštės ir plonos grindų dangos. Išlyginamojo grunto pasluoksnio λ imamas toks kaip ir grunto, todėl jo šiluminė varža taip pat nevertinama.</w:t>
                      </w:r>
                    </w:p>
                    <w:p>
                      <w:pPr>
                        <w:ind w:firstLine="567"/>
                        <w:jc w:val="both"/>
                        <w:rPr>
                          <w:color w:val="000000"/>
                        </w:rPr>
                      </w:pPr>
                      <w:r>
                        <w:rPr>
                          <w:color w:val="000000"/>
                        </w:rPr>
                        <w:t>Atitinkamų „</w:t>
                      </w:r>
                      <w:r>
                        <w:rPr>
                          <w:i/>
                          <w:color w:val="000000"/>
                        </w:rPr>
                        <w:t>x</w:t>
                      </w:r>
                      <w:r>
                        <w:rPr>
                          <w:color w:val="000000"/>
                        </w:rPr>
                        <w:t xml:space="preserve">“ šildomo rūsio sienų šilumos perdavimo koeficientas </w:t>
                      </w:r>
                      <w:r>
                        <w:rPr>
                          <w:i/>
                          <w:color w:val="000000"/>
                        </w:rPr>
                        <w:t>U</w:t>
                      </w:r>
                      <w:r>
                        <w:rPr>
                          <w:i/>
                          <w:color w:val="000000"/>
                          <w:vertAlign w:val="subscript"/>
                        </w:rPr>
                        <w:t>bw3,x</w:t>
                      </w:r>
                      <w:r>
                        <w:rPr>
                          <w:color w:val="000000"/>
                        </w:rPr>
                        <w:t xml:space="preserve"> apskaičiuojamas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4"/>
                                <w:szCs w:val="22"/>
                              </w:rPr>
                              <w:object w:dxaOrig="4370" w:dyaOrig="840">
                                <v:shape id="_x0000_i1089" type="#_x0000_t75" style="width:218.45pt;height:42.05pt" o:ole="">
                                  <v:imagedata r:id="rId403" o:title=""/>
                                </v:shape>
                                <o:OLEObject Type="Embed" ProgID="Equation.3" ShapeID="_x0000_i1089" DrawAspect="Content" ObjectID="_0000000001" r:id="rId404"/>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(2.57)</w:t>
                            </w:r>
                          </w:p>
                        </w:tc>
                      </w:tr>
                    </w:tbl>
                    <w:p>
                      <w:pPr>
                        <w:ind w:firstLine="567"/>
                        <w:jc w:val="right"/>
                        <w:rPr>
                          <w:rFonts w:eastAsia="Calibri"/>
                          <w:color w:val="000000"/>
                          <w:szCs w:val="22"/>
                        </w:rPr>
                      </w:pPr>
                    </w:p>
                    <w:p>
                      <w:pPr>
                        <w:ind w:firstLine="567"/>
                        <w:jc w:val="both"/>
                        <w:rPr>
                          <w:color w:val="000000"/>
                        </w:rPr>
                      </w:pPr>
                      <w:r>
                        <w:rPr>
                          <w:color w:val="000000"/>
                        </w:rPr>
                        <w:t xml:space="preserve">(2.57) </w:t>
                      </w:r>
                      <w:r>
                        <w:rPr>
                          <w:bCs/>
                          <w:color w:val="000000"/>
                        </w:rPr>
                        <w:t>formulė naudojama</w:t>
                      </w:r>
                      <w:r>
                        <w:rPr>
                          <w:color w:val="000000"/>
                        </w:rPr>
                        <w:t xml:space="preserve">, kai </w:t>
                      </w:r>
                      <w:r>
                        <w:rPr>
                          <w:i/>
                          <w:color w:val="000000"/>
                        </w:rPr>
                        <w:t>d</w:t>
                      </w:r>
                      <w:r>
                        <w:rPr>
                          <w:i/>
                          <w:color w:val="000000"/>
                          <w:vertAlign w:val="subscript"/>
                        </w:rPr>
                        <w:t>w,x</w:t>
                      </w:r>
                      <w:r>
                        <w:rPr>
                          <w:i/>
                          <w:color w:val="000000"/>
                        </w:rPr>
                        <w:t xml:space="preserve"> </w:t>
                      </w:r>
                      <w:r>
                        <w:rPr>
                          <w:i/>
                          <w:iCs/>
                          <w:color w:val="000000"/>
                        </w:rPr>
                        <w:t>≥</w:t>
                      </w:r>
                      <w:r>
                        <w:rPr>
                          <w:i/>
                          <w:color w:val="000000"/>
                        </w:rPr>
                        <w:t xml:space="preserve"> d</w:t>
                      </w:r>
                      <w:r>
                        <w:rPr>
                          <w:i/>
                          <w:color w:val="000000"/>
                          <w:vertAlign w:val="subscript"/>
                        </w:rPr>
                        <w:t>t3,x</w:t>
                      </w:r>
                      <w:r>
                        <w:rPr>
                          <w:color w:val="000000"/>
                        </w:rPr>
                        <w:t xml:space="preserve">. Jei </w:t>
                      </w:r>
                      <w:r>
                        <w:rPr>
                          <w:i/>
                          <w:color w:val="000000"/>
                        </w:rPr>
                        <w:t>d</w:t>
                      </w:r>
                      <w:r>
                        <w:rPr>
                          <w:i/>
                          <w:color w:val="000000"/>
                          <w:vertAlign w:val="subscript"/>
                        </w:rPr>
                        <w:t>w,x</w:t>
                      </w:r>
                      <w:r>
                        <w:rPr>
                          <w:i/>
                          <w:color w:val="000000"/>
                        </w:rPr>
                        <w:t xml:space="preserve"> &lt; d</w:t>
                      </w:r>
                      <w:r>
                        <w:rPr>
                          <w:i/>
                          <w:color w:val="000000"/>
                          <w:vertAlign w:val="subscript"/>
                        </w:rPr>
                        <w:t>t3,x</w:t>
                      </w:r>
                      <w:r>
                        <w:rPr>
                          <w:color w:val="000000"/>
                        </w:rPr>
                        <w:t xml:space="preserve">, tai vietoje </w:t>
                      </w:r>
                      <w:r>
                        <w:rPr>
                          <w:i/>
                          <w:color w:val="000000"/>
                        </w:rPr>
                        <w:t>d</w:t>
                      </w:r>
                      <w:r>
                        <w:rPr>
                          <w:i/>
                          <w:color w:val="000000"/>
                          <w:vertAlign w:val="subscript"/>
                        </w:rPr>
                        <w:t>t3,x</w:t>
                      </w:r>
                      <w:r>
                        <w:rPr>
                          <w:color w:val="000000"/>
                        </w:rPr>
                        <w:t xml:space="preserve"> imama </w:t>
                      </w:r>
                      <w:r>
                        <w:rPr>
                          <w:i/>
                          <w:color w:val="000000"/>
                        </w:rPr>
                        <w:t>d</w:t>
                      </w:r>
                      <w:r>
                        <w:rPr>
                          <w:i/>
                          <w:color w:val="000000"/>
                          <w:vertAlign w:val="subscript"/>
                        </w:rPr>
                        <w:t>w,x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2670" w:dyaOrig="380">
                                <v:shape id="_x0000_i1090" type="#_x0000_t75" style="width:133.5pt;height:17.8pt" o:ole="">
                                  <v:imagedata r:id="rId405" o:title=""/>
                                </v:shape>
                                <o:OLEObject Type="Embed" ProgID="Equation.3" ShapeID="_x0000_i1090" DrawAspect="Content" ObjectID="_0000000001" r:id="rId406"/>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(2.58)</w:t>
                            </w:r>
                          </w:p>
                        </w:tc>
                      </w:tr>
                    </w:tbl>
                    <w:p>
                      <w:pPr>
                        <w:tabs>
                          <w:tab w:val="left" w:pos="567"/>
                        </w:tabs>
                        <w:jc w:val="both"/>
                        <w:rPr>
                          <w:color w:val="000000"/>
                        </w:rPr>
                      </w:pPr>
                    </w:p>
                    <w:p>
                      <w:pPr>
                        <w:tabs>
                          <w:tab w:val="left" w:pos="567"/>
                        </w:tabs>
                        <w:jc w:val="both"/>
                        <w:rPr>
                          <w:color w:val="000000"/>
                        </w:rPr>
                      </w:pPr>
                    </w:p>
                    <w:p>
                      <w:pPr>
                        <w:tabs>
                          <w:tab w:val="left" w:pos="567"/>
                        </w:tabs>
                        <w:jc w:val="both"/>
                        <w:rPr>
                          <w:rFonts w:eastAsia="Calibri"/>
                          <w:color w:val="000000"/>
                          <w:szCs w:val="22"/>
                        </w:rPr>
                      </w:pPr>
                      <w:r>
                        <w:rPr>
                          <w:color w:val="000000"/>
                        </w:rPr>
                        <w:t>čia:</w:t>
                        <w:tab/>
                      </w:r>
                      <w:r>
                        <w:rPr>
                          <w:i/>
                          <w:color w:val="000000"/>
                        </w:rPr>
                        <w:t>d</w:t>
                      </w:r>
                      <w:r>
                        <w:rPr>
                          <w:i/>
                          <w:color w:val="000000"/>
                          <w:vertAlign w:val="subscript"/>
                        </w:rPr>
                        <w:t>w,x</w:t>
                      </w:r>
                      <w:r>
                        <w:rPr>
                          <w:color w:val="000000"/>
                        </w:rPr>
                        <w:t xml:space="preserve"> – atstojamasis rūsio požeminės dalies sienos storis (m);</w:t>
                      </w:r>
                    </w:p>
                    <w:p>
                      <w:pPr>
                        <w:ind w:firstLine="567"/>
                        <w:jc w:val="both"/>
                        <w:rPr>
                          <w:color w:val="000000"/>
                        </w:rPr>
                      </w:pPr>
                      <w:r>
                        <w:rPr>
                          <w:i/>
                          <w:color w:val="000000"/>
                        </w:rPr>
                        <w:t>R</w:t>
                      </w:r>
                      <w:r>
                        <w:rPr>
                          <w:i/>
                          <w:color w:val="000000"/>
                          <w:vertAlign w:val="subscript"/>
                        </w:rPr>
                        <w:t>bw,x</w:t>
                      </w:r>
                      <w:r>
                        <w:rPr>
                          <w:i/>
                          <w:color w:val="000000"/>
                        </w:rPr>
                        <w:t xml:space="preserve"> </w:t>
                      </w:r>
                      <w:r>
                        <w:rPr>
                          <w:color w:val="000000"/>
                        </w:rPr>
                        <w:t>– atitinkamų „</w:t>
                      </w:r>
                      <w:r>
                        <w:rPr>
                          <w:i/>
                          <w:color w:val="000000"/>
                        </w:rPr>
                        <w:t>x</w:t>
                      </w:r>
                      <w:r>
                        <w:rPr>
                          <w:color w:val="000000"/>
                        </w:rPr>
                        <w:t>“ rūsio sienos požeminės dalies suminė šiluminė varža (m</w:t>
                      </w:r>
                      <w:r>
                        <w:rPr>
                          <w:color w:val="000000"/>
                          <w:vertAlign w:val="superscript"/>
                        </w:rPr>
                        <w:t>2</w:t>
                      </w:r>
                      <w:r>
                        <w:rPr>
                          <w:color w:val="000000"/>
                        </w:rPr>
                        <w:t>·K/W) (žr. 2.7. pav.).</w:t>
                      </w:r>
                    </w:p>
                    <w:p>
                      <w:pPr>
                        <w:ind w:firstLine="567"/>
                        <w:jc w:val="both"/>
                        <w:rPr>
                          <w:color w:val="000000"/>
                        </w:rPr>
                      </w:pPr>
                      <w:r>
                        <w:rPr>
                          <w:color w:val="000000"/>
                        </w:rPr>
                        <w:t>Jei šildomas rūsys yra tik po dalimi pastato, o kitoje dalyje – grindys ant grunto, galima skaičiuoti apytiksliai, laikant, kad po visu pastatu yra rūsys, tačiau jo įgilinimas imamas lygus pusei rūsio įgilinimo.</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407"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17.2 pp."/>
                    <w:tag w:val="part_63f92763ae474cf287a0c735fee062ad"/>
                    <w:lock w:val="sdtLocked"/>
                    <w:richText/>
                  </w:sdtPr>
                  <w:sdtContent>
                    <w:p>
                      <w:pPr>
                        <w:ind w:firstLine="567"/>
                        <w:jc w:val="both"/>
                        <w:rPr>
                          <w:color w:val="000000"/>
                        </w:rPr>
                      </w:pPr>
                      <w:sdt>
                        <w:sdtPr>
                          <w:alias w:val="Numeris"/>
                          <w:tag w:val="nr_63f92763ae474cf287a0c735fee062ad"/>
                          <w:lock w:val="sdtLocked"/>
                          <w:richText/>
                        </w:sdtPr>
                        <w:sdtContent>
                          <w:r>
                            <w:rPr>
                              <w:color w:val="000000"/>
                            </w:rPr>
                            <w:t>17.2</w:t>
                          </w:r>
                        </w:sdtContent>
                      </w:sdt>
                      <w:r>
                        <w:rPr>
                          <w:color w:val="000000"/>
                        </w:rPr>
                        <w:t xml:space="preserve">. Kiekvieno mėnesio </w:t>
                      </w:r>
                      <w:r>
                        <w:rPr>
                          <w:i/>
                          <w:color w:val="000000"/>
                        </w:rPr>
                        <w:t xml:space="preserve">„m“ </w:t>
                      </w:r>
                      <w:r>
                        <w:rPr>
                          <w:color w:val="000000"/>
                        </w:rPr>
                        <w:t xml:space="preserve">skaičiuojamasis šilumos srautas per su gruntu besiribojančias šildomų rūsių atitvaras </w:t>
                      </w:r>
                      <w:r>
                        <w:rPr>
                          <w:i/>
                          <w:color w:val="000000"/>
                        </w:rPr>
                        <w:t>Φ</w:t>
                      </w:r>
                      <w:r>
                        <w:rPr>
                          <w:i/>
                          <w:color w:val="000000"/>
                          <w:vertAlign w:val="subscript"/>
                        </w:rPr>
                        <w:t>C.fg3,m</w:t>
                      </w:r>
                      <w:r>
                        <w:rPr>
                          <w:color w:val="000000"/>
                        </w:rPr>
                        <w:t xml:space="preserve"> (W), pagal kurį skaičiuojami energijos poreikiai pastatui vėsinti, apskaičiuojamas pagal formulę [3.14]:</w:t>
                      </w:r>
                    </w:p>
                    <w:tbl>
                      <w:tblPr>
                        <w:tblW w:w="5000" w:type="pct"/>
                        <w:tblLook w:val="01E0" w:firstRow="1" w:lastRow="1" w:firstColumn="1" w:lastColumn="1" w:noHBand="0" w:noVBand="0"/>
                      </w:tblPr>
                      <w:tblGrid>
                        <w:gridCol w:w="8858"/>
                        <w:gridCol w:w="1138"/>
                      </w:tblGrid>
                      <w:tr>
                        <w:tc>
                          <w:tcPr>
                            <w:tcW w:w="4431"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6190" w:dyaOrig="1570">
                                <v:shape id="_x0000_i1091" type="#_x0000_t75" style="width:310.65pt;height:77.65pt" o:ole="">
                                  <v:imagedata r:id="rId408" o:title=""/>
                                </v:shape>
                                <o:OLEObject Type="Embed" ProgID="Equation.3" ShapeID="_x0000_i1091" DrawAspect="Content" ObjectID="_0000000001" r:id="rId409"/>
                              </w:object>
                            </w:r>
                          </w:p>
                        </w:tc>
                        <w:tc>
                          <w:tcPr>
                            <w:tcW w:w="569"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(2.59)</w:t>
                            </w:r>
                          </w:p>
                        </w:tc>
                      </w:tr>
                    </w:tbl>
                    <w:p>
                      <w:pPr>
                        <w:rPr>
                          <w:rFonts w:eastAsia="Calibri"/>
                          <w:color w:val="000000"/>
                          <w:szCs w:val="22"/>
                        </w:rPr>
                      </w:pPr>
                    </w:p>
                  </w:sdtContent>
                </w:sdt>
              </w:sdtContent>
            </w:sdt>
            <w:sdt>
              <w:sdtPr>
                <w:alias w:val="2 pr. 18 p."/>
                <w:tag w:val="part_d714d32e3f314a45b4713212f12564bb"/>
                <w:lock w:val="sdtLocked"/>
                <w:richText/>
              </w:sdtPr>
              <w:sdtContent>
                <w:p>
                  <w:pPr>
                    <w:ind w:firstLine="567"/>
                    <w:jc w:val="both"/>
                    <w:rPr>
                      <w:color w:val="000000"/>
                    </w:rPr>
                  </w:pPr>
                  <w:sdt>
                    <w:sdtPr>
                      <w:alias w:val="Numeris"/>
                      <w:tag w:val="nr_d714d32e3f314a45b4713212f12564bb"/>
                      <w:lock w:val="sdtLocked"/>
                      <w:richText/>
                    </w:sdtPr>
                    <w:sdtContent>
                      <w:r>
                        <w:rPr>
                          <w:color w:val="000000"/>
                        </w:rPr>
                        <w:t>18</w:t>
                      </w:r>
                    </w:sdtContent>
                  </w:sdt>
                  <w:r>
                    <w:rPr>
                      <w:color w:val="000000"/>
                    </w:rPr>
                    <w:t>. Šilumos srautų skaičiavimas per grindis virš vėdinamų pogrindžių (2.8. pav.), turi būti atliktas dviem variantais: turi būti apskaičiuoti šilumos srautai per grindis, susiję su energijos poreikiais pastatui šildyti ir šilumos srautai, susiję su energijos poreikiais pastatui vėsinti.</w:t>
                  </w:r>
                </w:p>
                <w:p>
                  <w:pPr>
                    <w:ind w:firstLine="567"/>
                    <w:jc w:val="both"/>
                    <w:rPr>
                      <w:color w:val="000000"/>
                    </w:rPr>
                  </w:pPr>
                  <w:r>
                    <w:rPr>
                      <w:color w:val="000000"/>
                    </w:rPr>
                    <w:t xml:space="preserve">Atitvaros grindų virš vėdinamų pogrindžių tipui priskiriamos, kai pogrindžio grindų gylis </w:t>
                  </w:r>
                  <w:r>
                    <w:rPr>
                      <w:i/>
                      <w:color w:val="000000"/>
                    </w:rPr>
                    <w:t>z</w:t>
                  </w:r>
                  <w:r>
                    <w:rPr>
                      <w:i/>
                      <w:color w:val="000000"/>
                      <w:vertAlign w:val="subscript"/>
                    </w:rPr>
                    <w:t>bf</w:t>
                  </w:r>
                  <w:r>
                    <w:rPr>
                      <w:color w:val="000000"/>
                    </w:rPr>
                    <w:t xml:space="preserve"> (žr. 2.8. pav.) ne didesnis už </w:t>
                  </w:r>
                  <w:smartTag w:uri="urn:schemas-microsoft-com:office:smarttags" w:element="metricconverter">
                    <w:smartTagPr>
                      <w:attr w:name="ProductID" w:val="0,5 m"/>
                    </w:smartTagPr>
                    <w:r>
                      <w:rPr>
                        <w:color w:val="000000"/>
                      </w:rPr>
                      <w:t>0,5 m</w:t>
                    </w:r>
                  </w:smartTag>
                  <w:r>
                    <w:rPr>
                      <w:color w:val="000000"/>
                    </w:rPr>
                    <w:t xml:space="preserve">. Kai šis gylis didesnis, atitvaros priskiriamos grindų virš vėdinamų rūsių tipui ir jų skaičiavimas turi būti atliktas pagal 19 punkto reikalavimus. Grindų gylis </w:t>
                  </w:r>
                  <w:r>
                    <w:rPr>
                      <w:i/>
                      <w:color w:val="000000"/>
                    </w:rPr>
                    <w:t>z</w:t>
                  </w:r>
                  <w:r>
                    <w:rPr>
                      <w:i/>
                      <w:color w:val="000000"/>
                      <w:vertAlign w:val="subscript"/>
                    </w:rPr>
                    <w:t>bf</w:t>
                  </w:r>
                  <w:r>
                    <w:rPr>
                      <w:color w:val="000000"/>
                    </w:rPr>
                    <w:t xml:space="preserve"> turi būti nustatytas pagal Reglamento 7 priedo reikalavimus.</w:t>
                  </w:r>
                </w:p>
                <w:p>
                  <w:pPr>
                    <w:jc w:val="center"/>
                    <w:rPr>
                      <w:i/>
                      <w:color w:val="000000"/>
                    </w:rPr>
                  </w:pPr>
                  <w:r>
                    <w:rPr>
                      <w:i/>
                      <w:color w:val="000000"/>
                      <w:lang w:eastAsia="lt-LT"/>
                    </w:rPr>
                    <w:drawing>
                      <wp:inline distT="0" distB="0" distL="0" distR="0">
                        <wp:extent cx="3562350" cy="2165350"/>
                        <wp:effectExtent l="0" t="0" r="0" b="6350"/>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3562350" cy="2165350"/>
                                </a:xfrm>
                                <a:prstGeom prst="rect">
                                  <a:avLst/>
                                </a:prstGeom>
                                <a:noFill/>
                                <a:ln>
                                  <a:noFill/>
                                </a:ln>
                              </pic:spPr>
                            </pic:pic>
                          </a:graphicData>
                        </a:graphic>
                      </wp:inline>
                    </w:drawing>
                  </w:r>
                </w:p>
                <w:p>
                  <w:pPr>
                    <w:jc w:val="center"/>
                    <w:rPr>
                      <w:color w:val="000000"/>
                    </w:rPr>
                  </w:pPr>
                  <w:r>
                    <w:rPr>
                      <w:color w:val="000000"/>
                    </w:rPr>
                    <w:t>2.8. pav. Grindų virš vėdinamo pogrindžio schema</w:t>
                  </w:r>
                </w:p>
                <w:p>
                  <w:pPr>
                    <w:ind w:firstLine="567"/>
                    <w:rPr>
                      <w:b/>
                      <w:color w:val="000000"/>
                    </w:rPr>
                  </w:pPr>
                </w:p>
                <w:sdt>
                  <w:sdtPr>
                    <w:alias w:val="2 pr. 18.1 pp."/>
                    <w:tag w:val="part_37978ba9d40f409f84ea8ee0afc64f3c"/>
                    <w:lock w:val="sdtLocked"/>
                    <w:richText/>
                  </w:sdtPr>
                  <w:sdtContent>
                    <w:p>
                      <w:pPr>
                        <w:ind w:firstLine="567"/>
                        <w:jc w:val="both"/>
                        <w:rPr>
                          <w:color w:val="000000"/>
                        </w:rPr>
                      </w:pPr>
                      <w:sdt>
                        <w:sdtPr>
                          <w:alias w:val="Numeris"/>
                          <w:tag w:val="nr_37978ba9d40f409f84ea8ee0afc64f3c"/>
                          <w:lock w:val="sdtLocked"/>
                          <w:richText/>
                        </w:sdtPr>
                        <w:sdtContent>
                          <w:r>
                            <w:rPr>
                              <w:color w:val="000000"/>
                            </w:rPr>
                            <w:t>18.1</w:t>
                          </w:r>
                        </w:sdtContent>
                      </w:sdt>
                      <w:r>
                        <w:rPr>
                          <w:color w:val="000000"/>
                        </w:rPr>
                        <w:t xml:space="preserve">. Kiekvieno mėnesio </w:t>
                      </w:r>
                      <w:r>
                        <w:rPr>
                          <w:i/>
                          <w:color w:val="000000"/>
                        </w:rPr>
                        <w:t xml:space="preserve">„m“ </w:t>
                      </w:r>
                      <w:r>
                        <w:rPr>
                          <w:color w:val="000000"/>
                        </w:rPr>
                        <w:t xml:space="preserve">norminis </w:t>
                      </w:r>
                      <w:r>
                        <w:rPr>
                          <w:i/>
                          <w:color w:val="000000"/>
                        </w:rPr>
                        <w:t>Φ</w:t>
                      </w:r>
                      <w:r>
                        <w:rPr>
                          <w:i/>
                          <w:color w:val="000000"/>
                          <w:vertAlign w:val="subscript"/>
                        </w:rPr>
                        <w:t>N.H.fg4,m</w:t>
                      </w:r>
                      <w:r>
                        <w:rPr>
                          <w:color w:val="000000"/>
                        </w:rPr>
                        <w:t xml:space="preserve"> (W), atskaitinis </w:t>
                      </w:r>
                      <w:r>
                        <w:rPr>
                          <w:i/>
                          <w:color w:val="000000"/>
                        </w:rPr>
                        <w:t>Φ</w:t>
                      </w:r>
                      <w:r>
                        <w:rPr>
                          <w:i/>
                          <w:color w:val="000000"/>
                          <w:vertAlign w:val="subscript"/>
                        </w:rPr>
                        <w:t>R.H.fg4,m</w:t>
                      </w:r>
                      <w:r>
                        <w:rPr>
                          <w:color w:val="000000"/>
                        </w:rPr>
                        <w:t xml:space="preserve"> (W) ir skaičiuojamasis </w:t>
                      </w:r>
                      <w:r>
                        <w:rPr>
                          <w:i/>
                          <w:color w:val="000000"/>
                        </w:rPr>
                        <w:t>Φ</w:t>
                      </w:r>
                      <w:r>
                        <w:rPr>
                          <w:i/>
                          <w:color w:val="000000"/>
                          <w:vertAlign w:val="subscript"/>
                        </w:rPr>
                        <w:t>H.fg4,m</w:t>
                      </w:r>
                      <w:r>
                        <w:rPr>
                          <w:color w:val="000000"/>
                        </w:rPr>
                        <w:t xml:space="preserve"> (W) šilumos srautas per grindis, pagal kurį skaičiuojami energijos poreikiai pastatui šildyti, apskaičiuojamas pagal formules [3.14]:</w:t>
                      </w:r>
                    </w:p>
                    <w:tbl>
                      <w:tblPr>
                        <w:tblW w:w="9570" w:type="dxa"/>
                        <w:tblLook w:val="01E0" w:firstRow="1" w:lastRow="1" w:firstColumn="1" w:lastColumn="1" w:noHBand="0" w:noVBand="0"/>
                      </w:tblPr>
                      <w:tblGrid>
                        <w:gridCol w:w="8696"/>
                        <w:gridCol w:w="874"/>
                      </w:tblGrid>
                      <w:tr>
                        <w:tc>
                          <w:tcPr>
                            <w:tcW w:w="8543"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8480" w:dyaOrig="760">
                                <v:shape id="_x0000_i1092" type="#_x0000_t75" style="width:423.9pt;height:38.85pt" o:ole="">
                                  <v:imagedata r:id="rId411" o:title=""/>
                                </v:shape>
                                <o:OLEObject Type="Embed" ProgID="Equation.3" ShapeID="_x0000_i1092" DrawAspect="Content" ObjectID="_0000000001" r:id="rId412"/>
                              </w:object>
                            </w:r>
                          </w:p>
                        </w:tc>
                        <w:tc>
                          <w:tcPr>
                            <w:tcW w:w="1027"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(2.60)</w:t>
                            </w:r>
                          </w:p>
                        </w:tc>
                      </w:tr>
                    </w:tbl>
                    <w:p>
                      <w:pPr>
                        <w:rPr>
                          <w:rFonts w:eastAsia="Calibri"/>
                          <w:color w:val="000000"/>
                          <w:szCs w:val="22"/>
                        </w:rPr>
                      </w:pPr>
                    </w:p>
                    <w:tbl>
                      <w:tblPr>
                        <w:tblW w:w="9570" w:type="dxa"/>
                        <w:tblLook w:val="01E0" w:firstRow="1" w:lastRow="1" w:firstColumn="1" w:lastColumn="1" w:noHBand="0" w:noVBand="0"/>
                      </w:tblPr>
                      <w:tblGrid>
                        <w:gridCol w:w="8543"/>
                        <w:gridCol w:w="1027"/>
                      </w:tblGrid>
                      <w:tr>
                        <w:tc>
                          <w:tcPr>
                            <w:tcW w:w="8543"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8120" w:dyaOrig="680">
                                <v:shape id="_x0000_i1093" type="#_x0000_t75" style="width:405.3pt;height:34pt" o:ole="">
                                  <v:imagedata r:id="rId413" o:title=""/>
                                </v:shape>
                                <o:OLEObject Type="Embed" ProgID="Equation.3" ShapeID="_x0000_i1093" DrawAspect="Content" ObjectID="_0000000001" r:id="rId414"/>
                              </w:object>
                            </w:r>
                            <w:r>
                              <w:rPr>
                                <w:bCs/>
                                <w:color w:val="000000"/>
                              </w:rPr>
                              <w:t>;</w:t>
                            </w:r>
                          </w:p>
                        </w:tc>
                        <w:tc>
                          <w:tcPr>
                            <w:tcW w:w="1027"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(2.61)</w:t>
                            </w:r>
                          </w:p>
                        </w:tc>
                      </w:tr>
                    </w:tbl>
                    <w:p>
                      <w:pPr>
                        <w:rPr>
                          <w:rFonts w:eastAsia="Calibri"/>
                          <w:color w:val="000000"/>
                          <w:szCs w:val="22"/>
                        </w:rPr>
                      </w:pPr>
                    </w:p>
                    <w:tbl>
                      <w:tblPr>
                        <w:tblW w:w="9570" w:type="dxa"/>
                        <w:tblLook w:val="01E0" w:firstRow="1" w:lastRow="1" w:firstColumn="1" w:lastColumn="1" w:noHBand="0" w:noVBand="0"/>
                      </w:tblPr>
                      <w:tblGrid>
                        <w:gridCol w:w="8543"/>
                        <w:gridCol w:w="1027"/>
                      </w:tblGrid>
                      <w:tr>
                        <w:tc>
                          <w:tcPr>
                            <w:tcW w:w="8543"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7830" w:dyaOrig="680">
                                <v:shape id="_x0000_i1094" type="#_x0000_t75" style="width:391.55pt;height:34pt" o:ole="">
                                  <v:imagedata r:id="rId415" o:title=""/>
                                </v:shape>
                                <o:OLEObject Type="Embed" ProgID="Equation.3" ShapeID="_x0000_i1094" DrawAspect="Content" ObjectID="_0000000001" r:id="rId416"/>
                              </w:object>
                            </w:r>
                            <w:r>
                              <w:rPr>
                                <w:bCs/>
                                <w:color w:val="000000"/>
                              </w:rPr>
                              <w:t>;</w:t>
                            </w:r>
                          </w:p>
                        </w:tc>
                        <w:tc>
                          <w:tcPr>
                            <w:tcW w:w="1027"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(2.62)</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fg4.sum</w:t>
                      </w:r>
                      <w:r>
                        <w:rPr>
                          <w:color w:val="000000"/>
                        </w:rPr>
                        <w:t xml:space="preserve"> – grindų virš vėdinamų pogrindžių suminis plotas (m</w:t>
                      </w:r>
                      <w:r>
                        <w:rPr>
                          <w:color w:val="000000"/>
                          <w:vertAlign w:val="superscript"/>
                        </w:rPr>
                        <w:t>2</w:t>
                      </w:r>
                      <w:r>
                        <w:rPr>
                          <w:color w:val="000000"/>
                        </w:rPr>
                        <w:t xml:space="preserve">). Nustatomas pagal Reglamento 7 priedo reikalavimus; </w:t>
                      </w:r>
                    </w:p>
                    <w:p>
                      <w:pPr>
                        <w:ind w:firstLine="567"/>
                        <w:jc w:val="both"/>
                        <w:rPr>
                          <w:color w:val="000000"/>
                        </w:rPr>
                      </w:pPr>
                      <w:r>
                        <w:rPr>
                          <w:bCs/>
                          <w:i/>
                          <w:color w:val="000000"/>
                        </w:rPr>
                        <w:t>A</w:t>
                      </w:r>
                      <w:r>
                        <w:rPr>
                          <w:bCs/>
                          <w:i/>
                          <w:color w:val="000000"/>
                          <w:vertAlign w:val="subscript"/>
                        </w:rPr>
                        <w:t>fg4,x</w:t>
                      </w:r>
                      <w:r>
                        <w:rPr>
                          <w:color w:val="000000"/>
                        </w:rPr>
                        <w:t xml:space="preserve"> – atitinkamų „</w:t>
                      </w:r>
                      <w:r>
                        <w:rPr>
                          <w:i/>
                          <w:color w:val="000000"/>
                        </w:rPr>
                        <w:t>x</w:t>
                      </w:r>
                      <w:r>
                        <w:rPr>
                          <w:color w:val="000000"/>
                        </w:rPr>
                        <w:t>“ grindų virš vėdinamų pogrindžių plotas (m</w:t>
                      </w:r>
                      <w:r>
                        <w:rPr>
                          <w:color w:val="000000"/>
                          <w:vertAlign w:val="superscript"/>
                        </w:rPr>
                        <w:t>2</w:t>
                      </w:r>
                      <w:r>
                        <w:rPr>
                          <w:color w:val="000000"/>
                        </w:rPr>
                        <w:t xml:space="preserve">). Nustatomas pagal Reglamento 7 priedo reikalavimus; </w:t>
                      </w:r>
                    </w:p>
                    <w:p>
                      <w:pPr>
                        <w:ind w:firstLine="567"/>
                        <w:jc w:val="both"/>
                        <w:rPr>
                          <w:color w:val="000000"/>
                        </w:rPr>
                      </w:pPr>
                      <w:r>
                        <w:rPr>
                          <w:i/>
                          <w:color w:val="000000"/>
                        </w:rPr>
                        <w:t>H</w:t>
                      </w:r>
                      <w:r>
                        <w:rPr>
                          <w:i/>
                          <w:color w:val="000000"/>
                          <w:vertAlign w:val="subscript"/>
                        </w:rPr>
                        <w:t>pe4,x</w:t>
                      </w:r>
                      <w:r>
                        <w:rPr>
                          <w:color w:val="000000"/>
                        </w:rPr>
                        <w:t xml:space="preserve"> – kiekvienų „</w:t>
                      </w:r>
                      <w:r>
                        <w:rPr>
                          <w:i/>
                          <w:color w:val="000000"/>
                        </w:rPr>
                        <w:t>x</w:t>
                      </w:r>
                      <w:r>
                        <w:rPr>
                          <w:color w:val="000000"/>
                        </w:rPr>
                        <w:t>“ grindų išoriniai savitieji šilumos nuostoliai. Apskaičiuojami pagal (2.65) formulę;</w:t>
                      </w:r>
                    </w:p>
                    <w:p>
                      <w:pPr>
                        <w:ind w:firstLine="567"/>
                        <w:jc w:val="both"/>
                        <w:rPr>
                          <w:color w:val="000000"/>
                        </w:rPr>
                      </w:pPr>
                      <w:r>
                        <w:rPr>
                          <w:bCs/>
                          <w:i/>
                          <w:color w:val="000000"/>
                        </w:rPr>
                        <w:t>U</w:t>
                      </w:r>
                      <w:r>
                        <w:rPr>
                          <w:bCs/>
                          <w:i/>
                          <w:color w:val="000000"/>
                          <w:vertAlign w:val="subscript"/>
                        </w:rPr>
                        <w:t>(C,B).fg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67"/>
                        <w:jc w:val="both"/>
                        <w:rPr>
                          <w:color w:val="000000"/>
                          <w:spacing w:val="-6"/>
                        </w:rPr>
                      </w:pPr>
                      <w:r>
                        <w:rPr>
                          <w:bCs/>
                          <w:i/>
                          <w:color w:val="000000"/>
                        </w:rPr>
                        <w:t>U</w:t>
                      </w:r>
                      <w:r>
                        <w:rPr>
                          <w:bCs/>
                          <w:i/>
                          <w:color w:val="000000"/>
                          <w:vertAlign w:val="subscript"/>
                        </w:rPr>
                        <w:t>R.fg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67"/>
                        <w:jc w:val="both"/>
                        <w:rPr>
                          <w:color w:val="000000"/>
                          <w:spacing w:val="-6"/>
                        </w:rPr>
                      </w:pPr>
                      <w:r>
                        <w:rPr>
                          <w:bCs/>
                          <w:i/>
                          <w:color w:val="000000"/>
                        </w:rPr>
                        <w:t>U</w:t>
                      </w:r>
                      <w:r>
                        <w:rPr>
                          <w:bCs/>
                          <w:i/>
                          <w:color w:val="000000"/>
                          <w:vertAlign w:val="subscript"/>
                        </w:rPr>
                        <w:t>fg4,x</w:t>
                      </w:r>
                      <w:r>
                        <w:rPr>
                          <w:color w:val="000000"/>
                        </w:rPr>
                        <w:t xml:space="preserve"> – atitinkamų „</w:t>
                      </w:r>
                      <w:r>
                        <w:rPr>
                          <w:i/>
                          <w:color w:val="000000"/>
                        </w:rPr>
                        <w:t>x</w:t>
                      </w:r>
                      <w:r>
                        <w:rPr>
                          <w:color w:val="000000"/>
                        </w:rPr>
                        <w:t>“ grindų virš vėdinamų pogrindžių, skaičiuojamasis šilumos perdavimo koeficientas (W/</w:t>
                      </w:r>
                      <w:r>
                        <w:rPr>
                          <w:color w:val="000000"/>
                          <w:spacing w:val="-6"/>
                        </w:rPr>
                        <w:t>(m</w:t>
                      </w:r>
                      <w:r>
                        <w:rPr>
                          <w:color w:val="000000"/>
                          <w:spacing w:val="-6"/>
                          <w:vertAlign w:val="superscript"/>
                        </w:rPr>
                        <w:t>2</w:t>
                      </w:r>
                      <w:r>
                        <w:rPr>
                          <w:color w:val="000000"/>
                          <w:spacing w:val="-6"/>
                        </w:rPr>
                        <w:t>·K)). Apskaičiuojamas pagal (2.64) formulę;</w:t>
                      </w:r>
                    </w:p>
                    <w:p>
                      <w:pPr>
                        <w:ind w:firstLine="567"/>
                        <w:jc w:val="both"/>
                        <w:rPr>
                          <w:bCs/>
                          <w:color w:val="000000"/>
                        </w:rPr>
                      </w:pPr>
                      <w:r>
                        <w:rPr>
                          <w:bCs/>
                          <w:i/>
                          <w:color w:val="000000"/>
                        </w:rPr>
                        <w:t>β</w:t>
                      </w:r>
                      <w:r>
                        <w:rPr>
                          <w:bCs/>
                          <w:i/>
                          <w:color w:val="000000"/>
                          <w:vertAlign w:val="subscript"/>
                        </w:rPr>
                        <w:t>4,x</w:t>
                      </w:r>
                      <w:r>
                        <w:rPr>
                          <w:bCs/>
                          <w:i/>
                          <w:color w:val="000000"/>
                        </w:rPr>
                        <w:t xml:space="preserve"> </w:t>
                      </w:r>
                      <w:r>
                        <w:rPr>
                          <w:bCs/>
                          <w:color w:val="000000"/>
                        </w:rPr>
                        <w:t xml:space="preserve">– rodiklis, įvertinantis šilumos srauto per atitinkamas </w:t>
                      </w:r>
                      <w:r>
                        <w:rPr>
                          <w:bCs/>
                          <w:i/>
                          <w:color w:val="000000"/>
                        </w:rPr>
                        <w:t>„x“</w:t>
                      </w:r>
                      <w:r>
                        <w:rPr>
                          <w:bCs/>
                          <w:color w:val="000000"/>
                        </w:rPr>
                        <w:t xml:space="preserve"> grindis </w:t>
                      </w:r>
                      <w:r>
                        <w:rPr>
                          <w:color w:val="000000"/>
                        </w:rPr>
                        <w:t xml:space="preserve">virš vėdinamų pogrindžių </w:t>
                      </w:r>
                      <w:r>
                        <w:rPr>
                          <w:bCs/>
                          <w:color w:val="000000"/>
                        </w:rPr>
                        <w:t>pokyčio vėlavimą lyginant su išorės oro temperatūros pokyčiu (mėnesiai);</w:t>
                      </w:r>
                    </w:p>
                    <w:tbl>
                      <w:tblPr>
                        <w:tblW w:w="5000" w:type="pct"/>
                        <w:tblLook w:val="01E0" w:firstRow="1" w:lastRow="1" w:firstColumn="1" w:lastColumn="1" w:noHBand="0" w:noVBand="0"/>
                      </w:tblPr>
                      <w:tblGrid>
                        <w:gridCol w:w="8727"/>
                        <w:gridCol w:w="1269"/>
                      </w:tblGrid>
                      <w:tr>
                        <w:tc>
                          <w:tcPr>
                            <w:tcW w:w="4365"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2660" w:dyaOrig="650">
                                <v:shape id="_x0000_i1095" type="#_x0000_t75" style="width:132.65pt;height:32.35pt" o:ole="">
                                  <v:imagedata r:id="rId417" o:title=""/>
                                </v:shape>
                                <o:OLEObject Type="Embed" ProgID="Equation.3" ShapeID="_x0000_i1095" DrawAspect="Content" ObjectID="_0000000001" r:id="rId418"/>
                              </w:object>
                            </w:r>
                            <w:r>
                              <w:rPr>
                                <w:bCs/>
                                <w:color w:val="000000"/>
                              </w:rPr>
                              <w:t>;</w:t>
                            </w:r>
                          </w:p>
                        </w:tc>
                        <w:tc>
                          <w:tcPr>
                            <w:tcW w:w="635"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(2.63)</w:t>
                            </w:r>
                          </w:p>
                        </w:tc>
                      </w:tr>
                    </w:tbl>
                    <w:p>
                      <w:pPr>
                        <w:tabs>
                          <w:tab w:val="left" w:pos="567"/>
                        </w:tabs>
                        <w:rPr>
                          <w:rFonts w:eastAsia="Calibri"/>
                          <w:bCs/>
                          <w:color w:val="000000"/>
                          <w:szCs w:val="22"/>
                        </w:rPr>
                      </w:pPr>
                      <w:r>
                        <w:rPr>
                          <w:bCs/>
                          <w:color w:val="000000"/>
                        </w:rPr>
                        <w:t>čia:</w:t>
                        <w:tab/>
                        <w:t>d</w:t>
                      </w:r>
                      <w:r>
                        <w:rPr>
                          <w:bCs/>
                          <w:color w:val="000000"/>
                          <w:vertAlign w:val="subscript"/>
                        </w:rPr>
                        <w:t xml:space="preserve">t4,x </w:t>
                      </w:r>
                      <w:r>
                        <w:rPr>
                          <w:bCs/>
                          <w:color w:val="000000"/>
                        </w:rPr>
                        <w:t xml:space="preserve">– apskaičiuojamas pagal </w:t>
                      </w:r>
                      <w:r>
                        <w:rPr>
                          <w:color w:val="000000"/>
                        </w:rPr>
                        <w:t>(2.68) formulę</w:t>
                      </w:r>
                      <w:r>
                        <w:rPr>
                          <w:bCs/>
                          <w:color w:val="000000"/>
                        </w:rPr>
                        <w:t>.</w:t>
                      </w:r>
                    </w:p>
                    <w:p>
                      <w:pPr>
                        <w:ind w:firstLine="567"/>
                        <w:jc w:val="right"/>
                        <w:rPr>
                          <w:color w:val="000000"/>
                        </w:rPr>
                      </w:pPr>
                    </w:p>
                    <w:p>
                      <w:pPr>
                        <w:ind w:firstLine="567"/>
                        <w:jc w:val="both"/>
                        <w:rPr>
                          <w:color w:val="000000"/>
                        </w:rPr>
                      </w:pPr>
                      <w:r>
                        <w:rPr>
                          <w:color w:val="000000"/>
                        </w:rPr>
                        <w:t>Atitinkamų „</w:t>
                      </w:r>
                      <w:r>
                        <w:rPr>
                          <w:i/>
                          <w:color w:val="000000"/>
                        </w:rPr>
                        <w:t>x</w:t>
                      </w:r>
                      <w:r>
                        <w:rPr>
                          <w:color w:val="000000"/>
                        </w:rPr>
                        <w:t xml:space="preserve">“ grindų virš vėdinamų pogrindžių </w:t>
                      </w:r>
                      <w:r>
                        <w:rPr>
                          <w:i/>
                          <w:color w:val="000000"/>
                        </w:rPr>
                        <w:t>U</w:t>
                      </w:r>
                      <w:r>
                        <w:rPr>
                          <w:i/>
                          <w:color w:val="000000"/>
                          <w:vertAlign w:val="subscript"/>
                        </w:rPr>
                        <w:t>fg4,x</w:t>
                      </w:r>
                      <w:r>
                        <w:rPr>
                          <w:color w:val="000000"/>
                        </w:rPr>
                        <w:t xml:space="preserve"> (W/(m²·K)) vertė apskaičiuojama taip:</w:t>
                      </w: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58"/>
                                <w:szCs w:val="22"/>
                              </w:rPr>
                              <w:object w:dxaOrig="2860" w:dyaOrig="1010">
                                <v:shape id="_x0000_i1096" type="#_x0000_t75" style="width:143.2pt;height:50.15pt" o:ole="">
                                  <v:imagedata r:id="rId419" o:title=""/>
                                </v:shape>
                                <o:OLEObject Type="Embed" ProgID="Equation.3" ShapeID="_x0000_i1096" DrawAspect="Content" ObjectID="_0000000001" r:id="rId420"/>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(2.64)</w:t>
                            </w:r>
                          </w:p>
                        </w:tc>
                      </w:tr>
                    </w:tbl>
                    <w:p>
                      <w:pPr>
                        <w:ind w:firstLine="567"/>
                        <w:rPr>
                          <w:rFonts w:eastAsia="Calibri"/>
                          <w:color w:val="000000"/>
                          <w:szCs w:val="22"/>
                        </w:rPr>
                      </w:pPr>
                    </w:p>
                    <w:p>
                      <w:pPr>
                        <w:ind w:firstLine="567"/>
                        <w:jc w:val="both"/>
                        <w:rPr>
                          <w:color w:val="000000"/>
                        </w:rPr>
                      </w:pPr>
                      <w:r>
                        <w:rPr>
                          <w:color w:val="000000"/>
                        </w:rPr>
                        <w:t>Atitinkamų „</w:t>
                      </w:r>
                      <w:r>
                        <w:rPr>
                          <w:i/>
                          <w:color w:val="000000"/>
                        </w:rPr>
                        <w:t>x</w:t>
                      </w:r>
                      <w:r>
                        <w:rPr>
                          <w:color w:val="000000"/>
                        </w:rPr>
                        <w:t>“ grindų virš vėdinamų pogrindžių išoriniai savitieji šilumos nuostoliai</w:t>
                      </w:r>
                      <w:r>
                        <w:rPr>
                          <w:i/>
                          <w:color w:val="000000"/>
                        </w:rPr>
                        <w:t xml:space="preserve"> H</w:t>
                      </w:r>
                      <w:r>
                        <w:rPr>
                          <w:i/>
                          <w:color w:val="000000"/>
                          <w:vertAlign w:val="subscript"/>
                        </w:rPr>
                        <w:t>pe4,x</w:t>
                      </w:r>
                      <w:r>
                        <w:rPr>
                          <w:color w:val="000000"/>
                        </w:rPr>
                        <w:t xml:space="preserve"> (W/K) apskaičiuojami pagal formulę:</w:t>
                      </w:r>
                    </w:p>
                    <w:tbl>
                      <w:tblPr>
                        <w:tblW w:w="5000" w:type="pct"/>
                        <w:tblLook w:val="01E0" w:firstRow="1" w:lastRow="1" w:firstColumn="1" w:lastColumn="1" w:noHBand="0" w:noVBand="0"/>
                      </w:tblPr>
                      <w:tblGrid>
                        <w:gridCol w:w="8828"/>
                        <w:gridCol w:w="1168"/>
                      </w:tblGrid>
                      <w:tr>
                        <w:tc>
                          <w:tcPr>
                            <w:tcW w:w="4416" w:type="pct"/>
                            <w:hideMark/>
                          </w:tcPr>
                          <w:p>
                            <w:pPr>
                              <w:spacing w:line="276" w:lineRule="auto"/>
                              <w:ind w:left="851" w:hanging="851"/>
                              <w:jc w:val="center"/>
                              <w:rPr>
                                <w:rFonts w:eastAsia="Calibri"/>
                                <w:color w:val="000000"/>
                                <w:szCs w:val="22"/>
                              </w:rPr>
                            </w:pPr>
                            <w:r>
                              <w:rPr>
                                <w:rFonts w:eastAsia="Calibri"/>
                                <w:color w:val="000000"/>
                                <w:szCs w:val="22"/>
                              </w:rPr>
                              <w:object w:dxaOrig="5320" w:dyaOrig="1330">
                                <v:shape id="_x0000_i1097" type="#_x0000_t75" style="width:266.15pt;height:67.15pt" o:ole="">
                                  <v:imagedata r:id="rId421" o:title=""/>
                                </v:shape>
                                <o:OLEObject Type="Embed" ProgID="Equation.3" ShapeID="_x0000_i1097" DrawAspect="Content" ObjectID="_0000000001" r:id="rId422"/>
                              </w:object>
                            </w:r>
                            <w:r>
                              <w:rPr>
                                <w:bCs/>
                                <w:color w:val="000000"/>
                              </w:rPr>
                              <w:t>;</w:t>
                            </w:r>
                          </w:p>
                        </w:tc>
                        <w:tc>
                          <w:tcPr>
                            <w:tcW w:w="584" w:type="pct"/>
                            <w:vAlign w:val="center"/>
                            <w:hideMark/>
                          </w:tcPr>
                          <w:p>
                            <w:pPr>
                              <w:spacing w:line="276" w:lineRule="auto"/>
                              <w:ind w:left="851" w:hanging="851"/>
                              <w:jc w:val="right"/>
                              <w:rPr>
                                <w:rFonts w:eastAsia="Calibri"/>
                                <w:color w:val="000000"/>
                                <w:szCs w:val="22"/>
                              </w:rPr>
                            </w:pPr>
                            <w:r>
                              <w:rPr>
                                <w:bCs/>
                                <w:color w:val="000000"/>
                              </w:rPr>
                              <w:t>(2.65)</w:t>
                            </w:r>
                          </w:p>
                        </w:tc>
                      </w:tr>
                    </w:tbl>
                    <w:p>
                      <w:pPr>
                        <w:tabs>
                          <w:tab w:val="left" w:pos="567"/>
                        </w:tabs>
                        <w:rPr>
                          <w:rFonts w:eastAsia="Calibri"/>
                          <w:color w:val="000000"/>
                          <w:szCs w:val="22"/>
                        </w:rPr>
                      </w:pPr>
                      <w:r>
                        <w:rPr>
                          <w:color w:val="000000"/>
                        </w:rPr>
                        <w:t>čia:</w:t>
                        <w:tab/>
                      </w:r>
                      <w:r>
                        <w:rPr>
                          <w:i/>
                          <w:color w:val="000000"/>
                        </w:rPr>
                        <w:t>P</w:t>
                      </w:r>
                      <w:r>
                        <w:rPr>
                          <w:i/>
                          <w:color w:val="000000"/>
                          <w:vertAlign w:val="subscript"/>
                        </w:rPr>
                        <w:t>4,x</w:t>
                      </w:r>
                      <w:r>
                        <w:rPr>
                          <w:color w:val="000000"/>
                        </w:rPr>
                        <w:t xml:space="preserve"> </w:t>
                      </w:r>
                      <w:r>
                        <w:rPr>
                          <w:color w:val="000000"/>
                          <w:spacing w:val="-6"/>
                        </w:rPr>
                        <w:t>–</w:t>
                      </w:r>
                      <w:r>
                        <w:rPr>
                          <w:color w:val="000000"/>
                        </w:rPr>
                        <w:t xml:space="preserve"> atitinkamų „</w:t>
                      </w:r>
                      <w:r>
                        <w:rPr>
                          <w:i/>
                          <w:color w:val="000000"/>
                        </w:rPr>
                        <w:t>x</w:t>
                      </w:r>
                      <w:r>
                        <w:rPr>
                          <w:color w:val="000000"/>
                        </w:rPr>
                        <w:t>“ grindų virš vėdinamų pogrindžių perimetras (m).</w:t>
                      </w:r>
                    </w:p>
                    <w:p>
                      <w:pPr>
                        <w:ind w:firstLine="567"/>
                        <w:rPr>
                          <w:color w:val="000000"/>
                        </w:rPr>
                      </w:pPr>
                    </w:p>
                    <w:p>
                      <w:pPr>
                        <w:ind w:firstLine="567"/>
                        <w:jc w:val="both"/>
                        <w:rPr>
                          <w:color w:val="000000"/>
                        </w:rPr>
                      </w:pPr>
                      <w:r>
                        <w:rPr>
                          <w:color w:val="000000"/>
                        </w:rPr>
                        <w:t>Atitinkamų „</w:t>
                      </w:r>
                      <w:r>
                        <w:rPr>
                          <w:i/>
                          <w:color w:val="000000"/>
                        </w:rPr>
                        <w:t>x</w:t>
                      </w:r>
                      <w:r>
                        <w:rPr>
                          <w:color w:val="000000"/>
                        </w:rPr>
                        <w:t xml:space="preserve">“ grindų perdenginio tarp patalpų ir vėdinamo pogrindžio </w:t>
                      </w:r>
                      <w:r>
                        <w:rPr>
                          <w:i/>
                          <w:color w:val="000000"/>
                        </w:rPr>
                        <w:t>U</w:t>
                      </w:r>
                      <w:r>
                        <w:rPr>
                          <w:i/>
                          <w:color w:val="000000"/>
                          <w:vertAlign w:val="subscript"/>
                        </w:rPr>
                        <w:t>f,x</w:t>
                      </w:r>
                      <w:r>
                        <w:rPr>
                          <w:color w:val="000000"/>
                        </w:rPr>
                        <w:t xml:space="preserve"> (W/(m²·K)) vertė apskaičiuojama taip:</w:t>
                      </w: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2"/>
                                <w:szCs w:val="22"/>
                              </w:rPr>
                              <w:object w:dxaOrig="2330" w:dyaOrig="730">
                                <v:shape id="_x0000_i1098" type="#_x0000_t75" style="width:116.5pt;height:37.2pt" o:ole="">
                                  <v:imagedata r:id="rId423" o:title=""/>
                                </v:shape>
                                <o:OLEObject Type="Embed" ProgID="Equation.3" ShapeID="_x0000_i1098" DrawAspect="Content" ObjectID="_0000000001" r:id="rId424"/>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(2.66)</w:t>
                            </w:r>
                          </w:p>
                        </w:tc>
                      </w:tr>
                    </w:tbl>
                    <w:p>
                      <w:pPr>
                        <w:ind w:firstLine="567"/>
                        <w:rPr>
                          <w:rFonts w:eastAsia="Calibri"/>
                          <w:color w:val="000000"/>
                          <w:szCs w:val="22"/>
                        </w:rPr>
                      </w:pPr>
                    </w:p>
                    <w:p>
                      <w:pPr>
                        <w:ind w:firstLine="567"/>
                        <w:jc w:val="both"/>
                        <w:rPr>
                          <w:color w:val="000000"/>
                        </w:rPr>
                      </w:pPr>
                      <w:r>
                        <w:rPr>
                          <w:color w:val="000000"/>
                        </w:rPr>
                        <w:t>Atitinkamų „</w:t>
                      </w:r>
                      <w:r>
                        <w:rPr>
                          <w:i/>
                          <w:color w:val="000000"/>
                        </w:rPr>
                        <w:t>x</w:t>
                      </w:r>
                      <w:r>
                        <w:rPr>
                          <w:color w:val="000000"/>
                        </w:rPr>
                        <w:t xml:space="preserve">“ grindų vėdinamo pogrindžio grindų plokštės </w:t>
                      </w:r>
                      <w:r>
                        <w:rPr>
                          <w:i/>
                          <w:color w:val="000000"/>
                        </w:rPr>
                        <w:t>U</w:t>
                      </w:r>
                      <w:r>
                        <w:rPr>
                          <w:i/>
                          <w:color w:val="000000"/>
                          <w:vertAlign w:val="subscript"/>
                        </w:rPr>
                        <w:t>g,x</w:t>
                      </w:r>
                      <w:r>
                        <w:rPr>
                          <w:color w:val="000000"/>
                        </w:rPr>
                        <w:t xml:space="preserve"> (W/(m²·K)) vertė apskaičiuojama taip:</w:t>
                      </w: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3560" w:dyaOrig="840">
                                <v:shape id="_x0000_i1099" type="#_x0000_t75" style="width:178pt;height:42.05pt" o:ole="">
                                  <v:imagedata r:id="rId425" o:title=""/>
                                </v:shape>
                                <o:OLEObject Type="Embed" ProgID="Equation.3" ShapeID="_x0000_i1099" DrawAspect="Content" ObjectID="_0000000001" r:id="rId426"/>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(2.67)</w:t>
                            </w:r>
                          </w:p>
                        </w:tc>
                      </w:tr>
                    </w:tbl>
                    <w:p>
                      <w:pPr>
                        <w:tabs>
                          <w:tab w:val="left" w:pos="567"/>
                        </w:tabs>
                        <w:jc w:val="both"/>
                        <w:rPr>
                          <w:rFonts w:eastAsia="Calibri"/>
                          <w:color w:val="000000"/>
                          <w:szCs w:val="22"/>
                        </w:rPr>
                      </w:pPr>
                      <w:r>
                        <w:rPr>
                          <w:color w:val="000000"/>
                        </w:rPr>
                        <w:t>čia:</w:t>
                        <w:tab/>
                      </w:r>
                      <w:r>
                        <w:rPr>
                          <w:i/>
                          <w:color w:val="000000"/>
                        </w:rPr>
                        <w:t>B'</w:t>
                      </w:r>
                      <w:r>
                        <w:rPr>
                          <w:i/>
                          <w:color w:val="000000"/>
                          <w:vertAlign w:val="subscript"/>
                        </w:rPr>
                        <w:t>4,x</w:t>
                      </w:r>
                      <w:r>
                        <w:rPr>
                          <w:color w:val="000000"/>
                        </w:rPr>
                        <w:t xml:space="preserve"> – atitinkamų  „</w:t>
                      </w:r>
                      <w:r>
                        <w:rPr>
                          <w:i/>
                          <w:color w:val="000000"/>
                        </w:rPr>
                        <w:t>x</w:t>
                      </w:r>
                      <w:r>
                        <w:rPr>
                          <w:color w:val="000000"/>
                        </w:rPr>
                        <w:t xml:space="preserve">“ grindų virš vėdinamų pogrindžių būdingasis grindų matmuo (m); </w:t>
                      </w:r>
                    </w:p>
                    <w:p>
                      <w:pPr>
                        <w:ind w:firstLine="567"/>
                        <w:jc w:val="both"/>
                        <w:rPr>
                          <w:color w:val="000000"/>
                        </w:rPr>
                      </w:pPr>
                      <w:r>
                        <w:rPr>
                          <w:i/>
                          <w:color w:val="000000"/>
                        </w:rPr>
                        <w:t>d</w:t>
                      </w:r>
                      <w:r>
                        <w:rPr>
                          <w:i/>
                          <w:color w:val="000000"/>
                          <w:vertAlign w:val="subscript"/>
                        </w:rPr>
                        <w:t>t4,x</w:t>
                      </w:r>
                      <w:r>
                        <w:rPr>
                          <w:color w:val="000000"/>
                        </w:rPr>
                        <w:t xml:space="preserve"> – atitinkamų „</w:t>
                      </w:r>
                      <w:r>
                        <w:rPr>
                          <w:i/>
                          <w:color w:val="000000"/>
                        </w:rPr>
                        <w:t>x</w:t>
                      </w:r>
                      <w:r>
                        <w:rPr>
                          <w:color w:val="000000"/>
                        </w:rPr>
                        <w:t>“ grindų virš vėdinamų pogrindžių atstojamasis pogrindžio grindų plokštės storis, išreikštas grunto sluoksnio storiu (m):</w:t>
                      </w: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3160" w:dyaOrig="380">
                                <v:shape id="_x0000_i1100" type="#_x0000_t75" style="width:158.55pt;height:17.8pt" o:ole="">
                                  <v:imagedata r:id="rId427" o:title=""/>
                                </v:shape>
                                <o:OLEObject Type="Embed" ProgID="Equation.3" ShapeID="_x0000_i1100" DrawAspect="Content" ObjectID="_0000000001" r:id="rId428"/>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(2.68)</w:t>
                            </w:r>
                          </w:p>
                        </w:tc>
                      </w:tr>
                    </w:tbl>
                    <w:p>
                      <w:pPr>
                        <w:ind w:firstLine="567"/>
                        <w:rPr>
                          <w:rFonts w:eastAsia="Calibri"/>
                          <w:color w:val="000000"/>
                          <w:szCs w:val="22"/>
                        </w:rPr>
                      </w:pPr>
                      <w:r>
                        <w:rPr>
                          <w:color w:val="000000"/>
                        </w:rPr>
                        <w:t xml:space="preserve">Šilumos perdavimo koeficientas tarp vėdinamo pogrindžio ir išorės </w:t>
                      </w:r>
                      <w:r>
                        <w:rPr>
                          <w:i/>
                          <w:color w:val="000000"/>
                        </w:rPr>
                        <w:t>U</w:t>
                      </w:r>
                      <w:r>
                        <w:rPr>
                          <w:i/>
                          <w:color w:val="000000"/>
                          <w:vertAlign w:val="subscript"/>
                        </w:rPr>
                        <w:t>u,x</w:t>
                      </w:r>
                      <w:r>
                        <w:rPr>
                          <w:color w:val="000000"/>
                        </w:rPr>
                        <w:t xml:space="preserve"> (W/(m²·K)) apskaičiuojamas taip:</w:t>
                      </w: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4540" w:dyaOrig="730">
                                <v:shape id="_x0000_i1101" type="#_x0000_t75" style="width:227.35pt;height:37.2pt" o:ole="">
                                  <v:imagedata r:id="rId429" o:title=""/>
                                </v:shape>
                                <o:OLEObject Type="Embed" ProgID="Equation.3" ShapeID="_x0000_i1101" DrawAspect="Content" ObjectID="_0000000001" r:id="rId430"/>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(2.69)</w:t>
                            </w:r>
                          </w:p>
                        </w:tc>
                      </w:tr>
                    </w:tbl>
                    <w:p>
                      <w:pPr>
                        <w:tabs>
                          <w:tab w:val="left" w:pos="567"/>
                        </w:tabs>
                        <w:jc w:val="both"/>
                        <w:rPr>
                          <w:rFonts w:eastAsia="Calibri"/>
                          <w:color w:val="000000"/>
                          <w:szCs w:val="22"/>
                        </w:rPr>
                      </w:pPr>
                      <w:r>
                        <w:rPr>
                          <w:color w:val="000000"/>
                        </w:rPr>
                        <w:t>čia:</w:t>
                        <w:tab/>
                      </w:r>
                      <w:r>
                        <w:rPr>
                          <w:i/>
                          <w:color w:val="000000"/>
                        </w:rPr>
                        <w:t>h</w:t>
                      </w:r>
                      <w:r>
                        <w:rPr>
                          <w:i/>
                          <w:color w:val="000000"/>
                          <w:vertAlign w:val="subscript"/>
                        </w:rPr>
                        <w:t>x</w:t>
                      </w:r>
                      <w:r>
                        <w:rPr>
                          <w:color w:val="000000"/>
                        </w:rPr>
                        <w:t xml:space="preserve"> – atitinkamų „</w:t>
                      </w:r>
                      <w:r>
                        <w:rPr>
                          <w:i/>
                          <w:color w:val="000000"/>
                        </w:rPr>
                        <w:t>x</w:t>
                      </w:r>
                      <w:r>
                        <w:rPr>
                          <w:color w:val="000000"/>
                        </w:rPr>
                        <w:t xml:space="preserve">“ grindų pogrindžio sienų aukštis virš grunto lygio (m). Jei sienų aukštis pogrindžio perimetru nevienodas, skaičiavimuose turi būti naudojama vidutinė </w:t>
                      </w:r>
                      <w:r>
                        <w:rPr>
                          <w:i/>
                          <w:color w:val="000000"/>
                        </w:rPr>
                        <w:t>h</w:t>
                      </w:r>
                      <w:r>
                        <w:rPr>
                          <w:i/>
                          <w:color w:val="000000"/>
                          <w:vertAlign w:val="subscript"/>
                        </w:rPr>
                        <w:t>x</w:t>
                      </w:r>
                      <w:r>
                        <w:rPr>
                          <w:color w:val="000000"/>
                        </w:rPr>
                        <w:t xml:space="preserve"> vertė; </w:t>
                      </w:r>
                    </w:p>
                    <w:p>
                      <w:pPr>
                        <w:ind w:firstLine="567"/>
                        <w:jc w:val="both"/>
                        <w:rPr>
                          <w:color w:val="000000"/>
                        </w:rPr>
                      </w:pPr>
                      <w:r>
                        <w:rPr>
                          <w:i/>
                          <w:color w:val="000000"/>
                        </w:rPr>
                        <w:t>U</w:t>
                      </w:r>
                      <w:r>
                        <w:rPr>
                          <w:i/>
                          <w:color w:val="000000"/>
                          <w:vertAlign w:val="subscript"/>
                        </w:rPr>
                        <w:t>w,x</w:t>
                      </w:r>
                      <w:r>
                        <w:rPr>
                          <w:color w:val="000000"/>
                        </w:rPr>
                        <w:t xml:space="preserve"> – pogrindžio sienų skaičiuojamasis šilumos perdavimo koeficientas (W/(m²·K)). Nesant duomenų, laikoma </w:t>
                      </w:r>
                      <w:r>
                        <w:rPr>
                          <w:i/>
                          <w:color w:val="000000"/>
                        </w:rPr>
                        <w:t>U</w:t>
                      </w:r>
                      <w:r>
                        <w:rPr>
                          <w:i/>
                          <w:color w:val="000000"/>
                          <w:vertAlign w:val="subscript"/>
                        </w:rPr>
                        <w:t xml:space="preserve">wx </w:t>
                      </w:r>
                      <w:r>
                        <w:rPr>
                          <w:color w:val="000000"/>
                        </w:rPr>
                        <w:t>= 3</w:t>
                      </w:r>
                      <w:r>
                        <w:rPr>
                          <w:i/>
                          <w:color w:val="000000"/>
                        </w:rPr>
                        <w:t xml:space="preserve"> </w:t>
                      </w:r>
                      <w:r>
                        <w:rPr>
                          <w:color w:val="000000"/>
                        </w:rPr>
                        <w:t>W/(m²·K);</w:t>
                      </w:r>
                    </w:p>
                    <w:p>
                      <w:pPr>
                        <w:ind w:firstLine="629"/>
                        <w:jc w:val="both"/>
                        <w:rPr>
                          <w:color w:val="000000"/>
                        </w:rPr>
                      </w:pPr>
                      <w:r>
                        <w:rPr>
                          <w:i/>
                          <w:color w:val="000000"/>
                        </w:rPr>
                        <w:t>e</w:t>
                      </w:r>
                      <w:r>
                        <w:rPr>
                          <w:i/>
                          <w:color w:val="000000"/>
                          <w:vertAlign w:val="subscript"/>
                        </w:rPr>
                        <w:t>vent,x</w:t>
                      </w:r>
                      <w:r>
                        <w:rPr>
                          <w:color w:val="000000"/>
                        </w:rPr>
                        <w:t xml:space="preserve"> – atitinkamų „</w:t>
                      </w:r>
                      <w:r>
                        <w:rPr>
                          <w:i/>
                          <w:color w:val="000000"/>
                        </w:rPr>
                        <w:t>x</w:t>
                      </w:r>
                      <w:r>
                        <w:rPr>
                          <w:color w:val="000000"/>
                        </w:rPr>
                        <w:t xml:space="preserve">“ grindų virš vėdinamų pogrindžių vėdinimo angų plotas vienam vėdinamo pogrindžio perimetro metrui (m²/m). Nesant pakankamai duomenų, laikoma </w:t>
                      </w:r>
                      <w:r>
                        <w:rPr>
                          <w:i/>
                          <w:color w:val="000000"/>
                        </w:rPr>
                        <w:t>e</w:t>
                      </w:r>
                      <w:r>
                        <w:rPr>
                          <w:i/>
                          <w:color w:val="000000"/>
                          <w:vertAlign w:val="subscript"/>
                        </w:rPr>
                        <w:t>vent,x</w:t>
                      </w:r>
                      <w:r>
                        <w:rPr>
                          <w:color w:val="000000"/>
                        </w:rPr>
                        <w:t xml:space="preserve"> = 0,002</w:t>
                      </w:r>
                      <w:r>
                        <w:rPr>
                          <w:i/>
                          <w:color w:val="000000"/>
                        </w:rPr>
                        <w:t xml:space="preserve"> </w:t>
                      </w:r>
                      <w:r>
                        <w:rPr>
                          <w:color w:val="000000"/>
                        </w:rPr>
                        <w:t>m²/m;</w:t>
                      </w:r>
                    </w:p>
                    <w:p>
                      <w:pPr>
                        <w:ind w:firstLine="629"/>
                        <w:jc w:val="both"/>
                        <w:rPr>
                          <w:color w:val="000000"/>
                        </w:rPr>
                      </w:pPr>
                      <w:r>
                        <w:rPr>
                          <w:i/>
                          <w:color w:val="000000"/>
                        </w:rPr>
                        <w:t>v</w:t>
                      </w:r>
                      <w:r>
                        <w:rPr>
                          <w:i/>
                          <w:color w:val="000000"/>
                          <w:vertAlign w:val="subscript"/>
                        </w:rPr>
                        <w:t>wind</w:t>
                      </w:r>
                      <w:r>
                        <w:rPr>
                          <w:color w:val="000000"/>
                        </w:rPr>
                        <w:t xml:space="preserve"> </w:t>
                      </w:r>
                      <w:r>
                        <w:rPr>
                          <w:color w:val="000000"/>
                          <w:spacing w:val="-6"/>
                        </w:rPr>
                        <w:t>–</w:t>
                      </w:r>
                      <w:r>
                        <w:rPr>
                          <w:color w:val="000000"/>
                        </w:rPr>
                        <w:t xml:space="preserve"> vidutinis vėjo greitis (m/s). Laikoma </w:t>
                      </w:r>
                      <w:r>
                        <w:rPr>
                          <w:i/>
                          <w:color w:val="000000"/>
                        </w:rPr>
                        <w:t>v</w:t>
                      </w:r>
                      <w:r>
                        <w:rPr>
                          <w:i/>
                          <w:color w:val="000000"/>
                          <w:vertAlign w:val="subscript"/>
                        </w:rPr>
                        <w:t>wind</w:t>
                      </w:r>
                      <w:r>
                        <w:rPr>
                          <w:color w:val="000000"/>
                        </w:rPr>
                        <w:t xml:space="preserve"> = 3,5</w:t>
                      </w:r>
                      <w:r>
                        <w:rPr>
                          <w:i/>
                          <w:color w:val="000000"/>
                        </w:rPr>
                        <w:t xml:space="preserve"> </w:t>
                      </w:r>
                      <w:r>
                        <w:rPr>
                          <w:color w:val="000000"/>
                        </w:rPr>
                        <w:t>m/s;</w:t>
                      </w:r>
                    </w:p>
                    <w:p>
                      <w:pPr>
                        <w:ind w:firstLine="629"/>
                        <w:jc w:val="both"/>
                        <w:rPr>
                          <w:color w:val="000000"/>
                        </w:rPr>
                      </w:pPr>
                      <w:r>
                        <w:rPr>
                          <w:i/>
                          <w:color w:val="000000"/>
                        </w:rPr>
                        <w:t>f</w:t>
                      </w:r>
                      <w:r>
                        <w:rPr>
                          <w:i/>
                          <w:color w:val="000000"/>
                          <w:vertAlign w:val="subscript"/>
                        </w:rPr>
                        <w:t>wind</w:t>
                      </w:r>
                      <w:r>
                        <w:rPr>
                          <w:color w:val="000000"/>
                        </w:rPr>
                        <w:t xml:space="preserve"> </w:t>
                      </w:r>
                      <w:r>
                        <w:rPr>
                          <w:color w:val="000000"/>
                          <w:spacing w:val="-6"/>
                        </w:rPr>
                        <w:t>–</w:t>
                      </w:r>
                      <w:r>
                        <w:rPr>
                          <w:color w:val="000000"/>
                        </w:rPr>
                        <w:t xml:space="preserve"> rodiklis, įvertinantis pastato išorėje esančias užtvaras vėjui. Laikoma </w:t>
                      </w:r>
                      <w:r>
                        <w:rPr>
                          <w:i/>
                          <w:color w:val="000000"/>
                        </w:rPr>
                        <w:t>f</w:t>
                      </w:r>
                      <w:r>
                        <w:rPr>
                          <w:i/>
                          <w:color w:val="000000"/>
                          <w:vertAlign w:val="subscript"/>
                        </w:rPr>
                        <w:t>wind</w:t>
                      </w:r>
                      <w:r>
                        <w:rPr>
                          <w:color w:val="000000"/>
                        </w:rPr>
                        <w:t xml:space="preserve"> = 0,05.</w:t>
                      </w:r>
                    </w:p>
                    <w:p>
                      <w:pPr>
                        <w:ind w:firstLine="567"/>
                        <w:rPr>
                          <w:b/>
                          <w:color w:val="000000"/>
                        </w:rPr>
                      </w:pPr>
                    </w:p>
                  </w:sdtContent>
                </w:sdt>
                <w:sdt>
                  <w:sdtPr>
                    <w:alias w:val="2 pr. 18.2 pp."/>
                    <w:tag w:val="part_ea8872b615c34b58948889fc73647fb6"/>
                    <w:lock w:val="sdtLocked"/>
                    <w:richText/>
                  </w:sdtPr>
                  <w:sdtContent>
                    <w:p>
                      <w:pPr>
                        <w:ind w:firstLine="567"/>
                        <w:jc w:val="both"/>
                        <w:rPr>
                          <w:color w:val="000000"/>
                        </w:rPr>
                      </w:pPr>
                      <w:sdt>
                        <w:sdtPr>
                          <w:alias w:val="Numeris"/>
                          <w:tag w:val="nr_ea8872b615c34b58948889fc73647fb6"/>
                          <w:lock w:val="sdtLocked"/>
                          <w:richText/>
                        </w:sdtPr>
                        <w:sdtContent>
                          <w:r>
                            <w:rPr>
                              <w:color w:val="000000"/>
                            </w:rPr>
                            <w:t>18.2</w:t>
                          </w:r>
                        </w:sdtContent>
                      </w:sdt>
                      <w:r>
                        <w:rPr>
                          <w:color w:val="000000"/>
                        </w:rPr>
                        <w:t xml:space="preserve">. Kiekvieno mėnesio „m“ skaičiuojamasis  šilumos srautas per virš vėdinamų pogrindžių esančias grindis </w:t>
                      </w:r>
                      <w:r>
                        <w:rPr>
                          <w:i/>
                          <w:color w:val="000000"/>
                        </w:rPr>
                        <w:t>Φ</w:t>
                      </w:r>
                      <w:r>
                        <w:rPr>
                          <w:i/>
                          <w:color w:val="000000"/>
                          <w:vertAlign w:val="subscript"/>
                        </w:rPr>
                        <w:t>C.fg4,m</w:t>
                      </w:r>
                      <w:r>
                        <w:rPr>
                          <w:color w:val="000000"/>
                        </w:rPr>
                        <w:t xml:space="preserve"> (W), pagal kurį skaičiuojami energijos poreikiai pastatui vėsinti, apskaičiuojamas pagal formulę [3.14]:</w:t>
                      </w:r>
                    </w:p>
                    <w:tbl>
                      <w:tblPr>
                        <w:tblW w:w="9570" w:type="dxa"/>
                        <w:tblLook w:val="01E0" w:firstRow="1" w:lastRow="1" w:firstColumn="1" w:lastColumn="1" w:noHBand="0" w:noVBand="0"/>
                      </w:tblPr>
                      <w:tblGrid>
                        <w:gridCol w:w="8425"/>
                        <w:gridCol w:w="1145"/>
                      </w:tblGrid>
                      <w:tr>
                        <w:tc>
                          <w:tcPr>
                            <w:tcW w:w="8425"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7830" w:dyaOrig="680">
                                <v:shape id="_x0000_i1102" type="#_x0000_t75" style="width:391.55pt;height:34pt" o:ole="">
                                  <v:imagedata r:id="rId431" o:title=""/>
                                </v:shape>
                                <o:OLEObject Type="Embed" ProgID="Equation.3" ShapeID="_x0000_i1102" DrawAspect="Content" ObjectID="_0000000001" r:id="rId432"/>
                              </w:object>
                            </w:r>
                            <w:r>
                              <w:rPr>
                                <w:bCs/>
                                <w:color w:val="000000"/>
                              </w:rPr>
                              <w:t>;</w:t>
                            </w:r>
                          </w:p>
                        </w:tc>
                        <w:tc>
                          <w:tcPr>
                            <w:tcW w:w="1145"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(2.70)</w:t>
                            </w:r>
                          </w:p>
                        </w:tc>
                      </w:tr>
                    </w:tbl>
                    <w:p>
                      <w:pPr>
                        <w:rPr>
                          <w:color w:val="000000"/>
                        </w:rPr>
                      </w:pPr>
                    </w:p>
                  </w:sdtContent>
                </w:sdt>
              </w:sdtContent>
            </w:sdt>
            <w:sdt>
              <w:sdtPr>
                <w:alias w:val="2 pr. 19 p."/>
                <w:tag w:val="part_d7937f9119fb46999a4357a9503e566a"/>
                <w:lock w:val="sdtLocked"/>
                <w:richText/>
              </w:sdtPr>
              <w:sdtContent>
                <w:p>
                  <w:pPr>
                    <w:ind w:firstLine="567"/>
                    <w:jc w:val="both"/>
                    <w:rPr>
                      <w:rFonts w:eastAsia="Calibri"/>
                      <w:color w:val="000000"/>
                      <w:szCs w:val="22"/>
                    </w:rPr>
                  </w:pPr>
                  <w:sdt>
                    <w:sdtPr>
                      <w:alias w:val="Numeris"/>
                      <w:tag w:val="nr_d7937f9119fb46999a4357a9503e566a"/>
                      <w:lock w:val="sdtLocked"/>
                      <w:richText/>
                    </w:sdtPr>
                    <w:sdtContent>
                      <w:r>
                        <w:rPr>
                          <w:color w:val="000000"/>
                        </w:rPr>
                        <w:t>19</w:t>
                      </w:r>
                    </w:sdtContent>
                  </w:sdt>
                  <w:r>
                    <w:rPr>
                      <w:color w:val="000000"/>
                    </w:rPr>
                    <w:t>. Šilumos srautų skaičiavimas per grindis virš nešildomų vėdinamų rūsių (2.9. pav.), turi būti atliktas dviem variantais: turi būti apskaičiuoti šilumos srautai per grindis, susiję su energijos poreikiais pastatui šildyti, ir šilumos srautai, susiję su energijos poreikiais pastatui vėsinti.</w:t>
                  </w:r>
                </w:p>
                <w:p>
                  <w:pPr>
                    <w:ind w:firstLine="567"/>
                    <w:jc w:val="center"/>
                    <w:rPr>
                      <w:color w:val="000000"/>
                    </w:rPr>
                  </w:pPr>
                </w:p>
                <w:p>
                  <w:pPr>
                    <w:ind w:firstLine="567"/>
                    <w:jc w:val="center"/>
                    <w:rPr>
                      <w:color w:val="000000"/>
                    </w:rPr>
                  </w:pPr>
                  <w:r>
                    <w:rPr>
                      <w:color w:val="000000"/>
                      <w:lang w:eastAsia="lt-LT"/>
                    </w:rPr>
                    <w:drawing>
                      <wp:inline distT="0" distB="0" distL="0" distR="0">
                        <wp:extent cx="3505200" cy="2165350"/>
                        <wp:effectExtent l="0" t="0" r="0" b="6350"/>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0" y="0"/>
                                  <a:ext cx="3505200" cy="2165350"/>
                                </a:xfrm>
                                <a:prstGeom prst="rect">
                                  <a:avLst/>
                                </a:prstGeom>
                                <a:noFill/>
                                <a:ln>
                                  <a:noFill/>
                                </a:ln>
                              </pic:spPr>
                            </pic:pic>
                          </a:graphicData>
                        </a:graphic>
                      </wp:inline>
                    </w:drawing>
                  </w:r>
                </w:p>
                <w:p>
                  <w:pPr>
                    <w:ind w:firstLine="567"/>
                    <w:jc w:val="center"/>
                    <w:rPr>
                      <w:color w:val="000000"/>
                    </w:rPr>
                  </w:pPr>
                  <w:r>
                    <w:rPr>
                      <w:color w:val="000000"/>
                    </w:rPr>
                    <w:t>2.9. . Nešildomo vėdinamo rūsio schema</w:t>
                  </w:r>
                </w:p>
                <w:p>
                  <w:pPr>
                    <w:ind w:firstLine="567"/>
                    <w:jc w:val="center"/>
                    <w:rPr>
                      <w:color w:val="000000"/>
                    </w:rPr>
                  </w:pPr>
                </w:p>
                <w:sdt>
                  <w:sdtPr>
                    <w:alias w:val="2 pr. 19.1 pp."/>
                    <w:tag w:val="part_1a89a2d9566944c38219b1348ddb992a"/>
                    <w:lock w:val="sdtLocked"/>
                    <w:richText/>
                  </w:sdtPr>
                  <w:sdtContent>
                    <w:p>
                      <w:pPr>
                        <w:ind w:firstLine="567"/>
                        <w:jc w:val="both"/>
                        <w:rPr>
                          <w:color w:val="000000"/>
                        </w:rPr>
                      </w:pPr>
                      <w:sdt>
                        <w:sdtPr>
                          <w:alias w:val="Numeris"/>
                          <w:tag w:val="nr_1a89a2d9566944c38219b1348ddb992a"/>
                          <w:lock w:val="sdtLocked"/>
                          <w:richText/>
                        </w:sdtPr>
                        <w:sdtContent>
                          <w:r>
                            <w:rPr>
                              <w:color w:val="000000"/>
                            </w:rPr>
                            <w:t>19.1</w:t>
                          </w:r>
                        </w:sdtContent>
                      </w:sdt>
                      <w:r>
                        <w:rPr>
                          <w:color w:val="000000"/>
                        </w:rPr>
                        <w:t xml:space="preserve">. kiekvieno mėnesio </w:t>
                      </w:r>
                      <w:r>
                        <w:rPr>
                          <w:i/>
                          <w:color w:val="000000"/>
                        </w:rPr>
                        <w:t xml:space="preserve">„m“ </w:t>
                      </w:r>
                      <w:r>
                        <w:rPr>
                          <w:color w:val="000000"/>
                        </w:rPr>
                        <w:t xml:space="preserve">norminis </w:t>
                      </w:r>
                      <w:r>
                        <w:rPr>
                          <w:i/>
                          <w:color w:val="000000"/>
                        </w:rPr>
                        <w:t>Φ</w:t>
                      </w:r>
                      <w:r>
                        <w:rPr>
                          <w:i/>
                          <w:color w:val="000000"/>
                          <w:vertAlign w:val="subscript"/>
                        </w:rPr>
                        <w:t>N.H.fg5,m</w:t>
                      </w:r>
                      <w:r>
                        <w:rPr>
                          <w:color w:val="000000"/>
                        </w:rPr>
                        <w:t xml:space="preserve"> (W), atskaitinis </w:t>
                      </w:r>
                      <w:r>
                        <w:rPr>
                          <w:i/>
                          <w:color w:val="000000"/>
                        </w:rPr>
                        <w:t>Φ</w:t>
                      </w:r>
                      <w:r>
                        <w:rPr>
                          <w:i/>
                          <w:color w:val="000000"/>
                          <w:vertAlign w:val="subscript"/>
                        </w:rPr>
                        <w:t>R.H.fg5,m</w:t>
                      </w:r>
                      <w:r>
                        <w:rPr>
                          <w:color w:val="000000"/>
                        </w:rPr>
                        <w:t xml:space="preserve"> (W) ir skaičiuojamasis </w:t>
                      </w:r>
                      <w:r>
                        <w:rPr>
                          <w:i/>
                          <w:color w:val="000000"/>
                        </w:rPr>
                        <w:t>Φ</w:t>
                      </w:r>
                      <w:r>
                        <w:rPr>
                          <w:i/>
                          <w:color w:val="000000"/>
                          <w:vertAlign w:val="subscript"/>
                        </w:rPr>
                        <w:t>H.fg5,m</w:t>
                      </w:r>
                      <w:r>
                        <w:rPr>
                          <w:color w:val="000000"/>
                        </w:rPr>
                        <w:t xml:space="preserve"> (W) šilumos srautas per grindis virš nešildomų vėdinamų rūsių, pagal kurį skaičiuojami energijos poreikiai pastatui šildyti, apskaičiuojamas pagal formules [3.14]:</w:t>
                      </w:r>
                    </w:p>
                    <w:tbl>
                      <w:tblPr>
                        <w:tblW w:w="5000" w:type="pct"/>
                        <w:tblLook w:val="01E0" w:firstRow="1" w:lastRow="1" w:firstColumn="1" w:lastColumn="1" w:noHBand="0" w:noVBand="0"/>
                      </w:tblPr>
                      <w:tblGrid>
                        <w:gridCol w:w="8741"/>
                        <w:gridCol w:w="1255"/>
                      </w:tblGrid>
                      <w:tr>
                        <w:tc>
                          <w:tcPr>
                            <w:tcW w:w="8774" w:type="dxa"/>
                          </w:tcPr>
                          <w:p>
                            <w:pPr>
                              <w:rPr>
                                <w:color w:val="000000"/>
                                <w:sz w:val="10"/>
                                <w:szCs w:val="10"/>
                              </w:rPr>
                            </w:pPr>
                          </w:p>
                          <w:p>
                            <w:pPr>
                              <w:spacing w:line="360" w:lineRule="auto"/>
                              <w:ind w:left="850" w:hanging="850"/>
                              <w:jc w:val="right"/>
                              <w:rPr>
                                <w:rFonts w:eastAsia="Calibri"/>
                                <w:color w:val="000000"/>
                                <w:szCs w:val="22"/>
                              </w:rPr>
                            </w:pPr>
                            <w:r>
                              <w:rPr>
                                <w:rFonts w:eastAsia="Calibri"/>
                                <w:color w:val="000000"/>
                                <w:position w:val="-28"/>
                                <w:szCs w:val="22"/>
                              </w:rPr>
                              <w:object w:dxaOrig="8430" w:dyaOrig="760">
                                <v:shape id="_x0000_i1103" type="#_x0000_t75" style="width:421.5pt;height:38.85pt" o:ole="">
                                  <v:imagedata r:id="rId434" o:title=""/>
                                </v:shape>
                                <o:OLEObject Type="Embed" ProgID="Equation.3" ShapeID="_x0000_i1103" DrawAspect="Content" ObjectID="_0000000001" r:id="rId435"/>
                              </w:object>
                            </w:r>
                          </w:p>
                        </w:tc>
                        <w:tc>
                          <w:tcPr>
                            <w:tcW w:w="1418"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(2.71)</w:t>
                            </w:r>
                          </w:p>
                        </w:tc>
                      </w:tr>
                    </w:tbl>
                    <w:p>
                      <w:pPr>
                        <w:jc w:val="right"/>
                        <w:rPr>
                          <w:rFonts w:eastAsia="Calibri"/>
                          <w:bCs/>
                          <w:strike/>
                          <w:color w:val="000000"/>
                          <w:szCs w:val="22"/>
                        </w:rPr>
                      </w:pPr>
                    </w:p>
                    <w:tbl>
                      <w:tblPr>
                        <w:tblW w:w="5000" w:type="pct"/>
                        <w:tblLook w:val="01E0" w:firstRow="1" w:lastRow="1" w:firstColumn="1" w:lastColumn="1" w:noHBand="0" w:noVBand="0"/>
                      </w:tblPr>
                      <w:tblGrid>
                        <w:gridCol w:w="8727"/>
                        <w:gridCol w:w="1269"/>
                      </w:tblGrid>
                      <w:tr>
                        <w:tc>
                          <w:tcPr>
                            <w:tcW w:w="4365" w:type="pct"/>
                          </w:tcPr>
                          <w:p>
                            <w:pPr>
                              <w:rPr>
                                <w:color w:val="000000"/>
                                <w:sz w:val="10"/>
                                <w:szCs w:val="10"/>
                              </w:rPr>
                            </w:pPr>
                          </w:p>
                          <w:p>
                            <w:pPr>
                              <w:spacing w:line="360" w:lineRule="auto"/>
                              <w:ind w:left="850" w:hanging="850"/>
                              <w:jc w:val="right"/>
                              <w:rPr>
                                <w:rFonts w:eastAsia="Calibri"/>
                                <w:color w:val="000000"/>
                                <w:szCs w:val="22"/>
                              </w:rPr>
                            </w:pPr>
                            <w:r>
                              <w:rPr>
                                <w:rFonts w:eastAsia="Calibri"/>
                                <w:color w:val="000000"/>
                                <w:position w:val="-28"/>
                                <w:szCs w:val="22"/>
                              </w:rPr>
                              <w:object w:dxaOrig="8130" w:dyaOrig="760">
                                <v:shape id="_x0000_i1104" type="#_x0000_t75" style="width:406.1pt;height:38.85pt" o:ole="">
                                  <v:imagedata r:id="rId436" o:title=""/>
                                </v:shape>
                                <o:OLEObject Type="Embed" ProgID="Equation.3" ShapeID="_x0000_i1104" DrawAspect="Content" ObjectID="_0000000001" r:id="rId437"/>
                              </w:object>
                            </w:r>
                          </w:p>
                        </w:tc>
                        <w:tc>
                          <w:tcPr>
                            <w:tcW w:w="635"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(2.72)</w:t>
                            </w:r>
                          </w:p>
                        </w:tc>
                      </w:tr>
                    </w:tbl>
                    <w:p>
                      <w:pPr>
                        <w:ind w:firstLine="567"/>
                        <w:rPr>
                          <w:rFonts w:eastAsia="Calibri"/>
                          <w:color w:val="000000"/>
                          <w:szCs w:val="22"/>
                        </w:rPr>
                      </w:pPr>
                    </w:p>
                    <w:tbl>
                      <w:tblPr>
                        <w:tblW w:w="5000" w:type="pct"/>
                        <w:tblLook w:val="01E0" w:firstRow="1" w:lastRow="1" w:firstColumn="1" w:lastColumn="1" w:noHBand="0" w:noVBand="0"/>
                      </w:tblPr>
                      <w:tblGrid>
                        <w:gridCol w:w="8725"/>
                        <w:gridCol w:w="1271"/>
                      </w:tblGrid>
                      <w:tr>
                        <w:tc>
                          <w:tcPr>
                            <w:tcW w:w="8774"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4"/>
                                <w:szCs w:val="22"/>
                              </w:rPr>
                              <w:object w:dxaOrig="7820" w:dyaOrig="680">
                                <v:shape id="_x0000_i1105" type="#_x0000_t75" style="width:389.95pt;height:34pt" o:ole="">
                                  <v:imagedata r:id="rId438" o:title=""/>
                                </v:shape>
                                <o:OLEObject Type="Embed" ProgID="Equation.3" ShapeID="_x0000_i1105" DrawAspect="Content" ObjectID="_0000000001" r:id="rId439"/>
                              </w:object>
                            </w:r>
                            <w:r>
                              <w:rPr>
                                <w:bCs/>
                                <w:color w:val="000000"/>
                              </w:rPr>
                              <w:t>;</w:t>
                            </w:r>
                          </w:p>
                        </w:tc>
                        <w:tc>
                          <w:tcPr>
                            <w:tcW w:w="1304"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(2.73)</w:t>
                            </w:r>
                          </w:p>
                        </w:tc>
                      </w:tr>
                    </w:tbl>
                    <w:p>
                      <w:pPr>
                        <w:tabs>
                          <w:tab w:val="left" w:pos="567"/>
                        </w:tabs>
                        <w:jc w:val="both"/>
                        <w:rPr>
                          <w:color w:val="000000"/>
                        </w:rPr>
                      </w:pPr>
                    </w:p>
                    <w:p>
                      <w:pPr>
                        <w:tabs>
                          <w:tab w:val="left" w:pos="567"/>
                        </w:tabs>
                        <w:jc w:val="both"/>
                        <w:rPr>
                          <w:color w:val="000000"/>
                        </w:rPr>
                      </w:pPr>
                    </w:p>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fg5.sum</w:t>
                      </w:r>
                      <w:r>
                        <w:rPr>
                          <w:color w:val="000000"/>
                        </w:rPr>
                        <w:t xml:space="preserve"> – grindų virš nešildomų rūsių suminis plotas (m</w:t>
                      </w:r>
                      <w:r>
                        <w:rPr>
                          <w:color w:val="000000"/>
                          <w:vertAlign w:val="superscript"/>
                        </w:rPr>
                        <w:t>2</w:t>
                      </w:r>
                      <w:r>
                        <w:rPr>
                          <w:color w:val="000000"/>
                        </w:rPr>
                        <w:t xml:space="preserve">). Nustatomas pagal Reglamento 7 priedo reikalavimus; </w:t>
                      </w:r>
                    </w:p>
                    <w:p>
                      <w:pPr>
                        <w:ind w:firstLine="570"/>
                        <w:jc w:val="both"/>
                        <w:rPr>
                          <w:color w:val="000000"/>
                        </w:rPr>
                      </w:pPr>
                      <w:r>
                        <w:rPr>
                          <w:bCs/>
                          <w:i/>
                          <w:color w:val="000000"/>
                        </w:rPr>
                        <w:t>A</w:t>
                      </w:r>
                      <w:r>
                        <w:rPr>
                          <w:bCs/>
                          <w:i/>
                          <w:color w:val="000000"/>
                          <w:vertAlign w:val="subscript"/>
                        </w:rPr>
                        <w:t>fg5,x</w:t>
                      </w:r>
                      <w:r>
                        <w:rPr>
                          <w:color w:val="000000"/>
                        </w:rPr>
                        <w:t xml:space="preserve"> – atitinkamų „</w:t>
                      </w:r>
                      <w:r>
                        <w:rPr>
                          <w:i/>
                          <w:color w:val="000000"/>
                        </w:rPr>
                        <w:t>x</w:t>
                      </w:r>
                      <w:r>
                        <w:rPr>
                          <w:color w:val="000000"/>
                        </w:rPr>
                        <w:t>“ grindų virš nešildomų rūsių plotas (m</w:t>
                      </w:r>
                      <w:r>
                        <w:rPr>
                          <w:color w:val="000000"/>
                          <w:vertAlign w:val="superscript"/>
                        </w:rPr>
                        <w:t>2</w:t>
                      </w:r>
                      <w:r>
                        <w:rPr>
                          <w:color w:val="000000"/>
                        </w:rPr>
                        <w:t xml:space="preserve">). Nustatomas pagal Reglamento 7 priedo reikalavimus; </w:t>
                      </w:r>
                    </w:p>
                    <w:p>
                      <w:pPr>
                        <w:ind w:firstLine="570"/>
                        <w:jc w:val="both"/>
                        <w:rPr>
                          <w:color w:val="000000"/>
                        </w:rPr>
                      </w:pPr>
                      <w:r>
                        <w:rPr>
                          <w:i/>
                          <w:color w:val="000000"/>
                        </w:rPr>
                        <w:t>H</w:t>
                      </w:r>
                      <w:r>
                        <w:rPr>
                          <w:i/>
                          <w:color w:val="000000"/>
                          <w:vertAlign w:val="subscript"/>
                        </w:rPr>
                        <w:t>pe5,x</w:t>
                      </w:r>
                      <w:r>
                        <w:rPr>
                          <w:color w:val="000000"/>
                        </w:rPr>
                        <w:t xml:space="preserve"> – kiekvienų „</w:t>
                      </w:r>
                      <w:r>
                        <w:rPr>
                          <w:i/>
                          <w:color w:val="000000"/>
                        </w:rPr>
                        <w:t>x</w:t>
                      </w:r>
                      <w:r>
                        <w:rPr>
                          <w:color w:val="000000"/>
                        </w:rPr>
                        <w:t>“ grindų virš nešildomų rūsių išoriniai savitieji šilumos nuostoliai. Apskaičiuojami pagal (2.76) formulę;</w:t>
                      </w:r>
                    </w:p>
                    <w:p>
                      <w:pPr>
                        <w:ind w:firstLine="570"/>
                        <w:jc w:val="both"/>
                        <w:rPr>
                          <w:color w:val="000000"/>
                        </w:rPr>
                      </w:pPr>
                      <w:r>
                        <w:rPr>
                          <w:i/>
                          <w:color w:val="000000"/>
                        </w:rPr>
                        <w:t>U</w:t>
                      </w:r>
                      <w:r>
                        <w:rPr>
                          <w:i/>
                          <w:color w:val="000000"/>
                          <w:vertAlign w:val="subscript"/>
                        </w:rPr>
                        <w:t xml:space="preserve">fg5,x </w:t>
                      </w:r>
                      <w:r>
                        <w:rPr>
                          <w:i/>
                          <w:color w:val="000000"/>
                        </w:rPr>
                        <w:t>–</w:t>
                      </w:r>
                      <w:r>
                        <w:rPr>
                          <w:color w:val="000000"/>
                        </w:rPr>
                        <w:t xml:space="preserve"> atitinkamų „</w:t>
                      </w:r>
                      <w:r>
                        <w:rPr>
                          <w:i/>
                          <w:color w:val="000000"/>
                        </w:rPr>
                        <w:t>x</w:t>
                      </w:r>
                      <w:r>
                        <w:rPr>
                          <w:color w:val="000000"/>
                        </w:rPr>
                        <w:t>“ grindų virš vėdinamų pogrindžių šilumos perdavimo koeficientas (W/(m²·K)). Apskaičiuojamas pagal (2.75) formulę;</w:t>
                      </w:r>
                    </w:p>
                    <w:p>
                      <w:pPr>
                        <w:ind w:firstLine="570"/>
                        <w:jc w:val="both"/>
                        <w:rPr>
                          <w:color w:val="000000"/>
                        </w:rPr>
                      </w:pPr>
                      <w:r>
                        <w:rPr>
                          <w:bCs/>
                          <w:i/>
                          <w:color w:val="000000"/>
                        </w:rPr>
                        <w:t>U</w:t>
                      </w:r>
                      <w:r>
                        <w:rPr>
                          <w:bCs/>
                          <w:i/>
                          <w:color w:val="000000"/>
                          <w:vertAlign w:val="subscript"/>
                        </w:rPr>
                        <w:t>(C,B).fg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70"/>
                        <w:jc w:val="both"/>
                        <w:rPr>
                          <w:color w:val="000000"/>
                          <w:spacing w:val="-6"/>
                        </w:rPr>
                      </w:pPr>
                      <w:r>
                        <w:rPr>
                          <w:bCs/>
                          <w:i/>
                          <w:color w:val="000000"/>
                        </w:rPr>
                        <w:t>U</w:t>
                      </w:r>
                      <w:r>
                        <w:rPr>
                          <w:bCs/>
                          <w:i/>
                          <w:color w:val="000000"/>
                          <w:vertAlign w:val="subscript"/>
                        </w:rPr>
                        <w:t>R.fg</w:t>
                      </w:r>
                      <w:r>
                        <w:rPr>
                          <w:color w:val="000000"/>
                        </w:rPr>
                        <w:t xml:space="preserve"> – atitvarų, kurios ribojasi su gruntu,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70"/>
                        <w:jc w:val="both"/>
                        <w:rPr>
                          <w:color w:val="000000"/>
                          <w:spacing w:val="-6"/>
                        </w:rPr>
                      </w:pPr>
                      <w:r>
                        <w:rPr>
                          <w:bCs/>
                          <w:i/>
                          <w:color w:val="000000"/>
                        </w:rPr>
                        <w:t>U</w:t>
                      </w:r>
                      <w:r>
                        <w:rPr>
                          <w:bCs/>
                          <w:i/>
                          <w:color w:val="000000"/>
                          <w:vertAlign w:val="subscript"/>
                        </w:rPr>
                        <w:t>bf,x</w:t>
                      </w:r>
                      <w:r>
                        <w:rPr>
                          <w:color w:val="000000"/>
                        </w:rPr>
                        <w:t xml:space="preserve"> – atitinkamų „</w:t>
                      </w:r>
                      <w:r>
                        <w:rPr>
                          <w:i/>
                          <w:color w:val="000000"/>
                        </w:rPr>
                        <w:t>x</w:t>
                      </w:r>
                      <w:r>
                        <w:rPr>
                          <w:color w:val="000000"/>
                        </w:rPr>
                        <w:t>“ nešildomo rūsio grindų skaičiuojamasis šilumos perdavimo koeficientas (W/</w:t>
                      </w:r>
                      <w:r>
                        <w:rPr>
                          <w:color w:val="000000"/>
                          <w:spacing w:val="-6"/>
                        </w:rPr>
                        <w:t>(m</w:t>
                      </w:r>
                      <w:r>
                        <w:rPr>
                          <w:color w:val="000000"/>
                          <w:spacing w:val="-6"/>
                          <w:vertAlign w:val="superscript"/>
                        </w:rPr>
                        <w:t>2</w:t>
                      </w:r>
                      <w:r>
                        <w:rPr>
                          <w:color w:val="000000"/>
                          <w:spacing w:val="-6"/>
                        </w:rPr>
                        <w:t>·K)). Apskaičiuojamas pagal (2.77) arba (2.78) formulę atsižvelgiant į grindų apšiltinimą;</w:t>
                      </w:r>
                    </w:p>
                    <w:p>
                      <w:pPr>
                        <w:ind w:firstLine="570"/>
                        <w:jc w:val="both"/>
                        <w:rPr>
                          <w:color w:val="000000"/>
                          <w:spacing w:val="-6"/>
                        </w:rPr>
                      </w:pPr>
                      <w:r>
                        <w:rPr>
                          <w:bCs/>
                          <w:i/>
                          <w:color w:val="000000"/>
                        </w:rPr>
                        <w:t>U</w:t>
                      </w:r>
                      <w:r>
                        <w:rPr>
                          <w:bCs/>
                          <w:i/>
                          <w:color w:val="000000"/>
                          <w:vertAlign w:val="subscript"/>
                        </w:rPr>
                        <w:t>bw,x</w:t>
                      </w:r>
                      <w:r>
                        <w:rPr>
                          <w:color w:val="000000"/>
                        </w:rPr>
                        <w:t xml:space="preserve"> – atitinkamų „</w:t>
                      </w:r>
                      <w:r>
                        <w:rPr>
                          <w:i/>
                          <w:color w:val="000000"/>
                        </w:rPr>
                        <w:t>x</w:t>
                      </w:r>
                      <w:r>
                        <w:rPr>
                          <w:color w:val="000000"/>
                        </w:rPr>
                        <w:t>“ nešildomo rūsio sienų skaičiuojamasis šilumos perdavimo koeficientas (W/</w:t>
                      </w:r>
                      <w:r>
                        <w:rPr>
                          <w:color w:val="000000"/>
                          <w:spacing w:val="-6"/>
                        </w:rPr>
                        <w:t>(m</w:t>
                      </w:r>
                      <w:r>
                        <w:rPr>
                          <w:color w:val="000000"/>
                          <w:spacing w:val="-6"/>
                          <w:vertAlign w:val="superscript"/>
                        </w:rPr>
                        <w:t>2</w:t>
                      </w:r>
                      <w:r>
                        <w:rPr>
                          <w:color w:val="000000"/>
                          <w:spacing w:val="-6"/>
                        </w:rPr>
                        <w:t>·K)). Apskaičiuojamas pagal (2.80) formulę;</w:t>
                      </w:r>
                    </w:p>
                    <w:p>
                      <w:pPr>
                        <w:ind w:firstLine="570"/>
                        <w:jc w:val="both"/>
                        <w:rPr>
                          <w:color w:val="000000"/>
                        </w:rPr>
                      </w:pPr>
                      <w:r>
                        <w:rPr>
                          <w:i/>
                          <w:color w:val="000000"/>
                        </w:rPr>
                        <w:t>z</w:t>
                      </w:r>
                      <w:r>
                        <w:rPr>
                          <w:i/>
                          <w:color w:val="000000"/>
                          <w:vertAlign w:val="subscript"/>
                        </w:rPr>
                        <w:t>bf,x</w:t>
                      </w:r>
                      <w:r>
                        <w:rPr>
                          <w:i/>
                          <w:color w:val="000000"/>
                        </w:rPr>
                        <w:t xml:space="preserve"> </w:t>
                      </w:r>
                      <w:r>
                        <w:rPr>
                          <w:color w:val="000000"/>
                        </w:rPr>
                        <w:t>– atitinkamų „</w:t>
                      </w:r>
                      <w:r>
                        <w:rPr>
                          <w:i/>
                          <w:color w:val="000000"/>
                        </w:rPr>
                        <w:t>x</w:t>
                      </w:r>
                      <w:r>
                        <w:rPr>
                          <w:color w:val="000000"/>
                        </w:rPr>
                        <w:t>“ nešildomo rūsio grindų gylis nuo grunto paviršiaus (m). Nustatomas pagal Reglamento 7 priedo reikalavimus;</w:t>
                      </w:r>
                    </w:p>
                    <w:p>
                      <w:pPr>
                        <w:ind w:firstLine="570"/>
                        <w:jc w:val="both"/>
                        <w:rPr>
                          <w:bCs/>
                          <w:color w:val="000000"/>
                        </w:rPr>
                      </w:pPr>
                      <w:r>
                        <w:rPr>
                          <w:bCs/>
                          <w:i/>
                          <w:color w:val="000000"/>
                        </w:rPr>
                        <w:t>β</w:t>
                      </w:r>
                      <w:r>
                        <w:rPr>
                          <w:bCs/>
                          <w:i/>
                          <w:color w:val="000000"/>
                          <w:vertAlign w:val="subscript"/>
                        </w:rPr>
                        <w:t>5,x</w:t>
                      </w:r>
                      <w:r>
                        <w:rPr>
                          <w:bCs/>
                          <w:i/>
                          <w:color w:val="000000"/>
                        </w:rPr>
                        <w:t xml:space="preserve"> </w:t>
                      </w:r>
                      <w:r>
                        <w:rPr>
                          <w:bCs/>
                          <w:color w:val="000000"/>
                        </w:rPr>
                        <w:t xml:space="preserve">– rodiklis, įvertinantis šilumos srauto per atitinkamas </w:t>
                      </w:r>
                      <w:r>
                        <w:rPr>
                          <w:bCs/>
                          <w:i/>
                          <w:color w:val="000000"/>
                        </w:rPr>
                        <w:t>‚x“</w:t>
                      </w:r>
                      <w:r>
                        <w:rPr>
                          <w:bCs/>
                          <w:color w:val="000000"/>
                        </w:rPr>
                        <w:t xml:space="preserve"> grindis virš nešildomų rūsių</w:t>
                      </w:r>
                      <w:r>
                        <w:rPr>
                          <w:color w:val="000000"/>
                        </w:rPr>
                        <w:t xml:space="preserve"> </w:t>
                      </w:r>
                      <w:r>
                        <w:rPr>
                          <w:bCs/>
                          <w:color w:val="000000"/>
                        </w:rPr>
                        <w:t>pokyčio vėlavimą lyginant su išorės oro temperatūros pokyčiu (mėnesiai);</w:t>
                      </w:r>
                    </w:p>
                    <w:p>
                      <w:pPr>
                        <w:ind w:firstLine="570"/>
                        <w:jc w:val="both"/>
                        <w:rPr>
                          <w:bCs/>
                          <w:color w:val="000000"/>
                        </w:rPr>
                      </w:pP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2660" w:dyaOrig="620">
                                <v:shape id="_x0000_i1106" type="#_x0000_t75" style="width:132.65pt;height:31.55pt" o:ole="">
                                  <v:imagedata r:id="rId440" o:title=""/>
                                </v:shape>
                                <o:OLEObject Type="Embed" ProgID="Equation.3" ShapeID="_x0000_i1106" DrawAspect="Content" ObjectID="_0000000001" r:id="rId441"/>
                              </w:object>
                            </w:r>
                            <w:r>
                              <w:rPr>
                                <w:bCs/>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(2.74)</w:t>
                            </w:r>
                          </w:p>
                        </w:tc>
                      </w:tr>
                    </w:tbl>
                    <w:p>
                      <w:pPr>
                        <w:tabs>
                          <w:tab w:val="left" w:pos="567"/>
                        </w:tabs>
                        <w:rPr>
                          <w:bCs/>
                          <w:color w:val="000000"/>
                        </w:rPr>
                      </w:pPr>
                    </w:p>
                    <w:p>
                      <w:pPr>
                        <w:tabs>
                          <w:tab w:val="left" w:pos="567"/>
                        </w:tabs>
                        <w:rPr>
                          <w:bCs/>
                          <w:color w:val="000000"/>
                        </w:rPr>
                      </w:pPr>
                    </w:p>
                    <w:p>
                      <w:pPr>
                        <w:tabs>
                          <w:tab w:val="left" w:pos="567"/>
                        </w:tabs>
                        <w:rPr>
                          <w:rFonts w:eastAsia="Calibri"/>
                          <w:bCs/>
                          <w:color w:val="000000"/>
                          <w:szCs w:val="22"/>
                        </w:rPr>
                      </w:pPr>
                      <w:r>
                        <w:rPr>
                          <w:bCs/>
                          <w:color w:val="000000"/>
                        </w:rPr>
                        <w:t>čia:</w:t>
                        <w:tab/>
                      </w:r>
                      <w:r>
                        <w:rPr>
                          <w:bCs/>
                          <w:i/>
                          <w:color w:val="000000"/>
                        </w:rPr>
                        <w:t>d</w:t>
                      </w:r>
                      <w:r>
                        <w:rPr>
                          <w:bCs/>
                          <w:i/>
                          <w:color w:val="000000"/>
                          <w:vertAlign w:val="subscript"/>
                        </w:rPr>
                        <w:t>t5,x</w:t>
                      </w:r>
                      <w:r>
                        <w:rPr>
                          <w:bCs/>
                          <w:color w:val="000000"/>
                          <w:vertAlign w:val="subscript"/>
                        </w:rPr>
                        <w:t xml:space="preserve"> </w:t>
                      </w:r>
                      <w:r>
                        <w:rPr>
                          <w:bCs/>
                          <w:color w:val="000000"/>
                        </w:rPr>
                        <w:t xml:space="preserve">– apskaičiuojamas pagal </w:t>
                      </w:r>
                      <w:r>
                        <w:rPr>
                          <w:color w:val="000000"/>
                        </w:rPr>
                        <w:t>(2.79) formulę</w:t>
                      </w:r>
                      <w:r>
                        <w:rPr>
                          <w:bCs/>
                          <w:color w:val="000000"/>
                        </w:rPr>
                        <w:t>.</w:t>
                      </w:r>
                    </w:p>
                    <w:p>
                      <w:pPr>
                        <w:ind w:firstLine="567"/>
                        <w:jc w:val="center"/>
                        <w:rPr>
                          <w:color w:val="000000"/>
                        </w:rPr>
                      </w:pPr>
                    </w:p>
                    <w:p>
                      <w:pPr>
                        <w:ind w:firstLine="567"/>
                        <w:rPr>
                          <w:color w:val="000000"/>
                        </w:rPr>
                      </w:pPr>
                      <w:r>
                        <w:rPr>
                          <w:color w:val="000000"/>
                        </w:rPr>
                        <w:t>Atitinkamų „</w:t>
                      </w:r>
                      <w:r>
                        <w:rPr>
                          <w:i/>
                          <w:color w:val="000000"/>
                        </w:rPr>
                        <w:t>x</w:t>
                      </w:r>
                      <w:r>
                        <w:rPr>
                          <w:color w:val="000000"/>
                        </w:rPr>
                        <w:t xml:space="preserve">“ grindų virš nešildomo rūsio </w:t>
                      </w:r>
                      <w:r>
                        <w:rPr>
                          <w:i/>
                          <w:color w:val="000000"/>
                        </w:rPr>
                        <w:t>U</w:t>
                      </w:r>
                      <w:r>
                        <w:rPr>
                          <w:i/>
                          <w:color w:val="000000"/>
                          <w:vertAlign w:val="subscript"/>
                        </w:rPr>
                        <w:t>fg5,x</w:t>
                      </w:r>
                      <w:r>
                        <w:rPr>
                          <w:color w:val="000000"/>
                        </w:rPr>
                        <w:t xml:space="preserve"> (W/(m²·K)) vertė apskaičiuojama taip:</w:t>
                      </w:r>
                    </w:p>
                    <w:p>
                      <w:pPr>
                        <w:ind w:firstLine="567"/>
                        <w:rPr>
                          <w:color w:val="000000"/>
                        </w:rPr>
                      </w:pPr>
                    </w:p>
                    <w:tbl>
                      <w:tblPr>
                        <w:tblW w:w="5000" w:type="pct"/>
                        <w:tblLook w:val="01E0" w:firstRow="1" w:lastRow="1" w:firstColumn="1" w:lastColumn="1" w:noHBand="0" w:noVBand="0"/>
                      </w:tblPr>
                      <w:tblGrid>
                        <w:gridCol w:w="8828"/>
                        <w:gridCol w:w="1168"/>
                      </w:tblGrid>
                      <w:tr>
                        <w:tc>
                          <w:tcPr>
                            <w:tcW w:w="441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62"/>
                                <w:szCs w:val="22"/>
                              </w:rPr>
                              <w:object w:dxaOrig="7820" w:dyaOrig="1060">
                                <v:shape id="_x0000_i1107" type="#_x0000_t75" style="width:389.95pt;height:54.2pt" o:ole="">
                                  <v:imagedata r:id="rId442" o:title=""/>
                                </v:shape>
                                <o:OLEObject Type="Embed" ProgID="Equation.3" ShapeID="_x0000_i1107" DrawAspect="Content" ObjectID="_0000000001" r:id="rId443"/>
                              </w:object>
                            </w:r>
                            <w:r>
                              <w:rPr>
                                <w:bCs/>
                                <w:color w:val="000000"/>
                              </w:rPr>
                              <w:t>;</w:t>
                            </w:r>
                          </w:p>
                        </w:tc>
                        <w:tc>
                          <w:tcPr>
                            <w:tcW w:w="584" w:type="pct"/>
                            <w:vAlign w:val="center"/>
                          </w:tcPr>
                          <w:p>
                            <w:pPr>
                              <w:rPr>
                                <w:color w:val="000000"/>
                                <w:sz w:val="10"/>
                                <w:szCs w:val="10"/>
                              </w:rPr>
                            </w:pPr>
                          </w:p>
                          <w:p>
                            <w:pPr>
                              <w:spacing w:line="360" w:lineRule="auto"/>
                              <w:ind w:left="850" w:hanging="850"/>
                              <w:jc w:val="right"/>
                              <w:rPr>
                                <w:rFonts w:eastAsia="Calibri"/>
                                <w:color w:val="000000"/>
                                <w:szCs w:val="22"/>
                              </w:rPr>
                            </w:pPr>
                            <w:r>
                              <w:rPr>
                                <w:bCs/>
                                <w:color w:val="000000"/>
                              </w:rPr>
                              <w:t>(2.75)</w:t>
                            </w:r>
                          </w:p>
                        </w:tc>
                      </w:tr>
                    </w:tbl>
                    <w:p>
                      <w:pPr>
                        <w:tabs>
                          <w:tab w:val="left" w:pos="567"/>
                        </w:tabs>
                        <w:jc w:val="both"/>
                        <w:rPr>
                          <w:color w:val="000000"/>
                        </w:rPr>
                      </w:pPr>
                    </w:p>
                    <w:p>
                      <w:pPr>
                        <w:tabs>
                          <w:tab w:val="left" w:pos="567"/>
                        </w:tabs>
                        <w:jc w:val="both"/>
                        <w:rPr>
                          <w:color w:val="000000"/>
                        </w:rPr>
                      </w:pPr>
                    </w:p>
                    <w:p>
                      <w:pPr>
                        <w:tabs>
                          <w:tab w:val="left" w:pos="567"/>
                        </w:tabs>
                        <w:jc w:val="both"/>
                        <w:rPr>
                          <w:rFonts w:eastAsia="Calibri"/>
                          <w:color w:val="000000"/>
                          <w:szCs w:val="22"/>
                        </w:rPr>
                      </w:pPr>
                      <w:r>
                        <w:rPr>
                          <w:color w:val="000000"/>
                        </w:rPr>
                        <w:t>čia:</w:t>
                        <w:tab/>
                      </w:r>
                      <w:r>
                        <w:rPr>
                          <w:i/>
                          <w:color w:val="000000"/>
                        </w:rPr>
                        <w:t>n</w:t>
                      </w:r>
                      <w:r>
                        <w:rPr>
                          <w:i/>
                          <w:color w:val="000000"/>
                          <w:vertAlign w:val="subscript"/>
                        </w:rPr>
                        <w:t>x</w:t>
                      </w:r>
                      <w:r>
                        <w:rPr>
                          <w:color w:val="000000"/>
                        </w:rPr>
                        <w:t xml:space="preserve"> – oro pasikeitimo dažnis atitinkamame </w:t>
                      </w:r>
                      <w:r>
                        <w:rPr>
                          <w:i/>
                          <w:color w:val="000000"/>
                        </w:rPr>
                        <w:t>„x“</w:t>
                      </w:r>
                      <w:r>
                        <w:rPr>
                          <w:color w:val="000000"/>
                        </w:rPr>
                        <w:t xml:space="preserve"> nešildomame rūsyje (h</w:t>
                      </w:r>
                      <w:r>
                        <w:rPr>
                          <w:color w:val="000000"/>
                          <w:vertAlign w:val="superscript"/>
                        </w:rPr>
                        <w:t>-1</w:t>
                      </w:r>
                      <w:r>
                        <w:rPr>
                          <w:color w:val="000000"/>
                        </w:rPr>
                        <w:t xml:space="preserve">). Nesant duomenų, imama </w:t>
                      </w:r>
                      <w:r>
                        <w:rPr>
                          <w:i/>
                          <w:color w:val="000000"/>
                        </w:rPr>
                        <w:t>n</w:t>
                      </w:r>
                      <w:r>
                        <w:rPr>
                          <w:color w:val="000000"/>
                        </w:rPr>
                        <w:t>=0,3 h</w:t>
                      </w:r>
                      <w:r>
                        <w:rPr>
                          <w:color w:val="000000"/>
                          <w:vertAlign w:val="superscript"/>
                        </w:rPr>
                        <w:t>-1</w:t>
                      </w:r>
                      <w:r>
                        <w:rPr>
                          <w:color w:val="000000"/>
                        </w:rPr>
                        <w:t>;</w:t>
                      </w:r>
                    </w:p>
                    <w:p>
                      <w:pPr>
                        <w:ind w:firstLine="567"/>
                        <w:jc w:val="both"/>
                        <w:rPr>
                          <w:color w:val="000000"/>
                        </w:rPr>
                      </w:pPr>
                      <w:r>
                        <w:rPr>
                          <w:i/>
                          <w:color w:val="000000"/>
                        </w:rPr>
                        <w:t>V</w:t>
                      </w:r>
                      <w:r>
                        <w:rPr>
                          <w:i/>
                          <w:color w:val="000000"/>
                          <w:vertAlign w:val="subscript"/>
                        </w:rPr>
                        <w:t>5,x</w:t>
                      </w:r>
                      <w:r>
                        <w:rPr>
                          <w:color w:val="000000"/>
                        </w:rPr>
                        <w:t xml:space="preserve"> – atitinkamo </w:t>
                      </w:r>
                      <w:r>
                        <w:rPr>
                          <w:i/>
                          <w:color w:val="000000"/>
                        </w:rPr>
                        <w:t>„x“</w:t>
                      </w:r>
                      <w:r>
                        <w:rPr>
                          <w:color w:val="000000"/>
                        </w:rPr>
                        <w:t xml:space="preserve"> nešildomo rūsio patalpų tūris (m³). Nustatomas pagal Reglamento 7 priedo reikalavimus.</w:t>
                      </w:r>
                    </w:p>
                    <w:p>
                      <w:pPr>
                        <w:ind w:firstLine="186"/>
                        <w:jc w:val="both"/>
                        <w:rPr>
                          <w:color w:val="000000"/>
                        </w:rPr>
                      </w:pPr>
                    </w:p>
                    <w:p>
                      <w:pPr>
                        <w:ind w:firstLine="567"/>
                        <w:jc w:val="both"/>
                        <w:rPr>
                          <w:color w:val="000000"/>
                        </w:rPr>
                      </w:pPr>
                      <w:r>
                        <w:rPr>
                          <w:color w:val="000000"/>
                        </w:rPr>
                        <w:t>Atitinkamų „</w:t>
                      </w:r>
                      <w:r>
                        <w:rPr>
                          <w:i/>
                          <w:color w:val="000000"/>
                        </w:rPr>
                        <w:t>x</w:t>
                      </w:r>
                      <w:r>
                        <w:rPr>
                          <w:color w:val="000000"/>
                        </w:rPr>
                        <w:t>“ grindų virš nešildomo rūsio išoriniai savitieji šilumos nuostoliai</w:t>
                      </w:r>
                      <w:r>
                        <w:rPr>
                          <w:i/>
                          <w:color w:val="000000"/>
                        </w:rPr>
                        <w:t xml:space="preserve"> H</w:t>
                      </w:r>
                      <w:r>
                        <w:rPr>
                          <w:i/>
                          <w:color w:val="000000"/>
                          <w:vertAlign w:val="subscript"/>
                        </w:rPr>
                        <w:t xml:space="preserve">pe5,x </w:t>
                      </w:r>
                      <w:r>
                        <w:rPr>
                          <w:color w:val="000000"/>
                        </w:rPr>
                        <w:t xml:space="preserve"> (W/K) apskaičiuojami pagal formulę:</w:t>
                      </w:r>
                    </w:p>
                    <w:p>
                      <w:pPr>
                        <w:ind w:firstLine="567"/>
                        <w:jc w:val="both"/>
                        <w:rPr>
                          <w:color w:val="000000"/>
                        </w:rPr>
                      </w:pPr>
                    </w:p>
                    <w:tbl>
                      <w:tblPr>
                        <w:tblW w:w="5000" w:type="pct"/>
                        <w:tblLook w:val="01E0" w:firstRow="1" w:lastRow="1" w:firstColumn="1" w:lastColumn="1" w:noHBand="0" w:noVBand="0"/>
                      </w:tblPr>
                      <w:tblGrid>
                        <w:gridCol w:w="9224"/>
                        <w:gridCol w:w="772"/>
                      </w:tblGrid>
                      <w:tr>
                        <w:tc>
                          <w:tcPr>
                            <w:tcW w:w="4614" w:type="pct"/>
                            <w:hideMark/>
                          </w:tcPr>
                          <w:p>
                            <w:pPr>
                              <w:spacing w:line="276" w:lineRule="auto"/>
                              <w:jc w:val="center"/>
                              <w:rPr>
                                <w:rFonts w:eastAsia="Calibri"/>
                                <w:color w:val="000000"/>
                                <w:szCs w:val="22"/>
                              </w:rPr>
                            </w:pPr>
                            <w:r>
                              <w:rPr>
                                <w:rFonts w:eastAsia="Calibri"/>
                                <w:color w:val="000000"/>
                                <w:position w:val="-52"/>
                                <w:szCs w:val="22"/>
                              </w:rPr>
                              <w:object w:dxaOrig="8260" w:dyaOrig="1420">
                                <v:shape id="_x0000_i1108" type="#_x0000_t75" style="width:414.2pt;height:71.2pt" o:ole="">
                                  <v:imagedata r:id="rId444" o:title=""/>
                                </v:shape>
                                <o:OLEObject Type="Embed" ProgID="Equation.3" ShapeID="_x0000_i1108" DrawAspect="Content" ObjectID="_0000000001" r:id="rId445"/>
                              </w:object>
                            </w:r>
                            <w:r>
                              <w:rPr>
                                <w:color w:val="000000"/>
                              </w:rPr>
                              <w:t>.</w:t>
                            </w:r>
                          </w:p>
                        </w:tc>
                        <w:tc>
                          <w:tcPr>
                            <w:tcW w:w="386" w:type="pct"/>
                            <w:vAlign w:val="center"/>
                            <w:hideMark/>
                          </w:tcPr>
                          <w:p>
                            <w:pPr>
                              <w:spacing w:line="276" w:lineRule="auto"/>
                              <w:ind w:left="-57"/>
                              <w:jc w:val="right"/>
                              <w:rPr>
                                <w:rFonts w:eastAsia="Calibri"/>
                                <w:color w:val="000000"/>
                                <w:szCs w:val="22"/>
                              </w:rPr>
                            </w:pPr>
                            <w:r>
                              <w:rPr>
                                <w:color w:val="000000"/>
                              </w:rPr>
                              <w:t>(2.76)</w:t>
                            </w:r>
                          </w:p>
                        </w:tc>
                      </w:tr>
                    </w:tbl>
                    <w:p>
                      <w:pPr>
                        <w:ind w:firstLine="567"/>
                        <w:jc w:val="both"/>
                        <w:rPr>
                          <w:color w:val="000000"/>
                        </w:rPr>
                      </w:pPr>
                    </w:p>
                    <w:p>
                      <w:pPr>
                        <w:ind w:firstLine="567"/>
                        <w:jc w:val="both"/>
                        <w:rPr>
                          <w:rFonts w:eastAsia="Calibri"/>
                          <w:color w:val="000000"/>
                          <w:szCs w:val="22"/>
                        </w:rPr>
                      </w:pPr>
                      <w:r>
                        <w:rPr>
                          <w:color w:val="000000"/>
                        </w:rPr>
                        <w:t>Atitinkamų „</w:t>
                      </w:r>
                      <w:r>
                        <w:rPr>
                          <w:i/>
                          <w:color w:val="000000"/>
                        </w:rPr>
                        <w:t>x</w:t>
                      </w:r>
                      <w:r>
                        <w:rPr>
                          <w:color w:val="000000"/>
                        </w:rPr>
                        <w:t xml:space="preserve">“ nešildomo rūsio grindų šilumos perdavimo koeficientas </w:t>
                      </w:r>
                      <w:r>
                        <w:rPr>
                          <w:i/>
                          <w:color w:val="000000"/>
                        </w:rPr>
                        <w:t>U</w:t>
                      </w:r>
                      <w:r>
                        <w:rPr>
                          <w:i/>
                          <w:color w:val="000000"/>
                          <w:vertAlign w:val="subscript"/>
                        </w:rPr>
                        <w:t>bf,x</w:t>
                      </w:r>
                      <w:r>
                        <w:rPr>
                          <w:color w:val="000000"/>
                        </w:rPr>
                        <w:t xml:space="preserve">  apskaičiuojamas pagal formules:</w:t>
                      </w:r>
                    </w:p>
                    <w:p>
                      <w:pPr>
                        <w:ind w:firstLine="567"/>
                        <w:rPr>
                          <w:color w:val="000000"/>
                        </w:rPr>
                      </w:pPr>
                      <w:r>
                        <w:rPr>
                          <w:color w:val="000000"/>
                        </w:rPr>
                        <w:t>a) neapšiltintų arba mažai apšiltintų rūsio grindų (</w:t>
                      </w:r>
                      <w:r>
                        <w:rPr>
                          <w:i/>
                          <w:color w:val="000000"/>
                        </w:rPr>
                        <w:t>d</w:t>
                      </w:r>
                      <w:r>
                        <w:rPr>
                          <w:i/>
                          <w:color w:val="000000"/>
                          <w:vertAlign w:val="subscript"/>
                        </w:rPr>
                        <w:t>t5,x</w:t>
                      </w:r>
                      <w:r>
                        <w:rPr>
                          <w:i/>
                          <w:color w:val="000000"/>
                        </w:rPr>
                        <w:t xml:space="preserve"> + 0,5·z</w:t>
                      </w:r>
                      <w:r>
                        <w:rPr>
                          <w:i/>
                          <w:color w:val="000000"/>
                          <w:vertAlign w:val="subscript"/>
                        </w:rPr>
                        <w:t>bf,x</w:t>
                      </w:r>
                      <w:r>
                        <w:rPr>
                          <w:i/>
                          <w:color w:val="000000"/>
                        </w:rPr>
                        <w:t xml:space="preserve"> &lt; B′</w:t>
                      </w:r>
                      <w:r>
                        <w:rPr>
                          <w:i/>
                          <w:color w:val="000000"/>
                          <w:vertAlign w:val="subscript"/>
                        </w:rPr>
                        <w:t>5,x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position w:val="-34"/>
                              </w:rPr>
                              <w:object w:dxaOrig="5320" w:dyaOrig="840">
                                <v:shape id="_x0000_i1109" type="#_x0000_t75" style="width:266.15pt;height:42.05pt" o:ole="">
                                  <v:imagedata r:id="rId446" o:title=""/>
                                </v:shape>
                                <o:OLEObject Type="Embed" ProgID="Equation.3" ShapeID="_x0000_i1109" DrawAspect="Content" ObjectID="_0000000001" r:id="rId447"/>
                              </w:object>
                            </w:r>
                          </w:p>
                        </w:tc>
                        <w:tc>
                          <w:tcPr>
                            <w:tcW w:w="1003" w:type="dxa"/>
                            <w:vAlign w:val="center"/>
                          </w:tcPr>
                          <w:p>
                            <w:pPr>
                              <w:rPr>
                                <w:color w:val="000000"/>
                                <w:sz w:val="10"/>
                                <w:szCs w:val="10"/>
                              </w:rPr>
                            </w:pPr>
                          </w:p>
                          <w:p>
                            <w:pPr>
                              <w:spacing w:line="360" w:lineRule="auto"/>
                              <w:ind w:left="850" w:hanging="850"/>
                              <w:jc w:val="right"/>
                              <w:rPr>
                                <w:color w:val="000000"/>
                              </w:rPr>
                            </w:pPr>
                          </w:p>
                          <w:p>
                            <w:pPr>
                              <w:spacing w:line="360" w:lineRule="auto"/>
                              <w:ind w:left="850" w:hanging="788"/>
                              <w:jc w:val="center"/>
                              <w:rPr>
                                <w:rFonts w:eastAsia="Calibri"/>
                                <w:color w:val="000000"/>
                                <w:szCs w:val="22"/>
                              </w:rPr>
                            </w:pPr>
                            <w:r>
                              <w:rPr>
                                <w:color w:val="000000"/>
                              </w:rPr>
                              <w:t>(2.77)</w:t>
                            </w:r>
                          </w:p>
                        </w:tc>
                      </w:tr>
                    </w:tbl>
                    <w:p>
                      <w:pPr>
                        <w:rPr>
                          <w:color w:val="000000"/>
                        </w:rPr>
                      </w:pPr>
                    </w:p>
                    <w:p>
                      <w:pPr>
                        <w:rPr>
                          <w:color w:val="000000"/>
                        </w:rPr>
                      </w:pPr>
                    </w:p>
                    <w:p>
                      <w:pPr>
                        <w:ind w:firstLine="567"/>
                        <w:rPr>
                          <w:rFonts w:eastAsia="Calibri"/>
                          <w:color w:val="000000"/>
                          <w:szCs w:val="22"/>
                        </w:rPr>
                      </w:pPr>
                      <w:r>
                        <w:rPr>
                          <w:color w:val="000000"/>
                        </w:rPr>
                        <w:t>b) gerai apšiltintų rūsio grindų (</w:t>
                      </w:r>
                      <w:r>
                        <w:rPr>
                          <w:i/>
                          <w:color w:val="000000"/>
                        </w:rPr>
                        <w:t>d</w:t>
                      </w:r>
                      <w:r>
                        <w:rPr>
                          <w:i/>
                          <w:color w:val="000000"/>
                          <w:vertAlign w:val="subscript"/>
                        </w:rPr>
                        <w:t>t5,x</w:t>
                      </w:r>
                      <w:r>
                        <w:rPr>
                          <w:i/>
                          <w:color w:val="000000"/>
                        </w:rPr>
                        <w:t xml:space="preserve"> + 0,5·z</w:t>
                      </w:r>
                      <w:r>
                        <w:rPr>
                          <w:i/>
                          <w:color w:val="000000"/>
                          <w:vertAlign w:val="subscript"/>
                        </w:rPr>
                        <w:t>bf,x</w:t>
                      </w:r>
                      <w:r>
                        <w:rPr>
                          <w:i/>
                          <w:color w:val="000000"/>
                        </w:rPr>
                        <w:t xml:space="preserve"> ≥ B</w:t>
                      </w:r>
                      <w:r>
                        <w:rPr>
                          <w:color w:val="000000"/>
                        </w:rPr>
                        <w:t>′</w:t>
                      </w:r>
                      <w:r>
                        <w:rPr>
                          <w:i/>
                          <w:color w:val="000000"/>
                          <w:vertAlign w:val="subscript"/>
                        </w:rPr>
                        <w:t>5,x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szCs w:val="22"/>
                              </w:rPr>
                              <w:object w:dxaOrig="3390" w:dyaOrig="730">
                                <v:shape id="_x0000_i1110" type="#_x0000_t75" style="width:170.7pt;height:37.2pt" o:ole="">
                                  <v:imagedata r:id="rId448" o:title=""/>
                                </v:shape>
                                <o:OLEObject Type="Embed" ProgID="Equation.3" ShapeID="_x0000_i1110" DrawAspect="Content" ObjectID="_0000000001" r:id="rId449"/>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(2.78)</w:t>
                            </w:r>
                          </w:p>
                        </w:tc>
                      </w:tr>
                    </w:tbl>
                    <w:p>
                      <w:pPr>
                        <w:ind w:firstLine="567"/>
                        <w:rPr>
                          <w:rFonts w:eastAsia="Calibri"/>
                          <w:color w:val="000000"/>
                          <w:szCs w:val="22"/>
                        </w:rPr>
                      </w:pPr>
                      <w:r>
                        <w:rPr>
                          <w:color w:val="000000"/>
                        </w:rPr>
                        <w:t>Atitinkamų „</w:t>
                      </w:r>
                      <w:r>
                        <w:rPr>
                          <w:i/>
                          <w:color w:val="000000"/>
                        </w:rPr>
                        <w:t>x</w:t>
                      </w:r>
                      <w:r>
                        <w:rPr>
                          <w:color w:val="000000"/>
                        </w:rPr>
                        <w:t xml:space="preserve">“ rūsio grindų atstojamasis storis </w:t>
                      </w:r>
                      <w:r>
                        <w:rPr>
                          <w:i/>
                          <w:color w:val="000000"/>
                        </w:rPr>
                        <w:t>d</w:t>
                      </w:r>
                      <w:r>
                        <w:rPr>
                          <w:i/>
                          <w:color w:val="000000"/>
                          <w:vertAlign w:val="subscript"/>
                        </w:rPr>
                        <w:t>t5,x</w:t>
                      </w:r>
                      <w:r>
                        <w:rPr>
                          <w:color w:val="000000"/>
                        </w:rPr>
                        <w:t xml:space="preserve"> apskaičiuojamas:</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3090" w:dyaOrig="380">
                                <v:shape id="_x0000_i1111" type="#_x0000_t75" style="width:154.5pt;height:17.8pt" o:ole="">
                                  <v:imagedata r:id="rId450" o:title=""/>
                                </v:shape>
                                <o:OLEObject Type="Embed" ProgID="Equation.3" ShapeID="_x0000_i1111" DrawAspect="Content" ObjectID="_0000000001" r:id="rId451"/>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(2.79)</w:t>
                            </w:r>
                          </w:p>
                        </w:tc>
                      </w:tr>
                    </w:tbl>
                    <w:p>
                      <w:pPr>
                        <w:tabs>
                          <w:tab w:val="left" w:pos="567"/>
                        </w:tabs>
                        <w:jc w:val="both"/>
                        <w:rPr>
                          <w:color w:val="000000"/>
                        </w:rPr>
                      </w:pPr>
                    </w:p>
                    <w:p>
                      <w:pPr>
                        <w:tabs>
                          <w:tab w:val="left" w:pos="567"/>
                        </w:tabs>
                        <w:jc w:val="both"/>
                        <w:rPr>
                          <w:rFonts w:eastAsia="Calibri"/>
                          <w:color w:val="000000"/>
                          <w:szCs w:val="22"/>
                        </w:rPr>
                      </w:pPr>
                      <w:r>
                        <w:rPr>
                          <w:color w:val="000000"/>
                        </w:rPr>
                        <w:t>čia:</w:t>
                        <w:tab/>
                      </w:r>
                      <w:r>
                        <w:rPr>
                          <w:i/>
                          <w:color w:val="000000"/>
                        </w:rPr>
                        <w:t>R</w:t>
                      </w:r>
                      <w:r>
                        <w:rPr>
                          <w:i/>
                          <w:color w:val="000000"/>
                          <w:vertAlign w:val="subscript"/>
                        </w:rPr>
                        <w:t>bf,x</w:t>
                      </w:r>
                      <w:r>
                        <w:rPr>
                          <w:i/>
                          <w:color w:val="000000"/>
                        </w:rPr>
                        <w:t xml:space="preserve"> </w:t>
                      </w:r>
                      <w:r>
                        <w:rPr>
                          <w:color w:val="000000"/>
                        </w:rPr>
                        <w:t>– atitinkamų „</w:t>
                      </w:r>
                      <w:r>
                        <w:rPr>
                          <w:i/>
                          <w:color w:val="000000"/>
                        </w:rPr>
                        <w:t>x</w:t>
                      </w:r>
                      <w:r>
                        <w:rPr>
                          <w:color w:val="000000"/>
                        </w:rPr>
                        <w:t>“ rūsio grindų (su termoizoliaciniu sluoksniu) suminė varža (m</w:t>
                      </w:r>
                      <w:r>
                        <w:rPr>
                          <w:color w:val="000000"/>
                          <w:vertAlign w:val="superscript"/>
                        </w:rPr>
                        <w:t>2</w:t>
                      </w:r>
                      <w:r>
                        <w:rPr>
                          <w:color w:val="000000"/>
                        </w:rPr>
                        <w:t xml:space="preserve">·K/W). Apskaičiuojant </w:t>
                      </w:r>
                      <w:r>
                        <w:rPr>
                          <w:i/>
                          <w:color w:val="000000"/>
                        </w:rPr>
                        <w:t>R</w:t>
                      </w:r>
                      <w:r>
                        <w:rPr>
                          <w:i/>
                          <w:color w:val="000000"/>
                          <w:vertAlign w:val="subscript"/>
                        </w:rPr>
                        <w:t>bf,x</w:t>
                      </w:r>
                      <w:r>
                        <w:rPr>
                          <w:color w:val="000000"/>
                        </w:rPr>
                        <w:t>,</w:t>
                      </w:r>
                      <w:r>
                        <w:rPr>
                          <w:i/>
                          <w:color w:val="000000"/>
                        </w:rPr>
                        <w:t xml:space="preserve"> g</w:t>
                      </w:r>
                      <w:r>
                        <w:rPr>
                          <w:color w:val="000000"/>
                        </w:rPr>
                        <w:t>alima nevertinti grindų betoninės plokštės ir plonos grindų dangos. Išlyginamojo grunto pasluoksnio λ imamas toks kaip ir grunto, todėl jo šiluminė varža taip pat nevertinama.</w:t>
                      </w:r>
                    </w:p>
                    <w:p>
                      <w:pPr>
                        <w:ind w:firstLine="567"/>
                        <w:jc w:val="both"/>
                        <w:rPr>
                          <w:color w:val="000000"/>
                        </w:rPr>
                      </w:pPr>
                      <w:r>
                        <w:rPr>
                          <w:color w:val="000000"/>
                        </w:rPr>
                        <w:t>Atitinkamų „</w:t>
                      </w:r>
                      <w:r>
                        <w:rPr>
                          <w:i/>
                          <w:color w:val="000000"/>
                        </w:rPr>
                        <w:t>x</w:t>
                      </w:r>
                      <w:r>
                        <w:rPr>
                          <w:color w:val="000000"/>
                        </w:rPr>
                        <w:t xml:space="preserve">“ nešildomo rūsio sienų šilumos perdavimo koeficientas </w:t>
                      </w:r>
                      <w:r>
                        <w:rPr>
                          <w:i/>
                          <w:color w:val="000000"/>
                        </w:rPr>
                        <w:t>U</w:t>
                      </w:r>
                      <w:r>
                        <w:rPr>
                          <w:i/>
                          <w:color w:val="000000"/>
                          <w:vertAlign w:val="subscript"/>
                        </w:rPr>
                        <w:t>bw,x</w:t>
                      </w:r>
                      <w:r>
                        <w:rPr>
                          <w:color w:val="000000"/>
                        </w:rPr>
                        <w:t xml:space="preserve"> apskaičiuojamas pagal formulę:</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4"/>
                                <w:szCs w:val="22"/>
                              </w:rPr>
                              <w:object w:dxaOrig="4260" w:dyaOrig="840">
                                <v:shape id="_x0000_i1112" type="#_x0000_t75" style="width:211.95pt;height:42.05pt" o:ole="">
                                  <v:imagedata r:id="rId452" o:title=""/>
                                </v:shape>
                                <o:OLEObject Type="Embed" ProgID="Equation.3" ShapeID="_x0000_i1112" DrawAspect="Content" ObjectID="_0000000001" r:id="rId453"/>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(2.80)</w:t>
                            </w:r>
                          </w:p>
                        </w:tc>
                      </w:tr>
                    </w:tbl>
                    <w:p>
                      <w:pPr>
                        <w:ind w:firstLine="567"/>
                        <w:jc w:val="right"/>
                        <w:rPr>
                          <w:rFonts w:eastAsia="Calibri"/>
                          <w:color w:val="000000"/>
                          <w:szCs w:val="22"/>
                        </w:rPr>
                      </w:pPr>
                    </w:p>
                    <w:p>
                      <w:pPr>
                        <w:ind w:firstLine="567"/>
                        <w:rPr>
                          <w:color w:val="000000"/>
                        </w:rPr>
                      </w:pPr>
                      <w:r>
                        <w:rPr>
                          <w:color w:val="000000"/>
                        </w:rPr>
                        <w:t xml:space="preserve">(2.80) </w:t>
                      </w:r>
                      <w:r>
                        <w:rPr>
                          <w:bCs/>
                          <w:color w:val="000000"/>
                        </w:rPr>
                        <w:t>formulė naudojama</w:t>
                      </w:r>
                      <w:r>
                        <w:rPr>
                          <w:color w:val="000000"/>
                        </w:rPr>
                        <w:t xml:space="preserve">, kai </w:t>
                      </w:r>
                      <w:r>
                        <w:rPr>
                          <w:i/>
                          <w:color w:val="000000"/>
                        </w:rPr>
                        <w:t>d</w:t>
                      </w:r>
                      <w:r>
                        <w:rPr>
                          <w:i/>
                          <w:color w:val="000000"/>
                          <w:vertAlign w:val="subscript"/>
                        </w:rPr>
                        <w:t>w,x</w:t>
                      </w:r>
                      <w:r>
                        <w:rPr>
                          <w:i/>
                          <w:color w:val="000000"/>
                        </w:rPr>
                        <w:t xml:space="preserve"> </w:t>
                      </w:r>
                      <w:r>
                        <w:rPr>
                          <w:i/>
                          <w:iCs/>
                          <w:color w:val="000000"/>
                        </w:rPr>
                        <w:t>≥</w:t>
                      </w:r>
                      <w:r>
                        <w:rPr>
                          <w:i/>
                          <w:color w:val="000000"/>
                        </w:rPr>
                        <w:t xml:space="preserve"> d</w:t>
                      </w:r>
                      <w:r>
                        <w:rPr>
                          <w:i/>
                          <w:color w:val="000000"/>
                          <w:vertAlign w:val="subscript"/>
                        </w:rPr>
                        <w:t>t5,x</w:t>
                      </w:r>
                      <w:r>
                        <w:rPr>
                          <w:color w:val="000000"/>
                        </w:rPr>
                        <w:t xml:space="preserve">. Jei </w:t>
                      </w:r>
                      <w:r>
                        <w:rPr>
                          <w:i/>
                          <w:color w:val="000000"/>
                        </w:rPr>
                        <w:t>d</w:t>
                      </w:r>
                      <w:r>
                        <w:rPr>
                          <w:i/>
                          <w:color w:val="000000"/>
                          <w:vertAlign w:val="subscript"/>
                        </w:rPr>
                        <w:t>w,x</w:t>
                      </w:r>
                      <w:r>
                        <w:rPr>
                          <w:i/>
                          <w:color w:val="000000"/>
                        </w:rPr>
                        <w:t xml:space="preserve"> &lt; d</w:t>
                      </w:r>
                      <w:r>
                        <w:rPr>
                          <w:i/>
                          <w:color w:val="000000"/>
                          <w:vertAlign w:val="subscript"/>
                        </w:rPr>
                        <w:t>t5,x</w:t>
                      </w:r>
                      <w:r>
                        <w:rPr>
                          <w:color w:val="000000"/>
                        </w:rPr>
                        <w:t xml:space="preserve">, taivietoje </w:t>
                      </w:r>
                      <w:r>
                        <w:rPr>
                          <w:i/>
                          <w:color w:val="000000"/>
                        </w:rPr>
                        <w:t>d</w:t>
                      </w:r>
                      <w:r>
                        <w:rPr>
                          <w:i/>
                          <w:color w:val="000000"/>
                          <w:vertAlign w:val="subscript"/>
                        </w:rPr>
                        <w:t>t5,x</w:t>
                      </w:r>
                      <w:r>
                        <w:rPr>
                          <w:color w:val="000000"/>
                        </w:rPr>
                        <w:t xml:space="preserve"> imama </w:t>
                      </w:r>
                      <w:r>
                        <w:rPr>
                          <w:i/>
                          <w:color w:val="000000"/>
                        </w:rPr>
                        <w:t>d</w:t>
                      </w:r>
                      <w:r>
                        <w:rPr>
                          <w:i/>
                          <w:color w:val="000000"/>
                          <w:vertAlign w:val="subscript"/>
                        </w:rPr>
                        <w:t>w,x</w:t>
                      </w:r>
                      <w:r>
                        <w:rPr>
                          <w:color w:val="000000"/>
                        </w:rPr>
                        <w:t>:</w:t>
                      </w:r>
                    </w:p>
                    <w:tbl>
                      <w:tblPr>
                        <w:tblW w:w="0" w:type="auto"/>
                        <w:tblLook w:val="01E0" w:firstRow="1" w:lastRow="1" w:firstColumn="1" w:lastColumn="1" w:noHBand="0" w:noVBand="0"/>
                      </w:tblPr>
                      <w:tblGrid>
                        <w:gridCol w:w="8567"/>
                        <w:gridCol w:w="1003"/>
                      </w:tblGrid>
                      <w:tr>
                        <w:tc>
                          <w:tcPr>
                            <w:tcW w:w="8567"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2670" w:dyaOrig="380">
                                <v:shape id="_x0000_i1113" type="#_x0000_t75" style="width:133.5pt;height:17.8pt" o:ole="">
                                  <v:imagedata r:id="rId454" o:title=""/>
                                </v:shape>
                                <o:OLEObject Type="Embed" ProgID="Equation.3" ShapeID="_x0000_i1113" DrawAspect="Content" ObjectID="_0000000001" r:id="rId455"/>
                              </w:object>
                            </w:r>
                            <w:r>
                              <w:rPr>
                                <w:color w:val="000000"/>
                              </w:rPr>
                              <w:t>;</w:t>
                            </w:r>
                          </w:p>
                        </w:tc>
                        <w:tc>
                          <w:tcPr>
                            <w:tcW w:w="1003"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(2.81)</w:t>
                            </w:r>
                          </w:p>
                        </w:tc>
                      </w:tr>
                    </w:tbl>
                    <w:p>
                      <w:pPr>
                        <w:tabs>
                          <w:tab w:val="left" w:pos="567"/>
                        </w:tabs>
                        <w:rPr>
                          <w:color w:val="000000"/>
                        </w:rPr>
                      </w:pPr>
                    </w:p>
                    <w:p>
                      <w:pPr>
                        <w:tabs>
                          <w:tab w:val="left" w:pos="567"/>
                        </w:tabs>
                        <w:rPr>
                          <w:color w:val="000000"/>
                        </w:rPr>
                      </w:pPr>
                    </w:p>
                    <w:p>
                      <w:pPr>
                        <w:tabs>
                          <w:tab w:val="left" w:pos="567"/>
                        </w:tabs>
                        <w:rPr>
                          <w:rFonts w:eastAsia="Calibri"/>
                          <w:color w:val="000000"/>
                          <w:szCs w:val="22"/>
                        </w:rPr>
                      </w:pPr>
                      <w:r>
                        <w:rPr>
                          <w:color w:val="000000"/>
                        </w:rPr>
                        <w:t>čia:</w:t>
                        <w:tab/>
                      </w:r>
                      <w:r>
                        <w:rPr>
                          <w:i/>
                          <w:color w:val="000000"/>
                        </w:rPr>
                        <w:t>d</w:t>
                      </w:r>
                      <w:r>
                        <w:rPr>
                          <w:i/>
                          <w:color w:val="000000"/>
                          <w:vertAlign w:val="subscript"/>
                        </w:rPr>
                        <w:t>w,x</w:t>
                      </w:r>
                      <w:r>
                        <w:rPr>
                          <w:color w:val="000000"/>
                        </w:rPr>
                        <w:t xml:space="preserve"> – atstojamasis rūsio požeminės dalies sienos storis (m);</w:t>
                      </w:r>
                    </w:p>
                    <w:p>
                      <w:pPr>
                        <w:ind w:firstLine="567"/>
                        <w:rPr>
                          <w:color w:val="000000"/>
                        </w:rPr>
                      </w:pPr>
                      <w:r>
                        <w:rPr>
                          <w:i/>
                          <w:color w:val="000000"/>
                        </w:rPr>
                        <w:t>R</w:t>
                      </w:r>
                      <w:r>
                        <w:rPr>
                          <w:i/>
                          <w:color w:val="000000"/>
                          <w:vertAlign w:val="subscript"/>
                        </w:rPr>
                        <w:t>bw,x</w:t>
                      </w:r>
                      <w:r>
                        <w:rPr>
                          <w:i/>
                          <w:color w:val="000000"/>
                        </w:rPr>
                        <w:t xml:space="preserve"> </w:t>
                      </w:r>
                      <w:r>
                        <w:rPr>
                          <w:color w:val="000000"/>
                        </w:rPr>
                        <w:t>– atitinkamų „</w:t>
                      </w:r>
                      <w:r>
                        <w:rPr>
                          <w:i/>
                          <w:color w:val="000000"/>
                        </w:rPr>
                        <w:t>x</w:t>
                      </w:r>
                      <w:r>
                        <w:rPr>
                          <w:color w:val="000000"/>
                        </w:rPr>
                        <w:t>“ rūsio sienos požeminės dalies suminė šiluminė varža (m</w:t>
                      </w:r>
                      <w:r>
                        <w:rPr>
                          <w:color w:val="000000"/>
                          <w:vertAlign w:val="superscript"/>
                        </w:rPr>
                        <w:t>2</w:t>
                      </w:r>
                      <w:r>
                        <w:rPr>
                          <w:color w:val="000000"/>
                        </w:rPr>
                        <w:t>·K/W) (žr. 2.9. pav.)</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456"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19.2 pp."/>
                    <w:tag w:val="part_20e1bcb83a7048feaee926550e574ef6"/>
                    <w:lock w:val="sdtLocked"/>
                    <w:richText/>
                  </w:sdtPr>
                  <w:sdtContent>
                    <w:p>
                      <w:pPr>
                        <w:ind w:firstLine="567"/>
                        <w:jc w:val="both"/>
                        <w:rPr>
                          <w:color w:val="000000"/>
                        </w:rPr>
                      </w:pPr>
                      <w:sdt>
                        <w:sdtPr>
                          <w:alias w:val="Numeris"/>
                          <w:tag w:val="nr_20e1bcb83a7048feaee926550e574ef6"/>
                          <w:lock w:val="sdtLocked"/>
                          <w:richText/>
                        </w:sdtPr>
                        <w:sdtContent>
                          <w:r>
                            <w:rPr>
                              <w:color w:val="000000"/>
                            </w:rPr>
                            <w:t>19.2</w:t>
                          </w:r>
                        </w:sdtContent>
                      </w:sdt>
                      <w:r>
                        <w:rPr>
                          <w:color w:val="000000"/>
                        </w:rPr>
                        <w:t xml:space="preserve">. Kiekvieno mėnesio </w:t>
                      </w:r>
                      <w:r>
                        <w:rPr>
                          <w:i/>
                          <w:color w:val="000000"/>
                        </w:rPr>
                        <w:t xml:space="preserve">„m“ </w:t>
                      </w:r>
                      <w:r>
                        <w:rPr>
                          <w:color w:val="000000"/>
                        </w:rPr>
                        <w:t xml:space="preserve">skaičiuojamasis šilumos srautas per su gruntu besiribojančias nešildomų rūsių atitvaras </w:t>
                      </w:r>
                      <w:r>
                        <w:rPr>
                          <w:i/>
                          <w:color w:val="000000"/>
                        </w:rPr>
                        <w:t>Φ</w:t>
                      </w:r>
                      <w:r>
                        <w:rPr>
                          <w:i/>
                          <w:color w:val="000000"/>
                          <w:vertAlign w:val="subscript"/>
                        </w:rPr>
                        <w:t>C.fg5,m</w:t>
                      </w:r>
                      <w:r>
                        <w:rPr>
                          <w:color w:val="000000"/>
                        </w:rPr>
                        <w:t xml:space="preserve"> (W), pagal kurį skaičiuojami energijos poreikiai pastatui vėsinti, apskaičiuojamas pagal formulę [3.14]:</w:t>
                      </w:r>
                    </w:p>
                    <w:tbl>
                      <w:tblPr>
                        <w:tblW w:w="5000" w:type="pct"/>
                        <w:tblLook w:val="01E0" w:firstRow="1" w:lastRow="1" w:firstColumn="1" w:lastColumn="1" w:noHBand="0" w:noVBand="0"/>
                      </w:tblPr>
                      <w:tblGrid>
                        <w:gridCol w:w="8873"/>
                        <w:gridCol w:w="1123"/>
                      </w:tblGrid>
                      <w:tr>
                        <w:tc>
                          <w:tcPr>
                            <w:tcW w:w="8495" w:type="dxa"/>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28"/>
                                <w:szCs w:val="22"/>
                              </w:rPr>
                              <w:object w:dxaOrig="7820" w:dyaOrig="760">
                                <v:shape id="_x0000_i1114" type="#_x0000_t75" style="width:389.95pt;height:38.85pt" o:ole="">
                                  <v:imagedata r:id="rId457" o:title=""/>
                                </v:shape>
                                <o:OLEObject Type="Embed" ProgID="Equation.3" ShapeID="_x0000_i1114" DrawAspect="Content" ObjectID="_0000000001" r:id="rId458"/>
                              </w:object>
                            </w:r>
                            <w:r>
                              <w:rPr>
                                <w:bCs/>
                                <w:color w:val="000000"/>
                              </w:rPr>
                              <w:t>.</w:t>
                            </w:r>
                          </w:p>
                        </w:tc>
                        <w:tc>
                          <w:tcPr>
                            <w:tcW w:w="1075" w:type="dxa"/>
                            <w:vAlign w:val="center"/>
                          </w:tcPr>
                          <w:p>
                            <w:pPr>
                              <w:rPr>
                                <w:color w:val="000000"/>
                                <w:sz w:val="10"/>
                                <w:szCs w:val="10"/>
                              </w:rPr>
                            </w:pPr>
                          </w:p>
                          <w:p>
                            <w:pPr>
                              <w:spacing w:line="360" w:lineRule="auto"/>
                              <w:ind w:left="850" w:hanging="850"/>
                              <w:jc w:val="right"/>
                              <w:rPr>
                                <w:rFonts w:eastAsia="Calibri"/>
                                <w:color w:val="000000"/>
                                <w:szCs w:val="22"/>
                              </w:rPr>
                            </w:pPr>
                            <w:r>
                              <w:rPr>
                                <w:color w:val="000000"/>
                              </w:rPr>
                              <w:t>(2.82)</w:t>
                            </w:r>
                          </w:p>
                        </w:tc>
                      </w:tr>
                    </w:tbl>
                    <w:p>
                      <w:pPr>
                        <w:rPr>
                          <w:color w:val="000000"/>
                          <w:sz w:val="18"/>
                          <w:szCs w:val="18"/>
                        </w:rPr>
                      </w:pPr>
                    </w:p>
                  </w:sdtContent>
                </w:sdt>
              </w:sdtContent>
            </w:sdt>
          </w:sdtContent>
        </w:sdt>
        <w:sdt>
          <w:sdtPr>
            <w:alias w:val="skyrius"/>
            <w:tag w:val="part_b6f972cf45b943e1bf568f1e10cef676"/>
            <w:lock w:val="sdtLocked"/>
            <w:richText/>
          </w:sdtPr>
          <w:sdtContent>
            <w:p>
              <w:pPr>
                <w:keepNext/>
                <w:keepLines/>
                <w:jc w:val="center"/>
                <w:outlineLvl w:val="2"/>
                <w:rPr>
                  <w:b/>
                  <w:bCs/>
                  <w:szCs w:val="24"/>
                  <w:lang w:eastAsia="lt-LT"/>
                </w:rPr>
              </w:pPr>
              <w:sdt>
                <w:sdtPr>
                  <w:alias w:val="Numeris"/>
                  <w:tag w:val="nr_b6f972cf45b943e1bf568f1e10cef676"/>
                  <w:lock w:val="sdtLocked"/>
                  <w:richText/>
                </w:sdtPr>
                <w:sdtContent>
                  <w:r>
                    <w:rPr>
                      <w:b/>
                      <w:bCs/>
                    </w:rPr>
                    <w:t>VIII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b6f972cf45b943e1bf568f1e10cef676"/>
                  <w:lock w:val="sdtLocked"/>
                  <w:richText/>
                </w:sdtPr>
                <w:sdtContent>
                  <w:r>
                    <w:rPr>
                      <w:b/>
                      <w:bCs/>
                    </w:rPr>
                    <w:t xml:space="preserve">Mėnesinių šilumos nuostolių per pastato langus, stoglangius, švieslangius ir kitas skaidrias atitvaras skaičiavimas </w:t>
                  </w:r>
                </w:sdtContent>
              </w:sdt>
            </w:p>
            <w:sdt>
              <w:sdtPr>
                <w:alias w:val="2 pr. 20 p."/>
                <w:tag w:val="part_3a78d84167d048c2b7eef37b8a8a6b86"/>
                <w:lock w:val="sdtLocked"/>
                <w:richText/>
              </w:sdtPr>
              <w:sdtContent>
                <w:p>
                  <w:pPr>
                    <w:ind w:firstLine="570"/>
                    <w:jc w:val="both"/>
                    <w:rPr>
                      <w:color w:val="000000"/>
                    </w:rPr>
                  </w:pPr>
                  <w:sdt>
                    <w:sdtPr>
                      <w:alias w:val="Numeris"/>
                      <w:tag w:val="nr_3a78d84167d048c2b7eef37b8a8a6b86"/>
                      <w:lock w:val="sdtLocked"/>
                      <w:richText/>
                    </w:sdtPr>
                    <w:sdtContent>
                      <w:r>
                        <w:rPr>
                          <w:color w:val="000000"/>
                        </w:rPr>
                        <w:t>20</w:t>
                      </w:r>
                    </w:sdtContent>
                  </w:sdt>
                  <w:r>
                    <w:rPr>
                      <w:color w:val="000000"/>
                    </w:rPr>
                    <w:t xml:space="preserve">. Kiekvieno mėnesio </w:t>
                  </w:r>
                  <w:r>
                    <w:rPr>
                      <w:i/>
                      <w:color w:val="000000"/>
                    </w:rPr>
                    <w:t xml:space="preserve">„m“ </w:t>
                  </w:r>
                  <w:r>
                    <w:rPr>
                      <w:color w:val="000000"/>
                    </w:rPr>
                    <w:t xml:space="preserve">norminiai </w:t>
                  </w:r>
                  <w:r>
                    <w:rPr>
                      <w:i/>
                      <w:color w:val="000000"/>
                    </w:rPr>
                    <w:t>Q</w:t>
                  </w:r>
                  <w:r>
                    <w:rPr>
                      <w:i/>
                      <w:color w:val="000000"/>
                      <w:vertAlign w:val="subscript"/>
                    </w:rPr>
                    <w:t>N.H.wda,m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R.H.wda,m</w:t>
                  </w:r>
                  <w:r>
                    <w:rPr>
                      <w:color w:val="000000"/>
                    </w:rPr>
                    <w:t xml:space="preserve"> (kWh/(m</w:t>
                  </w:r>
                  <w:r>
                    <w:rPr>
                      <w:color w:val="000000"/>
                      <w:vertAlign w:val="superscript"/>
                    </w:rPr>
                    <w:t>2</w:t>
                  </w:r>
                  <w:r>
                    <w:rPr>
                      <w:color w:val="000000"/>
                    </w:rPr>
                    <w:t xml:space="preserve">·mėn.)) ir skaičiuojamieji </w:t>
                  </w:r>
                  <w:r>
                    <w:rPr>
                      <w:i/>
                      <w:color w:val="000000"/>
                    </w:rPr>
                    <w:t>Q</w:t>
                  </w:r>
                  <w:r>
                    <w:rPr>
                      <w:i/>
                      <w:color w:val="000000"/>
                      <w:vertAlign w:val="subscript"/>
                    </w:rPr>
                    <w:t>H.wda,m</w:t>
                  </w:r>
                  <w:r>
                    <w:rPr>
                      <w:color w:val="000000"/>
                    </w:rPr>
                    <w:t xml:space="preserve"> (kWh/(m</w:t>
                  </w:r>
                  <w:r>
                    <w:rPr>
                      <w:color w:val="000000"/>
                      <w:vertAlign w:val="superscript"/>
                    </w:rPr>
                    <w:t>2</w:t>
                  </w:r>
                  <w:r>
                    <w:rPr>
                      <w:color w:val="000000"/>
                    </w:rPr>
                    <w:t xml:space="preserve">·mėn.)) šilumos nuostoliai per pastato langus, stoglangius, švieslangius ir kitas skaidrias atitvaras, pagal kuriuos skaičiuojami energijos poreikiai pastatui šildyti,  apskaičiuojami pagal formules:</w:t>
                  </w:r>
                </w:p>
                <w:tbl>
                  <w:tblPr>
                    <w:tblW w:w="0" w:type="auto"/>
                    <w:tblLook w:val="01E0" w:firstRow="1" w:lastRow="1" w:firstColumn="1" w:lastColumn="1" w:noHBand="0" w:noVBand="0"/>
                  </w:tblPr>
                  <w:tblGrid>
                    <w:gridCol w:w="8748"/>
                    <w:gridCol w:w="822"/>
                  </w:tblGrid>
                  <w:tr>
                    <w:tc>
                      <w:tcPr>
                        <w:tcW w:w="8748" w:type="dxa"/>
                      </w:tcPr>
                      <w:p>
                        <w:pPr>
                          <w:rPr>
                            <w:color w:val="000000"/>
                            <w:sz w:val="10"/>
                            <w:szCs w:val="10"/>
                          </w:rPr>
                        </w:pPr>
                      </w:p>
                      <w:p>
                        <w:pPr>
                          <w:spacing w:line="360" w:lineRule="auto"/>
                          <w:ind w:left="850" w:hanging="850"/>
                          <w:jc w:val="center"/>
                          <w:rPr>
                            <w:rFonts w:eastAsia="Calibri"/>
                            <w:bCs/>
                            <w:color w:val="000000"/>
                            <w:szCs w:val="22"/>
                          </w:rPr>
                        </w:pPr>
                        <w:r>
                          <w:rPr>
                            <w:rFonts w:eastAsia="Calibri"/>
                            <w:b/>
                            <w:bCs/>
                            <w:color w:val="000000"/>
                            <w:position w:val="-30"/>
                            <w:szCs w:val="22"/>
                          </w:rPr>
                          <w:object w:dxaOrig="8130" w:dyaOrig="650">
                            <v:shape id="_x0000_i1115" type="#_x0000_t75" style="width:406.1pt;height:32.35pt" o:ole="">
                              <v:imagedata r:id="rId459" o:title=""/>
                            </v:shape>
                            <o:OLEObject Type="Embed" ProgID="Equation.3" ShapeID="_x0000_i1115" DrawAspect="Content" ObjectID="_0000000001" r:id="rId460"/>
                          </w:object>
                        </w:r>
                        <w:r>
                          <w:rPr>
                            <w:bCs/>
                            <w:color w:val="000000"/>
                          </w:rPr>
                          <w:t>;</w: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(2.83)</w:t>
                        </w:r>
                      </w:p>
                    </w:tc>
                  </w:tr>
                </w:tbl>
                <w:p>
                  <w:pPr>
                    <w:ind w:firstLine="570"/>
                    <w:jc w:val="right"/>
                    <w:rPr>
                      <w:rFonts w:eastAsia="Calibri"/>
                      <w:bCs/>
                      <w:color w:val="000000"/>
                      <w:szCs w:val="22"/>
                    </w:rPr>
                  </w:pPr>
                </w:p>
                <w:tbl>
                  <w:tblPr>
                    <w:tblW w:w="0" w:type="auto"/>
                    <w:tblLook w:val="01E0" w:firstRow="1" w:lastRow="1" w:firstColumn="1" w:lastColumn="1" w:noHBand="0" w:noVBand="0"/>
                  </w:tblPr>
                  <w:tblGrid>
                    <w:gridCol w:w="8748"/>
                    <w:gridCol w:w="822"/>
                  </w:tblGrid>
                  <w:tr>
                    <w:tc>
                      <w:tcPr>
                        <w:tcW w:w="8748" w:type="dxa"/>
                      </w:tcPr>
                      <w:p>
                        <w:pPr>
                          <w:rPr>
                            <w:color w:val="000000"/>
                            <w:sz w:val="10"/>
                            <w:szCs w:val="10"/>
                          </w:rPr>
                        </w:pPr>
                      </w:p>
                      <w:p>
                        <w:pPr>
                          <w:spacing w:line="360" w:lineRule="auto"/>
                          <w:ind w:left="850" w:hanging="850"/>
                          <w:jc w:val="center"/>
                          <w:rPr>
                            <w:rFonts w:eastAsia="Calibri"/>
                            <w:bCs/>
                            <w:color w:val="000000"/>
                            <w:szCs w:val="22"/>
                          </w:rPr>
                        </w:pPr>
                        <w:r>
                          <w:rPr>
                            <w:rFonts w:eastAsia="Calibri"/>
                            <w:b/>
                            <w:bCs/>
                            <w:color w:val="000000"/>
                            <w:position w:val="-32"/>
                            <w:szCs w:val="22"/>
                          </w:rPr>
                          <w:object w:dxaOrig="7830" w:dyaOrig="710">
                            <v:shape id="_x0000_i1116" type="#_x0000_t75" style="width:391.55pt;height:35.6pt" o:ole="">
                              <v:imagedata r:id="rId461" o:title=""/>
                            </v:shape>
                            <o:OLEObject Type="Embed" ProgID="Equation.3" ShapeID="_x0000_i1116" DrawAspect="Content" ObjectID="_0000000001" r:id="rId462"/>
                          </w:object>
                        </w:r>
                        <w:r>
                          <w:rPr>
                            <w:bCs/>
                            <w:color w:val="000000"/>
                          </w:rPr>
                          <w:t>;</w: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(2.84)</w:t>
                        </w:r>
                      </w:p>
                    </w:tc>
                  </w:tr>
                </w:tbl>
                <w:p>
                  <w:pPr>
                    <w:ind w:firstLine="570"/>
                    <w:jc w:val="right"/>
                    <w:rPr>
                      <w:rFonts w:eastAsia="Calibri"/>
                      <w:color w:val="000000"/>
                      <w:szCs w:val="22"/>
                    </w:rPr>
                  </w:pPr>
                </w:p>
                <w:tbl>
                  <w:tblPr>
                    <w:tblW w:w="0" w:type="auto"/>
                    <w:tblLook w:val="01E0" w:firstRow="1" w:lastRow="1" w:firstColumn="1" w:lastColumn="1" w:noHBand="0" w:noVBand="0"/>
                  </w:tblPr>
                  <w:tblGrid>
                    <w:gridCol w:w="8748"/>
                    <w:gridCol w:w="822"/>
                  </w:tblGrid>
                  <w:tr>
                    <w:tc>
                      <w:tcPr>
                        <w:tcW w:w="8748" w:type="dxa"/>
                        <w:hideMark/>
                      </w:tcPr>
                      <w:p>
                        <w:pPr>
                          <w:rPr>
                            <w:color w:val="000000"/>
                            <w:sz w:val="10"/>
                            <w:szCs w:val="10"/>
                          </w:rPr>
                        </w:pPr>
                        <w:r>
                          <w:rPr>
                            <w:bCs/>
                            <w:color w:val="000000"/>
                            <w:sz w:val="10"/>
                            <w:szCs w:val="10"/>
                          </w:rPr>
                          <w:object w:dxaOrig="7360" w:dyaOrig="1440">
                            <v:shape id="_x0000_i1117" type="#_x0000_t75" style="width:368.1pt;height:1in" o:ole="">
                              <v:imagedata r:id="rId463" o:title=""/>
                            </v:shape>
                            <o:OLEObject Type="Embed" ProgID="Equation.3" ShapeID="_x0000_i1117" DrawAspect="Content" ObjectID="_0000000001" r:id="rId464"/>
                          </w:objec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(2.85)</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wd.sum</w:t>
                  </w:r>
                  <w:r>
                    <w:rPr>
                      <w:bCs/>
                      <w:color w:val="000000"/>
                    </w:rPr>
                    <w:t>,</w:t>
                  </w:r>
                  <w:r>
                    <w:rPr>
                      <w:bCs/>
                      <w:i/>
                      <w:color w:val="000000"/>
                    </w:rPr>
                    <w:t xml:space="preserve"> A</w:t>
                  </w:r>
                  <w:r>
                    <w:rPr>
                      <w:bCs/>
                      <w:i/>
                      <w:color w:val="000000"/>
                      <w:vertAlign w:val="subscript"/>
                    </w:rPr>
                    <w:t>gw.sum</w:t>
                  </w:r>
                  <w:r>
                    <w:rPr>
                      <w:bCs/>
                      <w:color w:val="000000"/>
                    </w:rPr>
                    <w:t>,</w:t>
                  </w:r>
                  <w:r>
                    <w:rPr>
                      <w:bCs/>
                      <w:i/>
                      <w:color w:val="000000"/>
                    </w:rPr>
                    <w:t xml:space="preserve"> A</w:t>
                  </w:r>
                  <w:r>
                    <w:rPr>
                      <w:bCs/>
                      <w:i/>
                      <w:color w:val="000000"/>
                      <w:vertAlign w:val="subscript"/>
                    </w:rPr>
                    <w:t>bw.sum</w:t>
                  </w:r>
                  <w:r>
                    <w:rPr>
                      <w:bCs/>
                      <w:color w:val="000000"/>
                    </w:rPr>
                    <w:t>,</w:t>
                  </w:r>
                  <w:r>
                    <w:rPr>
                      <w:bCs/>
                      <w:i/>
                      <w:color w:val="000000"/>
                    </w:rPr>
                    <w:t xml:space="preserve"> A</w:t>
                  </w:r>
                  <w:r>
                    <w:rPr>
                      <w:bCs/>
                      <w:i/>
                      <w:color w:val="000000"/>
                      <w:vertAlign w:val="subscript"/>
                    </w:rPr>
                    <w:t xml:space="preserve">og.sum </w:t>
                  </w:r>
                  <w:r>
                    <w:rPr>
                      <w:color w:val="000000"/>
                    </w:rPr>
                    <w:t>–langų, stoglangių, švieslangių ir kitų skaidrių atitvarų suminiai plotai (m</w:t>
                  </w:r>
                  <w:r>
                    <w:rPr>
                      <w:color w:val="000000"/>
                      <w:vertAlign w:val="superscript"/>
                    </w:rPr>
                    <w:t>2</w:t>
                  </w:r>
                  <w:r>
                    <w:rPr>
                      <w:color w:val="000000"/>
                    </w:rPr>
                    <w:t>). Nustatomi pagal Reglamento 7 priedo reikalavimus;</w:t>
                  </w:r>
                </w:p>
                <w:p>
                  <w:pPr>
                    <w:ind w:firstLine="567"/>
                    <w:jc w:val="both"/>
                    <w:rPr>
                      <w:color w:val="000000"/>
                    </w:rPr>
                  </w:pPr>
                  <w:r>
                    <w:rPr>
                      <w:bCs/>
                      <w:i/>
                      <w:color w:val="000000"/>
                    </w:rPr>
                    <w:t>A</w:t>
                  </w:r>
                  <w:r>
                    <w:rPr>
                      <w:bCs/>
                      <w:i/>
                      <w:color w:val="000000"/>
                      <w:vertAlign w:val="subscript"/>
                    </w:rPr>
                    <w:t>wd,x</w:t>
                  </w:r>
                  <w:r>
                    <w:rPr>
                      <w:bCs/>
                      <w:color w:val="000000"/>
                    </w:rPr>
                    <w:t>,</w:t>
                  </w:r>
                  <w:r>
                    <w:rPr>
                      <w:bCs/>
                      <w:i/>
                      <w:color w:val="000000"/>
                    </w:rPr>
                    <w:t xml:space="preserve"> A</w:t>
                  </w:r>
                  <w:r>
                    <w:rPr>
                      <w:bCs/>
                      <w:i/>
                      <w:color w:val="000000"/>
                      <w:vertAlign w:val="subscript"/>
                    </w:rPr>
                    <w:t>gw,x</w:t>
                  </w:r>
                  <w:r>
                    <w:rPr>
                      <w:bCs/>
                      <w:color w:val="000000"/>
                    </w:rPr>
                    <w:t>,</w:t>
                  </w:r>
                  <w:r>
                    <w:rPr>
                      <w:bCs/>
                      <w:i/>
                      <w:color w:val="000000"/>
                    </w:rPr>
                    <w:t xml:space="preserve"> A</w:t>
                  </w:r>
                  <w:r>
                    <w:rPr>
                      <w:bCs/>
                      <w:i/>
                      <w:color w:val="000000"/>
                      <w:vertAlign w:val="subscript"/>
                    </w:rPr>
                    <w:t>bw,x</w:t>
                  </w:r>
                  <w:r>
                    <w:rPr>
                      <w:bCs/>
                      <w:color w:val="000000"/>
                    </w:rPr>
                    <w:t>,</w:t>
                  </w:r>
                  <w:r>
                    <w:rPr>
                      <w:bCs/>
                      <w:i/>
                      <w:color w:val="000000"/>
                    </w:rPr>
                    <w:t xml:space="preserve"> A</w:t>
                  </w:r>
                  <w:r>
                    <w:rPr>
                      <w:bCs/>
                      <w:i/>
                      <w:color w:val="000000"/>
                      <w:vertAlign w:val="subscript"/>
                    </w:rPr>
                    <w:t>og,x</w:t>
                  </w:r>
                  <w:r>
                    <w:rPr>
                      <w:bCs/>
                      <w:i/>
                      <w:color w:val="000000"/>
                    </w:rPr>
                    <w:t xml:space="preserve"> </w:t>
                  </w:r>
                  <w:r>
                    <w:rPr>
                      <w:color w:val="000000"/>
                    </w:rPr>
                    <w:t>– atitinkamo „</w:t>
                  </w:r>
                  <w:r>
                    <w:rPr>
                      <w:i/>
                      <w:color w:val="000000"/>
                    </w:rPr>
                    <w:t>x</w:t>
                  </w:r>
                  <w:r>
                    <w:rPr>
                      <w:color w:val="000000"/>
                    </w:rPr>
                    <w:t>“ lango, stoglangio, švieslangio ir kitos skaidrios atitvaros plotas (m</w:t>
                  </w:r>
                  <w:r>
                    <w:rPr>
                      <w:color w:val="000000"/>
                      <w:vertAlign w:val="superscript"/>
                    </w:rPr>
                    <w:t>2</w:t>
                  </w:r>
                  <w:r>
                    <w:rPr>
                      <w:color w:val="000000"/>
                    </w:rPr>
                    <w:t>). Nustatomas pagal Reglamento 7 priedo reikalavimus;</w:t>
                  </w:r>
                </w:p>
                <w:p>
                  <w:pPr>
                    <w:ind w:firstLine="567"/>
                    <w:jc w:val="both"/>
                    <w:rPr>
                      <w:color w:val="000000"/>
                      <w:spacing w:val="-6"/>
                    </w:rPr>
                  </w:pPr>
                  <w:r>
                    <w:rPr>
                      <w:bCs/>
                      <w:i/>
                      <w:color w:val="000000"/>
                    </w:rPr>
                    <w:t>U</w:t>
                  </w:r>
                  <w:r>
                    <w:rPr>
                      <w:bCs/>
                      <w:i/>
                      <w:color w:val="000000"/>
                      <w:vertAlign w:val="subscript"/>
                    </w:rPr>
                    <w:t>(C,B).wda</w:t>
                  </w:r>
                  <w:r>
                    <w:rPr>
                      <w:color w:val="000000"/>
                    </w:rPr>
                    <w:t xml:space="preserve"> – langų, stoglangių, švieslangių ir kitų skaidrių atitvarų šilumos perdavimo koeficientas (W/</w:t>
                  </w:r>
                  <w:r>
                    <w:rPr>
                      <w:color w:val="000000"/>
                      <w:spacing w:val="-6"/>
                    </w:rPr>
                    <w:t>(m</w:t>
                  </w:r>
                  <w:r>
                    <w:rPr>
                      <w:color w:val="000000"/>
                      <w:spacing w:val="-6"/>
                      <w:vertAlign w:val="superscript"/>
                    </w:rPr>
                    <w:t>2</w:t>
                  </w:r>
                  <w:r>
                    <w:rPr>
                      <w:color w:val="000000"/>
                      <w:spacing w:val="-6"/>
                    </w:rPr>
                    <w:t xml:space="preserve">·K)). </w:t>
                  </w:r>
                  <w:r>
                    <w:rPr>
                      <w:bCs/>
                      <w:i/>
                      <w:color w:val="000000"/>
                    </w:rPr>
                    <w:t>U</w:t>
                  </w:r>
                  <w:r>
                    <w:rPr>
                      <w:bCs/>
                      <w:i/>
                      <w:color w:val="000000"/>
                      <w:vertAlign w:val="subscript"/>
                    </w:rPr>
                    <w:t>(C,B).wda</w:t>
                  </w:r>
                  <w:r>
                    <w:rPr>
                      <w:color w:val="000000"/>
                    </w:rPr>
                    <w:t xml:space="preserve"> </w:t>
                  </w:r>
                  <w:r>
                    <w:rPr>
                      <w:color w:val="000000"/>
                      <w:spacing w:val="-6"/>
                    </w:rPr>
                    <w:t>vertė imama iš Reglamento 3 lentelės</w:t>
                  </w:r>
                  <w:r>
                    <w:rPr>
                      <w:color w:val="000000"/>
                    </w:rPr>
                    <w:t>;</w:t>
                  </w:r>
                </w:p>
                <w:p>
                  <w:pPr>
                    <w:ind w:firstLine="567"/>
                    <w:jc w:val="both"/>
                    <w:rPr>
                      <w:color w:val="000000"/>
                    </w:rPr>
                  </w:pPr>
                  <w:r>
                    <w:rPr>
                      <w:bCs/>
                      <w:i/>
                      <w:color w:val="000000"/>
                    </w:rPr>
                    <w:t>U</w:t>
                  </w:r>
                  <w:r>
                    <w:rPr>
                      <w:bCs/>
                      <w:i/>
                      <w:color w:val="000000"/>
                      <w:vertAlign w:val="subscript"/>
                    </w:rPr>
                    <w:t>R.wda</w:t>
                  </w:r>
                  <w:r>
                    <w:rPr>
                      <w:color w:val="000000"/>
                    </w:rPr>
                    <w:t xml:space="preserve"> – langų, stoglangių, švieslangių ir kitų skaidrių atitvarų atskaitinis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67"/>
                    <w:jc w:val="both"/>
                    <w:rPr>
                      <w:color w:val="000000"/>
                    </w:rPr>
                  </w:pPr>
                  <w:r>
                    <w:rPr>
                      <w:bCs/>
                      <w:i/>
                      <w:color w:val="000000"/>
                    </w:rPr>
                    <w:t>U</w:t>
                  </w:r>
                  <w:r>
                    <w:rPr>
                      <w:bCs/>
                      <w:i/>
                      <w:color w:val="000000"/>
                      <w:vertAlign w:val="subscript"/>
                    </w:rPr>
                    <w:t>wd,x</w:t>
                  </w:r>
                  <w:r>
                    <w:rPr>
                      <w:bCs/>
                      <w:color w:val="000000"/>
                    </w:rPr>
                    <w:t xml:space="preserve">, </w:t>
                  </w:r>
                  <w:r>
                    <w:rPr>
                      <w:bCs/>
                      <w:i/>
                      <w:color w:val="000000"/>
                    </w:rPr>
                    <w:t>U</w:t>
                  </w:r>
                  <w:r>
                    <w:rPr>
                      <w:bCs/>
                      <w:i/>
                      <w:color w:val="000000"/>
                      <w:vertAlign w:val="subscript"/>
                    </w:rPr>
                    <w:t>gw,x</w:t>
                  </w:r>
                  <w:r>
                    <w:rPr>
                      <w:bCs/>
                      <w:color w:val="000000"/>
                    </w:rPr>
                    <w:t xml:space="preserve">, </w:t>
                  </w:r>
                  <w:r>
                    <w:rPr>
                      <w:bCs/>
                      <w:i/>
                      <w:color w:val="000000"/>
                    </w:rPr>
                    <w:t>U</w:t>
                  </w:r>
                  <w:r>
                    <w:rPr>
                      <w:bCs/>
                      <w:i/>
                      <w:color w:val="000000"/>
                      <w:vertAlign w:val="subscript"/>
                    </w:rPr>
                    <w:t>bw,x</w:t>
                  </w:r>
                  <w:r>
                    <w:rPr>
                      <w:bCs/>
                      <w:color w:val="000000"/>
                    </w:rPr>
                    <w:t xml:space="preserve">, </w:t>
                  </w:r>
                  <w:r>
                    <w:rPr>
                      <w:bCs/>
                      <w:i/>
                      <w:color w:val="000000"/>
                    </w:rPr>
                    <w:t>U</w:t>
                  </w:r>
                  <w:r>
                    <w:rPr>
                      <w:bCs/>
                      <w:i/>
                      <w:color w:val="000000"/>
                      <w:vertAlign w:val="subscript"/>
                    </w:rPr>
                    <w:t>og,x</w:t>
                  </w:r>
                  <w:r>
                    <w:rPr>
                      <w:color w:val="000000"/>
                    </w:rPr>
                    <w:t xml:space="preserve"> – atitinkamo „</w:t>
                  </w:r>
                  <w:r>
                    <w:rPr>
                      <w:i/>
                      <w:color w:val="000000"/>
                    </w:rPr>
                    <w:t>x</w:t>
                  </w:r>
                  <w:r>
                    <w:rPr>
                      <w:color w:val="000000"/>
                    </w:rPr>
                    <w:t>“ lango, stoglangio, švieslangio ar kitos skaidrios atitvaros skaičiuojamasis šilumos perdavimo koeficientas (W/</w:t>
                  </w:r>
                  <w:r>
                    <w:rPr>
                      <w:color w:val="000000"/>
                      <w:spacing w:val="-6"/>
                    </w:rPr>
                    <w:t>(m</w:t>
                  </w:r>
                  <w:r>
                    <w:rPr>
                      <w:color w:val="000000"/>
                      <w:spacing w:val="-6"/>
                      <w:vertAlign w:val="superscript"/>
                    </w:rPr>
                    <w:t>2</w:t>
                  </w:r>
                  <w:r>
                    <w:rPr>
                      <w:color w:val="000000"/>
                      <w:spacing w:val="-6"/>
                    </w:rPr>
                    <w:t xml:space="preserve">·K)). </w:t>
                  </w:r>
                  <w:r>
                    <w:rPr>
                      <w:color w:val="000000"/>
                    </w:rPr>
                    <w:t xml:space="preserve">Imamas iš gamintojo deklaracijos arba turi būti naudojami Reglamento 4 priede 4.1, 4.3 ir 4.4 lentelėse nurodyti duomenys. </w:t>
                  </w:r>
                  <w:r>
                    <w:rPr>
                      <w:color w:val="000000"/>
                      <w:spacing w:val="-6"/>
                    </w:rPr>
                    <w:t>A, A+ ir A++ klasės pastatų skaičiavimuose, minėtų atitvarų deklaracijose nurodytos U vertės gali būti naudojamos tik jei jos pateiktos kiekvieno matmens atitvarai</w:t>
                  </w:r>
                  <w:r>
                    <w:rPr>
                      <w:color w:val="000000"/>
                    </w:rPr>
                    <w:t>;</w:t>
                  </w:r>
                </w:p>
                <w:p>
                  <w:pPr>
                    <w:ind w:firstLine="567"/>
                    <w:jc w:val="both"/>
                    <w:rPr>
                      <w:color w:val="000000"/>
                    </w:rPr>
                  </w:pPr>
                  <w:r>
                    <w:rPr>
                      <w:bCs/>
                      <w:i/>
                      <w:color w:val="000000"/>
                    </w:rPr>
                    <w:t>k</w:t>
                  </w:r>
                  <w:r>
                    <w:rPr>
                      <w:bCs/>
                      <w:i/>
                      <w:color w:val="000000"/>
                      <w:vertAlign w:val="subscript"/>
                    </w:rPr>
                    <w:t>wd,m,x</w:t>
                  </w:r>
                  <w:r>
                    <w:rPr>
                      <w:bCs/>
                      <w:color w:val="000000"/>
                    </w:rPr>
                    <w:t xml:space="preserve">, </w:t>
                  </w:r>
                  <w:r>
                    <w:rPr>
                      <w:bCs/>
                      <w:i/>
                      <w:color w:val="000000"/>
                    </w:rPr>
                    <w:t>k</w:t>
                  </w:r>
                  <w:r>
                    <w:rPr>
                      <w:bCs/>
                      <w:i/>
                      <w:color w:val="000000"/>
                      <w:vertAlign w:val="subscript"/>
                    </w:rPr>
                    <w:t>gw,m,x</w:t>
                  </w:r>
                  <w:r>
                    <w:rPr>
                      <w:bCs/>
                      <w:color w:val="000000"/>
                    </w:rPr>
                    <w:t xml:space="preserve">, </w:t>
                  </w:r>
                  <w:r>
                    <w:rPr>
                      <w:color w:val="000000"/>
                    </w:rPr>
                    <w:t xml:space="preserve"> </w:t>
                  </w:r>
                  <w:r>
                    <w:rPr>
                      <w:bCs/>
                      <w:i/>
                      <w:color w:val="000000"/>
                    </w:rPr>
                    <w:t>k</w:t>
                  </w:r>
                  <w:r>
                    <w:rPr>
                      <w:bCs/>
                      <w:i/>
                      <w:color w:val="000000"/>
                      <w:vertAlign w:val="subscript"/>
                    </w:rPr>
                    <w:t>bw,m,x</w:t>
                  </w:r>
                  <w:r>
                    <w:rPr>
                      <w:bCs/>
                      <w:color w:val="000000"/>
                    </w:rPr>
                    <w:t>,</w:t>
                  </w:r>
                  <w:r>
                    <w:rPr>
                      <w:color w:val="000000"/>
                    </w:rPr>
                    <w:t xml:space="preserve"> </w:t>
                  </w:r>
                  <w:r>
                    <w:rPr>
                      <w:bCs/>
                      <w:i/>
                      <w:color w:val="000000"/>
                    </w:rPr>
                    <w:t>k</w:t>
                  </w:r>
                  <w:r>
                    <w:rPr>
                      <w:bCs/>
                      <w:i/>
                      <w:color w:val="000000"/>
                      <w:vertAlign w:val="subscript"/>
                    </w:rPr>
                    <w:t>og,m,x</w:t>
                  </w:r>
                  <w:r>
                    <w:rPr>
                      <w:color w:val="000000"/>
                    </w:rPr>
                    <w:t xml:space="preserve"> – kiekvieno mėnesio „m“ pataisos koeficientas atitinkamam „</w:t>
                  </w:r>
                  <w:r>
                    <w:rPr>
                      <w:i/>
                      <w:color w:val="000000"/>
                    </w:rPr>
                    <w:t>x</w:t>
                  </w:r>
                  <w:r>
                    <w:rPr>
                      <w:color w:val="000000"/>
                    </w:rPr>
                    <w:t>“ langui, stoglangiui, švieslangiui ir kitai skaidriai atitvarai. Imamas iš 2.9 lentelės.</w:t>
                  </w:r>
                </w:p>
                <w:p>
                  <w:pPr>
                    <w:jc w:val="right"/>
                    <w:rPr>
                      <w:color w:val="000000"/>
                    </w:rPr>
                  </w:pPr>
                </w:p>
                <w:p>
                  <w:pPr>
                    <w:jc w:val="center"/>
                    <w:rPr>
                      <w:b/>
                    </w:rPr>
                  </w:pPr>
                  <w:r>
                    <w:rPr>
                      <w:b/>
                    </w:rPr>
                    <w:t xml:space="preserve">Pataisos koeficientų langams </w:t>
                  </w:r>
                  <w:r>
                    <w:rPr>
                      <w:b/>
                      <w:i/>
                    </w:rPr>
                    <w:t>k</w:t>
                  </w:r>
                  <w:r>
                    <w:rPr>
                      <w:b/>
                      <w:i/>
                      <w:vertAlign w:val="subscript"/>
                    </w:rPr>
                    <w:t>wd,m</w:t>
                  </w:r>
                  <w:r>
                    <w:rPr>
                      <w:b/>
                    </w:rPr>
                    <w:t xml:space="preserve">, stoglangiams </w:t>
                  </w:r>
                  <w:r>
                    <w:rPr>
                      <w:b/>
                      <w:i/>
                    </w:rPr>
                    <w:t>k</w:t>
                  </w:r>
                  <w:r>
                    <w:rPr>
                      <w:b/>
                      <w:i/>
                      <w:vertAlign w:val="subscript"/>
                    </w:rPr>
                    <w:t>gw,m</w:t>
                  </w:r>
                  <w:r>
                    <w:rPr>
                      <w:b/>
                    </w:rPr>
                    <w:t xml:space="preserve">, švieslangiams </w:t>
                  </w:r>
                  <w:r>
                    <w:rPr>
                      <w:b/>
                      <w:i/>
                    </w:rPr>
                    <w:t>k</w:t>
                  </w:r>
                  <w:r>
                    <w:rPr>
                      <w:b/>
                      <w:i/>
                      <w:vertAlign w:val="subscript"/>
                    </w:rPr>
                    <w:t>bw,m</w:t>
                  </w:r>
                  <w:r>
                    <w:rPr>
                      <w:b/>
                    </w:rPr>
                    <w:t xml:space="preserve"> ir kitoms skaidrioms atitvaroms </w:t>
                  </w:r>
                  <w:r>
                    <w:rPr>
                      <w:b/>
                      <w:i/>
                    </w:rPr>
                    <w:t>k</w:t>
                  </w:r>
                  <w:r>
                    <w:rPr>
                      <w:b/>
                      <w:i/>
                      <w:vertAlign w:val="subscript"/>
                    </w:rPr>
                    <w:t>og,m</w:t>
                  </w:r>
                  <w:r>
                    <w:rPr>
                      <w:b/>
                    </w:rPr>
                    <w:t xml:space="preserve"> vertės</w:t>
                  </w:r>
                </w:p>
                <w:p>
                  <w:pPr>
                    <w:jc w:val="right"/>
                  </w:pPr>
                  <w:r>
                    <w:t>2.9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12"/>
                    <w:gridCol w:w="3708"/>
                  </w:tblGrid>
                  <w:tr>
                    <w:tc>
                      <w:tcPr>
                        <w:tcW w:w="3131"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Langų, stoglangių, švieslangių ir kitų skaidrių atitvarų apibūdinimas</w:t>
                        </w:r>
                      </w:p>
                    </w:tc>
                    <w:tc>
                      <w:tcPr>
                        <w:tcW w:w="1869"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wd,m</w:t>
                        </w:r>
                        <w:r>
                          <w:rPr>
                            <w:i/>
                          </w:rPr>
                          <w:t>, k</w:t>
                        </w:r>
                        <w:r>
                          <w:rPr>
                            <w:i/>
                            <w:vertAlign w:val="subscript"/>
                          </w:rPr>
                          <w:t>gw,m</w:t>
                        </w:r>
                        <w:r>
                          <w:rPr>
                            <w:i/>
                          </w:rPr>
                          <w:t>, k</w:t>
                        </w:r>
                        <w:r>
                          <w:rPr>
                            <w:i/>
                            <w:vertAlign w:val="subscript"/>
                          </w:rPr>
                          <w:t>bw,m</w:t>
                        </w:r>
                        <w:r>
                          <w:rPr>
                            <w:i/>
                          </w:rPr>
                          <w:t>, k</w:t>
                        </w:r>
                        <w:r>
                          <w:rPr>
                            <w:i/>
                            <w:vertAlign w:val="subscript"/>
                          </w:rPr>
                          <w:t>og,m</w:t>
                        </w:r>
                      </w:p>
                    </w:tc>
                  </w:tr>
                  <w:tr>
                    <w:tc>
                      <w:tcPr>
                        <w:tcW w:w="313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Langai, stoglangiai, švieslangiai ir kitos skaidrios atitvaros tarp patalpų ir išorės</w:t>
                        </w:r>
                      </w:p>
                    </w:tc>
                    <w:tc>
                      <w:tcPr>
                        <w:tcW w:w="186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313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Langai stoglangiai, švieslangiai ir kitos skaidrios atitvaros tarp patalpų ir šiltnamio</w:t>
                        </w:r>
                      </w:p>
                    </w:tc>
                    <w:tc>
                      <w:tcPr>
                        <w:tcW w:w="186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313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Langai, stoglangiai, švieslangiai ir kitos skaidrios atitvaros tarp patalpų ir įstiklinto balkono arba įstiklintų galerijų </w:t>
                        </w:r>
                      </w:p>
                    </w:tc>
                    <w:tc>
                      <w:tcPr>
                        <w:tcW w:w="186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313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Langai, stoglangiai, švieslangiai ir kitos skaidrios atitvaros tarp šildomų ir nešildomų pastato patalpų</w:t>
                        </w:r>
                      </w:p>
                    </w:tc>
                    <w:tc>
                      <w:tcPr>
                        <w:tcW w:w="186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313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Langai, stoglangiai, švieslangiai ir kitos skaidrios atitvaros tarp šildomų ir nešildomų apšiltintų patalpų</w:t>
                        </w:r>
                      </w:p>
                    </w:tc>
                    <w:tc>
                      <w:tcPr>
                        <w:tcW w:w="186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Apskaičiuojama pagal Reglamento 14 priedo reikalavimus</w:t>
                        </w:r>
                      </w:p>
                    </w:tc>
                  </w:tr>
                </w:tbl>
                <w:p>
                  <w:pPr>
                    <w:rPr>
                      <w:rFonts w:eastAsia="Calibri"/>
                      <w:szCs w:val="22"/>
                    </w:rPr>
                  </w:pPr>
                </w:p>
              </w:sdtContent>
            </w:sdt>
            <w:sdt>
              <w:sdtPr>
                <w:alias w:val="2 pr. 21 p."/>
                <w:tag w:val="part_b58f9bdc16eb4d748ac4b7a7ae34d458"/>
                <w:lock w:val="sdtLocked"/>
                <w:richText/>
              </w:sdtPr>
              <w:sdtContent>
                <w:p>
                  <w:pPr>
                    <w:ind w:firstLine="570"/>
                    <w:jc w:val="both"/>
                    <w:rPr>
                      <w:color w:val="000000"/>
                    </w:rPr>
                  </w:pPr>
                  <w:sdt>
                    <w:sdtPr>
                      <w:alias w:val="Numeris"/>
                      <w:tag w:val="nr_b58f9bdc16eb4d748ac4b7a7ae34d458"/>
                      <w:lock w:val="sdtLocked"/>
                      <w:richText/>
                    </w:sdtPr>
                    <w:sdtContent>
                      <w:r>
                        <w:rPr>
                          <w:color w:val="000000"/>
                        </w:rPr>
                        <w:t>21</w:t>
                      </w:r>
                    </w:sdtContent>
                  </w:sdt>
                  <w:r>
                    <w:rPr>
                      <w:color w:val="000000"/>
                    </w:rPr>
                    <w:t xml:space="preserve">. Kiekvieno mėnesio </w:t>
                  </w:r>
                  <w:r>
                    <w:rPr>
                      <w:i/>
                      <w:color w:val="000000"/>
                    </w:rPr>
                    <w:t xml:space="preserve">„m“ </w:t>
                  </w:r>
                  <w:r>
                    <w:rPr>
                      <w:color w:val="000000"/>
                    </w:rPr>
                    <w:t>skaičiuojamieji šilumos nuostoliai per pastato langus, stoglangius, švieslangius ir kitas skaidrias atitvaras</w:t>
                  </w:r>
                  <w:r>
                    <w:rPr>
                      <w:i/>
                      <w:color w:val="000000"/>
                    </w:rPr>
                    <w:t xml:space="preserve"> Q</w:t>
                  </w:r>
                  <w:r>
                    <w:rPr>
                      <w:i/>
                      <w:color w:val="000000"/>
                      <w:vertAlign w:val="subscript"/>
                    </w:rPr>
                    <w:t>C.wda,m</w:t>
                  </w:r>
                  <w:r>
                    <w:rPr>
                      <w:color w:val="000000"/>
                    </w:rPr>
                    <w:t xml:space="preserve"> (kWh/(m</w:t>
                  </w:r>
                  <w:r>
                    <w:rPr>
                      <w:color w:val="000000"/>
                      <w:vertAlign w:val="superscript"/>
                    </w:rPr>
                    <w:t>2</w:t>
                  </w:r>
                  <w:r>
                    <w:rPr>
                      <w:color w:val="000000"/>
                    </w:rPr>
                    <w:t xml:space="preserve">·mėn.)), pagal kuriuos skaičiuojami energijos poreikiai pastatui vėsinti,  apskaičiuojami pagal formulę:</w:t>
                  </w:r>
                </w:p>
                <w:tbl>
                  <w:tblPr>
                    <w:tblW w:w="0" w:type="auto"/>
                    <w:tblLook w:val="01E0" w:firstRow="1" w:lastRow="1" w:firstColumn="1" w:lastColumn="1" w:noHBand="0" w:noVBand="0"/>
                  </w:tblPr>
                  <w:tblGrid>
                    <w:gridCol w:w="8568"/>
                    <w:gridCol w:w="1002"/>
                  </w:tblGrid>
                  <w:tr>
                    <w:tc>
                      <w:tcPr>
                        <w:tcW w:w="8568" w:type="dxa"/>
                      </w:tcPr>
                      <w:p>
                        <w:pPr>
                          <w:rPr>
                            <w:color w:val="000000"/>
                            <w:sz w:val="10"/>
                            <w:szCs w:val="10"/>
                          </w:rPr>
                        </w:pPr>
                      </w:p>
                      <w:p>
                        <w:pPr>
                          <w:spacing w:line="360" w:lineRule="auto"/>
                          <w:ind w:left="850" w:hanging="850"/>
                          <w:jc w:val="center"/>
                          <w:rPr>
                            <w:rFonts w:eastAsia="Calibri"/>
                            <w:bCs/>
                            <w:color w:val="000000"/>
                            <w:szCs w:val="22"/>
                          </w:rPr>
                        </w:pPr>
                        <w:r>
                          <w:rPr>
                            <w:rFonts w:eastAsia="Calibri"/>
                            <w:bCs/>
                            <w:color w:val="000000"/>
                            <w:szCs w:val="22"/>
                          </w:rPr>
                          <w:object w:dxaOrig="7330" w:dyaOrig="1440">
                            <v:shape id="_x0000_i1118" type="#_x0000_t75" style="width:366.45pt;height:1in" o:ole="">
                              <v:imagedata r:id="rId465" o:title=""/>
                            </v:shape>
                            <o:OLEObject Type="Embed" ProgID="Equation.3" ShapeID="_x0000_i1118" DrawAspect="Content" ObjectID="_0000000001" r:id="rId466"/>
                          </w:object>
                        </w:r>
                      </w:p>
                    </w:tc>
                    <w:tc>
                      <w:tcPr>
                        <w:tcW w:w="100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(2.86)</w:t>
                        </w:r>
                      </w:p>
                    </w:tc>
                  </w:tr>
                </w:tbl>
                <w:p>
                  <w:pPr>
                    <w:rPr>
                      <w:color w:val="000000"/>
                      <w:sz w:val="18"/>
                      <w:szCs w:val="18"/>
                    </w:rPr>
                  </w:pPr>
                </w:p>
              </w:sdtContent>
            </w:sdt>
          </w:sdtContent>
        </w:sdt>
        <w:sdt>
          <w:sdtPr>
            <w:alias w:val="skyrius"/>
            <w:tag w:val="part_a3a42da937dc4bd8a5f2d0ce794f7efe"/>
            <w:lock w:val="sdtLocked"/>
            <w:richText/>
          </w:sdtPr>
          <w:sdtContent>
            <w:p>
              <w:pPr>
                <w:keepNext/>
                <w:keepLines/>
                <w:jc w:val="center"/>
                <w:outlineLvl w:val="2"/>
                <w:rPr>
                  <w:b/>
                  <w:bCs/>
                  <w:szCs w:val="24"/>
                  <w:lang w:eastAsia="lt-LT"/>
                </w:rPr>
              </w:pPr>
              <w:sdt>
                <w:sdtPr>
                  <w:alias w:val="Numeris"/>
                  <w:tag w:val="nr_a3a42da937dc4bd8a5f2d0ce794f7efe"/>
                  <w:lock w:val="sdtLocked"/>
                  <w:richText/>
                </w:sdtPr>
                <w:sdtContent>
                  <w:r>
                    <w:rPr>
                      <w:b/>
                      <w:bCs/>
                    </w:rPr>
                    <w:t>IX</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a3a42da937dc4bd8a5f2d0ce794f7efe"/>
                  <w:lock w:val="sdtLocked"/>
                  <w:richText/>
                </w:sdtPr>
                <w:sdtContent>
                  <w:r>
                    <w:rPr>
                      <w:b/>
                      <w:bCs/>
                    </w:rPr>
                    <w:t xml:space="preserve">Mėnesinių šilumos nuostolių per pastato išorines duris ir vartus skaičiavimas </w:t>
                  </w:r>
                </w:sdtContent>
              </w:sdt>
            </w:p>
            <w:sdt>
              <w:sdtPr>
                <w:alias w:val="2 pr. 22 p."/>
                <w:tag w:val="part_19e28c636c744a58b364c672d610e367"/>
                <w:lock w:val="sdtLocked"/>
                <w:richText/>
              </w:sdtPr>
              <w:sdtContent>
                <w:p>
                  <w:pPr>
                    <w:ind w:firstLine="570"/>
                    <w:jc w:val="both"/>
                    <w:rPr>
                      <w:color w:val="000000"/>
                    </w:rPr>
                  </w:pPr>
                  <w:sdt>
                    <w:sdtPr>
                      <w:alias w:val="Numeris"/>
                      <w:tag w:val="nr_19e28c636c744a58b364c672d610e367"/>
                      <w:lock w:val="sdtLocked"/>
                      <w:richText/>
                    </w:sdtPr>
                    <w:sdtContent>
                      <w:r>
                        <w:rPr>
                          <w:color w:val="000000"/>
                        </w:rPr>
                        <w:t>22</w:t>
                      </w:r>
                    </w:sdtContent>
                  </w:sdt>
                  <w:r>
                    <w:rPr>
                      <w:color w:val="000000"/>
                    </w:rPr>
                    <w:t xml:space="preserve">. Kiekvieno mėnesio </w:t>
                  </w:r>
                  <w:r>
                    <w:rPr>
                      <w:i/>
                      <w:color w:val="000000"/>
                    </w:rPr>
                    <w:t xml:space="preserve">„m“ </w:t>
                  </w:r>
                  <w:r>
                    <w:rPr>
                      <w:color w:val="000000"/>
                    </w:rPr>
                    <w:t xml:space="preserve">norminiai </w:t>
                  </w:r>
                  <w:r>
                    <w:rPr>
                      <w:i/>
                      <w:color w:val="000000"/>
                    </w:rPr>
                    <w:t>Q</w:t>
                  </w:r>
                  <w:r>
                    <w:rPr>
                      <w:i/>
                      <w:color w:val="000000"/>
                      <w:vertAlign w:val="subscript"/>
                    </w:rPr>
                    <w:t>N.H.d,m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R.H.d,m</w:t>
                  </w:r>
                  <w:r>
                    <w:rPr>
                      <w:color w:val="000000"/>
                    </w:rPr>
                    <w:t xml:space="preserve"> (kWh/(m</w:t>
                  </w:r>
                  <w:r>
                    <w:rPr>
                      <w:color w:val="000000"/>
                      <w:vertAlign w:val="superscript"/>
                    </w:rPr>
                    <w:t>2</w:t>
                  </w:r>
                  <w:r>
                    <w:rPr>
                      <w:color w:val="000000"/>
                    </w:rPr>
                    <w:t xml:space="preserve">·mėn.)) ir skaičiuojamieji </w:t>
                  </w:r>
                  <w:r>
                    <w:rPr>
                      <w:i/>
                      <w:color w:val="000000"/>
                    </w:rPr>
                    <w:t>Q</w:t>
                  </w:r>
                  <w:r>
                    <w:rPr>
                      <w:i/>
                      <w:color w:val="000000"/>
                      <w:vertAlign w:val="subscript"/>
                    </w:rPr>
                    <w:t>H.d,m</w:t>
                  </w:r>
                  <w:r>
                    <w:rPr>
                      <w:color w:val="000000"/>
                    </w:rPr>
                    <w:t xml:space="preserve"> (kWh/(m</w:t>
                  </w:r>
                  <w:r>
                    <w:rPr>
                      <w:color w:val="000000"/>
                      <w:vertAlign w:val="superscript"/>
                    </w:rPr>
                    <w:t>2</w:t>
                  </w:r>
                  <w:r>
                    <w:rPr>
                      <w:color w:val="000000"/>
                    </w:rPr>
                    <w:t>·mėn.)) šilumos nuostoliai per pastato išorines duris ir vartus, pagal kuriuos skaičiuojami energijos poreikiai pastatui šildyti, apskaičiuojami pagal formules:</w:t>
                  </w:r>
                </w:p>
                <w:tbl>
                  <w:tblPr>
                    <w:tblW w:w="0" w:type="auto"/>
                    <w:tblLook w:val="01E0" w:firstRow="1" w:lastRow="1" w:firstColumn="1" w:lastColumn="1" w:noHBand="0" w:noVBand="0"/>
                  </w:tblPr>
                  <w:tblGrid>
                    <w:gridCol w:w="8748"/>
                    <w:gridCol w:w="822"/>
                  </w:tblGrid>
                  <w:tr>
                    <w:tc>
                      <w:tcPr>
                        <w:tcW w:w="8748" w:type="dxa"/>
                      </w:tcPr>
                      <w:p>
                        <w:pPr>
                          <w:rPr>
                            <w:color w:val="000000"/>
                            <w:sz w:val="10"/>
                            <w:szCs w:val="10"/>
                          </w:rPr>
                        </w:pPr>
                      </w:p>
                      <w:p>
                        <w:pPr>
                          <w:spacing w:line="360" w:lineRule="auto"/>
                          <w:ind w:left="850" w:hanging="850"/>
                          <w:jc w:val="center"/>
                          <w:rPr>
                            <w:rFonts w:eastAsia="Calibri"/>
                            <w:bCs/>
                            <w:color w:val="000000"/>
                            <w:szCs w:val="22"/>
                          </w:rPr>
                        </w:pPr>
                        <w:r>
                          <w:rPr>
                            <w:rFonts w:eastAsia="Calibri"/>
                            <w:b/>
                            <w:bCs/>
                            <w:color w:val="000000"/>
                            <w:position w:val="-30"/>
                            <w:szCs w:val="22"/>
                          </w:rPr>
                          <w:object w:dxaOrig="4930" w:dyaOrig="650">
                            <v:shape id="_x0000_i1119" type="#_x0000_t75" style="width:246.75pt;height:32.35pt" o:ole="">
                              <v:imagedata r:id="rId467" o:title=""/>
                            </v:shape>
                            <o:OLEObject Type="Embed" ProgID="Equation.3" ShapeID="_x0000_i1119" DrawAspect="Content" ObjectID="_0000000001" r:id="rId468"/>
                          </w:object>
                        </w:r>
                        <w:r>
                          <w:rPr>
                            <w:bCs/>
                            <w:color w:val="000000"/>
                          </w:rPr>
                          <w:t>;</w: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(2.87)</w:t>
                        </w:r>
                      </w:p>
                    </w:tc>
                  </w:tr>
                </w:tbl>
                <w:p>
                  <w:pPr>
                    <w:ind w:firstLine="570"/>
                    <w:jc w:val="right"/>
                    <w:rPr>
                      <w:rFonts w:eastAsia="Calibri"/>
                      <w:bCs/>
                      <w:color w:val="000000"/>
                      <w:szCs w:val="22"/>
                    </w:rPr>
                  </w:pPr>
                </w:p>
                <w:tbl>
                  <w:tblPr>
                    <w:tblW w:w="0" w:type="auto"/>
                    <w:tblLook w:val="01E0" w:firstRow="1" w:lastRow="1" w:firstColumn="1" w:lastColumn="1" w:noHBand="0" w:noVBand="0"/>
                  </w:tblPr>
                  <w:tblGrid>
                    <w:gridCol w:w="8748"/>
                    <w:gridCol w:w="822"/>
                  </w:tblGrid>
                  <w:tr>
                    <w:tc>
                      <w:tcPr>
                        <w:tcW w:w="8748" w:type="dxa"/>
                      </w:tcPr>
                      <w:p>
                        <w:pPr>
                          <w:rPr>
                            <w:color w:val="000000"/>
                            <w:sz w:val="10"/>
                            <w:szCs w:val="10"/>
                          </w:rPr>
                        </w:pPr>
                      </w:p>
                      <w:p>
                        <w:pPr>
                          <w:spacing w:line="360" w:lineRule="auto"/>
                          <w:ind w:left="850" w:hanging="850"/>
                          <w:jc w:val="center"/>
                          <w:rPr>
                            <w:rFonts w:eastAsia="Calibri"/>
                            <w:bCs/>
                            <w:color w:val="000000"/>
                            <w:szCs w:val="22"/>
                          </w:rPr>
                        </w:pPr>
                        <w:r>
                          <w:rPr>
                            <w:rFonts w:eastAsia="Calibri"/>
                            <w:b/>
                            <w:bCs/>
                            <w:color w:val="000000"/>
                            <w:position w:val="-32"/>
                            <w:szCs w:val="22"/>
                          </w:rPr>
                          <w:object w:dxaOrig="4650" w:dyaOrig="680">
                            <v:shape id="_x0000_i1120" type="#_x0000_t75" style="width:232.2pt;height:34pt" o:ole="">
                              <v:imagedata r:id="rId469" o:title=""/>
                            </v:shape>
                            <o:OLEObject Type="Embed" ProgID="Equation.3" ShapeID="_x0000_i1120" DrawAspect="Content" ObjectID="_0000000001" r:id="rId470"/>
                          </w:object>
                        </w:r>
                        <w:r>
                          <w:rPr>
                            <w:bCs/>
                            <w:color w:val="000000"/>
                          </w:rPr>
                          <w:t>;</w: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(2.88)</w:t>
                        </w:r>
                      </w:p>
                    </w:tc>
                  </w:tr>
                </w:tbl>
                <w:p>
                  <w:pPr>
                    <w:ind w:firstLine="570"/>
                    <w:jc w:val="right"/>
                    <w:rPr>
                      <w:rFonts w:eastAsia="Calibri"/>
                      <w:color w:val="000000"/>
                      <w:szCs w:val="22"/>
                    </w:rPr>
                  </w:pPr>
                </w:p>
                <w:tbl>
                  <w:tblPr>
                    <w:tblW w:w="0" w:type="auto"/>
                    <w:tblLook w:val="01E0" w:firstRow="1" w:lastRow="1" w:firstColumn="1" w:lastColumn="1" w:noHBand="0" w:noVBand="0"/>
                  </w:tblPr>
                  <w:tblGrid>
                    <w:gridCol w:w="8748"/>
                    <w:gridCol w:w="822"/>
                  </w:tblGrid>
                  <w:tr>
                    <w:tc>
                      <w:tcPr>
                        <w:tcW w:w="8748" w:type="dxa"/>
                      </w:tcPr>
                      <w:p>
                        <w:pPr>
                          <w:rPr>
                            <w:color w:val="000000"/>
                            <w:sz w:val="10"/>
                            <w:szCs w:val="10"/>
                          </w:rPr>
                        </w:pPr>
                      </w:p>
                      <w:p>
                        <w:pPr>
                          <w:spacing w:line="360" w:lineRule="auto"/>
                          <w:ind w:left="850" w:hanging="850"/>
                          <w:jc w:val="center"/>
                          <w:rPr>
                            <w:rFonts w:eastAsia="Calibri"/>
                            <w:bCs/>
                            <w:color w:val="000000"/>
                            <w:szCs w:val="22"/>
                          </w:rPr>
                        </w:pPr>
                        <w:r>
                          <w:rPr>
                            <w:bCs/>
                            <w:color w:val="000000"/>
                          </w:rPr>
                          <w:object w:dxaOrig="5430" w:dyaOrig="730">
                            <v:shape id="_x0000_i1121" type="#_x0000_t75" style="width:271.8pt;height:37.2pt" o:ole="">
                              <v:imagedata r:id="rId471" o:title=""/>
                            </v:shape>
                            <o:OLEObject Type="Embed" ProgID="Equation.3" ShapeID="_x0000_i1121" DrawAspect="Content" ObjectID="_0000000001" r:id="rId472"/>
                          </w:object>
                          <w:t>;</w:t>
                        </w:r>
                      </w:p>
                    </w:tc>
                    <w:tc>
                      <w:tcPr>
                        <w:tcW w:w="82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(2.89)</w:t>
                        </w:r>
                      </w:p>
                    </w:tc>
                  </w:tr>
                </w:tbl>
                <w:p>
                  <w:pPr>
                    <w:tabs>
                      <w:tab w:val="left" w:pos="567"/>
                    </w:tabs>
                    <w:jc w:val="both"/>
                    <w:rPr>
                      <w:rFonts w:eastAsia="Calibri"/>
                      <w:color w:val="000000"/>
                      <w:szCs w:val="22"/>
                    </w:rPr>
                  </w:pPr>
                  <w:r>
                    <w:rPr>
                      <w:color w:val="000000"/>
                    </w:rPr>
                    <w:t>čia:</w:t>
                    <w:tab/>
                  </w:r>
                  <w:r>
                    <w:rPr>
                      <w:bCs/>
                      <w:i/>
                      <w:color w:val="000000"/>
                    </w:rPr>
                    <w:t>A</w:t>
                  </w:r>
                  <w:r>
                    <w:rPr>
                      <w:bCs/>
                      <w:i/>
                      <w:color w:val="000000"/>
                      <w:vertAlign w:val="subscript"/>
                    </w:rPr>
                    <w:t>d.sum</w:t>
                  </w:r>
                  <w:r>
                    <w:rPr>
                      <w:color w:val="000000"/>
                    </w:rPr>
                    <w:t xml:space="preserve"> – suminis išorinių durų ir vartų plotas (m</w:t>
                  </w:r>
                  <w:r>
                    <w:rPr>
                      <w:color w:val="000000"/>
                      <w:vertAlign w:val="superscript"/>
                    </w:rPr>
                    <w:t>2</w:t>
                  </w:r>
                  <w:r>
                    <w:rPr>
                      <w:color w:val="000000"/>
                    </w:rPr>
                    <w:t xml:space="preserve">). Nustatomas pagal Reglamento 7 priedo reikalavimus; </w:t>
                  </w:r>
                </w:p>
                <w:p>
                  <w:pPr>
                    <w:ind w:firstLine="570"/>
                    <w:jc w:val="both"/>
                    <w:rPr>
                      <w:color w:val="000000"/>
                    </w:rPr>
                  </w:pPr>
                  <w:r>
                    <w:rPr>
                      <w:bCs/>
                      <w:i/>
                      <w:color w:val="000000"/>
                    </w:rPr>
                    <w:t>A</w:t>
                  </w:r>
                  <w:r>
                    <w:rPr>
                      <w:bCs/>
                      <w:i/>
                      <w:color w:val="000000"/>
                      <w:vertAlign w:val="subscript"/>
                    </w:rPr>
                    <w:t>d,x</w:t>
                  </w:r>
                  <w:r>
                    <w:rPr>
                      <w:color w:val="000000"/>
                    </w:rPr>
                    <w:t xml:space="preserve"> – atitinkamų „</w:t>
                  </w:r>
                  <w:r>
                    <w:rPr>
                      <w:i/>
                      <w:color w:val="000000"/>
                    </w:rPr>
                    <w:t>x</w:t>
                  </w:r>
                  <w:r>
                    <w:rPr>
                      <w:color w:val="000000"/>
                    </w:rPr>
                    <w:t>“ išorinių durų ar vartų plotas (m</w:t>
                  </w:r>
                  <w:r>
                    <w:rPr>
                      <w:color w:val="000000"/>
                      <w:vertAlign w:val="superscript"/>
                    </w:rPr>
                    <w:t>2</w:t>
                  </w:r>
                  <w:r>
                    <w:rPr>
                      <w:color w:val="000000"/>
                    </w:rPr>
                    <w:t>). Nustatomas pagal Reglamento 7 priedo reikalavimus;</w:t>
                  </w:r>
                </w:p>
                <w:p>
                  <w:pPr>
                    <w:ind w:firstLine="570"/>
                    <w:jc w:val="both"/>
                    <w:rPr>
                      <w:color w:val="000000"/>
                    </w:rPr>
                  </w:pPr>
                  <w:r>
                    <w:rPr>
                      <w:bCs/>
                      <w:i/>
                      <w:color w:val="000000"/>
                    </w:rPr>
                    <w:t>U</w:t>
                  </w:r>
                  <w:r>
                    <w:rPr>
                      <w:bCs/>
                      <w:i/>
                      <w:color w:val="000000"/>
                      <w:vertAlign w:val="subscript"/>
                    </w:rPr>
                    <w:t>(C,B).d</w:t>
                  </w:r>
                  <w:r>
                    <w:rPr>
                      <w:color w:val="000000"/>
                    </w:rPr>
                    <w:t xml:space="preserve"> – durų ir vartų norminis šilumos perdavimo koeficientas (W/</w:t>
                  </w:r>
                  <w:r>
                    <w:rPr>
                      <w:color w:val="000000"/>
                      <w:spacing w:val="-6"/>
                    </w:rPr>
                    <w:t>(m</w:t>
                  </w:r>
                  <w:r>
                    <w:rPr>
                      <w:color w:val="000000"/>
                      <w:spacing w:val="-6"/>
                      <w:vertAlign w:val="superscript"/>
                    </w:rPr>
                    <w:t>2</w:t>
                  </w:r>
                  <w:r>
                    <w:rPr>
                      <w:color w:val="000000"/>
                      <w:spacing w:val="-6"/>
                    </w:rPr>
                    <w:t>·K)). Imamas iš Reglamento 3 lentelės</w:t>
                  </w:r>
                  <w:r>
                    <w:rPr>
                      <w:color w:val="000000"/>
                    </w:rPr>
                    <w:t>;</w:t>
                  </w:r>
                </w:p>
                <w:p>
                  <w:pPr>
                    <w:ind w:firstLine="570"/>
                    <w:jc w:val="both"/>
                    <w:rPr>
                      <w:color w:val="000000"/>
                    </w:rPr>
                  </w:pPr>
                  <w:r>
                    <w:rPr>
                      <w:bCs/>
                      <w:i/>
                      <w:color w:val="000000"/>
                    </w:rPr>
                    <w:t>U</w:t>
                  </w:r>
                  <w:r>
                    <w:rPr>
                      <w:bCs/>
                      <w:i/>
                      <w:color w:val="000000"/>
                      <w:vertAlign w:val="subscript"/>
                    </w:rPr>
                    <w:t>R.d</w:t>
                  </w:r>
                  <w:r>
                    <w:rPr>
                      <w:color w:val="000000"/>
                    </w:rPr>
                    <w:t xml:space="preserve"> – durų ir vartų atskaitinis šilumos perdavimo koeficientas (W/</w:t>
                  </w:r>
                  <w:r>
                    <w:rPr>
                      <w:color w:val="000000"/>
                      <w:spacing w:val="-6"/>
                    </w:rPr>
                    <w:t>(m</w:t>
                  </w:r>
                  <w:r>
                    <w:rPr>
                      <w:color w:val="000000"/>
                      <w:spacing w:val="-6"/>
                      <w:vertAlign w:val="superscript"/>
                    </w:rPr>
                    <w:t>2</w:t>
                  </w:r>
                  <w:r>
                    <w:rPr>
                      <w:color w:val="000000"/>
                      <w:spacing w:val="-6"/>
                    </w:rPr>
                    <w:t>·K)). Imamas iš Reglamento 2 lentelės;</w:t>
                  </w:r>
                </w:p>
                <w:p>
                  <w:pPr>
                    <w:ind w:firstLine="570"/>
                    <w:jc w:val="both"/>
                    <w:rPr>
                      <w:color w:val="000000"/>
                    </w:rPr>
                  </w:pPr>
                  <w:r>
                    <w:rPr>
                      <w:bCs/>
                      <w:i/>
                      <w:color w:val="000000"/>
                    </w:rPr>
                    <w:t>U</w:t>
                  </w:r>
                  <w:r>
                    <w:rPr>
                      <w:bCs/>
                      <w:i/>
                      <w:color w:val="000000"/>
                      <w:vertAlign w:val="subscript"/>
                    </w:rPr>
                    <w:t>d,x</w:t>
                  </w:r>
                  <w:r>
                    <w:rPr>
                      <w:color w:val="000000"/>
                    </w:rPr>
                    <w:t xml:space="preserve"> – atitinkamų „</w:t>
                  </w:r>
                  <w:r>
                    <w:rPr>
                      <w:i/>
                      <w:color w:val="000000"/>
                    </w:rPr>
                    <w:t>x</w:t>
                  </w:r>
                  <w:r>
                    <w:rPr>
                      <w:color w:val="000000"/>
                    </w:rPr>
                    <w:t>“ išorinių durų ar vartų skaičiuojamasis šilumos perdavimo koeficientas (W/</w:t>
                  </w:r>
                  <w:r>
                    <w:rPr>
                      <w:color w:val="000000"/>
                      <w:spacing w:val="-6"/>
                    </w:rPr>
                    <w:t>(m</w:t>
                  </w:r>
                  <w:r>
                    <w:rPr>
                      <w:color w:val="000000"/>
                      <w:spacing w:val="-6"/>
                      <w:vertAlign w:val="superscript"/>
                    </w:rPr>
                    <w:t>2</w:t>
                  </w:r>
                  <w:r>
                    <w:rPr>
                      <w:color w:val="000000"/>
                      <w:spacing w:val="-6"/>
                    </w:rPr>
                    <w:t>·K))</w:t>
                  </w:r>
                  <w:r>
                    <w:rPr>
                      <w:color w:val="000000"/>
                    </w:rPr>
                    <w:t xml:space="preserve">; </w:t>
                  </w:r>
                </w:p>
                <w:p>
                  <w:pPr>
                    <w:ind w:firstLine="570"/>
                    <w:jc w:val="both"/>
                    <w:rPr>
                      <w:color w:val="000000"/>
                    </w:rPr>
                  </w:pPr>
                  <w:r>
                    <w:rPr>
                      <w:bCs/>
                      <w:i/>
                      <w:color w:val="000000"/>
                    </w:rPr>
                    <w:t>k</w:t>
                  </w:r>
                  <w:r>
                    <w:rPr>
                      <w:bCs/>
                      <w:i/>
                      <w:color w:val="000000"/>
                      <w:vertAlign w:val="subscript"/>
                    </w:rPr>
                    <w:t>d,m,x</w:t>
                  </w:r>
                  <w:r>
                    <w:rPr>
                      <w:color w:val="000000"/>
                    </w:rPr>
                    <w:t xml:space="preserve"> – kiekvieno mėnesio „m“ pataisos koeficientas atitinkamoms „</w:t>
                  </w:r>
                  <w:r>
                    <w:rPr>
                      <w:i/>
                      <w:color w:val="000000"/>
                    </w:rPr>
                    <w:t>x</w:t>
                  </w:r>
                  <w:r>
                    <w:rPr>
                      <w:color w:val="000000"/>
                    </w:rPr>
                    <w:t>“ durims ar vartams, imamas iš 2.10 lentelės.</w:t>
                  </w:r>
                </w:p>
                <w:p>
                  <w:pPr>
                    <w:jc w:val="center"/>
                    <w:rPr>
                      <w:b/>
                    </w:rPr>
                  </w:pPr>
                  <w:r>
                    <w:rPr>
                      <w:b/>
                    </w:rPr>
                    <w:t xml:space="preserve">Pataisos koeficiento durims ir vartams </w:t>
                  </w:r>
                  <w:r>
                    <w:rPr>
                      <w:b/>
                      <w:i/>
                    </w:rPr>
                    <w:t>k</w:t>
                  </w:r>
                  <w:r>
                    <w:rPr>
                      <w:b/>
                      <w:i/>
                      <w:vertAlign w:val="subscript"/>
                    </w:rPr>
                    <w:t>d,m</w:t>
                  </w:r>
                  <w:r>
                    <w:rPr>
                      <w:b/>
                    </w:rPr>
                    <w:t xml:space="preserve"> vertės</w:t>
                  </w:r>
                </w:p>
                <w:p>
                  <w:pPr>
                    <w:jc w:val="right"/>
                  </w:pPr>
                  <w:r>
                    <w:t>2.10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75"/>
                    <w:gridCol w:w="4545"/>
                  </w:tblGrid>
                  <w:tr>
                    <w:tc>
                      <w:tcPr>
                        <w:tcW w:w="2709"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Durų apibūdinimas</w:t>
                        </w:r>
                      </w:p>
                    </w:tc>
                    <w:tc>
                      <w:tcPr>
                        <w:tcW w:w="2291" w:type="pct"/>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d,m</w:t>
                        </w:r>
                      </w:p>
                    </w:tc>
                  </w:tr>
                  <w:tr>
                    <w:tc>
                      <w:tcPr>
                        <w:tcW w:w="270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ir vartai tarp patalpų ir išorės</w:t>
                        </w:r>
                      </w:p>
                    </w:tc>
                    <w:tc>
                      <w:tcPr>
                        <w:tcW w:w="229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270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ir vartai tarp patalpų ir šiltnamio</w:t>
                        </w:r>
                      </w:p>
                    </w:tc>
                    <w:tc>
                      <w:tcPr>
                        <w:tcW w:w="229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270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ir vartai tarp patalpų ir įstiklintų galerijų</w:t>
                        </w:r>
                      </w:p>
                    </w:tc>
                    <w:tc>
                      <w:tcPr>
                        <w:tcW w:w="229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270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ir vartai tarp šildomo ir nešildomo pastato patalpų</w:t>
                        </w:r>
                      </w:p>
                    </w:tc>
                    <w:tc>
                      <w:tcPr>
                        <w:tcW w:w="229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270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ir vartai tarp šildomų ir nešildomų apšiltintų patalpų</w:t>
                        </w:r>
                      </w:p>
                    </w:tc>
                    <w:tc>
                      <w:tcPr>
                        <w:tcW w:w="229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Apskaičiuojama pagal Reglamento 14 priedo reikalavimus</w:t>
                        </w:r>
                      </w:p>
                    </w:tc>
                  </w:tr>
                </w:tbl>
                <w:p>
                  <w:pPr>
                    <w:ind w:firstLine="570"/>
                    <w:rPr>
                      <w:rFonts w:eastAsia="Calibri"/>
                      <w:b/>
                      <w:szCs w:val="22"/>
                    </w:rPr>
                  </w:pPr>
                </w:p>
              </w:sdtContent>
            </w:sdt>
            <w:sdt>
              <w:sdtPr>
                <w:alias w:val="2 pr. 23 p."/>
                <w:tag w:val="part_0bf0b939490446618afd9fbcbfc62697"/>
                <w:lock w:val="sdtLocked"/>
                <w:richText/>
              </w:sdtPr>
              <w:sdtContent>
                <w:p>
                  <w:pPr>
                    <w:ind w:firstLine="570"/>
                    <w:jc w:val="both"/>
                    <w:rPr>
                      <w:color w:val="000000"/>
                    </w:rPr>
                  </w:pPr>
                  <w:sdt>
                    <w:sdtPr>
                      <w:alias w:val="Numeris"/>
                      <w:tag w:val="nr_0bf0b939490446618afd9fbcbfc62697"/>
                      <w:lock w:val="sdtLocked"/>
                      <w:richText/>
                    </w:sdtPr>
                    <w:sdtContent>
                      <w:r>
                        <w:rPr>
                          <w:color w:val="000000"/>
                        </w:rPr>
                        <w:t>23</w:t>
                      </w:r>
                    </w:sdtContent>
                  </w:sdt>
                  <w:r>
                    <w:rPr>
                      <w:color w:val="000000"/>
                    </w:rPr>
                    <w:t xml:space="preserve">. Kiekvieno mėnesio </w:t>
                  </w:r>
                  <w:r>
                    <w:rPr>
                      <w:i/>
                      <w:color w:val="000000"/>
                    </w:rPr>
                    <w:t xml:space="preserve">„m“ </w:t>
                  </w:r>
                  <w:r>
                    <w:rPr>
                      <w:color w:val="000000"/>
                    </w:rPr>
                    <w:t>skaičiuojamieji šilumos nuostoliai per pastato išorines duris ir vartus</w:t>
                  </w:r>
                  <w:r>
                    <w:rPr>
                      <w:i/>
                      <w:color w:val="000000"/>
                    </w:rPr>
                    <w:t xml:space="preserve"> Q</w:t>
                  </w:r>
                  <w:r>
                    <w:rPr>
                      <w:i/>
                      <w:color w:val="000000"/>
                      <w:vertAlign w:val="subscript"/>
                    </w:rPr>
                    <w:t>C.d,m</w:t>
                  </w:r>
                  <w:r>
                    <w:rPr>
                      <w:color w:val="000000"/>
                    </w:rPr>
                    <w:t xml:space="preserve"> (kWh/(m</w:t>
                  </w:r>
                  <w:r>
                    <w:rPr>
                      <w:color w:val="000000"/>
                      <w:vertAlign w:val="superscript"/>
                    </w:rPr>
                    <w:t>2</w:t>
                  </w:r>
                  <w:r>
                    <w:rPr>
                      <w:color w:val="000000"/>
                    </w:rPr>
                    <w:t>·mėn.)), pagal kuriuos skaičiuojami energijos poreikiai pastatui vėsinti, apskaičiuojami pagal formulę:</w:t>
                  </w:r>
                </w:p>
                <w:tbl>
                  <w:tblPr>
                    <w:tblW w:w="0" w:type="auto"/>
                    <w:tblLook w:val="01E0" w:firstRow="1" w:lastRow="1" w:firstColumn="1" w:lastColumn="1" w:noHBand="0" w:noVBand="0"/>
                  </w:tblPr>
                  <w:tblGrid>
                    <w:gridCol w:w="8748"/>
                    <w:gridCol w:w="822"/>
                  </w:tblGrid>
                  <w:tr>
                    <w:tc>
                      <w:tcPr>
                        <w:tcW w:w="8748" w:type="dxa"/>
                        <w:hideMark/>
                      </w:tcPr>
                      <w:p>
                        <w:pPr>
                          <w:spacing w:line="276" w:lineRule="auto"/>
                          <w:jc w:val="center"/>
                          <w:rPr>
                            <w:rFonts w:eastAsia="Calibri"/>
                            <w:bCs/>
                            <w:color w:val="000000"/>
                            <w:szCs w:val="22"/>
                          </w:rPr>
                        </w:pPr>
                        <w:r>
                          <w:rPr>
                            <w:rFonts w:eastAsia="Calibri"/>
                            <w:bCs/>
                            <w:color w:val="000000"/>
                            <w:position w:val="-32"/>
                            <w:szCs w:val="22"/>
                          </w:rPr>
                          <w:object w:dxaOrig="5410" w:dyaOrig="730">
                            <v:shape id="_x0000_i1122" type="#_x0000_t75" style="width:271pt;height:37.2pt" o:ole="">
                              <v:imagedata r:id="rId473" o:title=""/>
                            </v:shape>
                            <o:OLEObject Type="Embed" ProgID="Equation.3" ShapeID="_x0000_i1122" DrawAspect="Content" ObjectID="_0000000001" r:id="rId474"/>
                          </w:object>
                        </w:r>
                        <w:r>
                          <w:rPr>
                            <w:bCs/>
                            <w:color w:val="000000"/>
                          </w:rPr>
                          <w:t>.</w:t>
                        </w:r>
                      </w:p>
                    </w:tc>
                    <w:tc>
                      <w:tcPr>
                        <w:tcW w:w="822" w:type="dxa"/>
                        <w:vAlign w:val="center"/>
                        <w:hideMark/>
                      </w:tcPr>
                      <w:p>
                        <w:pPr>
                          <w:spacing w:line="276" w:lineRule="auto"/>
                          <w:jc w:val="right"/>
                          <w:rPr>
                            <w:rFonts w:eastAsia="Calibri"/>
                            <w:bCs/>
                            <w:color w:val="000000"/>
                            <w:szCs w:val="22"/>
                          </w:rPr>
                        </w:pPr>
                        <w:r>
                          <w:rPr>
                            <w:bCs/>
                            <w:color w:val="000000"/>
                          </w:rPr>
                          <w:t>(2.90)</w:t>
                        </w:r>
                      </w:p>
                    </w:tc>
                  </w:tr>
                </w:tbl>
                <w:p>
                  <w:pPr>
                    <w:rPr>
                      <w:rFonts w:eastAsia="Calibri"/>
                      <w:color w:val="000000"/>
                      <w:szCs w:val="22"/>
                    </w:rPr>
                  </w:pPr>
                </w:p>
                <w:p>
                  <w:pPr>
                    <w:rPr>
                      <w:color w:val="000000"/>
                      <w:sz w:val="18"/>
                      <w:szCs w:val="18"/>
                    </w:rPr>
                  </w:pPr>
                </w:p>
              </w:sdtContent>
            </w:sdt>
          </w:sdtContent>
        </w:sdt>
        <w:sdt>
          <w:sdtPr>
            <w:alias w:val="skyrius"/>
            <w:tag w:val="part_1f2c3f9877b348c6a71a7fa97b4a433e"/>
            <w:lock w:val="sdtLocked"/>
            <w:richText/>
          </w:sdtPr>
          <w:sdtContent>
            <w:p>
              <w:pPr>
                <w:keepNext/>
                <w:keepLines/>
                <w:jc w:val="center"/>
                <w:outlineLvl w:val="2"/>
                <w:rPr>
                  <w:b/>
                  <w:bCs/>
                </w:rPr>
              </w:pPr>
              <w:sdt>
                <w:sdtPr>
                  <w:alias w:val="Numeris"/>
                  <w:tag w:val="nr_1f2c3f9877b348c6a71a7fa97b4a433e"/>
                  <w:lock w:val="sdtLocked"/>
                  <w:richText/>
                </w:sdtPr>
                <w:sdtContent>
                  <w:r>
                    <w:rPr>
                      <w:b/>
                      <w:bCs/>
                    </w:rPr>
                    <w:t>X</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1f2c3f9877b348c6a71a7fa97b4a433e"/>
                  <w:lock w:val="sdtLocked"/>
                  <w:richText/>
                </w:sdtPr>
                <w:sdtContent>
                  <w:r>
                    <w:rPr>
                      <w:b/>
                      <w:bCs/>
                    </w:rPr>
                    <w:t>Mėnesinių šilumos nuostolių per pastato ilginius šiluminius tiltelius skaičiavimas</w:t>
                  </w:r>
                </w:sdtContent>
              </w:sdt>
            </w:p>
            <w:sdt>
              <w:sdtPr>
                <w:alias w:val="2 pr. 24 p."/>
                <w:tag w:val="part_6fb3a1f79c9c42b6915873eaae708411"/>
                <w:lock w:val="sdtLocked"/>
                <w:richText/>
              </w:sdtPr>
              <w:sdtContent>
                <w:p>
                  <w:pPr>
                    <w:ind w:firstLine="567"/>
                    <w:jc w:val="both"/>
                    <w:rPr>
                      <w:color w:val="000000"/>
                    </w:rPr>
                  </w:pPr>
                  <w:sdt>
                    <w:sdtPr>
                      <w:alias w:val="Numeris"/>
                      <w:tag w:val="nr_6fb3a1f79c9c42b6915873eaae708411"/>
                      <w:lock w:val="sdtLocked"/>
                      <w:richText/>
                    </w:sdtPr>
                    <w:sdtContent>
                      <w:r>
                        <w:rPr>
                          <w:color w:val="000000"/>
                        </w:rPr>
                        <w:t>24</w:t>
                      </w:r>
                    </w:sdtContent>
                  </w:sdt>
                  <w:r>
                    <w:rPr>
                      <w:color w:val="000000"/>
                    </w:rPr>
                    <w:t>. Šilumos nuostolių skaičiavimas per pastato ilginius šiluminius tiltelius atliekamas ilginiams šilumos tilteliams išvardintiems Reglamento 30 punkte tilteliams:</w:t>
                  </w:r>
                </w:p>
              </w:sdtContent>
            </w:sdt>
            <w:sdt>
              <w:sdtPr>
                <w:alias w:val="2 pr. 25 p."/>
                <w:tag w:val="part_af4ac2f86e0747f5be03a61a5a68aee9"/>
                <w:lock w:val="sdtLocked"/>
                <w:richText/>
              </w:sdtPr>
              <w:sdtContent>
                <w:p>
                  <w:pPr>
                    <w:ind w:firstLine="570"/>
                    <w:jc w:val="both"/>
                    <w:rPr>
                      <w:color w:val="000000"/>
                    </w:rPr>
                  </w:pPr>
                  <w:sdt>
                    <w:sdtPr>
                      <w:alias w:val="Numeris"/>
                      <w:tag w:val="nr_af4ac2f86e0747f5be03a61a5a68aee9"/>
                      <w:lock w:val="sdtLocked"/>
                      <w:richText/>
                    </w:sdtPr>
                    <w:sdtContent>
                      <w:r>
                        <w:rPr>
                          <w:color w:val="000000"/>
                        </w:rPr>
                        <w:t>25</w:t>
                      </w:r>
                    </w:sdtContent>
                  </w:sdt>
                  <w:r>
                    <w:rPr>
                      <w:color w:val="000000"/>
                    </w:rPr>
                    <w:t>. Šilumos nuostolių skaičiavimas per ilginius šiluminius tiltelius turi būti atliktas dviem variantais: turi būti apskaičiuoti šilumos nuostoliai, susiję su energijos poreikiais pastatui šildyti ir šilumos nuostoliai, susiję su energijos poreikiais pastatui vėsinti.</w:t>
                  </w:r>
                </w:p>
                <w:sdt>
                  <w:sdtPr>
                    <w:alias w:val="2 pr. 25.1 pp."/>
                    <w:tag w:val="part_7c96354a60e04f048aeb940aab2c55a3"/>
                    <w:lock w:val="sdtLocked"/>
                    <w:richText/>
                  </w:sdtPr>
                  <w:sdtContent>
                    <w:p>
                      <w:pPr>
                        <w:ind w:firstLine="570"/>
                        <w:jc w:val="both"/>
                        <w:rPr>
                          <w:color w:val="000000"/>
                        </w:rPr>
                      </w:pPr>
                      <w:sdt>
                        <w:sdtPr>
                          <w:alias w:val="Numeris"/>
                          <w:tag w:val="nr_7c96354a60e04f048aeb940aab2c55a3"/>
                          <w:lock w:val="sdtLocked"/>
                          <w:richText/>
                        </w:sdtPr>
                        <w:sdtContent>
                          <w:r>
                            <w:rPr>
                              <w:color w:val="000000"/>
                            </w:rPr>
                            <w:t>25.1</w:t>
                          </w:r>
                        </w:sdtContent>
                      </w:sdt>
                      <w:r>
                        <w:rPr>
                          <w:color w:val="000000"/>
                        </w:rPr>
                        <w:t xml:space="preserve">. Kiekvieno mėnesio </w:t>
                      </w:r>
                      <w:r>
                        <w:rPr>
                          <w:i/>
                          <w:color w:val="000000"/>
                        </w:rPr>
                        <w:t xml:space="preserve">„m“ </w:t>
                      </w:r>
                      <w:r>
                        <w:rPr>
                          <w:color w:val="000000"/>
                        </w:rPr>
                        <w:t xml:space="preserve">norminiai </w:t>
                      </w:r>
                      <w:r>
                        <w:rPr>
                          <w:i/>
                          <w:color w:val="000000"/>
                        </w:rPr>
                        <w:t>Q</w:t>
                      </w:r>
                      <w:r>
                        <w:rPr>
                          <w:i/>
                          <w:color w:val="000000"/>
                          <w:vertAlign w:val="subscript"/>
                        </w:rPr>
                        <w:t>N.H.</w:t>
                        <w:sym w:font="Symbol" w:char="F059"/>
                        <w:t>,m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R.H.</w:t>
                        <w:sym w:font="Symbol" w:char="F059"/>
                        <w:t>,m</w:t>
                      </w:r>
                      <w:r>
                        <w:rPr>
                          <w:color w:val="000000"/>
                        </w:rPr>
                        <w:t xml:space="preserve"> (kWh/(m</w:t>
                      </w:r>
                      <w:r>
                        <w:rPr>
                          <w:color w:val="000000"/>
                          <w:vertAlign w:val="superscript"/>
                        </w:rPr>
                        <w:t>2</w:t>
                      </w:r>
                      <w:r>
                        <w:rPr>
                          <w:color w:val="000000"/>
                        </w:rPr>
                        <w:t xml:space="preserve">·mėn.)) ir skaičiuojamieji </w:t>
                      </w:r>
                      <w:r>
                        <w:rPr>
                          <w:i/>
                          <w:color w:val="000000"/>
                        </w:rPr>
                        <w:t>Q</w:t>
                      </w:r>
                      <w:r>
                        <w:rPr>
                          <w:i/>
                          <w:color w:val="000000"/>
                          <w:vertAlign w:val="subscript"/>
                        </w:rPr>
                        <w:t>H.</w:t>
                        <w:sym w:font="Symbol" w:char="F059"/>
                        <w:t>,m</w:t>
                      </w:r>
                      <w:r>
                        <w:rPr>
                          <w:color w:val="000000"/>
                        </w:rPr>
                        <w:t xml:space="preserve"> (kWh/(m</w:t>
                      </w:r>
                      <w:r>
                        <w:rPr>
                          <w:color w:val="000000"/>
                          <w:vertAlign w:val="superscript"/>
                        </w:rPr>
                        <w:t>2</w:t>
                      </w:r>
                      <w:r>
                        <w:rPr>
                          <w:color w:val="000000"/>
                        </w:rPr>
                        <w:t>·mėn.)) šilumos nuostoliai per pastato ilginius šiluminius tiltelius, pagal kuriuos skaičiuojami energijos poreikiai pastatui šildyti, apskaičiuojami pagal formules:</w:t>
                      </w:r>
                    </w:p>
                    <w:tbl>
                      <w:tblPr>
                        <w:tblW w:w="0" w:type="auto"/>
                        <w:tblLook w:val="01E0" w:firstRow="1" w:lastRow="1" w:firstColumn="1" w:lastColumn="1" w:noHBand="0" w:noVBand="0"/>
                      </w:tblPr>
                      <w:tblGrid>
                        <w:gridCol w:w="8748"/>
                        <w:gridCol w:w="822"/>
                      </w:tblGrid>
                      <w:tr>
                        <w:tc>
                          <w:tcPr>
                            <w:tcW w:w="8748" w:type="dxa"/>
                            <w:hideMark/>
                          </w:tcPr>
                          <w:p>
                            <w:pPr>
                              <w:spacing w:line="276" w:lineRule="auto"/>
                              <w:jc w:val="center"/>
                              <w:rPr>
                                <w:rFonts w:eastAsia="Calibri"/>
                                <w:bCs/>
                                <w:color w:val="000000"/>
                                <w:szCs w:val="22"/>
                              </w:rPr>
                            </w:pPr>
                            <w:r>
                              <w:rPr>
                                <w:rFonts w:eastAsia="Calibri"/>
                                <w:b/>
                                <w:bCs/>
                                <w:color w:val="000000"/>
                                <w:position w:val="-30"/>
                                <w:szCs w:val="22"/>
                              </w:rPr>
                              <w:object w:dxaOrig="4760" w:dyaOrig="650">
                                <v:shape id="_x0000_i1123" type="#_x0000_t75" style="width:237.85pt;height:32.35pt" o:ole="">
                                  <v:imagedata r:id="rId475" o:title=""/>
                                </v:shape>
                                <o:OLEObject Type="Embed" ProgID="Equation.3" ShapeID="_x0000_i1123" DrawAspect="Content" ObjectID="_0000000001" r:id="rId476"/>
                              </w:object>
                            </w:r>
                            <w:r>
                              <w:rPr>
                                <w:bCs/>
                                <w:color w:val="000000"/>
                              </w:rPr>
                              <w:t>;</w:t>
                            </w:r>
                          </w:p>
                        </w:tc>
                        <w:tc>
                          <w:tcPr>
                            <w:tcW w:w="822" w:type="dxa"/>
                            <w:vAlign w:val="center"/>
                            <w:hideMark/>
                          </w:tcPr>
                          <w:p>
                            <w:pPr>
                              <w:spacing w:line="276" w:lineRule="auto"/>
                              <w:jc w:val="right"/>
                              <w:rPr>
                                <w:rFonts w:eastAsia="Calibri"/>
                                <w:bCs/>
                                <w:color w:val="000000"/>
                                <w:szCs w:val="22"/>
                              </w:rPr>
                            </w:pPr>
                            <w:r>
                              <w:rPr>
                                <w:bCs/>
                                <w:color w:val="000000"/>
                              </w:rPr>
                              <w:t>(2.91)</w:t>
                            </w:r>
                          </w:p>
                        </w:tc>
                      </w:tr>
                    </w:tbl>
                    <w:p>
                      <w:pPr>
                        <w:jc w:val="right"/>
                        <w:rPr>
                          <w:rFonts w:eastAsia="Calibri"/>
                          <w:bCs/>
                          <w:color w:val="000000"/>
                          <w:szCs w:val="22"/>
                        </w:rPr>
                      </w:pPr>
                    </w:p>
                    <w:tbl>
                      <w:tblPr>
                        <w:tblW w:w="0" w:type="auto"/>
                        <w:tblLook w:val="01E0" w:firstRow="1" w:lastRow="1" w:firstColumn="1" w:lastColumn="1" w:noHBand="0" w:noVBand="0"/>
                      </w:tblPr>
                      <w:tblGrid>
                        <w:gridCol w:w="8748"/>
                        <w:gridCol w:w="822"/>
                      </w:tblGrid>
                      <w:tr>
                        <w:tc>
                          <w:tcPr>
                            <w:tcW w:w="8748" w:type="dxa"/>
                            <w:hideMark/>
                          </w:tcPr>
                          <w:p>
                            <w:pPr>
                              <w:spacing w:line="276" w:lineRule="auto"/>
                              <w:jc w:val="center"/>
                              <w:rPr>
                                <w:rFonts w:eastAsia="Calibri"/>
                                <w:bCs/>
                                <w:color w:val="000000"/>
                                <w:szCs w:val="22"/>
                              </w:rPr>
                            </w:pPr>
                            <w:r>
                              <w:rPr>
                                <w:rFonts w:eastAsia="Calibri"/>
                                <w:b/>
                                <w:bCs/>
                                <w:color w:val="000000"/>
                                <w:position w:val="-32"/>
                                <w:szCs w:val="22"/>
                              </w:rPr>
                              <w:object w:dxaOrig="4490" w:dyaOrig="680">
                                <v:shape id="_x0000_i1124" type="#_x0000_t75" style="width:225.7pt;height:34pt" o:ole="">
                                  <v:imagedata r:id="rId477" o:title=""/>
                                </v:shape>
                                <o:OLEObject Type="Embed" ProgID="Equation.3" ShapeID="_x0000_i1124" DrawAspect="Content" ObjectID="_0000000001" r:id="rId478"/>
                              </w:object>
                            </w:r>
                            <w:r>
                              <w:rPr>
                                <w:bCs/>
                                <w:color w:val="000000"/>
                              </w:rPr>
                              <w:t>;</w:t>
                            </w:r>
                          </w:p>
                        </w:tc>
                        <w:tc>
                          <w:tcPr>
                            <w:tcW w:w="822" w:type="dxa"/>
                            <w:vAlign w:val="center"/>
                            <w:hideMark/>
                          </w:tcPr>
                          <w:p>
                            <w:pPr>
                              <w:spacing w:line="276" w:lineRule="auto"/>
                              <w:jc w:val="right"/>
                              <w:rPr>
                                <w:rFonts w:eastAsia="Calibri"/>
                                <w:bCs/>
                                <w:color w:val="000000"/>
                                <w:szCs w:val="22"/>
                              </w:rPr>
                            </w:pPr>
                            <w:r>
                              <w:rPr>
                                <w:bCs/>
                                <w:color w:val="000000"/>
                              </w:rPr>
                              <w:t>(2.92)</w:t>
                            </w:r>
                          </w:p>
                        </w:tc>
                      </w:tr>
                    </w:tbl>
                    <w:p>
                      <w:pPr>
                        <w:ind w:firstLine="570"/>
                        <w:jc w:val="right"/>
                        <w:rPr>
                          <w:rFonts w:eastAsia="Calibri"/>
                          <w:color w:val="000000"/>
                          <w:szCs w:val="22"/>
                        </w:rPr>
                      </w:pPr>
                    </w:p>
                    <w:tbl>
                      <w:tblPr>
                        <w:tblW w:w="0" w:type="auto"/>
                        <w:tblLook w:val="01E0" w:firstRow="1" w:lastRow="1" w:firstColumn="1" w:lastColumn="1" w:noHBand="0" w:noVBand="0"/>
                      </w:tblPr>
                      <w:tblGrid>
                        <w:gridCol w:w="8748"/>
                        <w:gridCol w:w="822"/>
                      </w:tblGrid>
                      <w:tr>
                        <w:tc>
                          <w:tcPr>
                            <w:tcW w:w="8748" w:type="dxa"/>
                            <w:hideMark/>
                          </w:tcPr>
                          <w:p>
                            <w:pPr>
                              <w:spacing w:line="276" w:lineRule="auto"/>
                              <w:jc w:val="center"/>
                              <w:rPr>
                                <w:rFonts w:eastAsia="Calibri"/>
                                <w:bCs/>
                                <w:strike/>
                                <w:color w:val="000000"/>
                                <w:szCs w:val="22"/>
                              </w:rPr>
                            </w:pPr>
                            <w:r>
                              <w:rPr>
                                <w:rFonts w:eastAsia="Calibri"/>
                                <w:bCs/>
                                <w:color w:val="000000"/>
                                <w:position w:val="-136"/>
                                <w:szCs w:val="22"/>
                              </w:rPr>
                              <w:object w:dxaOrig="7800" w:dyaOrig="2770">
                                <v:shape id="_x0000_i1125" type="#_x0000_t75" style="width:390.75pt;height:139.95pt" o:ole="">
                                  <v:imagedata r:id="rId479" o:title=""/>
                                </v:shape>
                                <o:OLEObject Type="Embed" ProgID="Equation.3" ShapeID="_x0000_i1125" DrawAspect="Content" ObjectID="_0000000001" r:id="rId480"/>
                              </w:object>
                            </w:r>
                          </w:p>
                        </w:tc>
                        <w:tc>
                          <w:tcPr>
                            <w:tcW w:w="822" w:type="dxa"/>
                            <w:vAlign w:val="center"/>
                            <w:hideMark/>
                          </w:tcPr>
                          <w:p>
                            <w:pPr>
                              <w:spacing w:line="276" w:lineRule="auto"/>
                              <w:jc w:val="right"/>
                              <w:rPr>
                                <w:rFonts w:eastAsia="Calibri"/>
                                <w:bCs/>
                                <w:color w:val="000000"/>
                                <w:szCs w:val="22"/>
                              </w:rPr>
                            </w:pPr>
                            <w:r>
                              <w:rPr>
                                <w:bCs/>
                                <w:color w:val="000000"/>
                              </w:rPr>
                              <w:t>(2.93)</w:t>
                            </w:r>
                          </w:p>
                        </w:tc>
                      </w:tr>
                    </w:tbl>
                    <w:p>
                      <w:pPr>
                        <w:tabs>
                          <w:tab w:val="left" w:pos="567"/>
                        </w:tabs>
                        <w:jc w:val="both"/>
                        <w:rPr>
                          <w:rFonts w:eastAsia="Calibri"/>
                          <w:color w:val="000000"/>
                          <w:szCs w:val="22"/>
                        </w:rPr>
                      </w:pPr>
                      <w:r>
                        <w:rPr>
                          <w:color w:val="000000"/>
                        </w:rPr>
                        <w:t>čia:</w:t>
                        <w:tab/>
                      </w:r>
                      <w:r>
                        <w:rPr>
                          <w:i/>
                          <w:color w:val="000000"/>
                        </w:rPr>
                        <w:t>k</w:t>
                      </w:r>
                      <w:r>
                        <w:rPr>
                          <w:i/>
                          <w:color w:val="000000"/>
                          <w:vertAlign w:val="subscript"/>
                        </w:rPr>
                        <w:t>f-w,m,x</w:t>
                      </w:r>
                      <w:r>
                        <w:rPr>
                          <w:i/>
                          <w:color w:val="000000"/>
                        </w:rPr>
                        <w:t>, k</w:t>
                      </w:r>
                      <w:r>
                        <w:rPr>
                          <w:i/>
                          <w:color w:val="000000"/>
                          <w:vertAlign w:val="subscript"/>
                        </w:rPr>
                        <w:t>wdp,m,x</w:t>
                      </w:r>
                      <w:r>
                        <w:rPr>
                          <w:i/>
                          <w:color w:val="000000"/>
                        </w:rPr>
                        <w:t>, k</w:t>
                      </w:r>
                      <w:r>
                        <w:rPr>
                          <w:i/>
                          <w:color w:val="000000"/>
                          <w:vertAlign w:val="subscript"/>
                        </w:rPr>
                        <w:t>dp,m,x</w:t>
                      </w:r>
                      <w:r>
                        <w:rPr>
                          <w:i/>
                          <w:color w:val="000000"/>
                        </w:rPr>
                        <w:t>, k</w:t>
                      </w:r>
                      <w:r>
                        <w:rPr>
                          <w:i/>
                          <w:color w:val="000000"/>
                          <w:vertAlign w:val="subscript"/>
                        </w:rPr>
                        <w:t>w-r,m,x</w:t>
                      </w:r>
                      <w:r>
                        <w:rPr>
                          <w:i/>
                          <w:color w:val="000000"/>
                        </w:rPr>
                        <w:t>, k</w:t>
                      </w:r>
                      <w:r>
                        <w:rPr>
                          <w:i/>
                          <w:color w:val="000000"/>
                          <w:vertAlign w:val="subscript"/>
                        </w:rPr>
                        <w:t>c,m,x</w:t>
                      </w:r>
                      <w:r>
                        <w:rPr>
                          <w:i/>
                          <w:color w:val="000000"/>
                        </w:rPr>
                        <w:t>, k</w:t>
                      </w:r>
                      <w:r>
                        <w:rPr>
                          <w:i/>
                          <w:color w:val="000000"/>
                          <w:vertAlign w:val="subscript"/>
                        </w:rPr>
                        <w:t>bc-w,m,x</w:t>
                      </w:r>
                      <w:r>
                        <w:rPr>
                          <w:i/>
                          <w:color w:val="000000"/>
                        </w:rPr>
                        <w:t>, k</w:t>
                      </w:r>
                      <w:r>
                        <w:rPr>
                          <w:i/>
                          <w:color w:val="000000"/>
                          <w:vertAlign w:val="subscript"/>
                        </w:rPr>
                        <w:t>c-w,m,x</w:t>
                      </w:r>
                      <w:r>
                        <w:rPr>
                          <w:i/>
                          <w:color w:val="000000"/>
                        </w:rPr>
                        <w:t>, k</w:t>
                      </w:r>
                      <w:r>
                        <w:rPr>
                          <w:i/>
                          <w:color w:val="000000"/>
                          <w:vertAlign w:val="subscript"/>
                        </w:rPr>
                        <w:t>s,m,x</w:t>
                      </w:r>
                      <w:r>
                        <w:rPr>
                          <w:color w:val="000000"/>
                        </w:rPr>
                        <w:t xml:space="preserve"> – kiekvieno mėnesio „m“ pataisos koeficientai dėl atitinkamo „</w:t>
                      </w:r>
                      <w:r>
                        <w:rPr>
                          <w:i/>
                          <w:color w:val="000000"/>
                        </w:rPr>
                        <w:t>x</w:t>
                      </w:r>
                      <w:r>
                        <w:rPr>
                          <w:color w:val="000000"/>
                        </w:rPr>
                        <w:t>“ ilginio šiluminio tiltelio padėties pastate. Imami iš 2.11 lentelės. Tiltelių rūšį atitinkantys poraidžiai išvardinti Reglamento 7 lentelėje;</w:t>
                      </w:r>
                    </w:p>
                    <w:p>
                      <w:pPr>
                        <w:ind w:firstLine="570"/>
                        <w:jc w:val="both"/>
                        <w:rPr>
                          <w:color w:val="000000"/>
                        </w:rPr>
                      </w:pPr>
                      <w:r>
                        <w:rPr>
                          <w:bCs/>
                          <w:i/>
                          <w:color w:val="000000"/>
                        </w:rPr>
                        <w:t>l</w:t>
                      </w:r>
                      <w:r>
                        <w:rPr>
                          <w:i/>
                          <w:color w:val="000000"/>
                          <w:vertAlign w:val="subscript"/>
                        </w:rPr>
                        <w:t>Ψ</w:t>
                      </w:r>
                      <w:r>
                        <w:rPr>
                          <w:bCs/>
                          <w:i/>
                          <w:color w:val="000000"/>
                          <w:vertAlign w:val="subscript"/>
                        </w:rPr>
                        <w:t>.sum</w:t>
                      </w:r>
                      <w:r>
                        <w:rPr>
                          <w:color w:val="000000"/>
                        </w:rPr>
                        <w:t xml:space="preserve"> – suminis ilginių šiluminių tiltelių ilgis (m). Nustatomas pagal Reglamento 7 priedo reikalavimus;</w:t>
                      </w:r>
                    </w:p>
                    <w:p>
                      <w:pPr>
                        <w:ind w:firstLine="570"/>
                        <w:jc w:val="both"/>
                        <w:rPr>
                          <w:color w:val="000000"/>
                        </w:rPr>
                      </w:pPr>
                      <w:r>
                        <w:rPr>
                          <w:i/>
                          <w:color w:val="000000"/>
                        </w:rPr>
                        <w:t>Ψ</w:t>
                      </w:r>
                      <w:r>
                        <w:rPr>
                          <w:i/>
                          <w:color w:val="000000"/>
                          <w:vertAlign w:val="subscript"/>
                        </w:rPr>
                        <w:t xml:space="preserve"> (C,B)</w:t>
                      </w:r>
                      <w:r>
                        <w:rPr>
                          <w:color w:val="000000"/>
                        </w:rPr>
                        <w:t xml:space="preserve"> – ilginių šiluminių tiltelių norminis šilumos perdavimo koeficientas (W/</w:t>
                      </w:r>
                      <w:r>
                        <w:rPr>
                          <w:color w:val="000000"/>
                          <w:spacing w:val="-6"/>
                        </w:rPr>
                        <w:t>(m·K)). Imamas iš Reglamento 3 lentelės</w:t>
                      </w:r>
                      <w:r>
                        <w:rPr>
                          <w:color w:val="000000"/>
                        </w:rPr>
                        <w:t>;</w:t>
                      </w:r>
                    </w:p>
                    <w:p>
                      <w:pPr>
                        <w:ind w:firstLine="570"/>
                        <w:jc w:val="both"/>
                        <w:rPr>
                          <w:color w:val="000000"/>
                          <w:spacing w:val="-6"/>
                        </w:rPr>
                      </w:pPr>
                      <w:r>
                        <w:rPr>
                          <w:i/>
                          <w:color w:val="000000"/>
                        </w:rPr>
                        <w:t>Ψ</w:t>
                      </w:r>
                      <w:r>
                        <w:rPr>
                          <w:i/>
                          <w:color w:val="000000"/>
                          <w:vertAlign w:val="subscript"/>
                        </w:rPr>
                        <w:t>R</w:t>
                      </w:r>
                      <w:r>
                        <w:rPr>
                          <w:color w:val="000000"/>
                        </w:rPr>
                        <w:t xml:space="preserve"> – ilginių šiluminių tiltelių atskaitinis šilumos perdavimo koeficientas (W/</w:t>
                      </w:r>
                      <w:r>
                        <w:rPr>
                          <w:color w:val="000000"/>
                          <w:spacing w:val="-6"/>
                        </w:rPr>
                        <w:t>(m·K)). Imamas iš Reglamento 2 lentelės;</w:t>
                      </w:r>
                    </w:p>
                    <w:p>
                      <w:pPr>
                        <w:ind w:firstLine="570"/>
                        <w:jc w:val="both"/>
                        <w:rPr>
                          <w:color w:val="000000"/>
                          <w:szCs w:val="24"/>
                          <w:lang w:eastAsia="lt-LT"/>
                        </w:rPr>
                      </w:pPr>
                      <w:r>
                        <w:rPr>
                          <w:i/>
                          <w:color w:val="000000"/>
                          <w:szCs w:val="24"/>
                          <w:lang w:eastAsia="lt-LT"/>
                        </w:rPr>
                        <w:t>Ψ</w:t>
                      </w:r>
                      <w:r>
                        <w:rPr>
                          <w:i/>
                          <w:color w:val="000000"/>
                          <w:szCs w:val="24"/>
                          <w:vertAlign w:val="subscript"/>
                          <w:lang w:eastAsia="lt-LT"/>
                        </w:rPr>
                        <w:t>f-w,x</w:t>
                      </w:r>
                      <w:r>
                        <w:rPr>
                          <w:i/>
                          <w:color w:val="000000"/>
                          <w:szCs w:val="24"/>
                          <w:lang w:eastAsia="lt-LT"/>
                        </w:rPr>
                        <w:t>, Ψ</w:t>
                      </w:r>
                      <w:r>
                        <w:rPr>
                          <w:i/>
                          <w:color w:val="000000"/>
                          <w:szCs w:val="24"/>
                          <w:vertAlign w:val="subscript"/>
                          <w:lang w:eastAsia="lt-LT"/>
                        </w:rPr>
                        <w:t>wdp,x</w:t>
                      </w:r>
                      <w:r>
                        <w:rPr>
                          <w:i/>
                          <w:color w:val="000000"/>
                          <w:szCs w:val="24"/>
                          <w:lang w:eastAsia="lt-LT"/>
                        </w:rPr>
                        <w:t>, Ψ</w:t>
                      </w:r>
                      <w:r>
                        <w:rPr>
                          <w:i/>
                          <w:color w:val="000000"/>
                          <w:szCs w:val="24"/>
                          <w:vertAlign w:val="subscript"/>
                          <w:lang w:eastAsia="lt-LT"/>
                        </w:rPr>
                        <w:t>dp,x</w:t>
                      </w:r>
                      <w:r>
                        <w:rPr>
                          <w:i/>
                          <w:color w:val="000000"/>
                          <w:szCs w:val="24"/>
                          <w:lang w:eastAsia="lt-LT"/>
                        </w:rPr>
                        <w:t>, Ψ</w:t>
                      </w:r>
                      <w:r>
                        <w:rPr>
                          <w:i/>
                          <w:color w:val="000000"/>
                          <w:szCs w:val="24"/>
                          <w:vertAlign w:val="subscript"/>
                          <w:lang w:eastAsia="lt-LT"/>
                        </w:rPr>
                        <w:t>w-r,x</w:t>
                      </w:r>
                      <w:r>
                        <w:rPr>
                          <w:i/>
                          <w:color w:val="000000"/>
                          <w:szCs w:val="24"/>
                          <w:lang w:eastAsia="lt-LT"/>
                        </w:rPr>
                        <w:t>, Ψ</w:t>
                      </w:r>
                      <w:r>
                        <w:rPr>
                          <w:i/>
                          <w:color w:val="000000"/>
                          <w:szCs w:val="24"/>
                          <w:vertAlign w:val="subscript"/>
                          <w:lang w:eastAsia="lt-LT"/>
                        </w:rPr>
                        <w:t>c,x</w:t>
                      </w:r>
                      <w:r>
                        <w:rPr>
                          <w:i/>
                          <w:color w:val="000000"/>
                          <w:szCs w:val="24"/>
                          <w:lang w:eastAsia="lt-LT"/>
                        </w:rPr>
                        <w:t>, Ψ</w:t>
                      </w:r>
                      <w:r>
                        <w:rPr>
                          <w:i/>
                          <w:color w:val="000000"/>
                          <w:szCs w:val="24"/>
                          <w:vertAlign w:val="subscript"/>
                          <w:lang w:eastAsia="lt-LT"/>
                        </w:rPr>
                        <w:t>bc-w,x</w:t>
                      </w:r>
                      <w:r>
                        <w:rPr>
                          <w:i/>
                          <w:color w:val="000000"/>
                          <w:szCs w:val="24"/>
                          <w:lang w:eastAsia="lt-LT"/>
                        </w:rPr>
                        <w:t>, Ψ</w:t>
                      </w:r>
                      <w:r>
                        <w:rPr>
                          <w:i/>
                          <w:color w:val="000000"/>
                          <w:szCs w:val="24"/>
                          <w:vertAlign w:val="subscript"/>
                          <w:lang w:eastAsia="lt-LT"/>
                        </w:rPr>
                        <w:t>c-w,x</w:t>
                      </w:r>
                      <w:r>
                        <w:rPr>
                          <w:i/>
                          <w:color w:val="000000"/>
                          <w:szCs w:val="24"/>
                          <w:lang w:eastAsia="lt-LT"/>
                        </w:rPr>
                        <w:t>, Ψ</w:t>
                      </w:r>
                      <w:r>
                        <w:rPr>
                          <w:i/>
                          <w:color w:val="000000"/>
                          <w:szCs w:val="24"/>
                          <w:vertAlign w:val="subscript"/>
                          <w:lang w:eastAsia="lt-LT"/>
                        </w:rPr>
                        <w:t>s,x</w:t>
                      </w:r>
                      <w:r>
                        <w:rPr>
                          <w:color w:val="000000"/>
                          <w:szCs w:val="24"/>
                          <w:lang w:eastAsia="lt-LT"/>
                        </w:rPr>
                        <w:t xml:space="preserve"> – atitinkamo „</w:t>
                      </w:r>
                      <w:r>
                        <w:rPr>
                          <w:i/>
                          <w:color w:val="000000"/>
                          <w:szCs w:val="24"/>
                          <w:lang w:eastAsia="lt-LT"/>
                        </w:rPr>
                        <w:t>x</w:t>
                      </w:r>
                      <w:r>
                        <w:rPr>
                          <w:color w:val="000000"/>
                          <w:szCs w:val="24"/>
                          <w:lang w:eastAsia="lt-LT"/>
                        </w:rPr>
                        <w:t>“ ilginio šiluminio tiltelio skaičiuojamasis šilumos perdavimo koeficientas (W/(m·K)). Tiltelių rūšį atitinkantys poraidžiai išvardinti Reglamento 7 lentelėje;</w:t>
                      </w:r>
                    </w:p>
                    <w:p>
                      <w:pPr>
                        <w:ind w:firstLine="570"/>
                        <w:jc w:val="both"/>
                        <w:rPr>
                          <w:color w:val="000000"/>
                          <w:szCs w:val="24"/>
                          <w:lang w:eastAsia="lt-LT"/>
                        </w:rPr>
                      </w:pPr>
                      <w:r>
                        <w:rPr>
                          <w:i/>
                          <w:color w:val="000000"/>
                          <w:szCs w:val="24"/>
                          <w:lang w:eastAsia="lt-LT"/>
                        </w:rPr>
                        <w:t>l</w:t>
                      </w:r>
                      <w:r>
                        <w:rPr>
                          <w:i/>
                          <w:color w:val="000000"/>
                          <w:szCs w:val="24"/>
                          <w:vertAlign w:val="subscript"/>
                          <w:lang w:eastAsia="lt-LT"/>
                        </w:rPr>
                        <w:t>Ψ.f-w,x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Ψ.wdp,x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Ψ.dp,x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Ψ.w-r,x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Ψ.c,x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Ψ.bc-w,x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Ψ.c-w,x</w:t>
                      </w:r>
                      <w:r>
                        <w:rPr>
                          <w:color w:val="000000"/>
                          <w:szCs w:val="24"/>
                          <w:lang w:eastAsia="lt-LT"/>
                        </w:rPr>
                        <w:t xml:space="preserve">, </w:t>
                      </w:r>
                      <w:r>
                        <w:rPr>
                          <w:i/>
                          <w:color w:val="000000"/>
                          <w:szCs w:val="24"/>
                          <w:lang w:eastAsia="lt-LT"/>
                        </w:rPr>
                        <w:t>l</w:t>
                      </w:r>
                      <w:r>
                        <w:rPr>
                          <w:i/>
                          <w:color w:val="000000"/>
                          <w:szCs w:val="24"/>
                          <w:vertAlign w:val="subscript"/>
                          <w:lang w:eastAsia="lt-LT"/>
                        </w:rPr>
                        <w:t xml:space="preserve"> Ψ.s,x</w:t>
                      </w:r>
                      <w:r>
                        <w:rPr>
                          <w:color w:val="000000"/>
                          <w:szCs w:val="24"/>
                          <w:lang w:eastAsia="lt-LT"/>
                        </w:rPr>
                        <w:t xml:space="preserve"> – atitinkamo „</w:t>
                      </w:r>
                      <w:r>
                        <w:rPr>
                          <w:i/>
                          <w:color w:val="000000"/>
                          <w:szCs w:val="24"/>
                          <w:lang w:eastAsia="lt-LT"/>
                        </w:rPr>
                        <w:t>x</w:t>
                      </w:r>
                      <w:r>
                        <w:rPr>
                          <w:color w:val="000000"/>
                          <w:szCs w:val="24"/>
                          <w:lang w:eastAsia="lt-LT"/>
                        </w:rPr>
                        <w:t>“ ilginio šiluminio tiltelio ilgis, m. Tiltelių rūšį atitinkantys poraidžiai išvardinti Reglamento 7 lentelėje.</w:t>
                      </w:r>
                    </w:p>
                    <w:p>
                      <w:pPr>
                        <w:ind w:left="600" w:hanging="600"/>
                        <w:jc w:val="right"/>
                        <w:rPr>
                          <w:bCs/>
                          <w:color w:val="000000"/>
                        </w:rPr>
                      </w:pPr>
                    </w:p>
                    <w:p>
                      <w:pPr>
                        <w:ind w:left="600" w:hanging="600"/>
                        <w:jc w:val="center"/>
                        <w:rPr>
                          <w:bCs/>
                        </w:rPr>
                      </w:pPr>
                      <w:sdt>
                        <w:sdtPr>
                          <w:alias w:val="Pavadinimas"/>
                          <w:tag w:val="title_7c96354a60e04f048aeb940aab2c55a3"/>
                          <w:lock w:val="sdtLocked"/>
                          <w:richText/>
                        </w:sdtPr>
                        <w:sdtContent>
                          <w:r>
                            <w:rPr>
                              <w:b/>
                              <w:bCs/>
                              <w:szCs w:val="24"/>
                              <w:lang w:eastAsia="lt-LT"/>
                            </w:rPr>
                            <w:t>Šilumos nuotolius dėl ilginių šiluminių tiltelių padėties pastate įvertinančių pataisos koeficientų</w:t>
                          </w:r>
                          <w:r>
                            <w:rPr>
                              <w:b/>
                              <w:bCs/>
                              <w:lang w:eastAsia="lt-LT"/>
                            </w:rPr>
                            <w:t xml:space="preserve"> vertės</w:t>
                          </w:r>
                        </w:sdtContent>
                      </w:sdt>
                    </w:p>
                    <w:p>
                      <w:pPr>
                        <w:ind w:left="600" w:hanging="600"/>
                        <w:jc w:val="right"/>
                        <w:rPr>
                          <w:bCs/>
                        </w:rPr>
                      </w:pPr>
                      <w:r>
                        <w:rPr>
                          <w:bCs/>
                        </w:rPr>
                        <w:t>2.11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7"/>
                        <w:gridCol w:w="3509"/>
                      </w:tblGrid>
                      <w:tr>
                        <w:tc>
                          <w:tcPr>
                            <w:tcW w:w="324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Ilginių šiluminių tiltelių apibūdinimas</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i/>
                                <w:szCs w:val="24"/>
                                <w:lang w:eastAsia="lt-LT"/>
                              </w:rPr>
                            </w:pPr>
                            <w:r>
                              <w:rPr>
                                <w:szCs w:val="24"/>
                                <w:lang w:eastAsia="lt-LT"/>
                              </w:rPr>
                              <w:t>Pataisos koeficientų vertės</w:t>
                            </w:r>
                          </w:p>
                        </w:tc>
                      </w:tr>
                      <w:tr>
                        <w:tc>
                          <w:tcPr>
                            <w:tcW w:w="5000" w:type="pct"/>
                            <w:gridSpan w:val="2"/>
                            <w:tcBorders>
                              <w:top w:val="double" w:sz="6" w:space="0" w:color="auto"/>
                              <w:left w:val="single" w:sz="4" w:space="0" w:color="auto"/>
                              <w:bottom w:val="nil"/>
                              <w:right w:val="single" w:sz="4" w:space="0" w:color="auto"/>
                            </w:tcBorders>
                            <w:hideMark/>
                          </w:tcPr>
                          <w:p>
                            <w:pPr>
                              <w:suppressAutoHyphens/>
                              <w:jc w:val="center"/>
                              <w:rPr>
                                <w:szCs w:val="24"/>
                                <w:vertAlign w:val="subscript"/>
                                <w:lang w:eastAsia="lt-LT"/>
                              </w:rPr>
                            </w:pPr>
                            <w:r>
                              <w:rPr>
                                <w:szCs w:val="24"/>
                                <w:lang w:eastAsia="lt-LT"/>
                              </w:rPr>
                              <w:t xml:space="preserve">Pataisos koeficientai tilteliams tarp pastato pamatų ir išorinių sienų </w:t>
                            </w:r>
                            <w:r>
                              <w:rPr>
                                <w:i/>
                                <w:szCs w:val="24"/>
                                <w:lang w:eastAsia="lt-LT"/>
                              </w:rPr>
                              <w:t>k</w:t>
                            </w:r>
                            <w:r>
                              <w:rPr>
                                <w:i/>
                                <w:szCs w:val="24"/>
                                <w:vertAlign w:val="subscript"/>
                                <w:lang w:eastAsia="lt-LT"/>
                              </w:rPr>
                              <w:t>f-w,m</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šiltnamio</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įstiklinto balkono arba įstiklintų galerijų</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double" w:sz="4" w:space="0" w:color="auto"/>
                              <w:right w:val="single" w:sz="4" w:space="0" w:color="auto"/>
                            </w:tcBorders>
                            <w:hideMark/>
                          </w:tcPr>
                          <w:p>
                            <w:pPr>
                              <w:suppressAutoHyphens/>
                              <w:rPr>
                                <w:szCs w:val="24"/>
                                <w:lang w:eastAsia="lt-LT"/>
                              </w:rPr>
                            </w:pPr>
                            <w:r>
                              <w:rPr>
                                <w:szCs w:val="24"/>
                                <w:lang w:eastAsia="lt-LT"/>
                              </w:rPr>
                              <w:t>Tilteliai tarp šildomo ir nešildomo pastato patalpų</w:t>
                            </w:r>
                          </w:p>
                        </w:tc>
                        <w:tc>
                          <w:tcPr>
                            <w:tcW w:w="1755" w:type="pct"/>
                            <w:tcBorders>
                              <w:top w:val="single" w:sz="4" w:space="0" w:color="auto"/>
                              <w:left w:val="single" w:sz="4" w:space="0" w:color="auto"/>
                              <w:bottom w:val="double" w:sz="4" w:space="0" w:color="auto"/>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double" w:sz="4" w:space="0" w:color="auto"/>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double" w:sz="4" w:space="0" w:color="auto"/>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r>
                        <w:tc>
                          <w:tcPr>
                            <w:tcW w:w="5000" w:type="pct"/>
                            <w:gridSpan w:val="2"/>
                            <w:tcBorders>
                              <w:top w:val="double" w:sz="4" w:space="0" w:color="auto"/>
                              <w:left w:val="single" w:sz="4" w:space="0" w:color="auto"/>
                              <w:bottom w:val="nil"/>
                              <w:right w:val="single" w:sz="4" w:space="0" w:color="auto"/>
                            </w:tcBorders>
                            <w:hideMark/>
                          </w:tcPr>
                          <w:p>
                            <w:pPr>
                              <w:suppressAutoHyphens/>
                              <w:jc w:val="center"/>
                              <w:rPr>
                                <w:szCs w:val="24"/>
                                <w:lang w:eastAsia="lt-LT"/>
                              </w:rPr>
                            </w:pPr>
                            <w:r>
                              <w:rPr>
                                <w:szCs w:val="24"/>
                                <w:lang w:eastAsia="lt-LT"/>
                              </w:rPr>
                              <w:t xml:space="preserve">Pataisos koeficientai tilteliams apie langų angas sienose </w:t>
                            </w:r>
                            <w:r>
                              <w:rPr>
                                <w:i/>
                                <w:szCs w:val="24"/>
                                <w:lang w:eastAsia="lt-LT"/>
                              </w:rPr>
                              <w:t>k</w:t>
                            </w:r>
                            <w:r>
                              <w:rPr>
                                <w:i/>
                                <w:szCs w:val="24"/>
                                <w:vertAlign w:val="subscript"/>
                                <w:lang w:eastAsia="lt-LT"/>
                              </w:rPr>
                              <w:t>wdp</w:t>
                            </w:r>
                            <w:r>
                              <w:rPr>
                                <w:szCs w:val="24"/>
                                <w:lang w:eastAsia="lt-LT"/>
                              </w:rPr>
                              <w:t>,</w:t>
                            </w:r>
                            <w:r>
                              <w:rPr>
                                <w:i/>
                                <w:szCs w:val="24"/>
                                <w:lang w:eastAsia="lt-LT"/>
                              </w:rPr>
                              <w:t xml:space="preserve"> </w:t>
                            </w:r>
                            <w:r>
                              <w:rPr>
                                <w:szCs w:val="24"/>
                                <w:lang w:eastAsia="lt-LT"/>
                              </w:rPr>
                              <w:t xml:space="preserve">išorinių įėjimo durų ir vartų angas sienose </w:t>
                            </w:r>
                            <w:r>
                              <w:rPr>
                                <w:i/>
                                <w:szCs w:val="24"/>
                                <w:lang w:eastAsia="lt-LT"/>
                              </w:rPr>
                              <w:t>k</w:t>
                            </w:r>
                            <w:r>
                              <w:rPr>
                                <w:i/>
                                <w:szCs w:val="24"/>
                                <w:vertAlign w:val="subscript"/>
                                <w:lang w:eastAsia="lt-LT"/>
                              </w:rPr>
                              <w:t>wdp</w:t>
                            </w:r>
                            <w:r>
                              <w:rPr>
                                <w:i/>
                                <w:szCs w:val="24"/>
                                <w:lang w:eastAsia="lt-LT"/>
                              </w:rPr>
                              <w:t xml:space="preserve"> </w:t>
                            </w:r>
                            <w:r>
                              <w:rPr>
                                <w:szCs w:val="24"/>
                                <w:lang w:eastAsia="lt-LT"/>
                              </w:rPr>
                              <w:t xml:space="preserve">ir stoglangių, švieslangių, kitų skaidrių atitvarų perimetru </w:t>
                            </w:r>
                            <w:r>
                              <w:rPr>
                                <w:i/>
                                <w:szCs w:val="24"/>
                                <w:lang w:eastAsia="lt-LT"/>
                              </w:rPr>
                              <w:t>k</w:t>
                            </w:r>
                            <w:r>
                              <w:rPr>
                                <w:i/>
                                <w:szCs w:val="24"/>
                                <w:vertAlign w:val="subscript"/>
                                <w:lang w:eastAsia="lt-LT"/>
                              </w:rPr>
                              <w:t>s,m</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šiltnamio</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įstiklinto balkono arba įstiklintų galerijų</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Tilteliai tarp šildomo ir nešildomo pastato patalpų</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r>
                        <w:tc>
                          <w:tcPr>
                            <w:tcW w:w="5000" w:type="pct"/>
                            <w:gridSpan w:val="2"/>
                            <w:tcBorders>
                              <w:top w:val="double" w:sz="6" w:space="0" w:color="auto"/>
                              <w:left w:val="single" w:sz="4" w:space="0" w:color="auto"/>
                              <w:bottom w:val="nil"/>
                              <w:right w:val="single" w:sz="4" w:space="0" w:color="auto"/>
                            </w:tcBorders>
                            <w:hideMark/>
                          </w:tcPr>
                          <w:p>
                            <w:pPr>
                              <w:suppressAutoHyphens/>
                              <w:jc w:val="center"/>
                              <w:rPr>
                                <w:szCs w:val="24"/>
                                <w:lang w:eastAsia="lt-LT"/>
                              </w:rPr>
                            </w:pPr>
                            <w:r>
                              <w:rPr>
                                <w:szCs w:val="24"/>
                                <w:lang w:eastAsia="lt-LT"/>
                              </w:rPr>
                              <w:t xml:space="preserve">Pataisos koeficientai tilteliams tarp pastato sienų ir stogo </w:t>
                            </w:r>
                            <w:r>
                              <w:rPr>
                                <w:i/>
                                <w:szCs w:val="24"/>
                                <w:lang w:eastAsia="lt-LT"/>
                              </w:rPr>
                              <w:t>k</w:t>
                            </w:r>
                            <w:r>
                              <w:rPr>
                                <w:i/>
                                <w:szCs w:val="24"/>
                                <w:vertAlign w:val="subscript"/>
                                <w:lang w:eastAsia="lt-LT"/>
                              </w:rPr>
                              <w:t xml:space="preserve">w-r,m </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su išore besiribojančios sienos sandūroje su nešildoma pastoge</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su nešildomomis pastato patalpomis besiribojančios sienos sandūroje su nešildoma pastoge</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su išore besiribojančios sienos sandūroje su patalpų oru vėdinama pastoge</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0,6</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siena arba stogas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siena ir stogas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siena arba stogas ribojasi su nešildomomis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siena ir stogas ribojasi su nešildomomis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siena arba stogas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0,92</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Tilteliai, kai siena ir stogas ribojasi su įstiklintu balkonu arba įstiklinta galerija</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r>
                        <w:tc>
                          <w:tcPr>
                            <w:tcW w:w="5000" w:type="pct"/>
                            <w:gridSpan w:val="2"/>
                            <w:tcBorders>
                              <w:top w:val="double" w:sz="6" w:space="0" w:color="auto"/>
                              <w:left w:val="single" w:sz="4" w:space="0" w:color="auto"/>
                              <w:bottom w:val="nil"/>
                              <w:right w:val="single" w:sz="4" w:space="0" w:color="auto"/>
                            </w:tcBorders>
                            <w:hideMark/>
                          </w:tcPr>
                          <w:p>
                            <w:pPr>
                              <w:suppressAutoHyphens/>
                              <w:jc w:val="center"/>
                              <w:rPr>
                                <w:szCs w:val="24"/>
                                <w:lang w:eastAsia="lt-LT"/>
                              </w:rPr>
                            </w:pPr>
                            <w:r>
                              <w:rPr>
                                <w:szCs w:val="24"/>
                                <w:lang w:eastAsia="lt-LT"/>
                              </w:rPr>
                              <w:t xml:space="preserve">Pataisos koeficientai tilteliams fasadų kampuose </w:t>
                            </w:r>
                            <w:r>
                              <w:rPr>
                                <w:i/>
                                <w:szCs w:val="24"/>
                                <w:lang w:eastAsia="lt-LT"/>
                              </w:rPr>
                              <w:t>k</w:t>
                            </w:r>
                            <w:r>
                              <w:rPr>
                                <w:i/>
                                <w:szCs w:val="24"/>
                                <w:vertAlign w:val="subscript"/>
                                <w:lang w:eastAsia="lt-LT"/>
                              </w:rPr>
                              <w:t xml:space="preserve">c,m </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viena iš fasado plokštumų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abi fasado plokštumos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viena iš fasado plokštumų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0,92</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abi fasado plokštumos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viena iš fasado plokštumų ribojasi su nešildomomis pastato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0,87</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išorinis kampas, kai abi fasado plokštumos ribojasi su nešildomomis pastato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vidinis kampas, kai fasado plokštumos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Fasado vidinis kampas, kai fasado plokštumos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Fasado vidinis kampas, kai fasado plokštumos ribojasi su nešildomomis pastato patalpomis</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double" w:sz="6" w:space="0" w:color="auto"/>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double" w:sz="6" w:space="0" w:color="auto"/>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r>
                        <w:tc>
                          <w:tcPr>
                            <w:tcW w:w="5000" w:type="pct"/>
                            <w:gridSpan w:val="2"/>
                            <w:tcBorders>
                              <w:top w:val="double" w:sz="6" w:space="0" w:color="auto"/>
                              <w:left w:val="single" w:sz="4" w:space="0" w:color="auto"/>
                              <w:bottom w:val="nil"/>
                              <w:right w:val="single" w:sz="4" w:space="0" w:color="auto"/>
                            </w:tcBorders>
                            <w:hideMark/>
                          </w:tcPr>
                          <w:p>
                            <w:pPr>
                              <w:suppressAutoHyphens/>
                              <w:jc w:val="center"/>
                              <w:rPr>
                                <w:szCs w:val="24"/>
                                <w:lang w:eastAsia="lt-LT"/>
                              </w:rPr>
                            </w:pPr>
                            <w:r>
                              <w:rPr>
                                <w:szCs w:val="24"/>
                                <w:lang w:eastAsia="lt-LT"/>
                              </w:rPr>
                              <w:t xml:space="preserve">Pataisos koeficientai tilteliams balkonų grindų susikirtimo vietose su išorinėmis sienomis </w:t>
                            </w:r>
                            <w:r>
                              <w:rPr>
                                <w:i/>
                                <w:szCs w:val="24"/>
                                <w:lang w:eastAsia="lt-LT"/>
                              </w:rPr>
                              <w:t>k</w:t>
                            </w:r>
                            <w:r>
                              <w:rPr>
                                <w:i/>
                                <w:szCs w:val="24"/>
                                <w:vertAlign w:val="subscript"/>
                                <w:lang w:eastAsia="lt-LT"/>
                              </w:rPr>
                              <w:t>bc-w,m</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viršutinė ir apatinė pusės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viršutinė arba apatinė pusės ribojasi su šiltnamiu</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0,9</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viršutinė ir apatinė pusės ribojasi su nešildomomis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viršutinė arba apatinė pusės ribojasi su nešildomomis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0,87</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viena pusė ribojasi su šiltnamiu, kita –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0,82</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viena pusė ribojasi su šiltnamiu, kita – su nešildomomis patalpomis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0,77</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kai balkono perdenginio viena pusė ribojasi su nešildomomis patalpomis, kita – su įstiklintu balkonu arba įstiklinta galerija</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nil"/>
                              <w:right w:val="single" w:sz="4" w:space="0" w:color="auto"/>
                            </w:tcBorders>
                          </w:tcPr>
                          <w:p>
                            <w:pPr>
                              <w:suppressAutoHyphens/>
                              <w:rPr>
                                <w:szCs w:val="24"/>
                                <w:lang w:eastAsia="lt-LT"/>
                              </w:rPr>
                            </w:pPr>
                            <w:r>
                              <w:rPr>
                                <w:szCs w:val="24"/>
                                <w:lang w:eastAsia="lt-LT"/>
                              </w:rPr>
                              <w:t>Tilteliai, kai balkono perdenginio viena pusė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tcPr>
                          <w:p>
                            <w:pPr>
                              <w:suppressAutoHyphens/>
                              <w:jc w:val="center"/>
                              <w:rPr>
                                <w:szCs w:val="24"/>
                                <w:lang w:eastAsia="lt-LT"/>
                              </w:rPr>
                            </w:pPr>
                            <w:r>
                              <w:rPr>
                                <w:szCs w:val="24"/>
                                <w:lang w:eastAsia="lt-LT"/>
                              </w:rPr>
                              <w:t>0,92</w:t>
                            </w:r>
                          </w:p>
                        </w:tc>
                      </w:tr>
                      <w:tr>
                        <w:tc>
                          <w:tcPr>
                            <w:tcW w:w="3245" w:type="pct"/>
                            <w:tcBorders>
                              <w:top w:val="single" w:sz="4" w:space="0" w:color="auto"/>
                              <w:left w:val="single" w:sz="4" w:space="0" w:color="auto"/>
                              <w:bottom w:val="nil"/>
                              <w:right w:val="single" w:sz="4" w:space="0" w:color="auto"/>
                            </w:tcBorders>
                          </w:tcPr>
                          <w:p>
                            <w:pPr>
                              <w:suppressAutoHyphens/>
                              <w:rPr>
                                <w:szCs w:val="24"/>
                                <w:lang w:eastAsia="lt-LT"/>
                              </w:rPr>
                            </w:pPr>
                            <w:r>
                              <w:rPr>
                                <w:szCs w:val="24"/>
                                <w:lang w:eastAsia="lt-LT"/>
                              </w:rPr>
                              <w:t>Tilteliai, kai balkono perdenginio abi pusės ribojasi su įstiklintu balkonu arba įstiklinta galerija</w:t>
                            </w:r>
                          </w:p>
                        </w:tc>
                        <w:tc>
                          <w:tcPr>
                            <w:tcW w:w="1755" w:type="pct"/>
                            <w:tcBorders>
                              <w:top w:val="single" w:sz="4" w:space="0" w:color="auto"/>
                              <w:left w:val="single" w:sz="4" w:space="0" w:color="auto"/>
                              <w:bottom w:val="nil"/>
                              <w:right w:val="single" w:sz="4" w:space="0" w:color="auto"/>
                            </w:tcBorders>
                            <w:vAlign w:val="center"/>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r>
                        <w:tc>
                          <w:tcPr>
                            <w:tcW w:w="5000" w:type="pct"/>
                            <w:gridSpan w:val="2"/>
                            <w:tcBorders>
                              <w:top w:val="double" w:sz="6" w:space="0" w:color="auto"/>
                              <w:left w:val="single" w:sz="4" w:space="0" w:color="auto"/>
                              <w:bottom w:val="nil"/>
                              <w:right w:val="single" w:sz="4" w:space="0" w:color="auto"/>
                            </w:tcBorders>
                            <w:hideMark/>
                          </w:tcPr>
                          <w:p>
                            <w:pPr>
                              <w:suppressAutoHyphens/>
                              <w:jc w:val="center"/>
                              <w:rPr>
                                <w:szCs w:val="24"/>
                                <w:lang w:eastAsia="lt-LT"/>
                              </w:rPr>
                            </w:pPr>
                            <w:r>
                              <w:rPr>
                                <w:szCs w:val="24"/>
                                <w:lang w:eastAsia="lt-LT"/>
                              </w:rPr>
                              <w:t xml:space="preserve">Pataisos koeficientai tilteliams tarp perdangų, kurios ribojasi su išore, ir sienų </w:t>
                            </w:r>
                            <w:r>
                              <w:rPr>
                                <w:i/>
                                <w:szCs w:val="24"/>
                                <w:lang w:eastAsia="lt-LT"/>
                              </w:rPr>
                              <w:t>k</w:t>
                            </w:r>
                            <w:r>
                              <w:rPr>
                                <w:i/>
                                <w:szCs w:val="24"/>
                                <w:vertAlign w:val="subscript"/>
                                <w:lang w:eastAsia="lt-LT"/>
                              </w:rPr>
                              <w:t>c-w,m</w:t>
                            </w:r>
                          </w:p>
                        </w:tc>
                      </w:tr>
                      <w:tr>
                        <w:tc>
                          <w:tcPr>
                            <w:tcW w:w="3245" w:type="pct"/>
                            <w:tcBorders>
                              <w:top w:val="single" w:sz="4" w:space="0" w:color="auto"/>
                              <w:left w:val="single" w:sz="4" w:space="0" w:color="auto"/>
                              <w:bottom w:val="nil"/>
                              <w:right w:val="single" w:sz="4" w:space="0" w:color="auto"/>
                            </w:tcBorders>
                            <w:hideMark/>
                          </w:tcPr>
                          <w:p>
                            <w:pPr>
                              <w:suppressAutoHyphens/>
                              <w:rPr>
                                <w:szCs w:val="24"/>
                                <w:lang w:eastAsia="lt-LT"/>
                              </w:rPr>
                            </w:pPr>
                            <w:r>
                              <w:rPr>
                                <w:szCs w:val="24"/>
                                <w:lang w:eastAsia="lt-LT"/>
                              </w:rPr>
                              <w:t>Tilteliai tarp patalpų ir išorės</w:t>
                            </w:r>
                          </w:p>
                        </w:tc>
                        <w:tc>
                          <w:tcPr>
                            <w:tcW w:w="1755" w:type="pct"/>
                            <w:tcBorders>
                              <w:top w:val="single" w:sz="4" w:space="0" w:color="auto"/>
                              <w:left w:val="single" w:sz="4" w:space="0" w:color="auto"/>
                              <w:bottom w:val="nil"/>
                              <w:right w:val="single" w:sz="4" w:space="0" w:color="auto"/>
                            </w:tcBorders>
                            <w:vAlign w:val="center"/>
                            <w:hideMark/>
                          </w:tcPr>
                          <w:p>
                            <w:pPr>
                              <w:suppressAutoHyphens/>
                              <w:jc w:val="center"/>
                              <w:rPr>
                                <w:szCs w:val="24"/>
                                <w:lang w:eastAsia="lt-LT"/>
                              </w:rPr>
                            </w:pPr>
                            <w:r>
                              <w:rPr>
                                <w:szCs w:val="24"/>
                                <w:lang w:eastAsia="lt-LT"/>
                              </w:rPr>
                              <w:t>1</w:t>
                            </w:r>
                          </w:p>
                        </w:tc>
                      </w:tr>
                      <w:tr>
                        <w:tc>
                          <w:tcPr>
                            <w:tcW w:w="3245" w:type="pct"/>
                            <w:tcBorders>
                              <w:top w:val="single" w:sz="4" w:space="0" w:color="auto"/>
                              <w:left w:val="single" w:sz="4" w:space="0" w:color="auto"/>
                              <w:bottom w:val="single" w:sz="4" w:space="0" w:color="auto"/>
                              <w:right w:val="single" w:sz="4" w:space="0" w:color="auto"/>
                            </w:tcBorders>
                            <w:hideMark/>
                          </w:tcPr>
                          <w:p>
                            <w:pPr>
                              <w:suppressAutoHyphens/>
                              <w:rPr>
                                <w:szCs w:val="24"/>
                                <w:lang w:eastAsia="lt-LT"/>
                              </w:rPr>
                            </w:pPr>
                            <w:r>
                              <w:rPr>
                                <w:szCs w:val="24"/>
                                <w:lang w:eastAsia="lt-LT"/>
                              </w:rPr>
                              <w:t>Tilteliai, kai po perdanga įrengtas šiltnamis</w:t>
                            </w:r>
                          </w:p>
                        </w:tc>
                        <w:tc>
                          <w:tcPr>
                            <w:tcW w:w="1755"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0,8</w:t>
                            </w:r>
                          </w:p>
                        </w:tc>
                      </w:tr>
                      <w:tr>
                        <w:tc>
                          <w:tcPr>
                            <w:tcW w:w="3245" w:type="pct"/>
                            <w:tcBorders>
                              <w:top w:val="single" w:sz="4" w:space="0" w:color="auto"/>
                              <w:left w:val="single" w:sz="4" w:space="0" w:color="auto"/>
                              <w:bottom w:val="single" w:sz="4" w:space="0" w:color="auto"/>
                              <w:right w:val="single" w:sz="4" w:space="0" w:color="auto"/>
                            </w:tcBorders>
                            <w:hideMark/>
                          </w:tcPr>
                          <w:p>
                            <w:pPr>
                              <w:suppressAutoHyphens/>
                              <w:rPr>
                                <w:szCs w:val="24"/>
                                <w:lang w:eastAsia="lt-LT"/>
                              </w:rPr>
                            </w:pPr>
                            <w:r>
                              <w:rPr>
                                <w:szCs w:val="24"/>
                                <w:lang w:eastAsia="lt-LT"/>
                              </w:rPr>
                              <w:t>Tilteliai, kai po perdanga įrengtas įstiklintas balkonas arba įstiklinta galerija</w:t>
                            </w:r>
                          </w:p>
                        </w:tc>
                        <w:tc>
                          <w:tcPr>
                            <w:tcW w:w="1755"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0,85</w:t>
                            </w:r>
                          </w:p>
                        </w:tc>
                      </w:tr>
                      <w:tr>
                        <w:tc>
                          <w:tcPr>
                            <w:tcW w:w="3245" w:type="pct"/>
                            <w:tcBorders>
                              <w:top w:val="single" w:sz="4" w:space="0" w:color="auto"/>
                              <w:left w:val="single" w:sz="4" w:space="0" w:color="auto"/>
                              <w:bottom w:val="single" w:sz="4" w:space="0" w:color="auto"/>
                              <w:right w:val="single" w:sz="4" w:space="0" w:color="auto"/>
                            </w:tcBorders>
                            <w:hideMark/>
                          </w:tcPr>
                          <w:p>
                            <w:pPr>
                              <w:suppressAutoHyphens/>
                              <w:rPr>
                                <w:szCs w:val="24"/>
                                <w:lang w:eastAsia="lt-LT"/>
                              </w:rPr>
                            </w:pPr>
                            <w:r>
                              <w:rPr>
                                <w:szCs w:val="24"/>
                                <w:lang w:eastAsia="lt-LT"/>
                              </w:rPr>
                              <w:t>Tilteliai, kai perdanga įrengta virš nešildomų pastato patalpų</w:t>
                            </w:r>
                          </w:p>
                        </w:tc>
                        <w:tc>
                          <w:tcPr>
                            <w:tcW w:w="1755"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0,75</w:t>
                            </w:r>
                          </w:p>
                        </w:tc>
                      </w:tr>
                      <w:tr>
                        <w:tc>
                          <w:tcPr>
                            <w:tcW w:w="3245" w:type="pct"/>
                            <w:tcBorders>
                              <w:top w:val="single" w:sz="4" w:space="0" w:color="auto"/>
                              <w:left w:val="single" w:sz="4" w:space="0" w:color="auto"/>
                              <w:bottom w:val="single" w:sz="4" w:space="0" w:color="auto"/>
                              <w:right w:val="single" w:sz="4" w:space="0" w:color="auto"/>
                            </w:tcBorders>
                            <w:hideMark/>
                          </w:tcPr>
                          <w:p>
                            <w:pPr>
                              <w:suppressAutoHyphens/>
                              <w:rPr>
                                <w:szCs w:val="24"/>
                                <w:lang w:eastAsia="lt-LT"/>
                              </w:rPr>
                            </w:pPr>
                            <w:r>
                              <w:rPr>
                                <w:szCs w:val="24"/>
                                <w:lang w:eastAsia="lt-LT"/>
                              </w:rPr>
                              <w:t>Tilteliai tarp šildomų ir nešildomų apšiltintų patalpų</w:t>
                            </w:r>
                          </w:p>
                        </w:tc>
                        <w:tc>
                          <w:tcPr>
                            <w:tcW w:w="1755"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Apskaičiuojama pagal Reglamento 14 priedo reikalavimus</w:t>
                            </w:r>
                          </w:p>
                        </w:tc>
                      </w:tr>
                    </w:tbl>
                    <w:p>
                      <w:pPr>
                        <w:ind w:left="600" w:hanging="600"/>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
                  <w:sdtPr>
                    <w:alias w:val="2 pr. 25.2 pp."/>
                    <w:tag w:val="part_d43874981acc4d32bfa29707cab1720a"/>
                    <w:lock w:val="sdtLocked"/>
                    <w:richText/>
                  </w:sdtPr>
                  <w:sdtContent>
                    <w:p>
                      <w:pPr>
                        <w:ind w:firstLine="570"/>
                        <w:jc w:val="both"/>
                        <w:rPr>
                          <w:color w:val="000000"/>
                        </w:rPr>
                      </w:pPr>
                      <w:sdt>
                        <w:sdtPr>
                          <w:alias w:val="Numeris"/>
                          <w:tag w:val="nr_d43874981acc4d32bfa29707cab1720a"/>
                          <w:lock w:val="sdtLocked"/>
                          <w:richText/>
                        </w:sdtPr>
                        <w:sdtContent>
                          <w:r>
                            <w:rPr>
                              <w:color w:val="000000"/>
                            </w:rPr>
                            <w:t>25.2</w:t>
                          </w:r>
                        </w:sdtContent>
                      </w:sdt>
                      <w:r>
                        <w:rPr>
                          <w:color w:val="000000"/>
                        </w:rPr>
                        <w:t xml:space="preserve">. Kiekvieno mėnesio </w:t>
                      </w:r>
                      <w:r>
                        <w:rPr>
                          <w:i/>
                          <w:color w:val="000000"/>
                        </w:rPr>
                        <w:t xml:space="preserve">„m“ </w:t>
                      </w:r>
                      <w:r>
                        <w:rPr>
                          <w:color w:val="000000"/>
                        </w:rPr>
                        <w:t>skaičiuojamieji šilumos nuostoliai per pastato ilginius šiluminius tiltelius</w:t>
                      </w:r>
                      <w:r>
                        <w:rPr>
                          <w:i/>
                          <w:color w:val="000000"/>
                        </w:rPr>
                        <w:t xml:space="preserve"> Q</w:t>
                      </w:r>
                      <w:r>
                        <w:rPr>
                          <w:i/>
                          <w:color w:val="000000"/>
                          <w:vertAlign w:val="subscript"/>
                        </w:rPr>
                        <w:t>C.</w:t>
                        <w:sym w:font="Symbol" w:char="F059"/>
                        <w:t>,m</w:t>
                      </w:r>
                      <w:r>
                        <w:rPr>
                          <w:color w:val="000000"/>
                        </w:rPr>
                        <w:t xml:space="preserve"> (kWh/(m</w:t>
                      </w:r>
                      <w:r>
                        <w:rPr>
                          <w:color w:val="000000"/>
                          <w:vertAlign w:val="superscript"/>
                        </w:rPr>
                        <w:t>2</w:t>
                      </w:r>
                      <w:r>
                        <w:rPr>
                          <w:color w:val="000000"/>
                        </w:rPr>
                        <w:t xml:space="preserve">·mėn.)), pagal kuriuos skaičiuojami energijos poreikiai pastatui vėsinti,  apskaičiuojami pagal formulę:</w:t>
                      </w:r>
                    </w:p>
                    <w:p>
                      <w:pPr>
                        <w:ind w:firstLine="570"/>
                        <w:rPr>
                          <w:color w:val="000000"/>
                        </w:rPr>
                      </w:pPr>
                    </w:p>
                    <w:tbl>
                      <w:tblPr>
                        <w:tblW w:w="5000" w:type="pct"/>
                        <w:tblLook w:val="01E0" w:firstRow="1" w:lastRow="1" w:firstColumn="1" w:lastColumn="1" w:noHBand="0" w:noVBand="0"/>
                      </w:tblPr>
                      <w:tblGrid>
                        <w:gridCol w:w="8760"/>
                        <w:gridCol w:w="1236"/>
                      </w:tblGrid>
                      <w:tr>
                        <w:tc>
                          <w:tcPr>
                            <w:tcW w:w="4382" w:type="pct"/>
                            <w:vAlign w:val="center"/>
                            <w:hideMark/>
                          </w:tcPr>
                          <w:p>
                            <w:pPr>
                              <w:spacing w:line="276" w:lineRule="auto"/>
                              <w:jc w:val="center"/>
                              <w:rPr>
                                <w:rFonts w:eastAsia="Calibri"/>
                                <w:bCs/>
                                <w:color w:val="000000"/>
                                <w:szCs w:val="22"/>
                              </w:rPr>
                            </w:pPr>
                            <w:r>
                              <w:rPr>
                                <w:rFonts w:eastAsia="Calibri"/>
                                <w:bCs/>
                                <w:color w:val="000000"/>
                                <w:szCs w:val="22"/>
                              </w:rPr>
                              <w:object w:dxaOrig="8020" w:dyaOrig="2770">
                                <v:shape id="_x0000_i1126" type="#_x0000_t75" style="width:402.05pt;height:139.95pt" o:ole="">
                                  <v:imagedata r:id="rId481" o:title=""/>
                                </v:shape>
                                <o:OLEObject Type="Embed" ProgID="Equation.3" ShapeID="_x0000_i1126" DrawAspect="Content" ObjectID="_0000000001" r:id="rId482"/>
                              </w:object>
                            </w:r>
                          </w:p>
                        </w:tc>
                        <w:tc>
                          <w:tcPr>
                            <w:tcW w:w="618" w:type="pct"/>
                            <w:vAlign w:val="center"/>
                            <w:hideMark/>
                          </w:tcPr>
                          <w:p>
                            <w:pPr>
                              <w:spacing w:line="276" w:lineRule="auto"/>
                              <w:jc w:val="right"/>
                              <w:rPr>
                                <w:rFonts w:eastAsia="Calibri"/>
                                <w:bCs/>
                                <w:color w:val="000000"/>
                                <w:szCs w:val="22"/>
                              </w:rPr>
                            </w:pPr>
                            <w:r>
                              <w:rPr>
                                <w:bCs/>
                                <w:color w:val="000000"/>
                              </w:rPr>
                              <w:t>(2.94)</w:t>
                            </w:r>
                          </w:p>
                        </w:tc>
                      </w:tr>
                    </w:tbl>
                    <w:p>
                      <w:pPr>
                        <w:ind w:firstLine="567"/>
                        <w:rPr>
                          <w:rFonts w:eastAsia="Calibri"/>
                          <w:color w:val="000000"/>
                          <w:szCs w:val="22"/>
                        </w:rPr>
                      </w:pPr>
                    </w:p>
                    <w:p>
                      <w:pPr>
                        <w:rPr>
                          <w:color w:val="000000"/>
                          <w:sz w:val="18"/>
                          <w:szCs w:val="18"/>
                        </w:rPr>
                      </w:pPr>
                    </w:p>
                  </w:sdtContent>
                </w:sdt>
              </w:sdtContent>
            </w:sdt>
          </w:sdtContent>
        </w:sdt>
        <w:sdt>
          <w:sdtPr>
            <w:alias w:val="skyrius"/>
            <w:tag w:val="part_510661d5aa6641ec962db217d95a5af6"/>
            <w:lock w:val="sdtLocked"/>
            <w:richText/>
          </w:sdtPr>
          <w:sdtContent>
            <w:p>
              <w:pPr>
                <w:keepNext/>
                <w:keepLines/>
                <w:jc w:val="center"/>
                <w:outlineLvl w:val="2"/>
                <w:rPr>
                  <w:b/>
                  <w:bCs/>
                </w:rPr>
              </w:pPr>
              <w:sdt>
                <w:sdtPr>
                  <w:alias w:val="Numeris"/>
                  <w:tag w:val="nr_510661d5aa6641ec962db217d95a5af6"/>
                  <w:lock w:val="sdtLocked"/>
                  <w:richText/>
                </w:sdtPr>
                <w:sdtContent>
                  <w:r>
                    <w:rPr>
                      <w:b/>
                      <w:bCs/>
                    </w:rPr>
                    <w:t>XI</w:t>
                  </w:r>
                </w:sdtContent>
              </w:sdt>
              <w:r>
                <w:rPr>
                  <w:b/>
                  <w:bCs/>
                </w:rPr>
                <w:t xml:space="preserve"> skyrius</w:t>
              </w:r>
            </w:p>
            <w:p>
              <w:pPr>
                <w:jc w:val="center"/>
                <w:rPr>
                  <w:sz w:val="18"/>
                  <w:szCs w:val="18"/>
                </w:rPr>
              </w:pPr>
            </w:p>
            <w:p>
              <w:pPr>
                <w:keepNext/>
                <w:keepLines/>
                <w:jc w:val="center"/>
                <w:outlineLvl w:val="2"/>
                <w:rPr>
                  <w:b/>
                  <w:bCs/>
                </w:rPr>
              </w:pPr>
              <w:sdt>
                <w:sdtPr>
                  <w:alias w:val="Pavadinimas"/>
                  <w:tag w:val="title_510661d5aa6641ec962db217d95a5af6"/>
                  <w:lock w:val="sdtLocked"/>
                  <w:richText/>
                </w:sdtPr>
                <w:sdtContent>
                  <w:r>
                    <w:rPr>
                      <w:b/>
                      <w:bCs/>
                    </w:rPr>
                    <w:t xml:space="preserve">Mėnesinių šilumos nuostolių dėl pastato vėdinimo skaičiavimas </w:t>
                  </w:r>
                </w:sdtContent>
              </w:sdt>
            </w:p>
            <w:sdt>
              <w:sdtPr>
                <w:alias w:val="2 pr. 26 p."/>
                <w:tag w:val="part_9341ed7cf44f46cc960fdefa1e6d2075"/>
                <w:lock w:val="sdtLocked"/>
                <w:richText/>
              </w:sdtPr>
              <w:sdtContent>
                <w:p>
                  <w:pPr>
                    <w:suppressAutoHyphens/>
                    <w:ind w:firstLine="567"/>
                    <w:jc w:val="both"/>
                    <w:rPr>
                      <w:color w:val="000000"/>
                      <w:lang w:eastAsia="lt-LT"/>
                    </w:rPr>
                  </w:pPr>
                  <w:sdt>
                    <w:sdtPr>
                      <w:alias w:val="Numeris"/>
                      <w:tag w:val="nr_9341ed7cf44f46cc960fdefa1e6d2075"/>
                      <w:lock w:val="sdtLocked"/>
                      <w:richText/>
                    </w:sdtPr>
                    <w:sdtContent>
                      <w:r>
                        <w:rPr>
                          <w:color w:val="000000"/>
                          <w:lang w:eastAsia="lt-LT"/>
                        </w:rPr>
                        <w:t>26</w:t>
                      </w:r>
                    </w:sdtContent>
                  </w:sdt>
                  <w:r>
                    <w:rPr>
                      <w:color w:val="000000"/>
                      <w:lang w:eastAsia="lt-LT"/>
                    </w:rPr>
                    <w:t xml:space="preserve">. Vidutinis mėnesio į patalpas per valandą infiltruojamas išorės oro kiekis pastato šildomo ploto vienetui </w:t>
                  </w:r>
                  <w:r>
                    <w:rPr>
                      <w:i/>
                      <w:color w:val="000000"/>
                      <w:lang w:eastAsia="lt-LT"/>
                    </w:rPr>
                    <w:t>ν</w:t>
                  </w:r>
                  <w:r>
                    <w:rPr>
                      <w:i/>
                      <w:color w:val="000000"/>
                      <w:vertAlign w:val="subscript"/>
                      <w:lang w:eastAsia="lt-LT"/>
                    </w:rPr>
                    <w:t>inf,m</w:t>
                  </w:r>
                  <w:r>
                    <w:rPr>
                      <w:color w:val="000000"/>
                      <w:lang w:eastAsia="lt-LT"/>
                    </w:rPr>
                    <w:t xml:space="preserve"> (m</w:t>
                  </w:r>
                  <w:r>
                    <w:rPr>
                      <w:color w:val="000000"/>
                      <w:vertAlign w:val="superscript"/>
                      <w:lang w:eastAsia="lt-LT"/>
                    </w:rPr>
                    <w:t>3</w:t>
                  </w:r>
                  <w:r>
                    <w:rPr>
                      <w:color w:val="000000"/>
                      <w:lang w:eastAsia="lt-LT"/>
                    </w:rPr>
                    <w:t>/m²·h) apskaičiuojamas taip [3.21]:</w:t>
                  </w:r>
                </w:p>
                <w:sdt>
                  <w:sdtPr>
                    <w:alias w:val="2 pr. 26.1 pp."/>
                    <w:tag w:val="part_2e921fc7f2b94f6d94db8c7bdcbac636"/>
                    <w:lock w:val="sdtLocked"/>
                    <w:richText/>
                  </w:sdtPr>
                  <w:sdtContent>
                    <w:p>
                      <w:pPr>
                        <w:suppressAutoHyphens/>
                        <w:ind w:firstLine="567"/>
                        <w:jc w:val="both"/>
                        <w:rPr>
                          <w:color w:val="000000"/>
                          <w:lang w:eastAsia="lt-LT"/>
                        </w:rPr>
                      </w:pPr>
                      <w:sdt>
                        <w:sdtPr>
                          <w:alias w:val="Numeris"/>
                          <w:tag w:val="nr_2e921fc7f2b94f6d94db8c7bdcbac636"/>
                          <w:lock w:val="sdtLocked"/>
                          <w:richText/>
                        </w:sdtPr>
                        <w:sdtContent>
                          <w:r>
                            <w:rPr>
                              <w:color w:val="000000"/>
                              <w:lang w:eastAsia="lt-LT"/>
                            </w:rPr>
                            <w:t>26.1</w:t>
                          </w:r>
                        </w:sdtContent>
                      </w:sdt>
                      <w:r>
                        <w:rPr>
                          <w:color w:val="000000"/>
                          <w:lang w:eastAsia="lt-LT"/>
                        </w:rPr>
                        <w:t xml:space="preserve">.  jei pastato sandarumas išmatuotas pagal LST EN ISO 9972:2015 [3.19] reikalavimus, </w:t>
                      </w:r>
                      <w:r>
                        <w:rPr>
                          <w:i/>
                          <w:color w:val="000000"/>
                          <w:lang w:eastAsia="lt-LT"/>
                        </w:rPr>
                        <w:t>v</w:t>
                      </w:r>
                      <w:r>
                        <w:rPr>
                          <w:i/>
                          <w:color w:val="000000"/>
                          <w:vertAlign w:val="subscript"/>
                          <w:lang w:eastAsia="lt-LT"/>
                        </w:rPr>
                        <w:t>inf,m</w:t>
                      </w:r>
                      <w:r>
                        <w:rPr>
                          <w:color w:val="000000"/>
                          <w:vertAlign w:val="subscript"/>
                          <w:lang w:eastAsia="lt-LT"/>
                        </w:rPr>
                        <w:t xml:space="preserve"> </w:t>
                      </w:r>
                      <w:r>
                        <w:rPr>
                          <w:color w:val="000000"/>
                          <w:lang w:eastAsia="lt-LT"/>
                        </w:rPr>
                        <w:t>(m</w:t>
                      </w:r>
                      <w:r>
                        <w:rPr>
                          <w:color w:val="000000"/>
                          <w:vertAlign w:val="superscript"/>
                          <w:lang w:eastAsia="lt-LT"/>
                        </w:rPr>
                        <w:t>3</w:t>
                      </w:r>
                      <w:r>
                        <w:rPr>
                          <w:color w:val="000000"/>
                          <w:lang w:eastAsia="lt-LT"/>
                        </w:rPr>
                        <w:t xml:space="preserve">/h) apskaičiuojamas pagal formulę: </w:t>
                      </w:r>
                    </w:p>
                    <w:tbl>
                      <w:tblPr>
                        <w:tblW w:w="5000" w:type="pct"/>
                        <w:tblLook w:val="04A0" w:firstRow="1" w:lastRow="0" w:firstColumn="1" w:lastColumn="0" w:noHBand="0" w:noVBand="1"/>
                      </w:tblPr>
                      <w:tblGrid>
                        <w:gridCol w:w="8948"/>
                        <w:gridCol w:w="1048"/>
                      </w:tblGrid>
                      <w:tr>
                        <w:tc>
                          <w:tcPr>
                            <w:tcW w:w="4476" w:type="pct"/>
                            <w:vAlign w:val="center"/>
                            <w:hideMark/>
                          </w:tcPr>
                          <w:p>
                            <w:pPr>
                              <w:tabs>
                                <w:tab w:val="right" w:pos="9356"/>
                              </w:tabs>
                              <w:suppressAutoHyphens/>
                              <w:spacing w:line="276" w:lineRule="auto"/>
                              <w:jc w:val="center"/>
                              <w:rPr>
                                <w:rFonts w:eastAsia="Calibri"/>
                                <w:b/>
                                <w:color w:val="000000"/>
                                <w:szCs w:val="22"/>
                              </w:rPr>
                            </w:pPr>
                            <w:r>
                              <w:rPr>
                                <w:lang w:eastAsia="lt-LT"/>
                              </w:rPr>
                              <w:drawing>
                                <wp:inline distT="0" distB="0" distL="0" distR="0">
                                  <wp:extent cx="3111500" cy="476250"/>
                                  <wp:effectExtent l="0" t="0" r="0" b="0"/>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3111500" cy="476250"/>
                                          </a:xfrm>
                                          <a:prstGeom prst="rect">
                                            <a:avLst/>
                                          </a:prstGeom>
                                          <a:noFill/>
                                          <a:ln>
                                            <a:noFill/>
                                          </a:ln>
                                        </pic:spPr>
                                      </pic:pic>
                                    </a:graphicData>
                                  </a:graphic>
                                </wp:inline>
                              </w:drawing>
                            </w:r>
                          </w:p>
                        </w:tc>
                        <w:tc>
                          <w:tcPr>
                            <w:tcW w:w="524" w:type="pct"/>
                            <w:vAlign w:val="center"/>
                            <w:hideMark/>
                          </w:tcPr>
                          <w:p>
                            <w:pPr>
                              <w:tabs>
                                <w:tab w:val="right" w:pos="9356"/>
                              </w:tabs>
                              <w:suppressAutoHyphens/>
                              <w:spacing w:line="276" w:lineRule="auto"/>
                              <w:jc w:val="right"/>
                              <w:rPr>
                                <w:rFonts w:eastAsia="Calibri"/>
                                <w:color w:val="000000"/>
                                <w:szCs w:val="22"/>
                              </w:rPr>
                            </w:pPr>
                            <w:r>
                              <w:rPr>
                                <w:color w:val="000000"/>
                                <w:lang w:eastAsia="lt-LT"/>
                              </w:rPr>
                              <w:t>(2.95)</w:t>
                            </w:r>
                          </w:p>
                        </w:tc>
                      </w:tr>
                    </w:tbl>
                    <w:p/>
                  </w:sdtContent>
                </w:sdt>
                <w:sdt>
                  <w:sdtPr>
                    <w:alias w:val="2 pr. 26.2 pp."/>
                    <w:tag w:val="part_079e31fa1cd14723ae49e2d310b80bb4"/>
                    <w:lock w:val="sdtLocked"/>
                    <w:richText/>
                  </w:sdtPr>
                  <w:sdtContent>
                    <w:p>
                      <w:pPr>
                        <w:suppressAutoHyphens/>
                        <w:ind w:firstLine="567"/>
                        <w:jc w:val="both"/>
                        <w:rPr>
                          <w:rFonts w:eastAsia="Calibri"/>
                          <w:color w:val="000000"/>
                          <w:szCs w:val="22"/>
                        </w:rPr>
                      </w:pPr>
                      <w:sdt>
                        <w:sdtPr>
                          <w:alias w:val="Numeris"/>
                          <w:tag w:val="nr_079e31fa1cd14723ae49e2d310b80bb4"/>
                          <w:lock w:val="sdtLocked"/>
                          <w:richText/>
                        </w:sdtPr>
                        <w:sdtContent>
                          <w:r>
                            <w:rPr>
                              <w:color w:val="000000"/>
                              <w:lang w:eastAsia="lt-LT"/>
                            </w:rPr>
                            <w:t>26.2</w:t>
                          </w:r>
                        </w:sdtContent>
                      </w:sdt>
                      <w:r>
                        <w:rPr>
                          <w:color w:val="000000"/>
                          <w:lang w:eastAsia="lt-LT"/>
                        </w:rPr>
                        <w:t xml:space="preserve">. jei pastato sandarumas neišmatuotas pagal LST EN ISO 9972:2015 [3.19] reikalavimus, </w:t>
                      </w:r>
                      <w:r>
                        <w:rPr>
                          <w:i/>
                          <w:color w:val="000000"/>
                          <w:lang w:eastAsia="lt-LT"/>
                        </w:rPr>
                        <w:t>v</w:t>
                      </w:r>
                      <w:r>
                        <w:rPr>
                          <w:i/>
                          <w:color w:val="000000"/>
                          <w:vertAlign w:val="subscript"/>
                          <w:lang w:eastAsia="lt-LT"/>
                        </w:rPr>
                        <w:t>inf,m</w:t>
                      </w:r>
                      <w:r>
                        <w:rPr>
                          <w:color w:val="000000"/>
                          <w:vertAlign w:val="subscript"/>
                          <w:lang w:eastAsia="lt-LT"/>
                        </w:rPr>
                        <w:t xml:space="preserve"> </w:t>
                      </w:r>
                      <w:r>
                        <w:rPr>
                          <w:color w:val="000000"/>
                          <w:lang w:eastAsia="lt-LT"/>
                        </w:rPr>
                        <w:t>(m</w:t>
                      </w:r>
                      <w:r>
                        <w:rPr>
                          <w:color w:val="000000"/>
                          <w:vertAlign w:val="superscript"/>
                          <w:lang w:eastAsia="lt-LT"/>
                        </w:rPr>
                        <w:t>3</w:t>
                      </w:r>
                      <w:r>
                        <w:rPr>
                          <w:color w:val="000000"/>
                          <w:lang w:eastAsia="lt-LT"/>
                        </w:rPr>
                        <w:t>/h) apskaičiuojamas taip:</w:t>
                      </w:r>
                    </w:p>
                    <w:tbl>
                      <w:tblPr>
                        <w:tblW w:w="5000" w:type="pct"/>
                        <w:tblLook w:val="04A0" w:firstRow="1" w:lastRow="0" w:firstColumn="1" w:lastColumn="0" w:noHBand="0" w:noVBand="1"/>
                      </w:tblPr>
                      <w:tblGrid>
                        <w:gridCol w:w="8948"/>
                        <w:gridCol w:w="1048"/>
                      </w:tblGrid>
                      <w:tr>
                        <w:tc>
                          <w:tcPr>
                            <w:tcW w:w="4476" w:type="pct"/>
                            <w:vAlign w:val="center"/>
                            <w:hideMark/>
                          </w:tcPr>
                          <w:p>
                            <w:pPr>
                              <w:tabs>
                                <w:tab w:val="right" w:pos="9356"/>
                              </w:tabs>
                              <w:suppressAutoHyphens/>
                              <w:spacing w:line="276" w:lineRule="auto"/>
                              <w:jc w:val="center"/>
                              <w:rPr>
                                <w:rFonts w:eastAsia="Calibri"/>
                                <w:color w:val="000000"/>
                                <w:szCs w:val="22"/>
                              </w:rPr>
                            </w:pPr>
                            <w:r>
                              <w:rPr>
                                <w:rFonts w:eastAsia="Calibri"/>
                                <w:color w:val="000000"/>
                                <w:szCs w:val="22"/>
                              </w:rPr>
                              <w:object w:dxaOrig="6950" w:dyaOrig="2220">
                                <v:shape id="_x0000_i1127" type="#_x0000_t75" style="width:347.05pt;height:110.85pt" o:ole="">
                                  <v:imagedata r:id="rId484" o:title=""/>
                                </v:shape>
                                <o:OLEObject Type="Embed" ProgID="Equation.3" ShapeID="_x0000_i1127" DrawAspect="Content" ObjectID="_0000000001" r:id="rId485"/>
                              </w:object>
                            </w:r>
                          </w:p>
                        </w:tc>
                        <w:tc>
                          <w:tcPr>
                            <w:tcW w:w="524" w:type="pct"/>
                            <w:vAlign w:val="center"/>
                            <w:hideMark/>
                          </w:tcPr>
                          <w:p>
                            <w:pPr>
                              <w:tabs>
                                <w:tab w:val="right" w:pos="9356"/>
                              </w:tabs>
                              <w:suppressAutoHyphens/>
                              <w:spacing w:line="276" w:lineRule="auto"/>
                              <w:jc w:val="right"/>
                              <w:rPr>
                                <w:rFonts w:eastAsia="Calibri"/>
                                <w:color w:val="000000"/>
                                <w:szCs w:val="22"/>
                              </w:rPr>
                            </w:pPr>
                            <w:r>
                              <w:rPr>
                                <w:color w:val="000000"/>
                                <w:lang w:eastAsia="lt-LT"/>
                              </w:rPr>
                              <w:t>(2.96)</w:t>
                            </w:r>
                          </w:p>
                        </w:tc>
                      </w:tr>
                    </w:tbl>
                    <w:p>
                      <w:pPr>
                        <w:tabs>
                          <w:tab w:val="left" w:pos="567"/>
                        </w:tabs>
                        <w:suppressAutoHyphens/>
                        <w:jc w:val="both"/>
                        <w:rPr>
                          <w:rFonts w:eastAsia="Calibri"/>
                          <w:color w:val="000000"/>
                          <w:szCs w:val="22"/>
                        </w:rPr>
                      </w:pPr>
                      <w:r>
                        <w:rPr>
                          <w:color w:val="000000"/>
                          <w:lang w:eastAsia="lt-LT"/>
                        </w:rPr>
                        <w:t>čia:</w:t>
                        <w:tab/>
                      </w:r>
                      <w:r>
                        <w:rPr>
                          <w:i/>
                          <w:color w:val="000000"/>
                          <w:lang w:eastAsia="lt-LT"/>
                        </w:rPr>
                        <w:t>0,25</w:t>
                      </w:r>
                      <w:r>
                        <w:rPr>
                          <w:color w:val="000000"/>
                          <w:lang w:eastAsia="lt-LT"/>
                        </w:rPr>
                        <w:t xml:space="preserve"> – koeficientas, įvertinantis, kad oro infiltracija į pastatą vyksta ne visame atitvarų plote;</w:t>
                      </w:r>
                    </w:p>
                    <w:p>
                      <w:pPr>
                        <w:suppressAutoHyphens/>
                        <w:ind w:firstLine="567"/>
                        <w:jc w:val="both"/>
                        <w:rPr>
                          <w:color w:val="000000"/>
                          <w:lang w:eastAsia="lt-LT"/>
                        </w:rPr>
                      </w:pPr>
                      <w:r>
                        <w:rPr>
                          <w:i/>
                          <w:color w:val="000000"/>
                          <w:lang w:eastAsia="lt-LT"/>
                        </w:rPr>
                        <w:t>n</w:t>
                      </w:r>
                      <w:r>
                        <w:rPr>
                          <w:i/>
                          <w:color w:val="000000"/>
                          <w:vertAlign w:val="subscript"/>
                          <w:lang w:eastAsia="lt-LT"/>
                        </w:rPr>
                        <w:t>50</w:t>
                      </w:r>
                      <w:r>
                        <w:rPr>
                          <w:color w:val="000000"/>
                          <w:lang w:eastAsia="lt-LT"/>
                        </w:rPr>
                        <w:t xml:space="preserve"> – bandymais pagal LST EN ISO 9972:2015 [3.19] reikalavimus nustatyta oro apykaitos pastate vertė (h</w:t>
                      </w:r>
                      <w:r>
                        <w:rPr>
                          <w:color w:val="000000"/>
                          <w:vertAlign w:val="superscript"/>
                          <w:lang w:eastAsia="lt-LT"/>
                        </w:rPr>
                        <w:t>-1</w:t>
                      </w:r>
                      <w:r>
                        <w:rPr>
                          <w:color w:val="000000"/>
                          <w:lang w:eastAsia="lt-LT"/>
                        </w:rPr>
                        <w:t>);</w:t>
                      </w:r>
                    </w:p>
                    <w:p>
                      <w:pPr>
                        <w:suppressAutoHyphens/>
                        <w:ind w:firstLine="567"/>
                        <w:jc w:val="both"/>
                        <w:rPr>
                          <w:color w:val="000000"/>
                          <w:lang w:eastAsia="lt-LT"/>
                        </w:rPr>
                      </w:pPr>
                      <w:r>
                        <w:rPr>
                          <w:i/>
                          <w:color w:val="000000"/>
                          <w:lang w:eastAsia="lt-LT"/>
                        </w:rPr>
                        <w:t xml:space="preserve">0,75 </w:t>
                      </w:r>
                      <w:r>
                        <w:rPr>
                          <w:color w:val="000000"/>
                          <w:lang w:eastAsia="lt-LT"/>
                        </w:rPr>
                        <w:t>– pastato aerodinaminis koeficientas [3.21];</w:t>
                      </w:r>
                    </w:p>
                    <w:p>
                      <w:pPr>
                        <w:suppressAutoHyphens/>
                        <w:ind w:firstLine="567"/>
                        <w:jc w:val="both"/>
                        <w:rPr>
                          <w:color w:val="000000"/>
                          <w:lang w:eastAsia="lt-LT"/>
                        </w:rPr>
                      </w:pPr>
                      <w:r>
                        <w:rPr>
                          <w:i/>
                          <w:color w:val="000000"/>
                          <w:lang w:eastAsia="lt-LT"/>
                        </w:rPr>
                        <w:sym w:font="Symbol" w:char="F072"/>
                      </w:r>
                      <w:r>
                        <w:rPr>
                          <w:i/>
                          <w:color w:val="000000"/>
                          <w:vertAlign w:val="subscript"/>
                          <w:lang w:eastAsia="lt-LT"/>
                        </w:rPr>
                        <w:t xml:space="preserve">air </w:t>
                      </w:r>
                      <w:r>
                        <w:rPr>
                          <w:color w:val="000000"/>
                          <w:lang w:eastAsia="lt-LT"/>
                        </w:rPr>
                        <w:t xml:space="preserve"> – oro tankis (kg/m</w:t>
                      </w:r>
                      <w:r>
                        <w:rPr>
                          <w:color w:val="000000"/>
                          <w:vertAlign w:val="superscript"/>
                          <w:lang w:eastAsia="lt-LT"/>
                        </w:rPr>
                        <w:t>3</w:t>
                      </w:r>
                      <w:r>
                        <w:rPr>
                          <w:color w:val="000000"/>
                          <w:lang w:eastAsia="lt-LT"/>
                        </w:rPr>
                        <w:t>).</w:t>
                      </w:r>
                      <w:r>
                        <w:rPr>
                          <w:i/>
                          <w:color w:val="000000"/>
                          <w:lang w:eastAsia="lt-LT"/>
                        </w:rPr>
                        <w:t xml:space="preserve"> </w:t>
                        <w:sym w:font="Symbol" w:char="F072"/>
                      </w:r>
                      <w:r>
                        <w:rPr>
                          <w:color w:val="000000"/>
                          <w:lang w:eastAsia="lt-LT"/>
                        </w:rPr>
                        <w:t xml:space="preserve"> =1,21 kg/m</w:t>
                      </w:r>
                      <w:r>
                        <w:rPr>
                          <w:color w:val="000000"/>
                          <w:vertAlign w:val="superscript"/>
                          <w:lang w:eastAsia="lt-LT"/>
                        </w:rPr>
                        <w:t>3</w:t>
                      </w:r>
                      <w:r>
                        <w:rPr>
                          <w:color w:val="000000"/>
                          <w:lang w:eastAsia="lt-LT"/>
                        </w:rPr>
                        <w:t>;</w:t>
                      </w:r>
                    </w:p>
                    <w:p>
                      <w:pPr>
                        <w:suppressAutoHyphens/>
                        <w:ind w:firstLine="567"/>
                        <w:jc w:val="both"/>
                        <w:rPr>
                          <w:color w:val="000000"/>
                          <w:lang w:eastAsia="lt-LT"/>
                        </w:rPr>
                      </w:pPr>
                      <w:r>
                        <w:rPr>
                          <w:i/>
                          <w:color w:val="000000"/>
                          <w:lang w:eastAsia="lt-LT"/>
                        </w:rPr>
                        <w:t>0,9</w:t>
                      </w:r>
                      <w:r>
                        <w:rPr>
                          <w:color w:val="000000"/>
                          <w:lang w:eastAsia="lt-LT"/>
                        </w:rPr>
                        <w:t xml:space="preserve"> – koeficientas, įvertinantis vėjo greičio sumažėjimą dėl šalia pastatų esančių įvairių barjerų [3.21];</w:t>
                      </w:r>
                    </w:p>
                    <w:p>
                      <w:pPr>
                        <w:suppressAutoHyphens/>
                        <w:ind w:firstLine="567"/>
                        <w:jc w:val="both"/>
                        <w:rPr>
                          <w:color w:val="000000"/>
                          <w:lang w:eastAsia="lt-LT"/>
                        </w:rPr>
                      </w:pPr>
                      <w:r>
                        <w:rPr>
                          <w:i/>
                          <w:color w:val="000000"/>
                          <w:lang w:eastAsia="lt-LT"/>
                        </w:rPr>
                        <w:t>v</w:t>
                      </w:r>
                      <w:r>
                        <w:rPr>
                          <w:i/>
                          <w:color w:val="000000"/>
                          <w:vertAlign w:val="subscript"/>
                          <w:lang w:eastAsia="lt-LT"/>
                        </w:rPr>
                        <w:t>wind,m</w:t>
                      </w:r>
                      <w:r>
                        <w:rPr>
                          <w:color w:val="000000"/>
                          <w:lang w:eastAsia="lt-LT"/>
                        </w:rPr>
                        <w:t xml:space="preserve"> – vidutinis mėnesio vėjo greitis (m/s). Imamas iš 2.13 lentelės;</w:t>
                      </w:r>
                    </w:p>
                    <w:p>
                      <w:pPr>
                        <w:suppressAutoHyphens/>
                        <w:ind w:firstLine="567"/>
                        <w:jc w:val="both"/>
                        <w:rPr>
                          <w:color w:val="000000"/>
                          <w:lang w:eastAsia="lt-LT"/>
                        </w:rPr>
                      </w:pPr>
                      <w:r>
                        <w:rPr>
                          <w:i/>
                          <w:color w:val="000000"/>
                          <w:lang w:eastAsia="lt-LT"/>
                        </w:rPr>
                        <w:t xml:space="preserve">50 – </w:t>
                      </w:r>
                      <w:r>
                        <w:rPr>
                          <w:color w:val="000000"/>
                          <w:lang w:eastAsia="lt-LT"/>
                        </w:rPr>
                        <w:t>slėgis, kuriam esant matuojamas pastato sandarumas (Pa);</w:t>
                      </w:r>
                    </w:p>
                    <w:p>
                      <w:pPr>
                        <w:suppressAutoHyphens/>
                        <w:ind w:firstLine="567"/>
                        <w:jc w:val="both"/>
                        <w:rPr>
                          <w:strike/>
                          <w:color w:val="000000"/>
                          <w:lang w:eastAsia="lt-LT"/>
                        </w:rPr>
                      </w:pP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šildomų patalpų tūris (m³);</w:t>
                      </w:r>
                    </w:p>
                    <w:p>
                      <w:pPr>
                        <w:suppressAutoHyphens/>
                        <w:ind w:firstLine="567"/>
                        <w:jc w:val="both"/>
                        <w:rPr>
                          <w:color w:val="000000"/>
                          <w:lang w:eastAsia="lt-LT"/>
                        </w:rPr>
                      </w:pPr>
                      <w:r>
                        <w:rPr>
                          <w:i/>
                          <w:color w:val="000000"/>
                          <w:lang w:eastAsia="lt-LT"/>
                        </w:rPr>
                        <w:t xml:space="preserve">n </w:t>
                      </w:r>
                      <w:r>
                        <w:rPr>
                          <w:color w:val="000000"/>
                          <w:lang w:eastAsia="lt-LT"/>
                        </w:rPr>
                        <w:t>– bandymais pagal LST EN ISO 9972:2015 [3.19] reikalavimus nustatyta laipsnio rodiklio vertė;</w:t>
                      </w:r>
                    </w:p>
                    <w:p>
                      <w:pPr>
                        <w:suppressAutoHyphens/>
                        <w:ind w:firstLine="567"/>
                        <w:jc w:val="both"/>
                        <w:rPr>
                          <w:b/>
                          <w:color w:val="000000"/>
                          <w:lang w:eastAsia="lt-LT"/>
                        </w:rPr>
                      </w:pPr>
                      <w:r>
                        <w:rPr>
                          <w:bCs/>
                          <w:i/>
                          <w:color w:val="000000"/>
                          <w:lang w:eastAsia="lt-LT"/>
                        </w:rPr>
                        <w:t>G</w:t>
                      </w:r>
                      <w:r>
                        <w:rPr>
                          <w:bCs/>
                          <w:i/>
                          <w:color w:val="000000"/>
                          <w:vertAlign w:val="subscript"/>
                          <w:lang w:eastAsia="lt-LT"/>
                        </w:rPr>
                        <w:t>wd,x</w:t>
                      </w:r>
                      <w:r>
                        <w:rPr>
                          <w:bCs/>
                          <w:i/>
                          <w:color w:val="000000"/>
                          <w:lang w:eastAsia="lt-LT"/>
                        </w:rPr>
                        <w:t>, G</w:t>
                      </w:r>
                      <w:r>
                        <w:rPr>
                          <w:bCs/>
                          <w:i/>
                          <w:color w:val="000000"/>
                          <w:vertAlign w:val="subscript"/>
                          <w:lang w:eastAsia="lt-LT"/>
                        </w:rPr>
                        <w:t>gw,x</w:t>
                      </w:r>
                      <w:r>
                        <w:rPr>
                          <w:bCs/>
                          <w:i/>
                          <w:color w:val="000000"/>
                          <w:lang w:eastAsia="lt-LT"/>
                        </w:rPr>
                        <w:t>, G</w:t>
                      </w:r>
                      <w:r>
                        <w:rPr>
                          <w:bCs/>
                          <w:i/>
                          <w:color w:val="000000"/>
                          <w:vertAlign w:val="subscript"/>
                          <w:lang w:eastAsia="lt-LT"/>
                        </w:rPr>
                        <w:t>bw,x</w:t>
                      </w:r>
                      <w:r>
                        <w:rPr>
                          <w:bCs/>
                          <w:i/>
                          <w:color w:val="000000"/>
                          <w:lang w:eastAsia="lt-LT"/>
                        </w:rPr>
                        <w:t>, G</w:t>
                      </w:r>
                      <w:r>
                        <w:rPr>
                          <w:bCs/>
                          <w:i/>
                          <w:color w:val="000000"/>
                          <w:vertAlign w:val="subscript"/>
                          <w:lang w:eastAsia="lt-LT"/>
                        </w:rPr>
                        <w:t>d1,x</w:t>
                      </w:r>
                      <w:r>
                        <w:rPr>
                          <w:bCs/>
                          <w:i/>
                          <w:color w:val="000000"/>
                          <w:lang w:eastAsia="lt-LT"/>
                        </w:rPr>
                        <w:t>, G</w:t>
                      </w:r>
                      <w:r>
                        <w:rPr>
                          <w:bCs/>
                          <w:i/>
                          <w:color w:val="000000"/>
                          <w:vertAlign w:val="subscript"/>
                          <w:lang w:eastAsia="lt-LT"/>
                        </w:rPr>
                        <w:t xml:space="preserve">d2,x </w:t>
                      </w:r>
                      <w:r>
                        <w:rPr>
                          <w:color w:val="000000"/>
                          <w:lang w:eastAsia="lt-LT"/>
                        </w:rPr>
                        <w:t>– atitinkamo „</w:t>
                      </w:r>
                      <w:r>
                        <w:rPr>
                          <w:i/>
                          <w:color w:val="000000"/>
                          <w:lang w:eastAsia="lt-LT"/>
                        </w:rPr>
                        <w:t>x</w:t>
                      </w:r>
                      <w:r>
                        <w:rPr>
                          <w:color w:val="000000"/>
                          <w:lang w:eastAsia="lt-LT"/>
                        </w:rPr>
                        <w:t xml:space="preserve">“ lango, stoglangio, švieslangio, išorinių įėjimo durų ir vartų oro skverbties klasę atitinkančios skaičiuojamosios oro skverbties vertės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 esant 100 Pa slėgių skirtumui.</w:t>
                      </w:r>
                      <w:r>
                        <w:rPr>
                          <w:color w:val="000000"/>
                          <w:lang w:eastAsia="lt-LT"/>
                        </w:rPr>
                        <w:t xml:space="preserve"> Šios vertės nustatomos pagal gamintojo deklaracijoje pateiktą gaminio orinio laidžio klasę ir 2.12 lentelėje pateiktus duomenis; </w:t>
                      </w:r>
                    </w:p>
                    <w:p>
                      <w:pPr>
                        <w:suppressAutoHyphens/>
                        <w:ind w:firstLine="567"/>
                        <w:jc w:val="both"/>
                        <w:rPr>
                          <w:bCs/>
                          <w:i/>
                          <w:color w:val="000000"/>
                          <w:lang w:eastAsia="lt-LT"/>
                        </w:rPr>
                      </w:pPr>
                      <w:r>
                        <w:rPr>
                          <w:bCs/>
                          <w:i/>
                          <w:color w:val="000000"/>
                          <w:lang w:eastAsia="lt-LT"/>
                        </w:rPr>
                        <w:t>G</w:t>
                      </w:r>
                      <w:r>
                        <w:rPr>
                          <w:bCs/>
                          <w:i/>
                          <w:color w:val="000000"/>
                          <w:vertAlign w:val="subscript"/>
                          <w:lang w:eastAsia="lt-LT"/>
                        </w:rPr>
                        <w:t xml:space="preserve">og,x  </w:t>
                      </w:r>
                      <w:r>
                        <w:rPr>
                          <w:color w:val="000000"/>
                          <w:lang w:eastAsia="lt-LT"/>
                        </w:rPr>
                        <w:t>– atitinkamos „</w:t>
                      </w:r>
                      <w:r>
                        <w:rPr>
                          <w:i/>
                          <w:color w:val="000000"/>
                          <w:lang w:eastAsia="lt-LT"/>
                        </w:rPr>
                        <w:t>x</w:t>
                      </w:r>
                      <w:r>
                        <w:rPr>
                          <w:color w:val="000000"/>
                          <w:lang w:eastAsia="lt-LT"/>
                        </w:rPr>
                        <w:t xml:space="preserve">“ kitos skaidrios atitvaros oro skverbties vertės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 esant 100 Pa slėgių skirtumui.</w:t>
                      </w:r>
                      <w:r>
                        <w:rPr>
                          <w:color w:val="000000"/>
                          <w:lang w:eastAsia="lt-LT"/>
                        </w:rPr>
                        <w:t xml:space="preserve"> Šios vertės imamos iš Reglamento 4 priedo;</w:t>
                      </w:r>
                    </w:p>
                    <w:p>
                      <w:pPr>
                        <w:suppressAutoHyphens/>
                        <w:ind w:firstLine="567"/>
                        <w:jc w:val="both"/>
                        <w:rPr>
                          <w:bCs/>
                          <w:color w:val="000000"/>
                          <w:lang w:eastAsia="lt-LT"/>
                        </w:rPr>
                      </w:pPr>
                      <w:r>
                        <w:rPr>
                          <w:bCs/>
                          <w:i/>
                          <w:color w:val="000000"/>
                          <w:lang w:eastAsia="lt-LT"/>
                        </w:rPr>
                        <w:t xml:space="preserve">1,2 – </w:t>
                      </w:r>
                      <w:r>
                        <w:rPr>
                          <w:bCs/>
                          <w:color w:val="000000"/>
                          <w:lang w:eastAsia="lt-LT"/>
                        </w:rPr>
                        <w:t>koeficientas, įvertinantis infiltraciją per atitvaras ir jų sandūras;</w:t>
                      </w:r>
                    </w:p>
                    <w:p>
                      <w:pPr>
                        <w:suppressAutoHyphens/>
                        <w:ind w:firstLine="567"/>
                        <w:jc w:val="both"/>
                        <w:rPr>
                          <w:color w:val="000000"/>
                          <w:lang w:eastAsia="lt-LT"/>
                        </w:rPr>
                      </w:pPr>
                      <w:r>
                        <w:rPr>
                          <w:bCs/>
                          <w:i/>
                          <w:color w:val="000000"/>
                          <w:lang w:eastAsia="lt-LT"/>
                        </w:rPr>
                        <w:t>A</w:t>
                      </w:r>
                      <w:r>
                        <w:rPr>
                          <w:bCs/>
                          <w:i/>
                          <w:color w:val="000000"/>
                          <w:vertAlign w:val="subscript"/>
                          <w:lang w:eastAsia="lt-LT"/>
                        </w:rPr>
                        <w:t>wd,x</w:t>
                      </w:r>
                      <w:r>
                        <w:rPr>
                          <w:bCs/>
                          <w:i/>
                          <w:color w:val="000000"/>
                          <w:lang w:eastAsia="lt-LT"/>
                        </w:rPr>
                        <w:t>, A</w:t>
                      </w:r>
                      <w:r>
                        <w:rPr>
                          <w:bCs/>
                          <w:i/>
                          <w:color w:val="000000"/>
                          <w:vertAlign w:val="subscript"/>
                          <w:lang w:eastAsia="lt-LT"/>
                        </w:rPr>
                        <w:t>gw,x</w:t>
                      </w:r>
                      <w:r>
                        <w:rPr>
                          <w:bCs/>
                          <w:i/>
                          <w:color w:val="000000"/>
                          <w:lang w:eastAsia="lt-LT"/>
                        </w:rPr>
                        <w:t>, A</w:t>
                      </w:r>
                      <w:r>
                        <w:rPr>
                          <w:bCs/>
                          <w:i/>
                          <w:color w:val="000000"/>
                          <w:vertAlign w:val="subscript"/>
                          <w:lang w:eastAsia="lt-LT"/>
                        </w:rPr>
                        <w:t>bw,x</w:t>
                      </w:r>
                      <w:r>
                        <w:rPr>
                          <w:bCs/>
                          <w:i/>
                          <w:color w:val="000000"/>
                          <w:lang w:eastAsia="lt-LT"/>
                        </w:rPr>
                        <w:t>, A</w:t>
                      </w:r>
                      <w:r>
                        <w:rPr>
                          <w:bCs/>
                          <w:i/>
                          <w:color w:val="000000"/>
                          <w:vertAlign w:val="subscript"/>
                          <w:lang w:eastAsia="lt-LT"/>
                        </w:rPr>
                        <w:t>og,x</w:t>
                      </w:r>
                      <w:r>
                        <w:rPr>
                          <w:bCs/>
                          <w:i/>
                          <w:color w:val="000000"/>
                          <w:lang w:eastAsia="lt-LT"/>
                        </w:rPr>
                        <w:t>, A</w:t>
                      </w:r>
                      <w:r>
                        <w:rPr>
                          <w:bCs/>
                          <w:i/>
                          <w:color w:val="000000"/>
                          <w:vertAlign w:val="subscript"/>
                          <w:lang w:eastAsia="lt-LT"/>
                        </w:rPr>
                        <w:t>d1,x</w:t>
                      </w:r>
                      <w:r>
                        <w:rPr>
                          <w:bCs/>
                          <w:i/>
                          <w:color w:val="000000"/>
                          <w:lang w:eastAsia="lt-LT"/>
                        </w:rPr>
                        <w:t>, A</w:t>
                      </w:r>
                      <w:r>
                        <w:rPr>
                          <w:bCs/>
                          <w:i/>
                          <w:color w:val="000000"/>
                          <w:vertAlign w:val="subscript"/>
                          <w:lang w:eastAsia="lt-LT"/>
                        </w:rPr>
                        <w:t xml:space="preserve">d2,x </w:t>
                      </w:r>
                      <w:r>
                        <w:rPr>
                          <w:color w:val="000000"/>
                          <w:lang w:eastAsia="lt-LT"/>
                        </w:rPr>
                        <w:t>– atitinkamo „</w:t>
                      </w:r>
                      <w:r>
                        <w:rPr>
                          <w:i/>
                          <w:color w:val="000000"/>
                          <w:lang w:eastAsia="lt-LT"/>
                        </w:rPr>
                        <w:t>x</w:t>
                      </w:r>
                      <w:r>
                        <w:rPr>
                          <w:color w:val="000000"/>
                          <w:lang w:eastAsia="lt-LT"/>
                        </w:rPr>
                        <w:t>“ lango, stoglangio, švieslangio, kitos skaidrios atitvaros, išorinių įėjimo durų ir vartų plotas (m</w:t>
                      </w:r>
                      <w:r>
                        <w:rPr>
                          <w:color w:val="000000"/>
                          <w:vertAlign w:val="superscript"/>
                          <w:lang w:eastAsia="lt-LT"/>
                        </w:rPr>
                        <w:t>2</w:t>
                      </w:r>
                      <w:r>
                        <w:rPr>
                          <w:color w:val="000000"/>
                          <w:lang w:eastAsia="lt-LT"/>
                        </w:rPr>
                        <w:t>). Nustatomas pagal Reglamento 7 priedo reikalavimus.</w:t>
                      </w:r>
                    </w:p>
                    <w:p>
                      <w:pPr>
                        <w:suppressAutoHyphens/>
                        <w:jc w:val="center"/>
                        <w:rPr>
                          <w:b/>
                          <w:color w:val="000000"/>
                          <w:lang w:eastAsia="lt-LT"/>
                        </w:rPr>
                      </w:pPr>
                    </w:p>
                    <w:p>
                      <w:pPr>
                        <w:suppressAutoHyphens/>
                        <w:jc w:val="center"/>
                        <w:rPr>
                          <w:b/>
                          <w:color w:val="000000"/>
                          <w:lang w:eastAsia="lt-LT"/>
                        </w:rPr>
                      </w:pPr>
                      <w:r>
                        <w:rPr>
                          <w:b/>
                          <w:color w:val="000000"/>
                          <w:lang w:eastAsia="lt-LT"/>
                        </w:rPr>
                        <w:t xml:space="preserve">Langų, stoglangių, švieslangių, išorinių įėjimo durų ir vartų skaičiuojamosios oro skverbties </w:t>
                      </w:r>
                      <w:r>
                        <w:rPr>
                          <w:b/>
                          <w:bCs/>
                          <w:i/>
                          <w:color w:val="000000"/>
                          <w:lang w:eastAsia="lt-LT"/>
                        </w:rPr>
                        <w:t>G</w:t>
                      </w:r>
                      <w:r>
                        <w:rPr>
                          <w:b/>
                          <w:bCs/>
                          <w:i/>
                          <w:color w:val="000000"/>
                          <w:vertAlign w:val="subscript"/>
                          <w:lang w:eastAsia="lt-LT"/>
                        </w:rPr>
                        <w:t>wd</w:t>
                      </w:r>
                      <w:r>
                        <w:rPr>
                          <w:b/>
                          <w:bCs/>
                          <w:i/>
                          <w:color w:val="000000"/>
                          <w:lang w:eastAsia="lt-LT"/>
                        </w:rPr>
                        <w:t>, G</w:t>
                      </w:r>
                      <w:r>
                        <w:rPr>
                          <w:b/>
                          <w:bCs/>
                          <w:i/>
                          <w:color w:val="000000"/>
                          <w:vertAlign w:val="subscript"/>
                          <w:lang w:eastAsia="lt-LT"/>
                        </w:rPr>
                        <w:t>gw</w:t>
                      </w:r>
                      <w:r>
                        <w:rPr>
                          <w:b/>
                          <w:bCs/>
                          <w:i/>
                          <w:color w:val="000000"/>
                          <w:lang w:eastAsia="lt-LT"/>
                        </w:rPr>
                        <w:t>, G</w:t>
                      </w:r>
                      <w:r>
                        <w:rPr>
                          <w:b/>
                          <w:bCs/>
                          <w:i/>
                          <w:color w:val="000000"/>
                          <w:vertAlign w:val="subscript"/>
                          <w:lang w:eastAsia="lt-LT"/>
                        </w:rPr>
                        <w:t>bw</w:t>
                      </w:r>
                      <w:r>
                        <w:rPr>
                          <w:b/>
                          <w:bCs/>
                          <w:i/>
                          <w:color w:val="000000"/>
                          <w:lang w:eastAsia="lt-LT"/>
                        </w:rPr>
                        <w:t>,</w:t>
                      </w:r>
                      <w:r>
                        <w:rPr>
                          <w:b/>
                          <w:bCs/>
                          <w:i/>
                          <w:color w:val="000000"/>
                          <w:vertAlign w:val="subscript"/>
                          <w:lang w:eastAsia="lt-LT"/>
                        </w:rPr>
                        <w:t xml:space="preserve"> </w:t>
                      </w:r>
                      <w:r>
                        <w:rPr>
                          <w:b/>
                          <w:color w:val="000000"/>
                          <w:lang w:eastAsia="lt-LT"/>
                        </w:rPr>
                        <w:t xml:space="preserve"> </w:t>
                      </w:r>
                      <w:r>
                        <w:rPr>
                          <w:b/>
                          <w:bCs/>
                          <w:i/>
                          <w:color w:val="000000"/>
                          <w:lang w:eastAsia="lt-LT"/>
                        </w:rPr>
                        <w:t>G</w:t>
                      </w:r>
                      <w:r>
                        <w:rPr>
                          <w:b/>
                          <w:bCs/>
                          <w:i/>
                          <w:color w:val="000000"/>
                          <w:vertAlign w:val="subscript"/>
                          <w:lang w:eastAsia="lt-LT"/>
                        </w:rPr>
                        <w:t>d1</w:t>
                      </w:r>
                      <w:r>
                        <w:rPr>
                          <w:b/>
                          <w:color w:val="000000"/>
                          <w:lang w:eastAsia="lt-LT"/>
                        </w:rPr>
                        <w:t xml:space="preserve">  ir </w:t>
                      </w:r>
                      <w:r>
                        <w:rPr>
                          <w:b/>
                          <w:bCs/>
                          <w:i/>
                          <w:color w:val="000000"/>
                          <w:lang w:eastAsia="lt-LT"/>
                        </w:rPr>
                        <w:t>G</w:t>
                      </w:r>
                      <w:r>
                        <w:rPr>
                          <w:b/>
                          <w:bCs/>
                          <w:i/>
                          <w:color w:val="000000"/>
                          <w:vertAlign w:val="subscript"/>
                          <w:lang w:eastAsia="lt-LT"/>
                        </w:rPr>
                        <w:t>d2</w:t>
                      </w:r>
                      <w:r>
                        <w:rPr>
                          <w:b/>
                          <w:color w:val="000000"/>
                          <w:lang w:eastAsia="lt-LT"/>
                        </w:rPr>
                        <w:t xml:space="preserve"> </w:t>
                      </w:r>
                      <w:r>
                        <w:rPr>
                          <w:b/>
                          <w:iCs/>
                          <w:color w:val="000000"/>
                          <w:lang w:eastAsia="lt-LT"/>
                        </w:rPr>
                        <w:t>(m</w:t>
                      </w:r>
                      <w:r>
                        <w:rPr>
                          <w:b/>
                          <w:iCs/>
                          <w:color w:val="000000"/>
                          <w:vertAlign w:val="superscript"/>
                          <w:lang w:eastAsia="lt-LT"/>
                        </w:rPr>
                        <w:t>3</w:t>
                      </w:r>
                      <w:r>
                        <w:rPr>
                          <w:b/>
                          <w:iCs/>
                          <w:color w:val="000000"/>
                          <w:lang w:eastAsia="lt-LT"/>
                        </w:rPr>
                        <w:t>/(m</w:t>
                      </w:r>
                      <w:r>
                        <w:rPr>
                          <w:b/>
                          <w:iCs/>
                          <w:color w:val="000000"/>
                          <w:vertAlign w:val="superscript"/>
                          <w:lang w:eastAsia="lt-LT"/>
                        </w:rPr>
                        <w:t>2</w:t>
                      </w:r>
                      <w:r>
                        <w:rPr>
                          <w:b/>
                          <w:iCs/>
                          <w:color w:val="000000"/>
                          <w:lang w:eastAsia="lt-LT"/>
                        </w:rPr>
                        <w:t>·h))</w:t>
                      </w:r>
                      <w:r>
                        <w:rPr>
                          <w:b/>
                          <w:color w:val="000000"/>
                          <w:lang w:eastAsia="lt-LT"/>
                        </w:rPr>
                        <w:t xml:space="preserve"> vertės esant 100 Pa slėgių skirtumui</w:t>
                      </w:r>
                    </w:p>
                    <w:p>
                      <w:pPr>
                        <w:suppressAutoHyphens/>
                        <w:ind w:left="720"/>
                        <w:jc w:val="right"/>
                        <w:rPr>
                          <w:color w:val="000000"/>
                          <w:lang w:eastAsia="lt-LT"/>
                        </w:rPr>
                      </w:pPr>
                      <w:r>
                        <w:rPr>
                          <w:color w:val="000000"/>
                          <w:lang w:eastAsia="lt-LT"/>
                        </w:rPr>
                        <w:t>2.12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4"/>
                        <w:gridCol w:w="47"/>
                        <w:gridCol w:w="529"/>
                        <w:gridCol w:w="618"/>
                        <w:gridCol w:w="102"/>
                        <w:gridCol w:w="708"/>
                        <w:gridCol w:w="388"/>
                        <w:gridCol w:w="154"/>
                        <w:gridCol w:w="886"/>
                        <w:gridCol w:w="160"/>
                        <w:gridCol w:w="204"/>
                        <w:gridCol w:w="996"/>
                        <w:gridCol w:w="70"/>
                        <w:gridCol w:w="184"/>
                        <w:gridCol w:w="1246"/>
                      </w:tblGrid>
                      <w:tr>
                        <w:tc>
                          <w:tcPr>
                            <w:tcW w:w="2142"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Langų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4</w:t>
                            </w:r>
                          </w:p>
                        </w:tc>
                      </w:tr>
                      <w:tr>
                        <w:tc>
                          <w:tcPr>
                            <w:tcW w:w="2142"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788"/>
                              <w:jc w:val="center"/>
                              <w:rPr>
                                <w:rFonts w:eastAsia="Calibri"/>
                                <w:color w:val="000000"/>
                                <w:szCs w:val="22"/>
                              </w:rPr>
                            </w:pPr>
                            <w:r>
                              <w:rPr>
                                <w:bCs/>
                                <w:color w:val="000000"/>
                                <w:lang w:eastAsia="lt-LT"/>
                              </w:rPr>
                              <w:t xml:space="preserve">Langų oro skverbtis </w:t>
                            </w:r>
                            <w:r>
                              <w:rPr>
                                <w:bCs/>
                                <w:i/>
                                <w:color w:val="000000"/>
                                <w:lang w:eastAsia="lt-LT"/>
                              </w:rPr>
                              <w:t>G</w:t>
                            </w:r>
                            <w:r>
                              <w:rPr>
                                <w:bCs/>
                                <w:i/>
                                <w:color w:val="000000"/>
                                <w:vertAlign w:val="subscript"/>
                                <w:lang w:eastAsia="lt-LT"/>
                              </w:rPr>
                              <w:t>wd</w:t>
                            </w:r>
                            <w:r>
                              <w:rPr>
                                <w:bCs/>
                                <w:i/>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r>
                      <w:tr>
                        <w:tc>
                          <w:tcPr>
                            <w:tcW w:w="2142"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Stoglangių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4</w:t>
                            </w:r>
                          </w:p>
                        </w:tc>
                      </w:tr>
                      <w:tr>
                        <w:tc>
                          <w:tcPr>
                            <w:tcW w:w="2142"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bCs/>
                                <w:color w:val="000000"/>
                                <w:lang w:eastAsia="lt-LT"/>
                              </w:rPr>
                              <w:t xml:space="preserve">Stoglangių oro skverbtis </w:t>
                            </w:r>
                            <w:r>
                              <w:rPr>
                                <w:bCs/>
                                <w:i/>
                                <w:color w:val="000000"/>
                                <w:lang w:eastAsia="lt-LT"/>
                              </w:rPr>
                              <w:t>G</w:t>
                            </w:r>
                            <w:r>
                              <w:rPr>
                                <w:bCs/>
                                <w:i/>
                                <w:color w:val="000000"/>
                                <w:vertAlign w:val="subscript"/>
                                <w:lang w:eastAsia="lt-LT"/>
                              </w:rPr>
                              <w:t>gw</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r>
                      <w:tr>
                        <w:tc>
                          <w:tcPr>
                            <w:tcW w:w="185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Švieslangių orinio laidžio klasė [3.30]</w:t>
                            </w:r>
                          </w:p>
                        </w:tc>
                        <w:tc>
                          <w:tcPr>
                            <w:tcW w:w="598"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A1</w:t>
                            </w:r>
                          </w:p>
                        </w:tc>
                        <w:tc>
                          <w:tcPr>
                            <w:tcW w:w="599"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A2</w:t>
                            </w:r>
                          </w:p>
                        </w:tc>
                        <w:tc>
                          <w:tcPr>
                            <w:tcW w:w="600"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A3</w:t>
                            </w:r>
                          </w:p>
                        </w:tc>
                        <w:tc>
                          <w:tcPr>
                            <w:tcW w:w="600" w:type="pct"/>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A4</w:t>
                            </w:r>
                          </w:p>
                        </w:tc>
                        <w:tc>
                          <w:tcPr>
                            <w:tcW w:w="750"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AE</w:t>
                            </w:r>
                          </w:p>
                        </w:tc>
                      </w:tr>
                      <w:tr>
                        <w:tc>
                          <w:tcPr>
                            <w:tcW w:w="185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 xml:space="preserve">Švieslangių </w:t>
                            </w:r>
                            <w:r>
                              <w:rPr>
                                <w:bCs/>
                                <w:color w:val="000000"/>
                                <w:lang w:eastAsia="lt-LT"/>
                              </w:rPr>
                              <w:t xml:space="preserve">oro skverbtis* </w:t>
                            </w:r>
                            <w:r>
                              <w:rPr>
                                <w:bCs/>
                                <w:i/>
                                <w:color w:val="000000"/>
                                <w:lang w:eastAsia="lt-LT"/>
                              </w:rPr>
                              <w:t>G</w:t>
                            </w:r>
                            <w:r>
                              <w:rPr>
                                <w:bCs/>
                                <w:i/>
                                <w:color w:val="000000"/>
                                <w:vertAlign w:val="subscript"/>
                                <w:lang w:eastAsia="lt-LT"/>
                              </w:rPr>
                              <w:t>bw</w:t>
                            </w:r>
                            <w:r>
                              <w:rPr>
                                <w:bCs/>
                                <w:i/>
                                <w:color w:val="000000"/>
                                <w:lang w:eastAsia="lt-LT"/>
                              </w:rPr>
                              <w:t>,</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598"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1,1</w:t>
                            </w:r>
                          </w:p>
                        </w:tc>
                        <w:tc>
                          <w:tcPr>
                            <w:tcW w:w="599"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0,72</w:t>
                            </w:r>
                          </w:p>
                        </w:tc>
                        <w:tc>
                          <w:tcPr>
                            <w:tcW w:w="600"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0,55</w:t>
                            </w:r>
                          </w:p>
                        </w:tc>
                        <w:tc>
                          <w:tcPr>
                            <w:tcW w:w="600" w:type="pct"/>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0,45</w:t>
                            </w:r>
                          </w:p>
                        </w:tc>
                        <w:tc>
                          <w:tcPr>
                            <w:tcW w:w="750"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rFonts w:eastAsia="Calibri"/>
                                <w:color w:val="000000"/>
                                <w:szCs w:val="22"/>
                              </w:rPr>
                              <w:object w:dxaOrig="1220" w:dyaOrig="840">
                                <v:shape id="_x0000_i1128" type="#_x0000_t75" style="width:60.65pt;height:42.05pt" o:ole="">
                                  <v:imagedata r:id="rId486" o:title=""/>
                                </v:shape>
                                <o:OLEObject Type="Embed" ProgID="Equation.3" ShapeID="_x0000_i1128" DrawAspect="Content" ObjectID="_0000000001" r:id="rId487"/>
                              </w:object>
                            </w:r>
                          </w:p>
                        </w:tc>
                      </w:tr>
                      <w:tr>
                        <w:tc>
                          <w:tcPr>
                            <w:tcW w:w="2142"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Išorinių įėjimo durų orinio laidžio klasė [3.32]</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1</w:t>
                            </w:r>
                          </w:p>
                        </w:tc>
                        <w:tc>
                          <w:tcPr>
                            <w:tcW w:w="714" w:type="pct"/>
                            <w:gridSpan w:val="3"/>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w:t>
                            </w:r>
                          </w:p>
                        </w:tc>
                        <w:tc>
                          <w:tcPr>
                            <w:tcW w:w="715" w:type="pct"/>
                            <w:gridSpan w:val="4"/>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c>
                          <w:tcPr>
                            <w:tcW w:w="715" w:type="pct"/>
                            <w:gridSpan w:val="2"/>
                            <w:tcBorders>
                              <w:top w:val="doub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4</w:t>
                            </w:r>
                          </w:p>
                        </w:tc>
                      </w:tr>
                      <w:tr>
                        <w:tc>
                          <w:tcPr>
                            <w:tcW w:w="2142"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 xml:space="preserve">Išorinių įėjimo durų </w:t>
                            </w:r>
                            <w:r>
                              <w:rPr>
                                <w:bCs/>
                                <w:color w:val="000000"/>
                                <w:lang w:eastAsia="lt-LT"/>
                              </w:rPr>
                              <w:t xml:space="preserve">oro skverbtis </w:t>
                            </w:r>
                            <w:r>
                              <w:rPr>
                                <w:bCs/>
                                <w:i/>
                                <w:color w:val="000000"/>
                                <w:lang w:eastAsia="lt-LT"/>
                              </w:rPr>
                              <w:t>G</w:t>
                            </w:r>
                            <w:r>
                              <w:rPr>
                                <w:bCs/>
                                <w:i/>
                                <w:color w:val="000000"/>
                                <w:vertAlign w:val="subscript"/>
                                <w:lang w:eastAsia="lt-LT"/>
                              </w:rPr>
                              <w:t>d1</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50</w:t>
                            </w:r>
                          </w:p>
                        </w:tc>
                        <w:tc>
                          <w:tcPr>
                            <w:tcW w:w="714" w:type="pct"/>
                            <w:gridSpan w:val="3"/>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27</w:t>
                            </w:r>
                          </w:p>
                        </w:tc>
                        <w:tc>
                          <w:tcPr>
                            <w:tcW w:w="715" w:type="pct"/>
                            <w:gridSpan w:val="4"/>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9</w:t>
                            </w:r>
                          </w:p>
                        </w:tc>
                        <w:tc>
                          <w:tcPr>
                            <w:tcW w:w="715" w:type="pct"/>
                            <w:gridSpan w:val="2"/>
                            <w:tcBorders>
                              <w:top w:val="single" w:sz="4" w:space="0" w:color="auto"/>
                              <w:left w:val="single" w:sz="4" w:space="0" w:color="auto"/>
                              <w:bottom w:val="doub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r>
                      <w:tr>
                        <w:tc>
                          <w:tcPr>
                            <w:tcW w:w="1877" w:type="pct"/>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Vartų orinio laidžio klasė [3.31]</w:t>
                            </w:r>
                          </w:p>
                        </w:tc>
                        <w:tc>
                          <w:tcPr>
                            <w:tcW w:w="625" w:type="pct"/>
                            <w:gridSpan w:val="3"/>
                            <w:tcBorders>
                              <w:top w:val="single" w:sz="4" w:space="0" w:color="auto"/>
                              <w:left w:val="single" w:sz="4" w:space="0" w:color="auto"/>
                              <w:bottom w:val="single" w:sz="4" w:space="0" w:color="auto"/>
                              <w:right w:val="single" w:sz="4" w:space="0" w:color="auto"/>
                            </w:tcBorders>
                            <w:hideMark/>
                          </w:tcPr>
                          <w:p>
                            <w:pPr>
                              <w:suppressAutoHyphens/>
                              <w:spacing w:line="276" w:lineRule="auto"/>
                              <w:ind w:left="850" w:hanging="850"/>
                              <w:jc w:val="center"/>
                              <w:rPr>
                                <w:rFonts w:eastAsia="Calibri"/>
                                <w:color w:val="000000"/>
                                <w:szCs w:val="22"/>
                              </w:rPr>
                            </w:pPr>
                            <w:r>
                              <w:rPr>
                                <w:color w:val="000000"/>
                                <w:lang w:eastAsia="lt-LT"/>
                              </w:rPr>
                              <w:t>1</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3</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4</w:t>
                            </w:r>
                          </w:p>
                        </w:tc>
                        <w:tc>
                          <w:tcPr>
                            <w:tcW w:w="62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5</w:t>
                            </w:r>
                          </w:p>
                        </w:tc>
                      </w:tr>
                      <w:tr>
                        <w:tc>
                          <w:tcPr>
                            <w:tcW w:w="1877" w:type="pct"/>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 xml:space="preserve">Vartų </w:t>
                            </w:r>
                            <w:r>
                              <w:rPr>
                                <w:bCs/>
                                <w:color w:val="000000"/>
                                <w:lang w:eastAsia="lt-LT"/>
                              </w:rPr>
                              <w:t xml:space="preserve">oro skverbtis </w:t>
                            </w:r>
                            <w:r>
                              <w:rPr>
                                <w:bCs/>
                                <w:i/>
                                <w:color w:val="000000"/>
                                <w:lang w:eastAsia="lt-LT"/>
                              </w:rPr>
                              <w:t>G</w:t>
                            </w:r>
                            <w:r>
                              <w:rPr>
                                <w:bCs/>
                                <w:i/>
                                <w:color w:val="000000"/>
                                <w:vertAlign w:val="subscript"/>
                                <w:lang w:eastAsia="lt-LT"/>
                              </w:rPr>
                              <w:t>d2</w:t>
                            </w:r>
                            <w:r>
                              <w:rPr>
                                <w:bCs/>
                                <w:color w:val="000000"/>
                                <w:lang w:eastAsia="lt-LT"/>
                              </w:rPr>
                              <w:t xml:space="preserve">, </w:t>
                            </w:r>
                            <w:r>
                              <w:rPr>
                                <w:iCs/>
                                <w:color w:val="000000"/>
                                <w:lang w:eastAsia="lt-LT"/>
                              </w:rPr>
                              <w:t>m</w:t>
                            </w:r>
                            <w:r>
                              <w:rPr>
                                <w:iCs/>
                                <w:color w:val="000000"/>
                                <w:vertAlign w:val="superscript"/>
                                <w:lang w:eastAsia="lt-LT"/>
                              </w:rPr>
                              <w:t>3</w:t>
                            </w:r>
                            <w:r>
                              <w:rPr>
                                <w:iCs/>
                                <w:color w:val="000000"/>
                                <w:lang w:eastAsia="lt-LT"/>
                              </w:rPr>
                              <w:t>/(m</w:t>
                            </w:r>
                            <w:r>
                              <w:rPr>
                                <w:iCs/>
                                <w:color w:val="000000"/>
                                <w:vertAlign w:val="superscript"/>
                                <w:lang w:eastAsia="lt-LT"/>
                              </w:rPr>
                              <w:t>2</w:t>
                            </w:r>
                            <w:r>
                              <w:rPr>
                                <w:iCs/>
                                <w:color w:val="000000"/>
                                <w:lang w:eastAsia="lt-LT"/>
                              </w:rPr>
                              <w:t>·h)</w:t>
                            </w:r>
                          </w:p>
                        </w:tc>
                        <w:tc>
                          <w:tcPr>
                            <w:tcW w:w="625" w:type="pct"/>
                            <w:gridSpan w:val="3"/>
                            <w:tcBorders>
                              <w:top w:val="single" w:sz="4" w:space="0" w:color="auto"/>
                              <w:left w:val="single" w:sz="4" w:space="0" w:color="auto"/>
                              <w:bottom w:val="single" w:sz="4" w:space="0" w:color="auto"/>
                              <w:right w:val="single" w:sz="4" w:space="0" w:color="auto"/>
                            </w:tcBorders>
                            <w:hideMark/>
                          </w:tcPr>
                          <w:p>
                            <w:pPr>
                              <w:suppressAutoHyphens/>
                              <w:spacing w:line="276" w:lineRule="auto"/>
                              <w:ind w:left="850" w:hanging="850"/>
                              <w:jc w:val="center"/>
                              <w:rPr>
                                <w:rFonts w:eastAsia="Calibri"/>
                                <w:color w:val="000000"/>
                                <w:szCs w:val="22"/>
                              </w:rPr>
                            </w:pPr>
                            <w:r>
                              <w:rPr>
                                <w:color w:val="000000"/>
                                <w:lang w:eastAsia="lt-LT"/>
                              </w:rPr>
                              <w:t>38</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19</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9,5</w:t>
                            </w:r>
                          </w:p>
                        </w:tc>
                        <w:tc>
                          <w:tcPr>
                            <w:tcW w:w="62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4,8</w:t>
                            </w:r>
                          </w:p>
                        </w:tc>
                        <w:tc>
                          <w:tcPr>
                            <w:tcW w:w="62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850" w:hanging="850"/>
                              <w:jc w:val="center"/>
                              <w:rPr>
                                <w:rFonts w:eastAsia="Calibri"/>
                                <w:color w:val="000000"/>
                                <w:szCs w:val="22"/>
                              </w:rPr>
                            </w:pPr>
                            <w:r>
                              <w:rPr>
                                <w:color w:val="000000"/>
                                <w:lang w:eastAsia="lt-LT"/>
                              </w:rPr>
                              <w:t>2,4</w:t>
                            </w:r>
                          </w:p>
                        </w:tc>
                      </w:tr>
                    </w:tbl>
                    <w:p/>
                    <w:p>
                      <w:pPr>
                        <w:suppressAutoHyphens/>
                        <w:ind w:firstLine="720"/>
                        <w:jc w:val="both"/>
                        <w:rPr>
                          <w:rFonts w:eastAsia="Calibri"/>
                          <w:color w:val="000000"/>
                          <w:szCs w:val="22"/>
                          <w:lang w:eastAsia="lt-LT"/>
                        </w:rPr>
                      </w:pPr>
                      <w:r>
                        <w:rPr>
                          <w:color w:val="000000"/>
                          <w:lang w:eastAsia="lt-LT"/>
                        </w:rPr>
                        <w:t xml:space="preserve">*AE orinio laidžio klasės švieslangių oro skverbtis apskaičiuojama pagal pateiktą lentelėje formulę, kurioje dydis </w:t>
                      </w:r>
                      <w:r>
                        <w:rPr>
                          <w:i/>
                          <w:color w:val="000000"/>
                          <w:lang w:eastAsia="lt-LT"/>
                        </w:rPr>
                        <w:t>P</w:t>
                      </w:r>
                      <w:r>
                        <w:rPr>
                          <w:i/>
                          <w:color w:val="000000"/>
                          <w:vertAlign w:val="subscript"/>
                          <w:lang w:eastAsia="lt-LT"/>
                        </w:rPr>
                        <w:t>AE</w:t>
                      </w:r>
                      <w:r>
                        <w:rPr>
                          <w:color w:val="000000"/>
                          <w:vertAlign w:val="subscript"/>
                          <w:lang w:eastAsia="lt-LT"/>
                        </w:rPr>
                        <w:t xml:space="preserve"> </w:t>
                      </w:r>
                      <w:r>
                        <w:rPr>
                          <w:color w:val="000000"/>
                          <w:lang w:eastAsia="lt-LT"/>
                        </w:rPr>
                        <w:t>– gamintojo deklaracijoje ar švieslangio bandymų protokole nurodytas slėgis (Pa), kuriam esant nustatyta AE orinio laidžio klasė.</w:t>
                      </w:r>
                    </w:p>
                    <w:p>
                      <w:pPr>
                        <w:suppressAutoHyphens/>
                        <w:jc w:val="center"/>
                        <w:rPr>
                          <w:b/>
                          <w:color w:val="000000"/>
                          <w:lang w:eastAsia="lt-LT"/>
                        </w:rPr>
                      </w:pPr>
                    </w:p>
                    <w:p>
                      <w:pPr>
                        <w:suppressAutoHyphens/>
                        <w:jc w:val="center"/>
                        <w:rPr>
                          <w:b/>
                          <w:lang w:eastAsia="lt-LT"/>
                        </w:rPr>
                      </w:pPr>
                      <w:r>
                        <w:rPr>
                          <w:b/>
                          <w:lang w:eastAsia="lt-LT"/>
                        </w:rPr>
                        <w:t xml:space="preserve">Vidutiniai mėnesio vėjo greičiai </w:t>
                      </w:r>
                      <w:r>
                        <w:rPr>
                          <w:b/>
                          <w:i/>
                          <w:lang w:eastAsia="lt-LT"/>
                        </w:rPr>
                        <w:t>v</w:t>
                      </w:r>
                      <w:r>
                        <w:rPr>
                          <w:b/>
                          <w:i/>
                          <w:vertAlign w:val="subscript"/>
                          <w:lang w:eastAsia="lt-LT"/>
                        </w:rPr>
                        <w:t>wind</w:t>
                      </w:r>
                      <w:r>
                        <w:rPr>
                          <w:b/>
                          <w:lang w:eastAsia="lt-LT"/>
                        </w:rPr>
                        <w:t xml:space="preserve"> (m/s)</w:t>
                      </w:r>
                    </w:p>
                    <w:p>
                      <w:pPr>
                        <w:suppressAutoHyphens/>
                        <w:ind w:left="720"/>
                        <w:jc w:val="right"/>
                        <w:rPr>
                          <w:lang w:eastAsia="lt-LT"/>
                        </w:rPr>
                      </w:pPr>
                      <w:r>
                        <w:rPr>
                          <w:lang w:eastAsia="lt-LT"/>
                        </w:rPr>
                        <w:t>2.13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723"/>
                        <w:gridCol w:w="723"/>
                        <w:gridCol w:w="723"/>
                        <w:gridCol w:w="722"/>
                        <w:gridCol w:w="722"/>
                        <w:gridCol w:w="722"/>
                        <w:gridCol w:w="722"/>
                        <w:gridCol w:w="722"/>
                        <w:gridCol w:w="722"/>
                        <w:gridCol w:w="726"/>
                        <w:gridCol w:w="727"/>
                        <w:gridCol w:w="727"/>
                      </w:tblGrid>
                      <w:tr>
                        <w:trPr>
                          <w:gridAfter w:val="1"/>
                          <w:wAfter w:w="727" w:type="dxa"/>
                          <w:trHeight w:val="334"/>
                        </w:trPr>
                        <w:tc>
                          <w:tcPr>
                            <w:tcW w:w="8681" w:type="dxa"/>
                            <w:gridSpan w:val="1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spacing w:val="-6"/>
                                <w:szCs w:val="22"/>
                              </w:rPr>
                            </w:pPr>
                            <w:r>
                              <w:rPr>
                                <w:spacing w:val="-6"/>
                                <w:lang w:eastAsia="lt-LT"/>
                              </w:rPr>
                              <w:t>Metų mėnesio numeris</w:t>
                            </w:r>
                          </w:p>
                        </w:tc>
                      </w:tr>
                      <w:tr>
                        <w:tc>
                          <w:tcPr>
                            <w:tcW w:w="889"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2"/>
                              </w:rPr>
                            </w:pPr>
                          </w:p>
                        </w:tc>
                        <w:tc>
                          <w:tcPr>
                            <w:tcW w:w="72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1</w:t>
                            </w:r>
                          </w:p>
                        </w:tc>
                        <w:tc>
                          <w:tcPr>
                            <w:tcW w:w="72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2</w:t>
                            </w:r>
                          </w:p>
                        </w:tc>
                        <w:tc>
                          <w:tcPr>
                            <w:tcW w:w="72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3</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4</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5</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6</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7</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8</w:t>
                            </w:r>
                          </w:p>
                        </w:tc>
                        <w:tc>
                          <w:tcPr>
                            <w:tcW w:w="72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9</w:t>
                            </w:r>
                          </w:p>
                        </w:tc>
                        <w:tc>
                          <w:tcPr>
                            <w:tcW w:w="726"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10</w:t>
                            </w:r>
                          </w:p>
                        </w:tc>
                        <w:tc>
                          <w:tcPr>
                            <w:tcW w:w="727"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11</w:t>
                            </w:r>
                          </w:p>
                        </w:tc>
                        <w:tc>
                          <w:tcPr>
                            <w:tcW w:w="727"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lang w:eastAsia="lt-LT"/>
                              </w:rPr>
                              <w:t>12</w:t>
                            </w:r>
                          </w:p>
                        </w:tc>
                      </w:tr>
                      <w:tr>
                        <w:tc>
                          <w:tcPr>
                            <w:tcW w:w="88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2"/>
                              </w:rPr>
                            </w:pPr>
                            <w:r>
                              <w:rPr>
                                <w:b/>
                                <w:i/>
                                <w:lang w:eastAsia="lt-LT"/>
                              </w:rPr>
                              <w:t>v</w:t>
                            </w:r>
                            <w:r>
                              <w:rPr>
                                <w:b/>
                                <w:i/>
                                <w:vertAlign w:val="subscript"/>
                                <w:lang w:eastAsia="lt-LT"/>
                              </w:rPr>
                              <w:t>wind</w:t>
                            </w:r>
                          </w:p>
                        </w:tc>
                        <w:tc>
                          <w:tcPr>
                            <w:tcW w:w="72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4,1</w:t>
                            </w:r>
                          </w:p>
                        </w:tc>
                        <w:tc>
                          <w:tcPr>
                            <w:tcW w:w="72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3,8</w:t>
                            </w:r>
                          </w:p>
                        </w:tc>
                        <w:tc>
                          <w:tcPr>
                            <w:tcW w:w="72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3,8</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3,5</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3,2</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3,0</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2,9</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2,7</w:t>
                            </w:r>
                          </w:p>
                        </w:tc>
                        <w:tc>
                          <w:tcPr>
                            <w:tcW w:w="72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3,2</w:t>
                            </w:r>
                          </w:p>
                        </w:tc>
                        <w:tc>
                          <w:tcPr>
                            <w:tcW w:w="726"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3,6</w:t>
                            </w:r>
                          </w:p>
                        </w:tc>
                        <w:tc>
                          <w:tcPr>
                            <w:tcW w:w="727"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4,0</w:t>
                            </w:r>
                          </w:p>
                        </w:tc>
                        <w:tc>
                          <w:tcPr>
                            <w:tcW w:w="727"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szCs w:val="22"/>
                              </w:rPr>
                            </w:pPr>
                            <w:r>
                              <w:rPr>
                                <w:bCs/>
                                <w:lang w:eastAsia="lt-LT"/>
                              </w:rPr>
                              <w:t>3,9</w:t>
                            </w:r>
                          </w:p>
                        </w:tc>
                      </w:tr>
                    </w:tbl>
                    <w:p>
                      <w:pPr>
                        <w:suppressAutoHyphens/>
                        <w:ind w:firstLine="570"/>
                        <w:rPr>
                          <w:rFonts w:eastAsia="Calibri"/>
                          <w:szCs w:val="22"/>
                        </w:rPr>
                      </w:pPr>
                    </w:p>
                  </w:sdtContent>
                </w:sdt>
                <w:sdt>
                  <w:sdtPr>
                    <w:alias w:val="2 pr. 26.3 pp."/>
                    <w:tag w:val="part_8d57d2ecc2fb458b87864bace42cd236"/>
                    <w:lock w:val="sdtLocked"/>
                    <w:richText/>
                  </w:sdtPr>
                  <w:sdtContent>
                    <w:p>
                      <w:pPr>
                        <w:suppressAutoHyphens/>
                        <w:ind w:firstLine="570"/>
                        <w:jc w:val="both"/>
                        <w:rPr>
                          <w:color w:val="000000"/>
                          <w:lang w:eastAsia="lt-LT"/>
                        </w:rPr>
                      </w:pPr>
                      <w:sdt>
                        <w:sdtPr>
                          <w:alias w:val="Numeris"/>
                          <w:tag w:val="nr_8d57d2ecc2fb458b87864bace42cd236"/>
                          <w:lock w:val="sdtLocked"/>
                          <w:richText/>
                        </w:sdtPr>
                        <w:sdtContent>
                          <w:r>
                            <w:rPr>
                              <w:color w:val="000000"/>
                              <w:lang w:eastAsia="lt-LT"/>
                            </w:rPr>
                            <w:t>26.3</w:t>
                          </w:r>
                        </w:sdtContent>
                      </w:sdt>
                      <w:r>
                        <w:rPr>
                          <w:color w:val="000000"/>
                          <w:lang w:eastAsia="lt-LT"/>
                        </w:rPr>
                        <w:t xml:space="preserve">. jei nekeliami reikalavimai pastato sandarumo matavimams, tačiau keliami reikalavimai pastato sandarumui,  oro apykaitos pastate </w:t>
                      </w:r>
                      <w:r>
                        <w:rPr>
                          <w:i/>
                          <w:color w:val="000000"/>
                          <w:lang w:eastAsia="lt-LT"/>
                        </w:rPr>
                        <w:t>n</w:t>
                      </w:r>
                      <w:r>
                        <w:rPr>
                          <w:i/>
                          <w:color w:val="000000"/>
                          <w:vertAlign w:val="subscript"/>
                          <w:lang w:eastAsia="lt-LT"/>
                        </w:rPr>
                        <w:t xml:space="preserve">50 </w:t>
                      </w:r>
                      <w:r>
                        <w:rPr>
                          <w:color w:val="000000"/>
                          <w:lang w:eastAsia="lt-LT"/>
                        </w:rPr>
                        <w:t>vertė (h</w:t>
                      </w:r>
                      <w:r>
                        <w:rPr>
                          <w:color w:val="000000"/>
                          <w:vertAlign w:val="superscript"/>
                          <w:lang w:eastAsia="lt-LT"/>
                        </w:rPr>
                        <w:t>-1</w:t>
                      </w:r>
                      <w:r>
                        <w:rPr>
                          <w:color w:val="000000"/>
                          <w:lang w:eastAsia="lt-LT"/>
                        </w:rPr>
                        <w:t>), pagal kurią vertinama pastato atitiktis sandarumo reikalavimams, apskaičiuojama pagal formulę:</w:t>
                      </w:r>
                    </w:p>
                    <w:tbl>
                      <w:tblPr>
                        <w:tblW w:w="5000" w:type="pct"/>
                        <w:tblLook w:val="01E0" w:firstRow="1" w:lastRow="1" w:firstColumn="1" w:lastColumn="1" w:noHBand="0" w:noVBand="0"/>
                      </w:tblPr>
                      <w:tblGrid>
                        <w:gridCol w:w="8603"/>
                        <w:gridCol w:w="1393"/>
                      </w:tblGrid>
                      <w:tr>
                        <w:tc>
                          <w:tcPr>
                            <w:tcW w:w="4303" w:type="pct"/>
                            <w:hideMark/>
                          </w:tcPr>
                          <w:p>
                            <w:pPr>
                              <w:tabs>
                                <w:tab w:val="center" w:pos="4132"/>
                                <w:tab w:val="right" w:pos="8265"/>
                              </w:tabs>
                              <w:suppressAutoHyphens/>
                              <w:spacing w:line="276" w:lineRule="auto"/>
                              <w:ind w:left="851" w:hanging="851"/>
                              <w:rPr>
                                <w:rFonts w:eastAsia="Calibri"/>
                                <w:bCs/>
                                <w:color w:val="000000"/>
                                <w:szCs w:val="22"/>
                              </w:rPr>
                            </w:pPr>
                            <w:r>
                              <w:rPr>
                                <w:rFonts w:eastAsia="Calibri"/>
                                <w:color w:val="000000"/>
                                <w:szCs w:val="22"/>
                              </w:rPr>
                              <w:tab/>
                            </w:r>
                            <w:r>
                              <w:rPr>
                                <w:rFonts w:eastAsia="Calibri"/>
                                <w:color w:val="000000"/>
                                <w:position w:val="-66"/>
                                <w:szCs w:val="22"/>
                              </w:rPr>
                              <w:object w:dxaOrig="6600" w:dyaOrig="1310">
                                <v:shape id="_x0000_i1129" type="#_x0000_t75" style="width:330.05pt;height:65.55pt" o:ole="">
                                  <v:imagedata r:id="rId488" o:title=""/>
                                </v:shape>
                                <o:OLEObject Type="Embed" ProgID="Equation.3" ShapeID="_x0000_i1129" DrawAspect="Content" ObjectID="_0000000001" r:id="rId489"/>
                              </w:object>
                            </w:r>
                            <w:r>
                              <w:rPr>
                                <w:rFonts w:eastAsia="Calibri"/>
                                <w:color w:val="000000"/>
                                <w:szCs w:val="22"/>
                              </w:rPr>
                              <w:tab/>
                            </w:r>
                          </w:p>
                        </w:tc>
                        <w:tc>
                          <w:tcPr>
                            <w:tcW w:w="697" w:type="pct"/>
                            <w:vAlign w:val="center"/>
                            <w:hideMark/>
                          </w:tcPr>
                          <w:p>
                            <w:pPr>
                              <w:suppressAutoHyphens/>
                              <w:spacing w:line="276" w:lineRule="auto"/>
                              <w:ind w:left="851" w:hanging="851"/>
                              <w:jc w:val="right"/>
                              <w:rPr>
                                <w:rFonts w:eastAsia="Calibri"/>
                                <w:bCs/>
                                <w:color w:val="000000"/>
                                <w:szCs w:val="22"/>
                              </w:rPr>
                            </w:pPr>
                            <w:r>
                              <w:rPr>
                                <w:bCs/>
                                <w:color w:val="000000"/>
                                <w:lang w:eastAsia="lt-LT"/>
                              </w:rPr>
                              <w:t>(2.97)</w:t>
                            </w:r>
                          </w:p>
                        </w:tc>
                      </w:tr>
                    </w:tbl>
                    <w:p>
                      <w:pPr>
                        <w:suppressAutoHyphens/>
                        <w:ind w:firstLine="567"/>
                        <w:jc w:val="right"/>
                        <w:rPr>
                          <w:rFonts w:eastAsia="Calibri"/>
                          <w:color w:val="000000"/>
                          <w:szCs w:val="22"/>
                        </w:rPr>
                      </w:pP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490" w:history="1">
                        <w:r>
                          <w:rPr>
                            <w:rFonts w:eastAsia="MS Mincho"/>
                            <w:i/>
                            <w:iCs/>
                            <w:color w:val="0000FF"/>
                            <w:sz w:val="20"/>
                            <w:u w:val="single"/>
                          </w:rPr>
                          <w:t>D1-576</w:t>
                        </w:r>
                      </w:hyperlink>
                      <w:r>
                        <w:rPr>
                          <w:rFonts w:eastAsia="MS Mincho"/>
                          <w:i/>
                          <w:iCs/>
                          <w:sz w:val="20"/>
                        </w:rPr>
                        <w:t>, 2020-09-28, paskelbta TAR 2020-09-28, i. k. 2020-20131</w:t>
                      </w:r>
                    </w:p>
                    <w:p/>
                  </w:sdtContent>
                </w:sdt>
              </w:sdtContent>
            </w:sdt>
            <w:sdt>
              <w:sdtPr>
                <w:alias w:val="2 pr. 27 p."/>
                <w:tag w:val="part_568a62cb33c14b8cb54c9bea17475360"/>
                <w:lock w:val="sdtLocked"/>
                <w:richText/>
              </w:sdtPr>
              <w:sdtContent>
                <w:p>
                  <w:pPr>
                    <w:ind w:firstLine="600"/>
                    <w:jc w:val="both"/>
                    <w:rPr>
                      <w:color w:val="000000"/>
                    </w:rPr>
                  </w:pPr>
                  <w:sdt>
                    <w:sdtPr>
                      <w:alias w:val="Numeris"/>
                      <w:tag w:val="nr_568a62cb33c14b8cb54c9bea17475360"/>
                      <w:lock w:val="sdtLocked"/>
                      <w:richText/>
                    </w:sdtPr>
                    <w:sdtContent>
                      <w:r>
                        <w:rPr>
                          <w:color w:val="000000"/>
                        </w:rPr>
                        <w:t>27</w:t>
                      </w:r>
                    </w:sdtContent>
                  </w:sdt>
                  <w:r>
                    <w:rPr>
                      <w:color w:val="000000"/>
                    </w:rPr>
                    <w:t xml:space="preserve">. Vidutinis mėnesio į patalpas per valandą infiltruojamas išorės oro kiekis dėl išorinių įėjimo durų varstymo pastato šildomo ploto vienetui  </w:t>
                  </w:r>
                  <w:r>
                    <w:rPr>
                      <w:i/>
                      <w:color w:val="000000"/>
                    </w:rPr>
                    <w:t>ν</w:t>
                  </w:r>
                  <w:r>
                    <w:rPr>
                      <w:i/>
                      <w:color w:val="000000"/>
                      <w:vertAlign w:val="subscript"/>
                    </w:rPr>
                    <w:t>do,m</w:t>
                  </w:r>
                  <w:r>
                    <w:rPr>
                      <w:color w:val="000000"/>
                    </w:rPr>
                    <w:t xml:space="preserve"> (m</w:t>
                  </w:r>
                  <w:r>
                    <w:rPr>
                      <w:color w:val="000000"/>
                      <w:vertAlign w:val="superscript"/>
                    </w:rPr>
                    <w:t>3</w:t>
                  </w:r>
                  <w:r>
                    <w:rPr>
                      <w:color w:val="000000"/>
                    </w:rPr>
                    <w:t>/m²·h) apskaičiuojamas taip:</w:t>
                  </w:r>
                </w:p>
                <w:tbl>
                  <w:tblPr>
                    <w:tblW w:w="5000" w:type="pct"/>
                    <w:tblLook w:val="01E0" w:firstRow="1" w:lastRow="1" w:firstColumn="1" w:lastColumn="1" w:noHBand="0" w:noVBand="0"/>
                  </w:tblPr>
                  <w:tblGrid>
                    <w:gridCol w:w="8603"/>
                    <w:gridCol w:w="1393"/>
                  </w:tblGrid>
                  <w:tr>
                    <w:tc>
                      <w:tcPr>
                        <w:tcW w:w="4303" w:type="pct"/>
                        <w:hideMark/>
                      </w:tcPr>
                      <w:p>
                        <w:pPr>
                          <w:spacing w:line="276" w:lineRule="auto"/>
                          <w:ind w:left="851" w:hanging="851"/>
                          <w:jc w:val="center"/>
                          <w:rPr>
                            <w:rFonts w:eastAsia="Calibri"/>
                            <w:bCs/>
                            <w:color w:val="000000"/>
                            <w:szCs w:val="22"/>
                          </w:rPr>
                        </w:pPr>
                        <w:r>
                          <w:rPr>
                            <w:rFonts w:eastAsia="Calibri"/>
                            <w:b/>
                            <w:bCs/>
                            <w:color w:val="000000"/>
                            <w:szCs w:val="22"/>
                          </w:rPr>
                          <w:object w:dxaOrig="2170" w:dyaOrig="650">
                            <v:shape id="_x0000_i1130" type="#_x0000_t75" style="width:108.4pt;height:32.35pt" o:ole="">
                              <v:imagedata r:id="rId491" o:title=""/>
                            </v:shape>
                            <o:OLEObject Type="Embed" ProgID="Equation.3" ShapeID="_x0000_i1130" DrawAspect="Content" ObjectID="_0000000001" r:id="rId492"/>
                          </w:object>
                        </w:r>
                        <w:r>
                          <w:rPr>
                            <w:bCs/>
                            <w:color w:val="000000"/>
                          </w:rPr>
                          <w:t>;</w:t>
                        </w:r>
                      </w:p>
                    </w:tc>
                    <w:tc>
                      <w:tcPr>
                        <w:tcW w:w="697" w:type="pct"/>
                        <w:vAlign w:val="center"/>
                        <w:hideMark/>
                      </w:tcPr>
                      <w:p>
                        <w:pPr>
                          <w:spacing w:line="276" w:lineRule="auto"/>
                          <w:ind w:left="851" w:hanging="851"/>
                          <w:jc w:val="right"/>
                          <w:rPr>
                            <w:rFonts w:eastAsia="Calibri"/>
                            <w:bCs/>
                            <w:color w:val="000000"/>
                            <w:szCs w:val="22"/>
                          </w:rPr>
                        </w:pPr>
                        <w:r>
                          <w:rPr>
                            <w:bCs/>
                            <w:color w:val="000000"/>
                          </w:rPr>
                          <w:t>(2.98)</w:t>
                        </w:r>
                      </w:p>
                    </w:tc>
                  </w:tr>
                </w:tbl>
                <w:p>
                  <w:pPr>
                    <w:tabs>
                      <w:tab w:val="left" w:pos="567"/>
                    </w:tabs>
                    <w:jc w:val="both"/>
                    <w:rPr>
                      <w:rFonts w:eastAsia="Calibri"/>
                      <w:color w:val="000000"/>
                      <w:szCs w:val="22"/>
                    </w:rPr>
                  </w:pPr>
                  <w:r>
                    <w:rPr>
                      <w:color w:val="000000"/>
                    </w:rPr>
                    <w:t>čia:</w:t>
                    <w:tab/>
                  </w:r>
                  <w:r>
                    <w:rPr>
                      <w:i/>
                      <w:color w:val="000000"/>
                    </w:rPr>
                    <w:t>V</w:t>
                  </w:r>
                  <w:r>
                    <w:rPr>
                      <w:i/>
                      <w:color w:val="000000"/>
                      <w:vertAlign w:val="subscript"/>
                    </w:rPr>
                    <w:t>o</w:t>
                  </w:r>
                  <w:r>
                    <w:rPr>
                      <w:i/>
                      <w:color w:val="000000"/>
                    </w:rPr>
                    <w:t xml:space="preserve"> –</w:t>
                  </w:r>
                  <w:r>
                    <w:rPr>
                      <w:color w:val="000000"/>
                    </w:rPr>
                    <w:t xml:space="preserve"> atidarant duris į patalpas patenkantis oro kiekis (m³). Laikoma </w:t>
                  </w:r>
                  <w:r>
                    <w:rPr>
                      <w:i/>
                      <w:color w:val="000000"/>
                    </w:rPr>
                    <w:t>V</w:t>
                  </w:r>
                  <w:r>
                    <w:rPr>
                      <w:i/>
                      <w:color w:val="000000"/>
                      <w:vertAlign w:val="subscript"/>
                    </w:rPr>
                    <w:t>o</w:t>
                  </w:r>
                  <w:r>
                    <w:rPr>
                      <w:color w:val="000000"/>
                    </w:rPr>
                    <w:t xml:space="preserve"> =1,5 m³;</w:t>
                  </w:r>
                </w:p>
                <w:p>
                  <w:pPr>
                    <w:ind w:firstLine="567"/>
                    <w:jc w:val="both"/>
                    <w:rPr>
                      <w:color w:val="000000"/>
                    </w:rPr>
                  </w:pPr>
                  <w:r>
                    <w:rPr>
                      <w:i/>
                      <w:color w:val="000000"/>
                    </w:rPr>
                    <w:t>A</w:t>
                  </w:r>
                  <w:r>
                    <w:rPr>
                      <w:i/>
                      <w:color w:val="000000"/>
                      <w:vertAlign w:val="subscript"/>
                    </w:rPr>
                    <w:t>o</w:t>
                  </w:r>
                  <w:r>
                    <w:rPr>
                      <w:color w:val="000000"/>
                    </w:rPr>
                    <w:t xml:space="preserve"> – plotas vienam žmogui (m²/žmogui). Imamas iš 2.4 lentelės;</w:t>
                  </w:r>
                </w:p>
                <w:p>
                  <w:pPr>
                    <w:ind w:firstLine="567"/>
                    <w:jc w:val="both"/>
                    <w:rPr>
                      <w:color w:val="000000"/>
                      <w:u w:val="single"/>
                    </w:rPr>
                  </w:pPr>
                  <w:r>
                    <w:rPr>
                      <w:bCs/>
                      <w:i/>
                      <w:color w:val="000000"/>
                    </w:rPr>
                    <w:t>k</w:t>
                  </w:r>
                  <w:r>
                    <w:rPr>
                      <w:bCs/>
                      <w:i/>
                      <w:color w:val="000000"/>
                      <w:vertAlign w:val="subscript"/>
                    </w:rPr>
                    <w:t>d1</w:t>
                  </w:r>
                  <w:r>
                    <w:rPr>
                      <w:color w:val="000000"/>
                    </w:rPr>
                    <w:t xml:space="preserve"> – pataisos koeficientas, įvertinantis išorinių įėjimo durų varstymo dažnumą įvairios paskirties pastatuose, imamas iš 2.14 lentelės. Koeficientas apibūdina durų atidarymų dažnį per parą, susijusį su vienu pastate esančiu žmogumi ((kartai per parą)/žmogui); </w:t>
                  </w:r>
                </w:p>
                <w:p>
                  <w:pPr>
                    <w:ind w:firstLine="567"/>
                    <w:jc w:val="both"/>
                    <w:rPr>
                      <w:color w:val="000000"/>
                    </w:rPr>
                  </w:pPr>
                  <w:r>
                    <w:rPr>
                      <w:bCs/>
                      <w:i/>
                      <w:color w:val="000000"/>
                    </w:rPr>
                    <w:t>k</w:t>
                  </w:r>
                  <w:r>
                    <w:rPr>
                      <w:bCs/>
                      <w:i/>
                      <w:color w:val="000000"/>
                      <w:vertAlign w:val="subscript"/>
                    </w:rPr>
                    <w:t>d2</w:t>
                  </w:r>
                  <w:r>
                    <w:rPr>
                      <w:color w:val="000000"/>
                    </w:rPr>
                    <w:t xml:space="preserve"> – pataisos koeficientas, įvertinantis išorinių įėjimo durų tipą. Koeficiento vertė parenkama iš 2.15 lentelės pagal pastato išorinių įėjimo durų tipą: pagal duris, per kurias dažniausiai vaikštoma, arba duris, kurios atitinka visų pastato išorinių įėjimo durų tipą.</w:t>
                  </w:r>
                </w:p>
                <w:p>
                  <w:pPr>
                    <w:jc w:val="right"/>
                    <w:rPr>
                      <w:color w:val="000000"/>
                    </w:rPr>
                  </w:pPr>
                </w:p>
                <w:p>
                  <w:pPr>
                    <w:jc w:val="center"/>
                    <w:rPr>
                      <w:b/>
                    </w:rPr>
                  </w:pPr>
                  <w:r>
                    <w:rPr>
                      <w:b/>
                    </w:rPr>
                    <w:t xml:space="preserve">Pataisos koeficiento durims </w:t>
                  </w:r>
                  <w:r>
                    <w:rPr>
                      <w:b/>
                      <w:i/>
                    </w:rPr>
                    <w:t>k</w:t>
                  </w:r>
                  <w:r>
                    <w:rPr>
                      <w:b/>
                      <w:i/>
                      <w:vertAlign w:val="subscript"/>
                    </w:rPr>
                    <w:t xml:space="preserve">d1 </w:t>
                  </w:r>
                  <w:r>
                    <w:rPr>
                      <w:b/>
                    </w:rPr>
                    <w:t>vertės</w:t>
                  </w:r>
                </w:p>
                <w:p>
                  <w:pPr>
                    <w:jc w:val="right"/>
                  </w:pPr>
                  <w:r>
                    <w:t>2.14 lentelė</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653"/>
                    <w:gridCol w:w="1767"/>
                  </w:tblGrid>
                  <w:tr>
                    <w:tc>
                      <w:tcPr>
                        <w:tcW w:w="7651" w:type="dxa"/>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szCs w:val="22"/>
                          </w:rPr>
                        </w:pPr>
                        <w:r>
                          <w:t>Pastato paskirtis</w:t>
                        </w:r>
                      </w:p>
                    </w:tc>
                    <w:tc>
                      <w:tcPr>
                        <w:tcW w:w="1767" w:type="dxa"/>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d1</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Gyvenamosios paskirties vieno ir dviejų butų pastatai (namai)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Kiti gyvenamieji pastatai (namai)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Administracinės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Mokslo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Gydymo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Maitinimo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Prekybos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2</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Sporto paskirties pastatai, išskyrus baseinus</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9</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Baseinai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Kultūros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3</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Garažų, gamybos ir pramonės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Sandėliavimo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Viešbučių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Paslaugų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18</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Transporto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50</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Poilsio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w:t>
                        </w:r>
                      </w:p>
                    </w:tc>
                  </w:tr>
                  <w:tr>
                    <w:tc>
                      <w:tcPr>
                        <w:tcW w:w="765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Specialiosios paskirties pastatai</w:t>
                        </w:r>
                      </w:p>
                    </w:tc>
                    <w:tc>
                      <w:tcPr>
                        <w:tcW w:w="176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w:t>
                        </w:r>
                      </w:p>
                    </w:tc>
                  </w:tr>
                </w:tbl>
                <w:p>
                  <w:pPr>
                    <w:ind w:firstLine="570"/>
                    <w:rPr>
                      <w:rFonts w:eastAsia="Calibri"/>
                      <w:szCs w:val="22"/>
                    </w:rPr>
                  </w:pPr>
                </w:p>
                <w:p>
                  <w:pPr>
                    <w:jc w:val="center"/>
                    <w:rPr>
                      <w:b/>
                    </w:rPr>
                  </w:pPr>
                  <w:r>
                    <w:rPr>
                      <w:b/>
                    </w:rPr>
                    <w:t xml:space="preserve">Pataisos koeficiento durims </w:t>
                  </w:r>
                  <w:r>
                    <w:rPr>
                      <w:b/>
                      <w:i/>
                    </w:rPr>
                    <w:t>k</w:t>
                  </w:r>
                  <w:r>
                    <w:rPr>
                      <w:b/>
                      <w:i/>
                      <w:vertAlign w:val="subscript"/>
                    </w:rPr>
                    <w:t xml:space="preserve">d2 </w:t>
                  </w:r>
                  <w:r>
                    <w:rPr>
                      <w:b/>
                    </w:rPr>
                    <w:t>vertės</w:t>
                  </w:r>
                </w:p>
                <w:p>
                  <w:pPr>
                    <w:jc w:val="right"/>
                  </w:pPr>
                  <w:r>
                    <w:t>2.15 lentelė</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992"/>
                    <w:gridCol w:w="1428"/>
                  </w:tblGrid>
                  <w:tr>
                    <w:tc>
                      <w:tcPr>
                        <w:tcW w:w="7990" w:type="dxa"/>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ind w:firstLine="720"/>
                          <w:jc w:val="center"/>
                          <w:rPr>
                            <w:rFonts w:eastAsia="Calibri"/>
                            <w:szCs w:val="22"/>
                          </w:rPr>
                        </w:pPr>
                        <w:r>
                          <w:t>Išorinių įėjimo durų tipo apibūdinimas</w:t>
                        </w:r>
                      </w:p>
                    </w:tc>
                    <w:tc>
                      <w:tcPr>
                        <w:tcW w:w="1428" w:type="dxa"/>
                        <w:tcBorders>
                          <w:top w:val="single" w:sz="4" w:space="0" w:color="auto"/>
                          <w:left w:val="single" w:sz="4" w:space="0" w:color="auto"/>
                          <w:bottom w:val="single" w:sz="4" w:space="0" w:color="auto"/>
                          <w:right w:val="single" w:sz="4" w:space="0" w:color="auto"/>
                        </w:tcBorders>
                        <w:shd w:val="clear" w:color="auto" w:fill="FFFFFF"/>
                      </w:tcPr>
                      <w:p>
                        <w:pPr>
                          <w:rPr>
                            <w:sz w:val="10"/>
                            <w:szCs w:val="10"/>
                          </w:rPr>
                        </w:pPr>
                      </w:p>
                      <w:p>
                        <w:pPr>
                          <w:spacing w:line="276" w:lineRule="auto"/>
                          <w:jc w:val="center"/>
                          <w:rPr>
                            <w:rFonts w:eastAsia="Calibri"/>
                            <w:i/>
                            <w:szCs w:val="22"/>
                          </w:rPr>
                        </w:pPr>
                        <w:r>
                          <w:rPr>
                            <w:i/>
                          </w:rPr>
                          <w:t>k</w:t>
                        </w:r>
                        <w:r>
                          <w:rPr>
                            <w:i/>
                            <w:vertAlign w:val="subscript"/>
                          </w:rPr>
                          <w:t>d2</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Vienerios durys be tambūro tarp patalpų ir išorės + durų mechaninių uždarymo įtaisų nėra</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Vienerios durys be tambūro tarp patalpų ir išorės + durų mechaninių uždarymo įtaisas</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 xml:space="preserve">Vienerios durys be tambūro tarp patalpų ir nešildomų koridorių </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Dvejos durys tarp patalpų ir išorės + tambūro nėra</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Dvejos durys tarp patalpų ir nešildomų koridorių + tambūro nėra</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Dvejos durys tarp patalpų ir išorės + tambūras tarp jų + durų mechaninių uždarymo įtaisų nėra</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Dvejos durys tarp patalpų ir išorės + tambūras tarp jų + vienų durų mechaninis uždarymo įtaisas</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0,65</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Dvejos durys tarp patalpų ir išorės + tambūras tarp jų + abiejų durų mechaniniai uždarymo įtaisai</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0,5</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Dvejos durys tarp patalpų ir nešildomų koridorių + tambūras tarp jų</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0,5</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Automatinės vienerios durys be tambūro </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Automatinės+mechaniškai varstomos be durų mechaninių uždarymo įtaisų durys + tambūras tarp jų </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0,5</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Automatinės+mechaniškai varstomos su durų mechaniniais uždarymo įtaisais durys + tambūras tarp jų</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0,4</w:t>
                        </w:r>
                      </w:p>
                    </w:tc>
                  </w:tr>
                  <w:tr>
                    <w:tc>
                      <w:tcPr>
                        <w:tcW w:w="799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Trejos durys su tambūrais tarp jų</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0,4</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Dvejos automatinės durys su tambūru tarp jų</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0,3</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Sukamosios durys</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0,75</w:t>
                        </w:r>
                      </w:p>
                    </w:tc>
                  </w:tr>
                  <w:tr>
                    <w:tc>
                      <w:tcPr>
                        <w:tcW w:w="799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Durys su oro užuolaida</w:t>
                        </w:r>
                      </w:p>
                    </w:tc>
                    <w:tc>
                      <w:tcPr>
                        <w:tcW w:w="14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0,1</w:t>
                        </w:r>
                      </w:p>
                    </w:tc>
                  </w:tr>
                </w:tbl>
                <w:p>
                  <w:pPr>
                    <w:ind w:firstLine="720"/>
                    <w:rPr>
                      <w:rFonts w:eastAsia="Calibri"/>
                      <w:b/>
                      <w:szCs w:val="22"/>
                    </w:rPr>
                  </w:pPr>
                </w:p>
              </w:sdtContent>
            </w:sdt>
            <w:sdt>
              <w:sdtPr>
                <w:alias w:val="2 pr. 28 p."/>
                <w:tag w:val="part_53fa58d9968649a7a92b834d31240ded"/>
                <w:lock w:val="sdtLocked"/>
                <w:richText/>
              </w:sdtPr>
              <w:sdtContent>
                <w:p>
                  <w:pPr>
                    <w:ind w:firstLine="567"/>
                    <w:jc w:val="both"/>
                    <w:rPr>
                      <w:color w:val="000000"/>
                    </w:rPr>
                  </w:pPr>
                  <w:sdt>
                    <w:sdtPr>
                      <w:alias w:val="Numeris"/>
                      <w:tag w:val="nr_53fa58d9968649a7a92b834d31240ded"/>
                      <w:lock w:val="sdtLocked"/>
                      <w:richText/>
                    </w:sdtPr>
                    <w:sdtContent>
                      <w:r>
                        <w:rPr>
                          <w:color w:val="000000"/>
                        </w:rPr>
                        <w:t>28</w:t>
                      </w:r>
                    </w:sdtContent>
                  </w:sdt>
                  <w:r>
                    <w:rPr>
                      <w:color w:val="000000"/>
                    </w:rPr>
                    <w:t>. Šilumos nuostolių dėl pastato vėdinimo, susijusių su energijos poreikiais pastatui šildyti, skaičiavimuose turi būti įvertintos šios pastato vėdinimo sistemos:</w:t>
                  </w:r>
                </w:p>
                <w:p>
                  <w:pPr>
                    <w:ind w:firstLine="567"/>
                    <w:jc w:val="both"/>
                    <w:rPr>
                      <w:color w:val="000000"/>
                    </w:rPr>
                  </w:pPr>
                  <w:r>
                    <w:rPr>
                      <w:color w:val="000000"/>
                    </w:rPr>
                    <w:t>- natūralaus vėdinimo sistema;</w:t>
                  </w:r>
                </w:p>
                <w:p>
                  <w:pPr>
                    <w:ind w:firstLine="567"/>
                    <w:jc w:val="both"/>
                    <w:rPr>
                      <w:color w:val="000000"/>
                    </w:rPr>
                  </w:pPr>
                  <w:r>
                    <w:rPr>
                      <w:color w:val="000000"/>
                    </w:rPr>
                    <w:t>- mechaninio vėdinimo sistema be rekuperacijos ir į patalpas tiekiamo oro pašildymo;</w:t>
                  </w:r>
                </w:p>
                <w:p>
                  <w:pPr>
                    <w:ind w:firstLine="567"/>
                    <w:jc w:val="both"/>
                    <w:rPr>
                      <w:color w:val="000000"/>
                    </w:rPr>
                  </w:pPr>
                  <w:r>
                    <w:rPr>
                      <w:color w:val="000000"/>
                    </w:rPr>
                    <w:t>- mechaninio vėdinimo sistema be rekuperacijos su į patalpas tiekiamo oro pašildymu;</w:t>
                  </w:r>
                </w:p>
                <w:p>
                  <w:pPr>
                    <w:ind w:firstLine="567"/>
                    <w:jc w:val="both"/>
                    <w:rPr>
                      <w:color w:val="000000"/>
                    </w:rPr>
                  </w:pPr>
                  <w:r>
                    <w:rPr>
                      <w:color w:val="000000"/>
                    </w:rPr>
                    <w:t>- mechaninio vėdinimo su rekuperacija sistema be į patalpas tiekiamo oro pašildymo;</w:t>
                  </w:r>
                </w:p>
                <w:p>
                  <w:pPr>
                    <w:ind w:firstLine="567"/>
                    <w:jc w:val="both"/>
                    <w:rPr>
                      <w:color w:val="000000"/>
                    </w:rPr>
                  </w:pPr>
                  <w:r>
                    <w:rPr>
                      <w:color w:val="000000"/>
                    </w:rPr>
                    <w:t>- mechaninio vėdinimo su rekuperacija sistema su į patalpas tiekiamo oro pašildymu.</w:t>
                  </w:r>
                </w:p>
                <w:p>
                  <w:pPr>
                    <w:jc w:val="both"/>
                    <w:rPr>
                      <w:color w:val="000000"/>
                    </w:rPr>
                  </w:pPr>
                </w:p>
                <w:sdt>
                  <w:sdtPr>
                    <w:alias w:val="2 pr. 28.1 pp."/>
                    <w:tag w:val="part_5bcb7aa5dfda4e1aa87af9f917705150"/>
                    <w:lock w:val="sdtLocked"/>
                    <w:richText/>
                  </w:sdtPr>
                  <w:sdtContent>
                    <w:p>
                      <w:pPr>
                        <w:ind w:firstLine="570"/>
                        <w:jc w:val="both"/>
                        <w:rPr>
                          <w:color w:val="000000"/>
                        </w:rPr>
                      </w:pPr>
                      <w:sdt>
                        <w:sdtPr>
                          <w:alias w:val="Numeris"/>
                          <w:tag w:val="nr_5bcb7aa5dfda4e1aa87af9f917705150"/>
                          <w:lock w:val="sdtLocked"/>
                          <w:richText/>
                        </w:sdtPr>
                        <w:sdtContent>
                          <w:r>
                            <w:rPr>
                              <w:color w:val="000000"/>
                            </w:rPr>
                            <w:t>28.1</w:t>
                          </w:r>
                        </w:sdtContent>
                      </w:sdt>
                      <w:r>
                        <w:rPr>
                          <w:color w:val="000000"/>
                        </w:rPr>
                        <w:t xml:space="preserve">. Kiekvieno mėnesio </w:t>
                      </w:r>
                      <w:r>
                        <w:rPr>
                          <w:i/>
                          <w:color w:val="000000"/>
                        </w:rPr>
                        <w:t xml:space="preserve">„m“ </w:t>
                      </w:r>
                      <w:r>
                        <w:rPr>
                          <w:color w:val="000000"/>
                        </w:rPr>
                        <w:t xml:space="preserve">norminiai </w:t>
                      </w:r>
                      <w:r>
                        <w:rPr>
                          <w:i/>
                          <w:color w:val="000000"/>
                        </w:rPr>
                        <w:t>Q</w:t>
                      </w:r>
                      <w:r>
                        <w:rPr>
                          <w:i/>
                          <w:color w:val="000000"/>
                          <w:vertAlign w:val="subscript"/>
                        </w:rPr>
                        <w:t>N.H.vent,m</w:t>
                      </w:r>
                      <w:r>
                        <w:rPr>
                          <w:color w:val="000000"/>
                        </w:rPr>
                        <w:t xml:space="preserve"> (kWh/(m</w:t>
                      </w:r>
                      <w:r>
                        <w:rPr>
                          <w:color w:val="000000"/>
                          <w:vertAlign w:val="superscript"/>
                        </w:rPr>
                        <w:t>2</w:t>
                      </w:r>
                      <w:r>
                        <w:rPr>
                          <w:color w:val="000000"/>
                        </w:rPr>
                        <w:t xml:space="preserve">·mėn.)) ir atskaitiniai </w:t>
                      </w:r>
                      <w:r>
                        <w:rPr>
                          <w:i/>
                          <w:color w:val="000000"/>
                        </w:rPr>
                        <w:t>Q</w:t>
                      </w:r>
                      <w:r>
                        <w:rPr>
                          <w:i/>
                          <w:color w:val="000000"/>
                          <w:vertAlign w:val="subscript"/>
                        </w:rPr>
                        <w:t>R.H.vent,m</w:t>
                      </w:r>
                      <w:r>
                        <w:rPr>
                          <w:color w:val="000000"/>
                        </w:rPr>
                        <w:t xml:space="preserve"> (kWh/(m</w:t>
                      </w:r>
                      <w:r>
                        <w:rPr>
                          <w:color w:val="000000"/>
                          <w:vertAlign w:val="superscript"/>
                        </w:rPr>
                        <w:t>2</w:t>
                      </w:r>
                      <w:r>
                        <w:rPr>
                          <w:color w:val="000000"/>
                        </w:rPr>
                        <w:t xml:space="preserve">·mėn.)) šilumos nuostoliai dėl pastato vėdinimo, pagal kuriuos skaičiuojamas energijos poreikis pastatui šildyti,  apskaičiuojami pagal formules:</w:t>
                      </w:r>
                    </w:p>
                    <w:tbl>
                      <w:tblPr>
                        <w:tblW w:w="0" w:type="auto"/>
                        <w:tblLook w:val="01E0" w:firstRow="1" w:lastRow="1" w:firstColumn="1" w:lastColumn="1" w:noHBand="0" w:noVBand="0"/>
                      </w:tblPr>
                      <w:tblGrid>
                        <w:gridCol w:w="8568"/>
                        <w:gridCol w:w="1002"/>
                      </w:tblGrid>
                      <w:tr>
                        <w:tc>
                          <w:tcPr>
                            <w:tcW w:w="8568" w:type="dxa"/>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14"/>
                                <w:szCs w:val="22"/>
                              </w:rPr>
                              <w:object w:dxaOrig="6860" w:dyaOrig="400">
                                <v:shape id="_x0000_i1131" type="#_x0000_t75" style="width:342.2pt;height:20.2pt" o:ole="">
                                  <v:imagedata r:id="rId493" o:title=""/>
                                </v:shape>
                                <o:OLEObject Type="Embed" ProgID="Equation.3" ShapeID="_x0000_i1131" DrawAspect="Content" ObjectID="_0000000001" r:id="rId494"/>
                              </w:object>
                            </w:r>
                            <w:r>
                              <w:rPr>
                                <w:color w:val="000000"/>
                              </w:rPr>
                              <w:t>;</w:t>
                            </w:r>
                          </w:p>
                        </w:tc>
                        <w:tc>
                          <w:tcPr>
                            <w:tcW w:w="1002" w:type="dxa"/>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(2.99)</w:t>
                            </w:r>
                          </w:p>
                        </w:tc>
                      </w:tr>
                    </w:tbl>
                    <w:p>
                      <w:pPr>
                        <w:tabs>
                          <w:tab w:val="left" w:pos="567"/>
                        </w:tabs>
                        <w:rPr>
                          <w:rFonts w:eastAsia="Calibri"/>
                          <w:color w:val="000000"/>
                          <w:szCs w:val="22"/>
                        </w:rPr>
                      </w:pPr>
                      <w:r>
                        <w:rPr>
                          <w:color w:val="000000"/>
                        </w:rPr>
                        <w:t>čia:</w:t>
                        <w:tab/>
                      </w:r>
                      <w:r>
                        <w:rPr>
                          <w:i/>
                          <w:color w:val="000000"/>
                        </w:rPr>
                        <w:t>v</w:t>
                      </w:r>
                      <w:r>
                        <w:rPr>
                          <w:color w:val="000000"/>
                          <w:vertAlign w:val="subscript"/>
                        </w:rPr>
                        <w:t>o</w:t>
                      </w:r>
                      <w:r>
                        <w:rPr>
                          <w:color w:val="000000"/>
                        </w:rPr>
                        <w:t xml:space="preserve"> – išorės oro kiekis </w:t>
                      </w:r>
                      <w:smartTag w:uri="urn:schemas-microsoft-com:office:smarttags" w:element="metricconverter">
                        <w:smartTagPr>
                          <w:attr w:name="ProductID" w:val="1 m2"/>
                        </w:smartTagPr>
                        <w:r>
                          <w:rPr>
                            <w:color w:val="000000"/>
                          </w:rPr>
                          <w:t>1 m</w:t>
                        </w:r>
                        <w:r>
                          <w:rPr>
                            <w:color w:val="000000"/>
                            <w:vertAlign w:val="superscript"/>
                          </w:rPr>
                          <w:t>2</w:t>
                        </w:r>
                      </w:smartTag>
                      <w:r>
                        <w:rPr>
                          <w:color w:val="000000"/>
                        </w:rPr>
                        <w:t xml:space="preserve"> pastato vėdinimui (m</w:t>
                      </w:r>
                      <w:r>
                        <w:rPr>
                          <w:color w:val="000000"/>
                          <w:vertAlign w:val="superscript"/>
                        </w:rPr>
                        <w:t>3</w:t>
                      </w:r>
                      <w:r>
                        <w:rPr>
                          <w:color w:val="000000"/>
                        </w:rPr>
                        <w:t>/(m</w:t>
                      </w:r>
                      <w:r>
                        <w:rPr>
                          <w:color w:val="000000"/>
                          <w:vertAlign w:val="superscript"/>
                        </w:rPr>
                        <w:t>2</w:t>
                      </w:r>
                      <w:r>
                        <w:rPr>
                          <w:color w:val="000000"/>
                        </w:rPr>
                        <w:t>·h)). Imamas iš 2.4 lentelės.</w:t>
                      </w:r>
                    </w:p>
                    <w:p>
                      <w:pPr>
                        <w:ind w:firstLine="567"/>
                        <w:jc w:val="both"/>
                        <w:rPr>
                          <w:color w:val="000000"/>
                        </w:rPr>
                      </w:pPr>
                      <w:r>
                        <w:rPr>
                          <w:i/>
                          <w:color w:val="000000"/>
                        </w:rPr>
                        <w:t>ν</w:t>
                      </w:r>
                      <w:r>
                        <w:rPr>
                          <w:i/>
                          <w:color w:val="000000"/>
                          <w:vertAlign w:val="subscript"/>
                        </w:rPr>
                        <w:t>N.do,m</w:t>
                      </w:r>
                      <w:r>
                        <w:rPr>
                          <w:color w:val="000000"/>
                        </w:rPr>
                        <w:t xml:space="preserve"> – norminis (taip pat ir atskaitinis)  per atitinkamą „m“ mėnesį į patalpas per valandą infiltruojamas išorės oro kiekis dėl išorinių įėjimo durų varstymo (m</w:t>
                      </w:r>
                      <w:r>
                        <w:rPr>
                          <w:color w:val="000000"/>
                          <w:vertAlign w:val="superscript"/>
                        </w:rPr>
                        <w:t>3</w:t>
                      </w:r>
                      <w:r>
                        <w:rPr>
                          <w:color w:val="000000"/>
                        </w:rPr>
                        <w:t>/m²·h). Apskaičiuojamas pagal (2.98) formulę, laikant, kad pastato išorinių įėjimo durų tipas „dvejos durys tarp patalpų ir išorės + tambūras tarp jų + durų mechaninių uždarymo įtaisų nėra“ (žr. 2.15 lentelę).</w:t>
                      </w:r>
                    </w:p>
                    <w:p>
                      <w:pPr>
                        <w:ind w:left="720"/>
                        <w:rPr>
                          <w:color w:val="000000"/>
                        </w:rPr>
                      </w:pPr>
                    </w:p>
                  </w:sdtContent>
                </w:sdt>
                <w:sdt>
                  <w:sdtPr>
                    <w:alias w:val="2 pr. 28.2 pp."/>
                    <w:tag w:val="part_3dd4d89fb1164e56af0d0597bd409ada"/>
                    <w:lock w:val="sdtLocked"/>
                    <w:richText/>
                  </w:sdtPr>
                  <w:sdtContent>
                    <w:p>
                      <w:pPr>
                        <w:suppressAutoHyphens/>
                        <w:ind w:firstLine="570"/>
                        <w:jc w:val="both"/>
                        <w:rPr>
                          <w:color w:val="000000"/>
                          <w:lang w:eastAsia="lt-LT"/>
                        </w:rPr>
                      </w:pPr>
                      <w:sdt>
                        <w:sdtPr>
                          <w:alias w:val="Numeris"/>
                          <w:tag w:val="nr_3dd4d89fb1164e56af0d0597bd409ada"/>
                          <w:lock w:val="sdtLocked"/>
                          <w:richText/>
                        </w:sdtPr>
                        <w:sdtContent>
                          <w:r>
                            <w:rPr>
                              <w:color w:val="000000"/>
                              <w:szCs w:val="24"/>
                              <w:lang w:eastAsia="lt-LT"/>
                            </w:rPr>
                            <w:t>28.2</w:t>
                          </w:r>
                        </w:sdtContent>
                      </w:sdt>
                      <w:r>
                        <w:rPr>
                          <w:color w:val="000000"/>
                          <w:szCs w:val="24"/>
                          <w:lang w:eastAsia="lt-LT"/>
                        </w:rPr>
                        <w:t>.</w:t>
                      </w:r>
                      <w:r>
                        <w:rPr>
                          <w:color w:val="000000"/>
                          <w:lang w:eastAsia="lt-LT"/>
                        </w:rPr>
                        <w:t xml:space="preserve"> jei dėl oro infiltracijos ir išorinių įėjimo durų varstymo į pastato vidų patenkantis išorės oro kiekis mažesnis už norminį oro kiekį pastato vėdinimui, t. y. jei </w:t>
                      </w:r>
                      <w:r>
                        <w:rPr>
                          <w:i/>
                          <w:color w:val="000000"/>
                          <w:lang w:eastAsia="lt-LT"/>
                        </w:rPr>
                        <w:t>ν</w:t>
                      </w:r>
                      <w:r>
                        <w:rPr>
                          <w:i/>
                          <w:color w:val="000000"/>
                          <w:vertAlign w:val="subscript"/>
                          <w:lang w:eastAsia="lt-LT"/>
                        </w:rPr>
                        <w:t>inf,m</w:t>
                      </w:r>
                      <w:r>
                        <w:rPr>
                          <w:color w:val="000000"/>
                          <w:lang w:eastAsia="lt-LT"/>
                        </w:rPr>
                        <w:t>+</w:t>
                      </w:r>
                      <w:r>
                        <w:rPr>
                          <w:i/>
                          <w:color w:val="000000"/>
                          <w:lang w:eastAsia="lt-LT"/>
                        </w:rPr>
                        <w:t>ν</w:t>
                      </w:r>
                      <w:r>
                        <w:rPr>
                          <w:i/>
                          <w:color w:val="000000"/>
                          <w:vertAlign w:val="subscript"/>
                          <w:lang w:eastAsia="lt-LT"/>
                        </w:rPr>
                        <w:t>do,m</w:t>
                      </w:r>
                      <w:r>
                        <w:rPr>
                          <w:color w:val="000000"/>
                          <w:lang w:eastAsia="lt-LT"/>
                        </w:rPr>
                        <w:t xml:space="preserve"> &lt;</w:t>
                      </w:r>
                      <w:r>
                        <w:rPr>
                          <w:i/>
                          <w:color w:val="000000"/>
                          <w:lang w:eastAsia="lt-LT"/>
                        </w:rPr>
                        <w:t>v</w:t>
                      </w:r>
                      <w:r>
                        <w:rPr>
                          <w:color w:val="000000"/>
                          <w:vertAlign w:val="subscript"/>
                          <w:lang w:eastAsia="lt-LT"/>
                        </w:rPr>
                        <w:t>o</w:t>
                      </w:r>
                      <w:r>
                        <w:rPr>
                          <w:color w:val="000000"/>
                          <w:lang w:eastAsia="lt-LT"/>
                        </w:rPr>
                        <w:t xml:space="preserve">, kiekvieno mėnesio </w:t>
                      </w:r>
                      <w:r>
                        <w:rPr>
                          <w:i/>
                          <w:color w:val="000000"/>
                          <w:lang w:eastAsia="lt-LT"/>
                        </w:rPr>
                        <w:t xml:space="preserve">„m“ </w:t>
                      </w:r>
                      <w:r>
                        <w:rPr>
                          <w:color w:val="000000"/>
                          <w:lang w:eastAsia="lt-LT"/>
                        </w:rPr>
                        <w:t xml:space="preserve">skaičiuojamieji </w:t>
                      </w:r>
                      <w:r>
                        <w:rPr>
                          <w:i/>
                          <w:color w:val="000000"/>
                          <w:lang w:eastAsia="lt-LT"/>
                        </w:rPr>
                        <w:t>Q</w:t>
                      </w:r>
                      <w:r>
                        <w:rPr>
                          <w:i/>
                          <w:color w:val="000000"/>
                          <w:vertAlign w:val="subscript"/>
                          <w:lang w:eastAsia="lt-LT"/>
                        </w:rPr>
                        <w:t>H.vent,m</w:t>
                      </w:r>
                      <w:r>
                        <w:rPr>
                          <w:color w:val="000000"/>
                          <w:lang w:eastAsia="lt-LT"/>
                        </w:rPr>
                        <w:t xml:space="preserve"> (kWh/(m</w:t>
                      </w:r>
                      <w:r>
                        <w:rPr>
                          <w:color w:val="000000"/>
                          <w:vertAlign w:val="superscript"/>
                          <w:lang w:eastAsia="lt-LT"/>
                        </w:rPr>
                        <w:t>2</w:t>
                      </w:r>
                      <w:r>
                        <w:rPr>
                          <w:color w:val="000000"/>
                          <w:lang w:eastAsia="lt-LT"/>
                        </w:rPr>
                        <w:t>·mėn.)) šilumos nuostoliai dėl pastato vėdinimo, pagal kuriuos skaičiuojamas energijos poreikis pastatui šildyti, apskaičiuojami pagal formules [3.20]:</w:t>
                      </w:r>
                    </w:p>
                    <w:tbl>
                      <w:tblPr>
                        <w:tblW w:w="0" w:type="auto"/>
                        <w:tblLook w:val="01E0" w:firstRow="1" w:lastRow="1" w:firstColumn="1" w:lastColumn="1" w:noHBand="0" w:noVBand="0"/>
                      </w:tblPr>
                      <w:tblGrid>
                        <w:gridCol w:w="8568"/>
                        <w:gridCol w:w="1002"/>
                      </w:tblGrid>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position w:val="-14"/>
                                <w:szCs w:val="22"/>
                              </w:rPr>
                              <w:object w:dxaOrig="7200" w:dyaOrig="430">
                                <v:shape id="_x0000_i1132" type="#_x0000_t75" style="width:5in;height:21.85pt" o:ole="">
                                  <v:imagedata r:id="rId495" o:title=""/>
                                </v:shape>
                                <o:OLEObject Type="Embed" ProgID="Equation.3" ShapeID="_x0000_i1132" DrawAspect="Content" ObjectID="_0000000001" r:id="rId496"/>
                              </w:object>
                            </w:r>
                            <w:r>
                              <w:rPr>
                                <w:color w:val="000000"/>
                                <w:lang w:eastAsia="lt-LT"/>
                              </w:rPr>
                              <w:t>;</w: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(2.100)</w:t>
                            </w:r>
                          </w:p>
                        </w:tc>
                      </w:tr>
                    </w:tbl>
                    <w:p>
                      <w:pPr>
                        <w:tabs>
                          <w:tab w:val="left" w:pos="567"/>
                        </w:tabs>
                        <w:suppressAutoHyphens/>
                        <w:jc w:val="both"/>
                        <w:rPr>
                          <w:rFonts w:eastAsia="Calibri"/>
                          <w:color w:val="000000"/>
                          <w:szCs w:val="22"/>
                        </w:rPr>
                      </w:pPr>
                      <w:r>
                        <w:rPr>
                          <w:color w:val="000000"/>
                          <w:lang w:eastAsia="lt-LT"/>
                        </w:rPr>
                        <w:t>čia:</w:t>
                        <w:tab/>
                      </w:r>
                      <w:r>
                        <w:rPr>
                          <w:i/>
                          <w:color w:val="000000"/>
                          <w:lang w:eastAsia="lt-LT"/>
                        </w:rPr>
                        <w:t>Q</w:t>
                      </w:r>
                      <w:r>
                        <w:rPr>
                          <w:i/>
                          <w:color w:val="000000"/>
                          <w:vertAlign w:val="subscript"/>
                          <w:lang w:eastAsia="lt-LT"/>
                        </w:rPr>
                        <w:t>H.vent.nv,m</w:t>
                      </w:r>
                      <w:r>
                        <w:rPr>
                          <w:color w:val="000000"/>
                          <w:lang w:eastAsia="lt-LT"/>
                        </w:rPr>
                        <w:t xml:space="preserve"> – skaičiuojamieji mėnesiniai šilumos nuostoliai pastato natūralaus vėdinimo sistemose (kWh/(m²·mėn.)). Apskaičiuojami pagal (2.101) formulę; </w:t>
                      </w:r>
                    </w:p>
                    <w:p>
                      <w:pPr>
                        <w:suppressAutoHyphens/>
                        <w:ind w:firstLine="567"/>
                        <w:jc w:val="both"/>
                        <w:rPr>
                          <w:color w:val="000000"/>
                          <w:lang w:eastAsia="lt-LT"/>
                        </w:rPr>
                      </w:pPr>
                      <w:r>
                        <w:rPr>
                          <w:i/>
                          <w:color w:val="000000"/>
                          <w:lang w:eastAsia="lt-LT"/>
                        </w:rPr>
                        <w:t>Q</w:t>
                      </w:r>
                      <w:r>
                        <w:rPr>
                          <w:i/>
                          <w:color w:val="000000"/>
                          <w:vertAlign w:val="subscript"/>
                          <w:lang w:eastAsia="lt-LT"/>
                        </w:rPr>
                        <w:t>H.vent.mv,m</w:t>
                      </w:r>
                      <w:r>
                        <w:rPr>
                          <w:color w:val="000000"/>
                          <w:lang w:eastAsia="lt-LT"/>
                        </w:rPr>
                        <w:t xml:space="preserve"> – skaičiuojamieji mėnesiniai šilumos nuostoliai pastato mechaninio vėdinimo be rekuperacijos sistemose, kuriose nėra oro pašildymo (kWh/(m²·mėn.)). Apskaičiuojami pagal (2.102) formulę; </w:t>
                      </w:r>
                    </w:p>
                    <w:p>
                      <w:pPr>
                        <w:suppressAutoHyphens/>
                        <w:ind w:firstLine="567"/>
                        <w:jc w:val="both"/>
                        <w:rPr>
                          <w:color w:val="000000"/>
                          <w:lang w:eastAsia="lt-LT"/>
                        </w:rPr>
                      </w:pPr>
                      <w:r>
                        <w:rPr>
                          <w:i/>
                          <w:color w:val="000000"/>
                          <w:lang w:eastAsia="lt-LT"/>
                        </w:rPr>
                        <w:t>Q</w:t>
                      </w:r>
                      <w:r>
                        <w:rPr>
                          <w:i/>
                          <w:color w:val="000000"/>
                          <w:vertAlign w:val="subscript"/>
                          <w:lang w:eastAsia="lt-LT"/>
                        </w:rPr>
                        <w:t>H.vent.mvH,m</w:t>
                      </w:r>
                      <w:r>
                        <w:rPr>
                          <w:color w:val="000000"/>
                          <w:lang w:eastAsia="lt-LT"/>
                        </w:rPr>
                        <w:t xml:space="preserve"> – skaičiuojamieji mėnesiniai šilumos nuostoliai pastato mechaninio vėdinimo be rekuperacijos sistemose, kuriose yra oro pašildymas (kWh/(m²·mėn.)). Apskaičiuojami pagal (2.103) formulę; </w:t>
                      </w:r>
                    </w:p>
                    <w:p>
                      <w:pPr>
                        <w:suppressAutoHyphens/>
                        <w:ind w:firstLine="567"/>
                        <w:jc w:val="both"/>
                        <w:rPr>
                          <w:color w:val="000000"/>
                          <w:lang w:eastAsia="lt-LT"/>
                        </w:rPr>
                      </w:pPr>
                      <w:r>
                        <w:rPr>
                          <w:i/>
                          <w:color w:val="000000"/>
                          <w:lang w:eastAsia="lt-LT"/>
                        </w:rPr>
                        <w:t>Q</w:t>
                      </w:r>
                      <w:r>
                        <w:rPr>
                          <w:i/>
                          <w:color w:val="000000"/>
                          <w:vertAlign w:val="subscript"/>
                          <w:lang w:eastAsia="lt-LT"/>
                        </w:rPr>
                        <w:t>H.vent.re,m</w:t>
                      </w:r>
                      <w:r>
                        <w:rPr>
                          <w:color w:val="000000"/>
                          <w:lang w:eastAsia="lt-LT"/>
                        </w:rPr>
                        <w:t xml:space="preserve"> – skaičiuojamieji mėnesiniai šilumos nuostoliai pastato vėdinimo su rekuperacija sistemose, kuriose nėra oro pašildymo (kWh/(m²·mėn.)). Apskaičiuojami pagal (2.104) formulę;</w:t>
                      </w:r>
                    </w:p>
                    <w:p>
                      <w:pPr>
                        <w:suppressAutoHyphens/>
                        <w:ind w:firstLine="567"/>
                        <w:jc w:val="both"/>
                        <w:rPr>
                          <w:color w:val="000000"/>
                          <w:lang w:eastAsia="lt-LT"/>
                        </w:rPr>
                      </w:pPr>
                      <w:r>
                        <w:rPr>
                          <w:i/>
                          <w:color w:val="000000"/>
                          <w:lang w:eastAsia="lt-LT"/>
                        </w:rPr>
                        <w:t>Q</w:t>
                      </w:r>
                      <w:r>
                        <w:rPr>
                          <w:i/>
                          <w:color w:val="000000"/>
                          <w:vertAlign w:val="subscript"/>
                          <w:lang w:eastAsia="lt-LT"/>
                        </w:rPr>
                        <w:t>H.vent.reH,m</w:t>
                      </w:r>
                      <w:r>
                        <w:rPr>
                          <w:color w:val="000000"/>
                          <w:lang w:eastAsia="lt-LT"/>
                        </w:rPr>
                        <w:t xml:space="preserve"> – skaičiuojamieji mėnesiniai šilumos nuostoliai pastato vėdinimo su rekuperacija sistemose, kuriose yra oro pašildymas (kWh/(m²·mėn.)). Apskaičiuojami pagal (2.105) formulę.</w:t>
                      </w:r>
                    </w:p>
                    <w:p>
                      <w:pPr>
                        <w:suppressAutoHyphens/>
                        <w:rPr>
                          <w:color w:val="000000"/>
                          <w:lang w:eastAsia="lt-LT"/>
                        </w:rPr>
                      </w:pPr>
                    </w:p>
                    <w:tbl>
                      <w:tblPr>
                        <w:tblW w:w="0" w:type="auto"/>
                        <w:tblLook w:val="01E0" w:firstRow="1" w:lastRow="1" w:firstColumn="1" w:lastColumn="1" w:noHBand="0" w:noVBand="0"/>
                      </w:tblPr>
                      <w:tblGrid>
                        <w:gridCol w:w="8568"/>
                        <w:gridCol w:w="1002"/>
                      </w:tblGrid>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position w:val="-32"/>
                                <w:szCs w:val="22"/>
                              </w:rPr>
                              <w:object w:dxaOrig="5430" w:dyaOrig="680">
                                <v:shape id="_x0000_i1133" type="#_x0000_t75" style="width:271.8pt;height:34pt" o:ole="">
                                  <v:imagedata r:id="rId497" o:title=""/>
                                </v:shape>
                                <o:OLEObject Type="Embed" ProgID="Equation.3" ShapeID="_x0000_i1133" DrawAspect="Content" ObjectID="_0000000001" r:id="rId498"/>
                              </w:object>
                            </w:r>
                            <w:r>
                              <w:rPr>
                                <w:color w:val="000000"/>
                                <w:lang w:eastAsia="lt-LT"/>
                              </w:rPr>
                              <w:t>;</w: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(2.101)</w:t>
                            </w:r>
                          </w:p>
                        </w:tc>
                      </w:tr>
                    </w:tbl>
                    <w:p>
                      <w:pPr>
                        <w:suppressAutoHyphens/>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position w:val="-32"/>
                                <w:szCs w:val="22"/>
                              </w:rPr>
                              <w:object w:dxaOrig="5460" w:dyaOrig="680">
                                <v:shape id="_x0000_i1134" type="#_x0000_t75" style="width:272.65pt;height:34pt" o:ole="">
                                  <v:imagedata r:id="rId499" o:title=""/>
                                </v:shape>
                                <o:OLEObject Type="Embed" ProgID="Equation.3" ShapeID="_x0000_i1134" DrawAspect="Content" ObjectID="_0000000001" r:id="rId500"/>
                              </w:object>
                            </w:r>
                            <w:r>
                              <w:rPr>
                                <w:color w:val="000000"/>
                                <w:lang w:eastAsia="lt-LT"/>
                              </w:rPr>
                              <w:t>;</w: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(2.102)</w:t>
                            </w:r>
                          </w:p>
                        </w:tc>
                      </w:tr>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position w:val="-32"/>
                                <w:szCs w:val="22"/>
                              </w:rPr>
                              <w:object w:dxaOrig="5630" w:dyaOrig="680">
                                <v:shape id="_x0000_i1135" type="#_x0000_t75" style="width:280.7pt;height:34pt" o:ole="">
                                  <v:imagedata r:id="rId501" o:title=""/>
                                </v:shape>
                                <o:OLEObject Type="Embed" ProgID="Equation.3" ShapeID="_x0000_i1135" DrawAspect="Content" ObjectID="_0000000001" r:id="rId502"/>
                              </w:object>
                            </w:r>
                            <w:r>
                              <w:rPr>
                                <w:color w:val="000000"/>
                                <w:lang w:eastAsia="lt-LT"/>
                              </w:rPr>
                              <w:t>;</w: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(2.103)</w:t>
                            </w:r>
                          </w:p>
                        </w:tc>
                      </w:tr>
                    </w:tbl>
                    <w:p>
                      <w:pPr>
                        <w:suppressAutoHyphens/>
                        <w:ind w:left="720"/>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position w:val="-66"/>
                                <w:szCs w:val="22"/>
                              </w:rPr>
                              <w:object w:dxaOrig="6600" w:dyaOrig="1440">
                                <v:shape id="_x0000_i1136" type="#_x0000_t75" style="width:330.05pt;height:1in" o:ole="">
                                  <v:imagedata r:id="rId503" o:title=""/>
                                </v:shape>
                                <o:OLEObject Type="Embed" ProgID="Equation.3" ShapeID="_x0000_i1136" DrawAspect="Content" ObjectID="_0000000001" r:id="rId504"/>
                              </w:objec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(2.104)</w:t>
                            </w:r>
                          </w:p>
                        </w:tc>
                      </w:tr>
                    </w:tbl>
                    <w:p>
                      <w:pPr>
                        <w:suppressAutoHyphens/>
                        <w:ind w:left="720"/>
                        <w:rPr>
                          <w:rFonts w:eastAsia="Calibri"/>
                          <w:color w:val="000000"/>
                          <w:szCs w:val="22"/>
                        </w:rPr>
                      </w:pPr>
                    </w:p>
                    <w:tbl>
                      <w:tblPr>
                        <w:tblW w:w="0" w:type="auto"/>
                        <w:tblLook w:val="01E0" w:firstRow="1" w:lastRow="1" w:firstColumn="1" w:lastColumn="1" w:noHBand="0" w:noVBand="0"/>
                      </w:tblPr>
                      <w:tblGrid>
                        <w:gridCol w:w="8702"/>
                        <w:gridCol w:w="916"/>
                      </w:tblGrid>
                      <w:tr>
                        <w:tc>
                          <w:tcPr>
                            <w:tcW w:w="8702"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rPr>
                            </w:pPr>
                            <w:r>
                              <w:rPr>
                                <w:rFonts w:eastAsia="Calibri"/>
                                <w:color w:val="000000"/>
                                <w:szCs w:val="22"/>
                              </w:rPr>
                              <w:object w:dxaOrig="6870" w:dyaOrig="1440">
                                <v:shape id="_x0000_i1137" type="#_x0000_t75" style="width:343.8pt;height:1in" o:ole="">
                                  <v:imagedata r:id="rId505" o:title=""/>
                                </v:shape>
                                <o:OLEObject Type="Embed" ProgID="Equation.3" ShapeID="_x0000_i1137" DrawAspect="Content" ObjectID="_0000000001" r:id="rId506"/>
                              </w:object>
                            </w:r>
                          </w:p>
                        </w:tc>
                        <w:tc>
                          <w:tcPr>
                            <w:tcW w:w="868"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rPr>
                            </w:pPr>
                            <w:r>
                              <w:rPr>
                                <w:bCs/>
                                <w:color w:val="000000"/>
                                <w:lang w:eastAsia="lt-LT"/>
                              </w:rPr>
                              <w:t>(2.105)</w:t>
                            </w:r>
                          </w:p>
                        </w:tc>
                      </w:tr>
                    </w:tbl>
                    <w:p>
                      <w:pPr>
                        <w:tabs>
                          <w:tab w:val="left" w:pos="567"/>
                        </w:tabs>
                        <w:suppressAutoHyphens/>
                        <w:jc w:val="both"/>
                        <w:rPr>
                          <w:rFonts w:eastAsia="Calibri"/>
                          <w:color w:val="000000"/>
                          <w:szCs w:val="22"/>
                        </w:rPr>
                      </w:pPr>
                      <w:r>
                        <w:rPr>
                          <w:color w:val="000000"/>
                          <w:lang w:eastAsia="lt-LT"/>
                        </w:rPr>
                        <w:t>čia:</w:t>
                        <w:tab/>
                      </w:r>
                      <w:r>
                        <w:rPr>
                          <w:i/>
                          <w:color w:val="000000"/>
                          <w:lang w:eastAsia="lt-LT"/>
                        </w:rPr>
                        <w:t>v</w:t>
                      </w:r>
                      <w:r>
                        <w:rPr>
                          <w:color w:val="000000"/>
                          <w:vertAlign w:val="subscript"/>
                          <w:lang w:eastAsia="lt-LT"/>
                        </w:rPr>
                        <w:t>o</w:t>
                      </w:r>
                      <w:r>
                        <w:rPr>
                          <w:color w:val="000000"/>
                          <w:lang w:eastAsia="lt-LT"/>
                        </w:rPr>
                        <w:t xml:space="preserve"> – išorės oro kiekis 1 m</w:t>
                      </w:r>
                      <w:r>
                        <w:rPr>
                          <w:color w:val="000000"/>
                          <w:vertAlign w:val="superscript"/>
                          <w:lang w:eastAsia="lt-LT"/>
                        </w:rPr>
                        <w:t>2</w:t>
                      </w:r>
                      <w:r>
                        <w:rPr>
                          <w:color w:val="000000"/>
                          <w:lang w:eastAsia="lt-LT"/>
                        </w:rPr>
                        <w:t xml:space="preserve"> pastato vėdinimui (m</w:t>
                      </w:r>
                      <w:r>
                        <w:rPr>
                          <w:color w:val="000000"/>
                          <w:vertAlign w:val="superscript"/>
                          <w:lang w:eastAsia="lt-LT"/>
                        </w:rPr>
                        <w:t>3</w:t>
                      </w:r>
                      <w:r>
                        <w:rPr>
                          <w:color w:val="000000"/>
                          <w:lang w:eastAsia="lt-LT"/>
                        </w:rPr>
                        <w:t>/(m</w:t>
                      </w:r>
                      <w:r>
                        <w:rPr>
                          <w:color w:val="000000"/>
                          <w:vertAlign w:val="superscript"/>
                          <w:lang w:eastAsia="lt-LT"/>
                        </w:rPr>
                        <w:t>2</w:t>
                      </w:r>
                      <w:r>
                        <w:rPr>
                          <w:color w:val="000000"/>
                          <w:lang w:eastAsia="lt-LT"/>
                        </w:rPr>
                        <w:t>·h)). Imamas iš 2.4 lentelės;</w:t>
                      </w:r>
                    </w:p>
                    <w:p>
                      <w:pPr>
                        <w:suppressAutoHyphens/>
                        <w:ind w:firstLine="567"/>
                        <w:jc w:val="both"/>
                        <w:rPr>
                          <w:color w:val="000000"/>
                          <w:lang w:eastAsia="lt-LT"/>
                        </w:rPr>
                      </w:pPr>
                      <w:r>
                        <w:rPr>
                          <w:i/>
                          <w:color w:val="000000"/>
                          <w:lang w:eastAsia="lt-LT"/>
                        </w:rPr>
                        <w:t>A</w:t>
                      </w:r>
                      <w:r>
                        <w:rPr>
                          <w:i/>
                          <w:color w:val="000000"/>
                          <w:vertAlign w:val="subscript"/>
                          <w:lang w:eastAsia="lt-LT"/>
                        </w:rPr>
                        <w:t>nv</w:t>
                      </w:r>
                      <w:r>
                        <w:rPr>
                          <w:color w:val="000000"/>
                          <w:lang w:eastAsia="lt-LT"/>
                        </w:rPr>
                        <w:t xml:space="preserve"> – pastato šildomas plotas, kuriame įrengtos natūralaus vėdinimo sistemos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 xml:space="preserve">mv </w:t>
                      </w:r>
                      <w:r>
                        <w:rPr>
                          <w:color w:val="000000"/>
                          <w:lang w:eastAsia="lt-LT"/>
                        </w:rPr>
                        <w:t>– pastato šildomas plotas, kuriame įrengtos mechaninio vėdinimo be rekuperacijos sistemos, kuriose nėra į patalpas tiekiamo oro pašildymo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mv,x</w:t>
                      </w:r>
                      <w:r>
                        <w:rPr>
                          <w:color w:val="000000"/>
                          <w:lang w:eastAsia="lt-LT"/>
                        </w:rPr>
                        <w:t xml:space="preserve"> – pastato šildomas plotas, kuriame įrengta atitinkama „</w:t>
                      </w:r>
                      <w:r>
                        <w:rPr>
                          <w:i/>
                          <w:color w:val="000000"/>
                          <w:lang w:eastAsia="lt-LT"/>
                        </w:rPr>
                        <w:t>x</w:t>
                      </w:r>
                      <w:r>
                        <w:rPr>
                          <w:color w:val="000000"/>
                          <w:lang w:eastAsia="lt-LT"/>
                        </w:rPr>
                        <w:t>“ mechaninio vėdinimo be rekuperacijos sistema, kurioje nėra į patalpas tiekiamo oro pašildymo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mvH</w:t>
                      </w:r>
                      <w:r>
                        <w:rPr>
                          <w:color w:val="000000"/>
                          <w:lang w:eastAsia="lt-LT"/>
                        </w:rPr>
                        <w:t xml:space="preserve"> – pastato šildomas plotas, kuriame įrengtos mechaninio vėdinimo be rekuperacijos sistemos, kuriose yra į patalpas tiekiamo oro pašildymas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mvH,x</w:t>
                      </w:r>
                      <w:r>
                        <w:rPr>
                          <w:color w:val="000000"/>
                          <w:lang w:eastAsia="lt-LT"/>
                        </w:rPr>
                        <w:t xml:space="preserve"> – pastato šildomas plotas, kuriame įrengta atitinkama „</w:t>
                      </w:r>
                      <w:r>
                        <w:rPr>
                          <w:i/>
                          <w:color w:val="000000"/>
                          <w:lang w:eastAsia="lt-LT"/>
                        </w:rPr>
                        <w:t>x</w:t>
                      </w:r>
                      <w:r>
                        <w:rPr>
                          <w:color w:val="000000"/>
                          <w:lang w:eastAsia="lt-LT"/>
                        </w:rPr>
                        <w:t>“ mechaninio vėdinimo be rekuperacijos sistema, kurioje yra į patalpas tiekiamo oro pašildymas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re</w:t>
                      </w:r>
                      <w:r>
                        <w:rPr>
                          <w:color w:val="000000"/>
                          <w:lang w:eastAsia="lt-LT"/>
                        </w:rPr>
                        <w:t xml:space="preserve"> – pastato šildomas plotas, kuriame įrengtos mechaninio vėdinimo su rekuperacija sistemos, kuriose nėra į patalpas tiekiamo oro pašildymo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re,x</w:t>
                      </w:r>
                      <w:r>
                        <w:rPr>
                          <w:color w:val="000000"/>
                          <w:lang w:eastAsia="lt-LT"/>
                        </w:rPr>
                        <w:t xml:space="preserve"> – pastato šildomas plotas, kuriame įrengta atitinkama „</w:t>
                      </w:r>
                      <w:r>
                        <w:rPr>
                          <w:i/>
                          <w:color w:val="000000"/>
                          <w:lang w:eastAsia="lt-LT"/>
                        </w:rPr>
                        <w:t>x</w:t>
                      </w:r>
                      <w:r>
                        <w:rPr>
                          <w:color w:val="000000"/>
                          <w:lang w:eastAsia="lt-LT"/>
                        </w:rPr>
                        <w:t>“ mechaninio vėdinimo su rekuperacija sistema, kurioje nėra į patalpas tiekiamo oro pašildymo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reH</w:t>
                      </w:r>
                      <w:r>
                        <w:rPr>
                          <w:color w:val="000000"/>
                          <w:lang w:eastAsia="lt-LT"/>
                        </w:rPr>
                        <w:t xml:space="preserve"> – pastato šildomas plotas, kuriame įrengtos mechaninio vėdinimo su rekuperacija sistemos, kuriose yra į patalpas tiekiamo oro pašildymas (m</w:t>
                      </w:r>
                      <w:r>
                        <w:rPr>
                          <w:color w:val="000000"/>
                          <w:vertAlign w:val="superscript"/>
                          <w:lang w:eastAsia="lt-LT"/>
                        </w:rPr>
                        <w:t>2</w:t>
                      </w:r>
                      <w:r>
                        <w:rPr>
                          <w:color w:val="000000"/>
                          <w:lang w:eastAsia="lt-LT"/>
                        </w:rPr>
                        <w:t>);</w:t>
                      </w:r>
                    </w:p>
                    <w:p>
                      <w:pPr>
                        <w:suppressAutoHyphens/>
                        <w:ind w:firstLine="567"/>
                        <w:jc w:val="both"/>
                        <w:rPr>
                          <w:color w:val="000000"/>
                          <w:lang w:eastAsia="lt-LT"/>
                        </w:rPr>
                      </w:pPr>
                      <w:r>
                        <w:rPr>
                          <w:i/>
                          <w:color w:val="000000"/>
                          <w:lang w:eastAsia="lt-LT"/>
                        </w:rPr>
                        <w:t>A</w:t>
                      </w:r>
                      <w:r>
                        <w:rPr>
                          <w:i/>
                          <w:color w:val="000000"/>
                          <w:vertAlign w:val="subscript"/>
                          <w:lang w:eastAsia="lt-LT"/>
                        </w:rPr>
                        <w:t>reH,x</w:t>
                      </w:r>
                      <w:r>
                        <w:rPr>
                          <w:color w:val="000000"/>
                          <w:lang w:eastAsia="lt-LT"/>
                        </w:rPr>
                        <w:t xml:space="preserve"> – pastato šildomas plotas, kuriame įrengta atitinkama „</w:t>
                      </w:r>
                      <w:r>
                        <w:rPr>
                          <w:i/>
                          <w:color w:val="000000"/>
                          <w:lang w:eastAsia="lt-LT"/>
                        </w:rPr>
                        <w:t>x</w:t>
                      </w:r>
                      <w:r>
                        <w:rPr>
                          <w:color w:val="000000"/>
                          <w:lang w:eastAsia="lt-LT"/>
                        </w:rPr>
                        <w:t>“ mechaninio vėdinimo su rekuperacija sistema, kurioje yra į patalpas tiekiamo oro pašildymas (m</w:t>
                      </w:r>
                      <w:r>
                        <w:rPr>
                          <w:color w:val="000000"/>
                          <w:vertAlign w:val="superscript"/>
                          <w:lang w:eastAsia="lt-LT"/>
                        </w:rPr>
                        <w:t>2</w:t>
                      </w:r>
                      <w:r>
                        <w:rPr>
                          <w:color w:val="000000"/>
                          <w:lang w:eastAsia="lt-LT"/>
                        </w:rPr>
                        <w:t xml:space="preserve">); </w:t>
                      </w:r>
                    </w:p>
                    <w:p>
                      <w:pPr>
                        <w:suppressAutoHyphens/>
                        <w:ind w:firstLine="567"/>
                        <w:jc w:val="both"/>
                        <w:rPr>
                          <w:lang w:eastAsia="lt-LT"/>
                        </w:rPr>
                      </w:pPr>
                      <w:r>
                        <w:rPr>
                          <w:i/>
                          <w:color w:val="000000"/>
                          <w:lang w:eastAsia="lt-LT"/>
                        </w:rPr>
                        <w:t>η</w:t>
                      </w:r>
                      <w:r>
                        <w:rPr>
                          <w:i/>
                          <w:color w:val="000000"/>
                          <w:vertAlign w:val="subscript"/>
                          <w:lang w:eastAsia="lt-LT"/>
                        </w:rPr>
                        <w:t>re,x</w:t>
                      </w:r>
                      <w:r>
                        <w:rPr>
                          <w:i/>
                          <w:color w:val="000000"/>
                          <w:lang w:eastAsia="lt-LT"/>
                        </w:rPr>
                        <w:t xml:space="preserve"> </w:t>
                      </w:r>
                      <w:r>
                        <w:rPr>
                          <w:color w:val="000000"/>
                          <w:lang w:eastAsia="lt-LT"/>
                        </w:rPr>
                        <w:t>– atitinkamos „</w:t>
                      </w:r>
                      <w:r>
                        <w:rPr>
                          <w:i/>
                          <w:color w:val="000000"/>
                          <w:lang w:eastAsia="lt-LT"/>
                        </w:rPr>
                        <w:t>x</w:t>
                      </w:r>
                      <w:r>
                        <w:rPr>
                          <w:color w:val="000000"/>
                          <w:lang w:eastAsia="lt-LT"/>
                        </w:rPr>
                        <w:t xml:space="preserve">“ mechaninio vėdinimo su rekuperacija sistemos, kurioje nėra į patalpas tiekiamo oro pašildymo, skaičiuojamasis šios sistemos šilumos sugrąžinimo naudingumo koeficientas, vieneto dalys. Jei nėra duomenų, imama </w:t>
                      </w:r>
                      <w:r>
                        <w:rPr>
                          <w:i/>
                          <w:color w:val="000000"/>
                          <w:lang w:eastAsia="lt-LT"/>
                        </w:rPr>
                        <w:t>η</w:t>
                      </w:r>
                      <w:r>
                        <w:rPr>
                          <w:i/>
                          <w:color w:val="000000"/>
                          <w:vertAlign w:val="subscript"/>
                          <w:lang w:eastAsia="lt-LT"/>
                        </w:rPr>
                        <w:t>re,x</w:t>
                      </w:r>
                      <w:r>
                        <w:rPr>
                          <w:color w:val="000000"/>
                          <w:lang w:eastAsia="lt-LT"/>
                        </w:rPr>
                        <w:t xml:space="preserve">=0,65. </w:t>
                      </w:r>
                      <w:r>
                        <w:rPr>
                          <w:lang w:eastAsia="lt-LT"/>
                        </w:rPr>
                        <w:t xml:space="preserve">4-8 metų mėnesiais imama </w:t>
                      </w:r>
                      <w:r>
                        <w:rPr>
                          <w:i/>
                          <w:lang w:eastAsia="lt-LT"/>
                        </w:rPr>
                        <w:t>η</w:t>
                      </w:r>
                      <w:r>
                        <w:rPr>
                          <w:i/>
                          <w:vertAlign w:val="subscript"/>
                          <w:lang w:eastAsia="lt-LT"/>
                        </w:rPr>
                        <w:t>re,x</w:t>
                      </w:r>
                      <w:r>
                        <w:rPr>
                          <w:lang w:eastAsia="lt-LT"/>
                        </w:rPr>
                        <w:t>=0;</w:t>
                      </w:r>
                    </w:p>
                    <w:p>
                      <w:pPr>
                        <w:suppressAutoHyphens/>
                        <w:ind w:firstLine="567"/>
                        <w:jc w:val="both"/>
                        <w:rPr>
                          <w:lang w:eastAsia="lt-LT"/>
                        </w:rPr>
                      </w:pPr>
                      <w:r>
                        <w:rPr>
                          <w:i/>
                          <w:color w:val="000000"/>
                          <w:lang w:eastAsia="lt-LT"/>
                        </w:rPr>
                        <w:t>η</w:t>
                      </w:r>
                      <w:r>
                        <w:rPr>
                          <w:i/>
                          <w:color w:val="000000"/>
                          <w:vertAlign w:val="subscript"/>
                          <w:lang w:eastAsia="lt-LT"/>
                        </w:rPr>
                        <w:t>reH,x</w:t>
                      </w:r>
                      <w:r>
                        <w:rPr>
                          <w:i/>
                          <w:color w:val="000000"/>
                          <w:lang w:eastAsia="lt-LT"/>
                        </w:rPr>
                        <w:t xml:space="preserve"> </w:t>
                      </w:r>
                      <w:r>
                        <w:rPr>
                          <w:color w:val="000000"/>
                          <w:lang w:eastAsia="lt-LT"/>
                        </w:rPr>
                        <w:t>– atitinkamos „</w:t>
                      </w:r>
                      <w:r>
                        <w:rPr>
                          <w:i/>
                          <w:color w:val="000000"/>
                          <w:lang w:eastAsia="lt-LT"/>
                        </w:rPr>
                        <w:t>x</w:t>
                      </w:r>
                      <w:r>
                        <w:rPr>
                          <w:color w:val="000000"/>
                          <w:lang w:eastAsia="lt-LT"/>
                        </w:rPr>
                        <w:t xml:space="preserve">“ mechaninio vėdinimo su rekuperacija sistemos, kurioje yra į patalpas tiekiamo oro pašildymas, skaičiuojamasis šios sistemos šilumos sugrąžinimo naudingumo koeficientas, vieneto dalys. Jei nėra duomenų, imama </w:t>
                      </w:r>
                      <w:r>
                        <w:rPr>
                          <w:i/>
                          <w:color w:val="000000"/>
                          <w:lang w:eastAsia="lt-LT"/>
                        </w:rPr>
                        <w:t>η</w:t>
                      </w:r>
                      <w:r>
                        <w:rPr>
                          <w:i/>
                          <w:color w:val="000000"/>
                          <w:vertAlign w:val="subscript"/>
                          <w:lang w:eastAsia="lt-LT"/>
                        </w:rPr>
                        <w:t>reH,x</w:t>
                      </w:r>
                      <w:r>
                        <w:rPr>
                          <w:color w:val="000000"/>
                          <w:lang w:eastAsia="lt-LT"/>
                        </w:rPr>
                        <w:t xml:space="preserve">=0,65. </w:t>
                      </w:r>
                      <w:r>
                        <w:rPr>
                          <w:lang w:eastAsia="lt-LT"/>
                        </w:rPr>
                        <w:t xml:space="preserve">4-8 metų mėnesiais imama </w:t>
                      </w:r>
                      <w:r>
                        <w:rPr>
                          <w:i/>
                          <w:lang w:eastAsia="lt-LT"/>
                        </w:rPr>
                        <w:t>η</w:t>
                      </w:r>
                      <w:r>
                        <w:rPr>
                          <w:i/>
                          <w:vertAlign w:val="subscript"/>
                          <w:lang w:eastAsia="lt-LT"/>
                        </w:rPr>
                        <w:t>re,x</w:t>
                      </w:r>
                      <w:r>
                        <w:rPr>
                          <w:lang w:eastAsia="lt-LT"/>
                        </w:rPr>
                        <w:t>=0;</w:t>
                      </w:r>
                    </w:p>
                    <w:p>
                      <w:pPr>
                        <w:suppressAutoHyphens/>
                        <w:ind w:firstLine="567"/>
                        <w:jc w:val="both"/>
                        <w:rPr>
                          <w:color w:val="000000"/>
                          <w:lang w:eastAsia="lt-LT"/>
                        </w:rPr>
                      </w:pPr>
                      <w:r>
                        <w:rPr>
                          <w:i/>
                          <w:color w:val="000000"/>
                          <w:lang w:eastAsia="lt-LT"/>
                        </w:rPr>
                        <w:t>η</w:t>
                      </w:r>
                      <w:r>
                        <w:rPr>
                          <w:i/>
                          <w:color w:val="000000"/>
                          <w:vertAlign w:val="subscript"/>
                          <w:lang w:eastAsia="lt-LT"/>
                        </w:rPr>
                        <w:t>mvH.air,x</w:t>
                      </w:r>
                      <w:r>
                        <w:rPr>
                          <w:i/>
                          <w:color w:val="000000"/>
                          <w:lang w:eastAsia="lt-LT"/>
                        </w:rPr>
                        <w:t xml:space="preserve"> </w:t>
                      </w:r>
                      <w:r>
                        <w:rPr>
                          <w:color w:val="000000"/>
                          <w:lang w:eastAsia="lt-LT"/>
                        </w:rPr>
                        <w:t>– atitinkamos „</w:t>
                      </w:r>
                      <w:r>
                        <w:rPr>
                          <w:i/>
                          <w:color w:val="000000"/>
                          <w:lang w:eastAsia="lt-LT"/>
                        </w:rPr>
                        <w:t>x</w:t>
                      </w:r>
                      <w:r>
                        <w:rPr>
                          <w:color w:val="000000"/>
                          <w:lang w:eastAsia="lt-LT"/>
                        </w:rPr>
                        <w:t>“ mechaninio vėdinimo sistemos, kurioje yra į patalpas tiekiamo oro pašildymas, oro pašildymui naudojamo šilumos šaltinio skaičiuojamasis naudingumo koeficientas, vieneto dalys. Jei nėra duomenų, imamas iš 2.16 lentelės;</w:t>
                      </w:r>
                    </w:p>
                    <w:p>
                      <w:pPr>
                        <w:suppressAutoHyphens/>
                        <w:ind w:firstLine="567"/>
                        <w:jc w:val="both"/>
                        <w:rPr>
                          <w:color w:val="000000"/>
                          <w:lang w:eastAsia="lt-LT"/>
                        </w:rPr>
                      </w:pPr>
                      <w:r>
                        <w:rPr>
                          <w:i/>
                          <w:color w:val="000000"/>
                          <w:lang w:eastAsia="lt-LT"/>
                        </w:rPr>
                        <w:t>η</w:t>
                      </w:r>
                      <w:r>
                        <w:rPr>
                          <w:i/>
                          <w:color w:val="000000"/>
                          <w:vertAlign w:val="subscript"/>
                          <w:lang w:eastAsia="lt-LT"/>
                        </w:rPr>
                        <w:t>reH.air,x</w:t>
                      </w:r>
                      <w:r>
                        <w:rPr>
                          <w:i/>
                          <w:color w:val="000000"/>
                          <w:lang w:eastAsia="lt-LT"/>
                        </w:rPr>
                        <w:t xml:space="preserve"> </w:t>
                      </w:r>
                      <w:r>
                        <w:rPr>
                          <w:color w:val="000000"/>
                          <w:lang w:eastAsia="lt-LT"/>
                        </w:rPr>
                        <w:t>– atitinkamos „</w:t>
                      </w:r>
                      <w:r>
                        <w:rPr>
                          <w:i/>
                          <w:color w:val="000000"/>
                          <w:lang w:eastAsia="lt-LT"/>
                        </w:rPr>
                        <w:t>x</w:t>
                      </w:r>
                      <w:r>
                        <w:rPr>
                          <w:color w:val="000000"/>
                          <w:lang w:eastAsia="lt-LT"/>
                        </w:rPr>
                        <w:t>“ mechaninio vėdinimo su rekuperacija sistemos, kurioje yra į patalpas tiekiamo oro pašildymas, oro pašildymui naudojamo šilumos šaltinio skaičiuojamasis naudingumo koeficientas, vieneto dalys. Jei nėra duomenų, imamas iš 2.16 lentelės.</w:t>
                      </w:r>
                    </w:p>
                    <w:p>
                      <w:pPr>
                        <w:suppressAutoHyphens/>
                        <w:ind w:firstLine="720"/>
                        <w:jc w:val="both"/>
                        <w:rPr>
                          <w:color w:val="000000"/>
                          <w:lang w:eastAsia="lt-LT"/>
                        </w:rPr>
                      </w:pPr>
                      <w:r>
                        <w:rPr>
                          <w:color w:val="000000"/>
                          <w:lang w:eastAsia="lt-LT"/>
                        </w:rPr>
                        <w:t xml:space="preserve">Jei vėdinimo sistemoje įrengti du nuosekliai sujungti rekuperatoriai su šilumos sugrąžinimo naudingumo koeficientais </w:t>
                      </w:r>
                      <w:r>
                        <w:rPr>
                          <w:i/>
                          <w:color w:val="000000"/>
                          <w:lang w:eastAsia="lt-LT"/>
                        </w:rPr>
                        <w:t>η</w:t>
                      </w:r>
                      <w:r>
                        <w:rPr>
                          <w:i/>
                          <w:color w:val="000000"/>
                          <w:vertAlign w:val="subscript"/>
                          <w:lang w:eastAsia="lt-LT"/>
                        </w:rPr>
                        <w:t>r1</w:t>
                      </w:r>
                      <w:r>
                        <w:rPr>
                          <w:color w:val="000000"/>
                          <w:lang w:eastAsia="lt-LT"/>
                        </w:rPr>
                        <w:t xml:space="preserve"> ir </w:t>
                      </w:r>
                      <w:r>
                        <w:rPr>
                          <w:i/>
                          <w:color w:val="000000"/>
                          <w:lang w:eastAsia="lt-LT"/>
                        </w:rPr>
                        <w:t>η</w:t>
                      </w:r>
                      <w:r>
                        <w:rPr>
                          <w:i/>
                          <w:color w:val="000000"/>
                          <w:vertAlign w:val="subscript"/>
                          <w:lang w:eastAsia="lt-LT"/>
                        </w:rPr>
                        <w:t>r2</w:t>
                      </w:r>
                      <w:r>
                        <w:rPr>
                          <w:color w:val="000000"/>
                          <w:lang w:eastAsia="lt-LT"/>
                        </w:rPr>
                        <w:t xml:space="preserve">, tokios rekuperacinės sistemos šilumos sugrąžinimo naudingumo koeficientas </w:t>
                      </w:r>
                      <w:r>
                        <w:rPr>
                          <w:i/>
                          <w:color w:val="000000"/>
                          <w:lang w:eastAsia="lt-LT"/>
                        </w:rPr>
                        <w:t>η</w:t>
                      </w:r>
                      <w:r>
                        <w:rPr>
                          <w:i/>
                          <w:color w:val="000000"/>
                          <w:vertAlign w:val="subscript"/>
                          <w:lang w:eastAsia="lt-LT"/>
                        </w:rPr>
                        <w:t>r</w:t>
                      </w:r>
                      <w:r>
                        <w:rPr>
                          <w:color w:val="000000"/>
                          <w:lang w:eastAsia="lt-LT"/>
                        </w:rPr>
                        <w:t xml:space="preserve"> apskaičiuojamas taip [3.20]:</w:t>
                      </w:r>
                    </w:p>
                    <w:tbl>
                      <w:tblPr>
                        <w:tblW w:w="0" w:type="auto"/>
                        <w:tblLook w:val="01E0" w:firstRow="1" w:lastRow="1" w:firstColumn="1" w:lastColumn="1" w:noHBand="0" w:noVBand="0"/>
                      </w:tblPr>
                      <w:tblGrid>
                        <w:gridCol w:w="8568"/>
                        <w:gridCol w:w="1002"/>
                      </w:tblGrid>
                      <w:tr>
                        <w:tc>
                          <w:tcPr>
                            <w:tcW w:w="8568" w:type="dxa"/>
                            <w:vAlign w:val="center"/>
                            <w:hideMark/>
                          </w:tcPr>
                          <w:p>
                            <w:pPr>
                              <w:suppressAutoHyphens/>
                              <w:spacing w:line="276" w:lineRule="auto"/>
                              <w:jc w:val="center"/>
                              <w:rPr>
                                <w:rFonts w:eastAsia="Calibri"/>
                                <w:bCs/>
                                <w:color w:val="000000"/>
                                <w:szCs w:val="22"/>
                              </w:rPr>
                            </w:pPr>
                            <w:r>
                              <w:rPr>
                                <w:rFonts w:eastAsia="Calibri"/>
                                <w:color w:val="000000"/>
                                <w:position w:val="-10"/>
                                <w:szCs w:val="22"/>
                              </w:rPr>
                              <w:object w:dxaOrig="2040" w:dyaOrig="350">
                                <v:shape id="_x0000_i1138" type="#_x0000_t75" style="width:101.95pt;height:17.8pt" o:ole="">
                                  <v:imagedata r:id="rId507" o:title=""/>
                                </v:shape>
                                <o:OLEObject Type="Embed" ProgID="Equation.3" ShapeID="_x0000_i1138" DrawAspect="Content" ObjectID="_0000000001" r:id="rId508"/>
                              </w:object>
                            </w:r>
                            <w:r>
                              <w:rPr>
                                <w:color w:val="000000"/>
                                <w:lang w:eastAsia="lt-LT"/>
                              </w:rPr>
                              <w:t>.</w:t>
                            </w:r>
                          </w:p>
                        </w:tc>
                        <w:tc>
                          <w:tcPr>
                            <w:tcW w:w="1002" w:type="dxa"/>
                            <w:vAlign w:val="center"/>
                            <w:hideMark/>
                          </w:tcPr>
                          <w:p>
                            <w:pPr>
                              <w:suppressAutoHyphens/>
                              <w:spacing w:line="276" w:lineRule="auto"/>
                              <w:jc w:val="right"/>
                              <w:rPr>
                                <w:rFonts w:eastAsia="Calibri"/>
                                <w:bCs/>
                                <w:color w:val="000000"/>
                                <w:szCs w:val="22"/>
                              </w:rPr>
                            </w:pPr>
                            <w:r>
                              <w:rPr>
                                <w:bCs/>
                                <w:color w:val="000000"/>
                                <w:lang w:eastAsia="lt-LT"/>
                              </w:rPr>
                              <w:t>(2.106)</w:t>
                            </w:r>
                          </w:p>
                        </w:tc>
                      </w:tr>
                    </w:tbl>
                    <w:p>
                      <w:pPr>
                        <w:suppressAutoHyphens/>
                        <w:ind w:left="720"/>
                        <w:rPr>
                          <w:rFonts w:eastAsia="Calibri"/>
                          <w:color w:val="000000"/>
                          <w:szCs w:val="22"/>
                        </w:rPr>
                      </w:pPr>
                    </w:p>
                    <w:p>
                      <w:pPr>
                        <w:suppressAutoHyphens/>
                        <w:ind w:firstLine="720"/>
                        <w:jc w:val="both"/>
                        <w:rPr>
                          <w:color w:val="000000"/>
                          <w:lang w:eastAsia="lt-LT"/>
                        </w:rPr>
                      </w:pPr>
                      <w:r>
                        <w:rPr>
                          <w:color w:val="000000"/>
                          <w:lang w:eastAsia="lt-LT"/>
                        </w:rPr>
                        <w:t>Pastato mechaninio vėdinimo be rekuperacijos sistemų, kuriose yra į patalpas tiekiamo oro pašildymas, skaičiuojamieji mėnesiniai šilumos nuostoliai</w:t>
                      </w:r>
                      <w:r>
                        <w:rPr>
                          <w:i/>
                          <w:color w:val="000000"/>
                          <w:lang w:eastAsia="lt-LT"/>
                        </w:rPr>
                        <w:t xml:space="preserve"> Q</w:t>
                      </w:r>
                      <w:r>
                        <w:rPr>
                          <w:i/>
                          <w:color w:val="000000"/>
                          <w:vertAlign w:val="subscript"/>
                          <w:lang w:eastAsia="lt-LT"/>
                        </w:rPr>
                        <w:t>H1.vent.mvH,m</w:t>
                      </w:r>
                      <w:r>
                        <w:rPr>
                          <w:color w:val="000000"/>
                          <w:lang w:eastAsia="lt-LT"/>
                        </w:rPr>
                        <w:t xml:space="preserve"> (kWh/(m²·mėn.)), kuriuos turi padengti pastato šildymo sistema, apskaičiuojami taip: </w:t>
                      </w:r>
                    </w:p>
                    <w:tbl>
                      <w:tblPr>
                        <w:tblW w:w="5000" w:type="pct"/>
                        <w:tblLook w:val="01E0" w:firstRow="1" w:lastRow="1" w:firstColumn="1" w:lastColumn="1" w:noHBand="0" w:noVBand="0"/>
                      </w:tblPr>
                      <w:tblGrid>
                        <w:gridCol w:w="9080"/>
                        <w:gridCol w:w="916"/>
                      </w:tblGrid>
                      <w:tr>
                        <w:tc>
                          <w:tcPr>
                            <w:tcW w:w="4584" w:type="pct"/>
                            <w:vAlign w:val="center"/>
                            <w:hideMark/>
                          </w:tcPr>
                          <w:p>
                            <w:pPr>
                              <w:suppressAutoHyphens/>
                              <w:spacing w:line="276" w:lineRule="auto"/>
                              <w:jc w:val="center"/>
                              <w:rPr>
                                <w:rFonts w:eastAsia="Calibri"/>
                                <w:bCs/>
                                <w:color w:val="000000"/>
                                <w:szCs w:val="22"/>
                              </w:rPr>
                            </w:pPr>
                            <w:r>
                              <w:rPr>
                                <w:rFonts w:eastAsia="Calibri"/>
                                <w:color w:val="000000"/>
                                <w:szCs w:val="22"/>
                              </w:rPr>
                              <w:object w:dxaOrig="6840" w:dyaOrig="680">
                                <v:shape id="_x0000_i1139" type="#_x0000_t75" style="width:342.2pt;height:34pt" o:ole="">
                                  <v:imagedata r:id="rId509" o:title=""/>
                                </v:shape>
                                <o:OLEObject Type="Embed" ProgID="Equation.3" ShapeID="_x0000_i1139" DrawAspect="Content" ObjectID="_0000000001" r:id="rId510"/>
                              </w:object>
                            </w:r>
                            <w:r>
                              <w:rPr>
                                <w:color w:val="000000"/>
                                <w:lang w:eastAsia="lt-LT"/>
                              </w:rPr>
                              <w:t>;</w:t>
                            </w:r>
                          </w:p>
                        </w:tc>
                        <w:tc>
                          <w:tcPr>
                            <w:tcW w:w="416" w:type="pct"/>
                            <w:vAlign w:val="center"/>
                            <w:hideMark/>
                          </w:tcPr>
                          <w:p>
                            <w:pPr>
                              <w:suppressAutoHyphens/>
                              <w:spacing w:line="276" w:lineRule="auto"/>
                              <w:jc w:val="right"/>
                              <w:rPr>
                                <w:rFonts w:eastAsia="Calibri"/>
                                <w:bCs/>
                                <w:color w:val="000000"/>
                                <w:szCs w:val="22"/>
                              </w:rPr>
                            </w:pPr>
                            <w:r>
                              <w:rPr>
                                <w:bCs/>
                                <w:color w:val="000000"/>
                                <w:lang w:eastAsia="lt-LT"/>
                              </w:rPr>
                              <w:t>(2.107)</w:t>
                            </w:r>
                          </w:p>
                        </w:tc>
                      </w:tr>
                    </w:tbl>
                    <w:p>
                      <w:pPr>
                        <w:tabs>
                          <w:tab w:val="left" w:pos="567"/>
                        </w:tabs>
                        <w:suppressAutoHyphens/>
                        <w:rPr>
                          <w:rFonts w:eastAsia="Calibri"/>
                          <w:color w:val="000000"/>
                          <w:szCs w:val="22"/>
                        </w:rPr>
                      </w:pPr>
                      <w:r>
                        <w:rPr>
                          <w:color w:val="000000"/>
                          <w:lang w:eastAsia="lt-LT"/>
                        </w:rPr>
                        <w:t>čia:</w:t>
                        <w:tab/>
                        <w:t xml:space="preserve">jei </w:t>
                      </w:r>
                      <w:r>
                        <w:rPr>
                          <w:i/>
                          <w:color w:val="000000"/>
                          <w:lang w:eastAsia="lt-LT"/>
                        </w:rPr>
                        <w:t>Q</w:t>
                      </w:r>
                      <w:r>
                        <w:rPr>
                          <w:i/>
                          <w:color w:val="000000"/>
                          <w:vertAlign w:val="subscript"/>
                          <w:lang w:eastAsia="lt-LT"/>
                        </w:rPr>
                        <w:t>H,m</w:t>
                      </w:r>
                      <w:r>
                        <w:rPr>
                          <w:color w:val="000000"/>
                          <w:lang w:eastAsia="lt-LT"/>
                        </w:rPr>
                        <w:t xml:space="preserve">, apskaičiuotas pagal (2.169) formulę, mažesnis už 0,1, tai </w:t>
                      </w:r>
                      <w:r>
                        <w:rPr>
                          <w:i/>
                          <w:color w:val="000000"/>
                          <w:lang w:eastAsia="lt-LT"/>
                        </w:rPr>
                        <w:t>Q</w:t>
                      </w:r>
                      <w:r>
                        <w:rPr>
                          <w:i/>
                          <w:color w:val="000000"/>
                          <w:vertAlign w:val="subscript"/>
                          <w:lang w:eastAsia="lt-LT"/>
                        </w:rPr>
                        <w:t>H1.vent.mvH,m</w:t>
                      </w:r>
                      <w:r>
                        <w:rPr>
                          <w:color w:val="000000"/>
                          <w:lang w:eastAsia="lt-LT"/>
                        </w:rPr>
                        <w:t xml:space="preserve"> =0.</w:t>
                      </w:r>
                    </w:p>
                    <w:p>
                      <w:pPr>
                        <w:suppressAutoHyphens/>
                        <w:ind w:left="600" w:hanging="600"/>
                        <w:rPr>
                          <w:color w:val="000000"/>
                          <w:lang w:eastAsia="lt-LT"/>
                        </w:rPr>
                      </w:pPr>
                    </w:p>
                    <w:p>
                      <w:pPr>
                        <w:suppressAutoHyphens/>
                        <w:ind w:firstLine="720"/>
                        <w:jc w:val="both"/>
                        <w:rPr>
                          <w:color w:val="000000"/>
                          <w:lang w:eastAsia="lt-LT"/>
                        </w:rPr>
                      </w:pPr>
                      <w:r>
                        <w:rPr>
                          <w:color w:val="000000"/>
                          <w:lang w:eastAsia="lt-LT"/>
                        </w:rPr>
                        <w:t>Pastato vėdinimo su rekuperacija sistemų, kuriose yra oro pašildymas, skaičiuojamieji mėnesiniai šilumos nuostoliai</w:t>
                      </w:r>
                      <w:r>
                        <w:rPr>
                          <w:i/>
                          <w:color w:val="000000"/>
                          <w:lang w:eastAsia="lt-LT"/>
                        </w:rPr>
                        <w:t xml:space="preserve"> Q</w:t>
                      </w:r>
                      <w:r>
                        <w:rPr>
                          <w:i/>
                          <w:color w:val="000000"/>
                          <w:vertAlign w:val="subscript"/>
                          <w:lang w:eastAsia="lt-LT"/>
                        </w:rPr>
                        <w:t>H1.vent.reH,m</w:t>
                      </w:r>
                      <w:r>
                        <w:rPr>
                          <w:color w:val="000000"/>
                          <w:lang w:eastAsia="lt-LT"/>
                        </w:rPr>
                        <w:t xml:space="preserve"> (kWh/(m²·mėn.)), kuriuos turi padengti pastato šildymo sistema, apskaičiuojami taip: </w:t>
                      </w:r>
                    </w:p>
                    <w:tbl>
                      <w:tblPr>
                        <w:tblW w:w="5000" w:type="pct"/>
                        <w:tblLook w:val="01E0" w:firstRow="1" w:lastRow="1" w:firstColumn="1" w:lastColumn="1" w:noHBand="0" w:noVBand="0"/>
                      </w:tblPr>
                      <w:tblGrid>
                        <w:gridCol w:w="9038"/>
                        <w:gridCol w:w="958"/>
                      </w:tblGrid>
                      <w:tr>
                        <w:tc>
                          <w:tcPr>
                            <w:tcW w:w="4521" w:type="pct"/>
                            <w:vAlign w:val="center"/>
                            <w:hideMark/>
                          </w:tcPr>
                          <w:p>
                            <w:pPr>
                              <w:suppressAutoHyphens/>
                              <w:spacing w:line="276" w:lineRule="auto"/>
                              <w:jc w:val="center"/>
                              <w:rPr>
                                <w:rFonts w:eastAsia="Calibri"/>
                                <w:bCs/>
                                <w:color w:val="000000"/>
                                <w:szCs w:val="22"/>
                              </w:rPr>
                            </w:pPr>
                            <w:r>
                              <w:rPr>
                                <w:color w:val="000000"/>
                                <w:lang w:eastAsia="lt-LT"/>
                              </w:rPr>
                              <w:object w:dxaOrig="6650" w:dyaOrig="680">
                                <v:shape id="_x0000_i1140" type="#_x0000_t75" style="width:331.7pt;height:34pt" o:ole="">
                                  <v:imagedata r:id="rId511" o:title=""/>
                                </v:shape>
                                <o:OLEObject Type="Embed" ProgID="Equation.3" ShapeID="_x0000_i1140" DrawAspect="Content" ObjectID="_0000000001" r:id="rId512"/>
                              </w:object>
                              <w:t>;</w:t>
                            </w:r>
                          </w:p>
                        </w:tc>
                        <w:tc>
                          <w:tcPr>
                            <w:tcW w:w="479" w:type="pct"/>
                            <w:vAlign w:val="center"/>
                            <w:hideMark/>
                          </w:tcPr>
                          <w:p>
                            <w:pPr>
                              <w:suppressAutoHyphens/>
                              <w:spacing w:line="276" w:lineRule="auto"/>
                              <w:jc w:val="right"/>
                              <w:rPr>
                                <w:rFonts w:eastAsia="Calibri"/>
                                <w:bCs/>
                                <w:color w:val="000000"/>
                                <w:szCs w:val="22"/>
                              </w:rPr>
                            </w:pPr>
                            <w:r>
                              <w:rPr>
                                <w:bCs/>
                                <w:color w:val="000000"/>
                                <w:lang w:eastAsia="lt-LT"/>
                              </w:rPr>
                              <w:t>(2.108)</w:t>
                            </w:r>
                          </w:p>
                        </w:tc>
                      </w:tr>
                    </w:tbl>
                    <w:p>
                      <w:pPr>
                        <w:tabs>
                          <w:tab w:val="left" w:pos="567"/>
                        </w:tabs>
                        <w:suppressAutoHyphens/>
                        <w:rPr>
                          <w:color w:val="000000"/>
                        </w:rPr>
                      </w:pPr>
                      <w:r>
                        <w:rPr>
                          <w:color w:val="000000"/>
                          <w:lang w:eastAsia="lt-LT"/>
                        </w:rPr>
                        <w:t>čia:</w:t>
                        <w:tab/>
                        <w:t xml:space="preserve">jei </w:t>
                      </w:r>
                      <w:r>
                        <w:rPr>
                          <w:i/>
                          <w:color w:val="000000"/>
                          <w:lang w:eastAsia="lt-LT"/>
                        </w:rPr>
                        <w:t>Q</w:t>
                      </w:r>
                      <w:r>
                        <w:rPr>
                          <w:i/>
                          <w:color w:val="000000"/>
                          <w:vertAlign w:val="subscript"/>
                          <w:lang w:eastAsia="lt-LT"/>
                        </w:rPr>
                        <w:t>H,m</w:t>
                      </w:r>
                      <w:r>
                        <w:rPr>
                          <w:color w:val="000000"/>
                          <w:lang w:eastAsia="lt-LT"/>
                        </w:rPr>
                        <w:t xml:space="preserve">, apskaičiuotas pagal (2.169) formulę, mažesnis už 0,1, tai </w:t>
                      </w:r>
                      <w:r>
                        <w:rPr>
                          <w:i/>
                          <w:color w:val="000000"/>
                          <w:lang w:eastAsia="lt-LT"/>
                        </w:rPr>
                        <w:t>Q</w:t>
                      </w:r>
                      <w:r>
                        <w:rPr>
                          <w:i/>
                          <w:color w:val="000000"/>
                          <w:vertAlign w:val="subscript"/>
                          <w:lang w:eastAsia="lt-LT"/>
                        </w:rPr>
                        <w:t>H1.vent.reH,m</w:t>
                      </w:r>
                      <w:r>
                        <w:rPr>
                          <w:color w:val="000000"/>
                          <w:lang w:eastAsia="lt-LT"/>
                        </w:rPr>
                        <w:t xml:space="preserve"> =0.</w:t>
                      </w:r>
                      <w:r>
                        <w:rPr>
                          <w:color w:val="000000"/>
                          <w:szCs w:val="24"/>
                          <w:lang w:eastAsia="lt-LT"/>
                        </w:rP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513" w:history="1">
                        <w:r>
                          <w:rPr>
                            <w:rFonts w:eastAsia="MS Mincho"/>
                            <w:i/>
                            <w:iCs/>
                            <w:color w:val="0000FF"/>
                            <w:sz w:val="20"/>
                            <w:u w:val="single"/>
                          </w:rPr>
                          <w:t>D1-576</w:t>
                        </w:r>
                      </w:hyperlink>
                      <w:r>
                        <w:rPr>
                          <w:rFonts w:eastAsia="MS Mincho"/>
                          <w:i/>
                          <w:iCs/>
                          <w:sz w:val="20"/>
                        </w:rPr>
                        <w:t>, 2020-09-28, paskelbta TAR 2020-09-28, i. k. 2020-20131</w:t>
                      </w:r>
                    </w:p>
                    <w:p/>
                  </w:sdtContent>
                </w:sdt>
                <w:sdt>
                  <w:sdtPr>
                    <w:alias w:val="2 pr. 28.3 pp."/>
                    <w:tag w:val="part_2b3232b903b7471b9e76e335693bd190"/>
                    <w:lock w:val="sdtLocked"/>
                    <w:richText/>
                  </w:sdtPr>
                  <w:sdtContent>
                    <w:p>
                      <w:pPr>
                        <w:ind w:firstLine="570"/>
                        <w:jc w:val="both"/>
                        <w:rPr>
                          <w:color w:val="000000"/>
                        </w:rPr>
                      </w:pPr>
                      <w:sdt>
                        <w:sdtPr>
                          <w:alias w:val="Numeris"/>
                          <w:tag w:val="nr_2b3232b903b7471b9e76e335693bd190"/>
                          <w:lock w:val="sdtLocked"/>
                          <w:richText/>
                        </w:sdtPr>
                        <w:sdtContent>
                          <w:r>
                            <w:rPr>
                              <w:color w:val="000000"/>
                            </w:rPr>
                            <w:t>28.3</w:t>
                          </w:r>
                        </w:sdtContent>
                      </w:sdt>
                      <w:r>
                        <w:rPr>
                          <w:color w:val="000000"/>
                        </w:rPr>
                        <w:t xml:space="preserve">. Jei dėl oro infiltracijos ir išorinių įėjimo durų varstymo į pastato vidų patenkantis išorės oro kiekis didesnis arba lygus norminiam oro kiekiui pastato vėdinimui, t. y. jei </w:t>
                      </w:r>
                      <w:r>
                        <w:rPr>
                          <w:i/>
                          <w:color w:val="000000"/>
                        </w:rPr>
                        <w:t>ν</w:t>
                      </w:r>
                      <w:r>
                        <w:rPr>
                          <w:i/>
                          <w:color w:val="000000"/>
                          <w:vertAlign w:val="subscript"/>
                        </w:rPr>
                        <w:t>inf,m</w:t>
                      </w:r>
                      <w:r>
                        <w:rPr>
                          <w:color w:val="000000"/>
                        </w:rPr>
                        <w:t>+</w:t>
                      </w:r>
                      <w:r>
                        <w:rPr>
                          <w:i/>
                          <w:color w:val="000000"/>
                        </w:rPr>
                        <w:t>ν</w:t>
                      </w:r>
                      <w:r>
                        <w:rPr>
                          <w:i/>
                          <w:color w:val="000000"/>
                          <w:vertAlign w:val="subscript"/>
                        </w:rPr>
                        <w:t>do,m</w:t>
                      </w:r>
                      <w:r>
                        <w:rPr>
                          <w:color w:val="000000"/>
                        </w:rPr>
                        <w:t xml:space="preserve"> ≥</w:t>
                      </w:r>
                      <w:r>
                        <w:rPr>
                          <w:i/>
                          <w:color w:val="000000"/>
                        </w:rPr>
                        <w:t>v</w:t>
                      </w:r>
                      <w:r>
                        <w:rPr>
                          <w:color w:val="000000"/>
                          <w:vertAlign w:val="subscript"/>
                        </w:rPr>
                        <w:t>o</w:t>
                      </w:r>
                      <w:r>
                        <w:rPr>
                          <w:color w:val="000000"/>
                        </w:rPr>
                        <w:t xml:space="preserve">, ir bet kurios vėdinimo sistemos mėnesinis šilumos poreikis toks pat, atskirų vėdinimo sistemų šilumos poreikiai neskaičiuojami. Šiuo atveju kiekvieno mėnesio </w:t>
                      </w:r>
                      <w:r>
                        <w:rPr>
                          <w:i/>
                          <w:color w:val="000000"/>
                        </w:rPr>
                        <w:t xml:space="preserve">„m“ </w:t>
                      </w:r>
                      <w:r>
                        <w:rPr>
                          <w:color w:val="000000"/>
                        </w:rPr>
                        <w:t xml:space="preserve">skaičiuojamieji </w:t>
                      </w:r>
                      <w:r>
                        <w:rPr>
                          <w:i/>
                          <w:color w:val="000000"/>
                        </w:rPr>
                        <w:t>Q</w:t>
                      </w:r>
                      <w:r>
                        <w:rPr>
                          <w:i/>
                          <w:color w:val="000000"/>
                          <w:vertAlign w:val="subscript"/>
                        </w:rPr>
                        <w:t>H.vent,m</w:t>
                      </w:r>
                      <w:r>
                        <w:rPr>
                          <w:color w:val="000000"/>
                        </w:rPr>
                        <w:t xml:space="preserve"> (kWh/(m</w:t>
                      </w:r>
                      <w:r>
                        <w:rPr>
                          <w:color w:val="000000"/>
                          <w:vertAlign w:val="superscript"/>
                        </w:rPr>
                        <w:t>2</w:t>
                      </w:r>
                      <w:r>
                        <w:rPr>
                          <w:color w:val="000000"/>
                        </w:rPr>
                        <w:t>·mėn.)) šilumos poreikiai pastato vėdinimui, pagal kuriuos skaičiuojami energijos poreikiai pastatui šildyti, apskaičiuojami taip:</w:t>
                      </w:r>
                    </w:p>
                    <w:tbl>
                      <w:tblPr>
                        <w:tblW w:w="0" w:type="auto"/>
                        <w:tblLook w:val="01E0" w:firstRow="1" w:lastRow="1" w:firstColumn="1" w:lastColumn="1" w:noHBand="0" w:noVBand="0"/>
                      </w:tblPr>
                      <w:tblGrid>
                        <w:gridCol w:w="8568"/>
                        <w:gridCol w:w="1002"/>
                      </w:tblGrid>
                      <w:tr>
                        <w:tc>
                          <w:tcPr>
                            <w:tcW w:w="8568" w:type="dxa"/>
                            <w:hideMark/>
                          </w:tcPr>
                          <w:p>
                            <w:pPr>
                              <w:spacing w:line="276" w:lineRule="auto"/>
                              <w:jc w:val="center"/>
                              <w:rPr>
                                <w:rFonts w:eastAsia="Calibri"/>
                                <w:bCs/>
                                <w:color w:val="000000"/>
                                <w:szCs w:val="22"/>
                              </w:rPr>
                            </w:pPr>
                            <w:r>
                              <w:rPr>
                                <w:rFonts w:eastAsia="Calibri"/>
                                <w:color w:val="000000"/>
                                <w:position w:val="-14"/>
                                <w:szCs w:val="22"/>
                              </w:rPr>
                              <w:object w:dxaOrig="5740" w:dyaOrig="400">
                                <v:shape id="_x0000_i1141" type="#_x0000_t75" style="width:287.2pt;height:20.2pt" o:ole="">
                                  <v:imagedata r:id="rId514" o:title=""/>
                                </v:shape>
                                <o:OLEObject Type="Embed" ProgID="Equation.3" ShapeID="_x0000_i1141" DrawAspect="Content" ObjectID="_0000000001" r:id="rId515"/>
                              </w:object>
                            </w:r>
                            <w:r>
                              <w:rPr>
                                <w:color w:val="000000"/>
                              </w:rPr>
                              <w:t>.</w:t>
                            </w:r>
                          </w:p>
                        </w:tc>
                        <w:tc>
                          <w:tcPr>
                            <w:tcW w:w="1002" w:type="dxa"/>
                            <w:vAlign w:val="center"/>
                            <w:hideMark/>
                          </w:tcPr>
                          <w:p>
                            <w:pPr>
                              <w:spacing w:line="276" w:lineRule="auto"/>
                              <w:jc w:val="right"/>
                              <w:rPr>
                                <w:rFonts w:eastAsia="Calibri"/>
                                <w:bCs/>
                                <w:color w:val="000000"/>
                                <w:szCs w:val="22"/>
                              </w:rPr>
                            </w:pPr>
                            <w:r>
                              <w:rPr>
                                <w:bCs/>
                                <w:color w:val="000000"/>
                              </w:rPr>
                              <w:t>(2.109)</w:t>
                            </w:r>
                          </w:p>
                        </w:tc>
                      </w:tr>
                    </w:tbl>
                    <w:p>
                      <w:pPr>
                        <w:ind w:left="720"/>
                        <w:jc w:val="right"/>
                        <w:rPr>
                          <w:rFonts w:eastAsia="Calibri"/>
                          <w:color w:val="000000"/>
                          <w:szCs w:val="22"/>
                        </w:rPr>
                      </w:pPr>
                    </w:p>
                  </w:sdtContent>
                </w:sdt>
              </w:sdtContent>
            </w:sdt>
            <w:sdt>
              <w:sdtPr>
                <w:alias w:val="2 pr. 29 p."/>
                <w:tag w:val="part_467b3a7c4fb244f090477221eebbec9d"/>
                <w:lock w:val="sdtLocked"/>
                <w:richText/>
              </w:sdtPr>
              <w:sdtContent>
                <w:p>
                  <w:pPr>
                    <w:ind w:firstLine="570"/>
                    <w:jc w:val="both"/>
                    <w:rPr>
                      <w:color w:val="000000"/>
                    </w:rPr>
                  </w:pPr>
                  <w:sdt>
                    <w:sdtPr>
                      <w:alias w:val="Numeris"/>
                      <w:tag w:val="nr_467b3a7c4fb244f090477221eebbec9d"/>
                      <w:lock w:val="sdtLocked"/>
                      <w:richText/>
                    </w:sdtPr>
                    <w:sdtContent>
                      <w:r>
                        <w:rPr>
                          <w:color w:val="000000"/>
                        </w:rPr>
                        <w:t>29</w:t>
                      </w:r>
                    </w:sdtContent>
                  </w:sdt>
                  <w:r>
                    <w:rPr>
                      <w:color w:val="000000"/>
                    </w:rPr>
                    <w:t xml:space="preserve">. Kiekvieno mėnesio </w:t>
                  </w:r>
                  <w:r>
                    <w:rPr>
                      <w:i/>
                      <w:color w:val="000000"/>
                    </w:rPr>
                    <w:t xml:space="preserve">„m“ </w:t>
                  </w:r>
                  <w:r>
                    <w:rPr>
                      <w:color w:val="000000"/>
                    </w:rPr>
                    <w:t xml:space="preserve">skaičiuojamieji </w:t>
                  </w:r>
                  <w:r>
                    <w:rPr>
                      <w:i/>
                      <w:color w:val="000000"/>
                    </w:rPr>
                    <w:t>Q</w:t>
                  </w:r>
                  <w:r>
                    <w:rPr>
                      <w:i/>
                      <w:color w:val="000000"/>
                      <w:vertAlign w:val="subscript"/>
                    </w:rPr>
                    <w:t>C.vent,m</w:t>
                  </w:r>
                  <w:r>
                    <w:rPr>
                      <w:color w:val="000000"/>
                    </w:rPr>
                    <w:t xml:space="preserve"> (kWh/(m</w:t>
                  </w:r>
                  <w:r>
                    <w:rPr>
                      <w:color w:val="000000"/>
                      <w:vertAlign w:val="superscript"/>
                    </w:rPr>
                    <w:t>2</w:t>
                  </w:r>
                  <w:r>
                    <w:rPr>
                      <w:color w:val="000000"/>
                    </w:rPr>
                    <w:t>·mėn.)) šilumos nuostoliai dėl pastato vėdinimo, pagal kuriuos skaičiuojami energijos poreikiai pastatui vėsinti, apskaičiuojami taip:</w:t>
                  </w:r>
                </w:p>
                <w:p>
                  <w:pPr>
                    <w:ind w:firstLine="570"/>
                    <w:rPr>
                      <w:color w:val="000000"/>
                    </w:rPr>
                  </w:pPr>
                  <w:r>
                    <w:rPr>
                      <w:color w:val="000000"/>
                    </w:rPr>
                    <w:t xml:space="preserve">- jei </w:t>
                  </w:r>
                  <w:r>
                    <w:rPr>
                      <w:i/>
                      <w:color w:val="000000"/>
                    </w:rPr>
                    <w:t>ν</w:t>
                  </w:r>
                  <w:r>
                    <w:rPr>
                      <w:i/>
                      <w:color w:val="000000"/>
                      <w:vertAlign w:val="subscript"/>
                    </w:rPr>
                    <w:t>inf,m</w:t>
                  </w:r>
                  <w:r>
                    <w:rPr>
                      <w:color w:val="000000"/>
                    </w:rPr>
                    <w:t>+</w:t>
                  </w:r>
                  <w:r>
                    <w:rPr>
                      <w:i/>
                      <w:color w:val="000000"/>
                    </w:rPr>
                    <w:t>ν</w:t>
                  </w:r>
                  <w:r>
                    <w:rPr>
                      <w:i/>
                      <w:color w:val="000000"/>
                      <w:vertAlign w:val="subscript"/>
                    </w:rPr>
                    <w:t>do,m</w:t>
                  </w:r>
                  <w:r>
                    <w:rPr>
                      <w:color w:val="000000"/>
                    </w:rPr>
                    <w:t xml:space="preserve"> &lt;</w:t>
                  </w:r>
                  <w:r>
                    <w:rPr>
                      <w:i/>
                      <w:color w:val="000000"/>
                    </w:rPr>
                    <w:t>v</w:t>
                  </w:r>
                  <w:r>
                    <w:rPr>
                      <w:color w:val="000000"/>
                      <w:vertAlign w:val="subscript"/>
                    </w:rPr>
                    <w:t>o</w:t>
                  </w:r>
                  <w:r>
                    <w:rPr>
                      <w:color w:val="000000"/>
                    </w:rPr>
                    <w:t xml:space="preserve">, </w:t>
                  </w:r>
                </w:p>
                <w:tbl>
                  <w:tblPr>
                    <w:tblW w:w="0" w:type="auto"/>
                    <w:tblLook w:val="01E0" w:firstRow="1" w:lastRow="1" w:firstColumn="1" w:lastColumn="1" w:noHBand="0" w:noVBand="0"/>
                  </w:tblPr>
                  <w:tblGrid>
                    <w:gridCol w:w="8568"/>
                    <w:gridCol w:w="1002"/>
                  </w:tblGrid>
                  <w:tr>
                    <w:tc>
                      <w:tcPr>
                        <w:tcW w:w="8568" w:type="dxa"/>
                        <w:vAlign w:val="center"/>
                        <w:hideMark/>
                      </w:tcPr>
                      <w:p>
                        <w:pPr>
                          <w:spacing w:line="276" w:lineRule="auto"/>
                          <w:jc w:val="center"/>
                          <w:rPr>
                            <w:rFonts w:eastAsia="Calibri"/>
                            <w:bCs/>
                            <w:color w:val="000000"/>
                            <w:szCs w:val="22"/>
                          </w:rPr>
                        </w:pPr>
                        <w:r>
                          <w:rPr>
                            <w:rFonts w:eastAsia="Calibri"/>
                            <w:color w:val="000000"/>
                            <w:position w:val="-14"/>
                            <w:szCs w:val="22"/>
                          </w:rPr>
                          <w:object w:dxaOrig="4700" w:dyaOrig="400">
                            <v:shape id="_x0000_i1142" type="#_x0000_t75" style="width:233.8pt;height:20.2pt" o:ole="">
                              <v:imagedata r:id="rId516" o:title=""/>
                            </v:shape>
                            <o:OLEObject Type="Embed" ProgID="Equation.3" ShapeID="_x0000_i1142" DrawAspect="Content" ObjectID="_0000000001" r:id="rId517"/>
                          </w:object>
                        </w:r>
                        <w:r>
                          <w:rPr>
                            <w:color w:val="000000"/>
                          </w:rPr>
                          <w:t>;</w:t>
                        </w:r>
                      </w:p>
                    </w:tc>
                    <w:tc>
                      <w:tcPr>
                        <w:tcW w:w="1002" w:type="dxa"/>
                        <w:vAlign w:val="center"/>
                        <w:hideMark/>
                      </w:tcPr>
                      <w:p>
                        <w:pPr>
                          <w:spacing w:line="276" w:lineRule="auto"/>
                          <w:jc w:val="right"/>
                          <w:rPr>
                            <w:rFonts w:eastAsia="Calibri"/>
                            <w:bCs/>
                            <w:color w:val="000000"/>
                            <w:szCs w:val="22"/>
                          </w:rPr>
                        </w:pPr>
                        <w:r>
                          <w:rPr>
                            <w:bCs/>
                            <w:color w:val="000000"/>
                          </w:rPr>
                          <w:t>(2.110)</w:t>
                        </w:r>
                      </w:p>
                    </w:tc>
                  </w:tr>
                </w:tbl>
                <w:p>
                  <w:pPr>
                    <w:ind w:firstLine="570"/>
                    <w:rPr>
                      <w:rFonts w:eastAsia="Calibri"/>
                      <w:color w:val="000000"/>
                      <w:szCs w:val="22"/>
                    </w:rPr>
                  </w:pPr>
                  <w:r>
                    <w:rPr>
                      <w:color w:val="000000"/>
                    </w:rPr>
                    <w:t xml:space="preserve">- jei </w:t>
                  </w:r>
                  <w:r>
                    <w:rPr>
                      <w:i/>
                      <w:color w:val="000000"/>
                    </w:rPr>
                    <w:t>ν</w:t>
                  </w:r>
                  <w:r>
                    <w:rPr>
                      <w:i/>
                      <w:color w:val="000000"/>
                      <w:vertAlign w:val="subscript"/>
                    </w:rPr>
                    <w:t>inf,m</w:t>
                  </w:r>
                  <w:r>
                    <w:rPr>
                      <w:color w:val="000000"/>
                    </w:rPr>
                    <w:t>+</w:t>
                  </w:r>
                  <w:r>
                    <w:rPr>
                      <w:i/>
                      <w:color w:val="000000"/>
                    </w:rPr>
                    <w:t>ν</w:t>
                  </w:r>
                  <w:r>
                    <w:rPr>
                      <w:i/>
                      <w:color w:val="000000"/>
                      <w:vertAlign w:val="subscript"/>
                    </w:rPr>
                    <w:t>do,m</w:t>
                  </w:r>
                  <w:r>
                    <w:rPr>
                      <w:color w:val="000000"/>
                    </w:rPr>
                    <w:t xml:space="preserve"> </w:t>
                    <w:sym w:font="Symbol" w:char="F0B3"/>
                  </w:r>
                  <w:r>
                    <w:rPr>
                      <w:i/>
                      <w:color w:val="000000"/>
                    </w:rPr>
                    <w:t>v</w:t>
                  </w:r>
                  <w:r>
                    <w:rPr>
                      <w:color w:val="000000"/>
                      <w:vertAlign w:val="subscript"/>
                    </w:rPr>
                    <w:t>o</w:t>
                  </w:r>
                  <w:r>
                    <w:rPr>
                      <w:color w:val="000000"/>
                    </w:rPr>
                    <w:t>,</w:t>
                  </w:r>
                </w:p>
                <w:tbl>
                  <w:tblPr>
                    <w:tblW w:w="0" w:type="auto"/>
                    <w:tblLook w:val="01E0" w:firstRow="1" w:lastRow="1" w:firstColumn="1" w:lastColumn="1" w:noHBand="0" w:noVBand="0"/>
                  </w:tblPr>
                  <w:tblGrid>
                    <w:gridCol w:w="8568"/>
                    <w:gridCol w:w="1002"/>
                  </w:tblGrid>
                  <w:tr>
                    <w:tc>
                      <w:tcPr>
                        <w:tcW w:w="8568" w:type="dxa"/>
                        <w:vAlign w:val="center"/>
                        <w:hideMark/>
                      </w:tcPr>
                      <w:p>
                        <w:pPr>
                          <w:spacing w:line="276" w:lineRule="auto"/>
                          <w:jc w:val="center"/>
                          <w:rPr>
                            <w:rFonts w:eastAsia="Calibri"/>
                            <w:bCs/>
                            <w:color w:val="000000"/>
                            <w:szCs w:val="22"/>
                          </w:rPr>
                        </w:pPr>
                        <w:r>
                          <w:rPr>
                            <w:rFonts w:eastAsia="Calibri"/>
                            <w:color w:val="000000"/>
                            <w:position w:val="-14"/>
                            <w:szCs w:val="22"/>
                          </w:rPr>
                          <w:object w:dxaOrig="5710" w:dyaOrig="400">
                            <v:shape id="_x0000_i1143" type="#_x0000_t75" style="width:286.4pt;height:20.2pt" o:ole="">
                              <v:imagedata r:id="rId518" o:title=""/>
                            </v:shape>
                            <o:OLEObject Type="Embed" ProgID="Equation.3" ShapeID="_x0000_i1143" DrawAspect="Content" ObjectID="_0000000001" r:id="rId519"/>
                          </w:object>
                        </w:r>
                        <w:r>
                          <w:rPr>
                            <w:color w:val="000000"/>
                          </w:rPr>
                          <w:t>.</w:t>
                        </w:r>
                      </w:p>
                    </w:tc>
                    <w:tc>
                      <w:tcPr>
                        <w:tcW w:w="1002" w:type="dxa"/>
                        <w:vAlign w:val="center"/>
                        <w:hideMark/>
                      </w:tcPr>
                      <w:p>
                        <w:pPr>
                          <w:spacing w:line="276" w:lineRule="auto"/>
                          <w:jc w:val="right"/>
                          <w:rPr>
                            <w:rFonts w:eastAsia="Calibri"/>
                            <w:bCs/>
                            <w:color w:val="000000"/>
                            <w:szCs w:val="22"/>
                          </w:rPr>
                        </w:pPr>
                        <w:r>
                          <w:rPr>
                            <w:bCs/>
                            <w:color w:val="000000"/>
                          </w:rPr>
                          <w:t>(2.111)</w:t>
                        </w:r>
                      </w:p>
                    </w:tc>
                  </w:tr>
                </w:tbl>
                <w:p>
                  <w:pPr>
                    <w:ind w:firstLine="570"/>
                    <w:rPr>
                      <w:rFonts w:eastAsia="Calibri"/>
                      <w:color w:val="000000"/>
                      <w:szCs w:val="22"/>
                    </w:rPr>
                  </w:pPr>
                </w:p>
              </w:sdtContent>
            </w:sdt>
          </w:sdtContent>
        </w:sdt>
        <w:sdt>
          <w:sdtPr>
            <w:alias w:val="skyrius"/>
            <w:tag w:val="part_114f378068f54b02bbd1798d1d64bb24"/>
            <w:lock w:val="sdtLocked"/>
            <w:richText/>
          </w:sdtPr>
          <w:sdtContent>
            <w:p>
              <w:pPr>
                <w:keepNext/>
                <w:keepLines/>
                <w:jc w:val="center"/>
                <w:outlineLvl w:val="2"/>
                <w:rPr>
                  <w:b/>
                  <w:bCs/>
                </w:rPr>
              </w:pPr>
              <w:sdt>
                <w:sdtPr>
                  <w:alias w:val="Numeris"/>
                  <w:tag w:val="nr_114f378068f54b02bbd1798d1d64bb24"/>
                  <w:lock w:val="sdtLocked"/>
                  <w:richText/>
                </w:sdtPr>
                <w:sdtContent>
                  <w:r>
                    <w:rPr>
                      <w:b/>
                      <w:bCs/>
                    </w:rPr>
                    <w:t>XII</w:t>
                  </w:r>
                </w:sdtContent>
              </w:sdt>
              <w:r>
                <w:rPr>
                  <w:b/>
                  <w:bCs/>
                </w:rPr>
                <w:t xml:space="preserve"> skyrius</w:t>
              </w:r>
            </w:p>
            <w:p>
              <w:pPr>
                <w:keepNext/>
                <w:keepLines/>
                <w:jc w:val="center"/>
                <w:outlineLvl w:val="2"/>
                <w:rPr>
                  <w:b/>
                  <w:bCs/>
                </w:rPr>
              </w:pPr>
              <w:sdt>
                <w:sdtPr>
                  <w:alias w:val="Pavadinimas"/>
                  <w:tag w:val="title_114f378068f54b02bbd1798d1d64bb24"/>
                  <w:lock w:val="sdtLocked"/>
                  <w:richText/>
                </w:sdtPr>
                <w:sdtContent>
                  <w:r>
                    <w:rPr>
                      <w:b/>
                      <w:bCs/>
                    </w:rPr>
                    <w:t xml:space="preserve">Vėdinimo sistemų su oro pašildymu mėnesinių šiluminės energijos sąnaudų pastatui šildyti skaičiavimas </w:t>
                  </w:r>
                </w:sdtContent>
              </w:sdt>
            </w:p>
            <w:p>
              <w:pPr>
                <w:ind w:firstLine="567"/>
              </w:pPr>
            </w:p>
            <w:sdt>
              <w:sdtPr>
                <w:alias w:val="2 pr. 30 p."/>
                <w:tag w:val="part_4b84196053b8425f8da87a72fef82b92"/>
                <w:lock w:val="sdtLocked"/>
                <w:richText/>
              </w:sdtPr>
              <w:sdtContent>
                <w:p>
                  <w:pPr>
                    <w:tabs>
                      <w:tab w:val="left" w:pos="851"/>
                      <w:tab w:val="left" w:pos="993"/>
                      <w:tab w:val="left" w:pos="1134"/>
                    </w:tabs>
                    <w:suppressAutoHyphens/>
                    <w:ind w:firstLine="567"/>
                    <w:jc w:val="both"/>
                    <w:rPr>
                      <w:color w:val="000000"/>
                      <w:lang w:eastAsia="lt-LT"/>
                    </w:rPr>
                  </w:pPr>
                  <w:sdt>
                    <w:sdtPr>
                      <w:alias w:val="Numeris"/>
                      <w:tag w:val="nr_4b84196053b8425f8da87a72fef82b92"/>
                      <w:lock w:val="sdtLocked"/>
                      <w:richText/>
                    </w:sdtPr>
                    <w:sdtContent>
                      <w:r>
                        <w:rPr>
                          <w:color w:val="000000"/>
                          <w:lang w:eastAsia="lt-LT"/>
                        </w:rPr>
                        <w:t>30</w:t>
                      </w:r>
                    </w:sdtContent>
                  </w:sdt>
                  <w:r>
                    <w:rPr>
                      <w:color w:val="000000"/>
                      <w:lang w:eastAsia="lt-LT"/>
                    </w:rPr>
                    <w:t xml:space="preserve">. Atitinkamos „x“ pastato mechaninio vėdinimo be rekuperacijos sistemos, kurioje yra oro pašildymas, skaičiuojamosios mėnesinės šiluminės energijos sąnaudos į pastato vidų tiekiamam išorės orui sušildyti iki patalpų temperatūros </w:t>
                  </w:r>
                  <w:r>
                    <w:rPr>
                      <w:i/>
                      <w:color w:val="000000"/>
                      <w:lang w:eastAsia="lt-LT"/>
                    </w:rPr>
                    <w:t>Q</w:t>
                  </w:r>
                  <w:r>
                    <w:rPr>
                      <w:i/>
                      <w:color w:val="000000"/>
                      <w:vertAlign w:val="subscript"/>
                      <w:lang w:eastAsia="lt-LT"/>
                    </w:rPr>
                    <w:t>H2.vent.mvH,m,x</w:t>
                  </w:r>
                  <w:r>
                    <w:rPr>
                      <w:color w:val="000000"/>
                      <w:lang w:eastAsia="lt-LT"/>
                    </w:rPr>
                    <w:t xml:space="preserve"> (kWh/(m²·mėn.)) apskaičiuojamos taip:</w:t>
                  </w:r>
                </w:p>
                <w:tbl>
                  <w:tblPr>
                    <w:tblW w:w="0" w:type="auto"/>
                    <w:tblLook w:val="01E0" w:firstRow="1" w:lastRow="1" w:firstColumn="1" w:lastColumn="1" w:noHBand="0" w:noVBand="0"/>
                  </w:tblPr>
                  <w:tblGrid>
                    <w:gridCol w:w="8568"/>
                    <w:gridCol w:w="1002"/>
                  </w:tblGrid>
                  <w:tr>
                    <w:tc>
                      <w:tcPr>
                        <w:tcW w:w="8568" w:type="dxa"/>
                        <w:vAlign w:val="center"/>
                      </w:tcPr>
                      <w:p>
                        <w:pPr>
                          <w:suppressAutoHyphens/>
                          <w:rPr>
                            <w:color w:val="000000"/>
                            <w:sz w:val="10"/>
                            <w:szCs w:val="10"/>
                            <w:lang w:eastAsia="lt-LT"/>
                          </w:rPr>
                        </w:pPr>
                      </w:p>
                      <w:p>
                        <w:pPr>
                          <w:suppressAutoHyphens/>
                          <w:spacing w:line="360" w:lineRule="auto"/>
                          <w:ind w:left="850" w:hanging="850"/>
                          <w:jc w:val="center"/>
                          <w:rPr>
                            <w:rFonts w:eastAsia="Calibri"/>
                            <w:bCs/>
                            <w:color w:val="000000"/>
                            <w:szCs w:val="22"/>
                            <w:lang w:eastAsia="lt-LT"/>
                          </w:rPr>
                        </w:pPr>
                        <w:r>
                          <w:rPr>
                            <w:rFonts w:eastAsia="Calibri"/>
                            <w:color w:val="000000"/>
                            <w:position w:val="-32"/>
                            <w:szCs w:val="22"/>
                            <w:lang w:eastAsia="lt-LT"/>
                          </w:rPr>
                          <w:object w:dxaOrig="7760" w:dyaOrig="710">
                            <v:shape id="_x0000_i1144" type="#_x0000_t75" style="width:387.5pt;height:35.6pt" o:ole="">
                              <v:imagedata r:id="rId520" o:title=""/>
                            </v:shape>
                            <o:OLEObject Type="Embed" ProgID="Equation.3" ShapeID="_x0000_i1144" DrawAspect="Content" ObjectID="_0000000001" r:id="rId521"/>
                          </w:object>
                        </w:r>
                        <w:r>
                          <w:rPr>
                            <w:color w:val="000000"/>
                            <w:lang w:eastAsia="lt-LT"/>
                          </w:rPr>
                          <w:t>;</w:t>
                        </w:r>
                      </w:p>
                    </w:tc>
                    <w:tc>
                      <w:tcPr>
                        <w:tcW w:w="1002" w:type="dxa"/>
                        <w:vAlign w:val="center"/>
                      </w:tcPr>
                      <w:p>
                        <w:pPr>
                          <w:suppressAutoHyphens/>
                          <w:rPr>
                            <w:color w:val="000000"/>
                            <w:sz w:val="10"/>
                            <w:szCs w:val="10"/>
                            <w:lang w:eastAsia="lt-LT"/>
                          </w:rPr>
                        </w:pPr>
                      </w:p>
                      <w:p>
                        <w:pPr>
                          <w:suppressAutoHyphens/>
                          <w:spacing w:line="360" w:lineRule="auto"/>
                          <w:ind w:left="850" w:hanging="850"/>
                          <w:jc w:val="right"/>
                          <w:rPr>
                            <w:bCs/>
                            <w:color w:val="000000"/>
                            <w:lang w:eastAsia="lt-LT"/>
                          </w:rPr>
                        </w:pPr>
                      </w:p>
                      <w:p>
                        <w:pPr>
                          <w:suppressAutoHyphens/>
                          <w:spacing w:line="360" w:lineRule="auto"/>
                          <w:ind w:left="850" w:hanging="850"/>
                          <w:jc w:val="right"/>
                          <w:rPr>
                            <w:rFonts w:eastAsia="Calibri"/>
                            <w:bCs/>
                            <w:color w:val="000000"/>
                            <w:szCs w:val="22"/>
                            <w:lang w:eastAsia="lt-LT"/>
                          </w:rPr>
                        </w:pPr>
                        <w:r>
                          <w:rPr>
                            <w:bCs/>
                            <w:color w:val="000000"/>
                            <w:lang w:eastAsia="lt-LT"/>
                          </w:rPr>
                          <w:t>(2.112)</w:t>
                        </w:r>
                      </w:p>
                    </w:tc>
                  </w:tr>
                </w:tbl>
                <w:p>
                  <w:pPr>
                    <w:tabs>
                      <w:tab w:val="left" w:pos="567"/>
                    </w:tabs>
                    <w:suppressAutoHyphens/>
                    <w:jc w:val="both"/>
                    <w:rPr>
                      <w:color w:val="000000"/>
                      <w:lang w:eastAsia="lt-LT"/>
                    </w:rPr>
                  </w:pPr>
                  <w:r>
                    <w:rPr>
                      <w:color w:val="000000"/>
                      <w:lang w:eastAsia="lt-LT"/>
                    </w:rPr>
                    <w:t>čia:</w:t>
                    <w:tab/>
                  </w:r>
                  <w:r>
                    <w:rPr>
                      <w:szCs w:val="24"/>
                      <w:lang w:eastAsia="lt-LT"/>
                    </w:rPr>
                    <w:t xml:space="preserve">jeigu </w:t>
                  </w:r>
                  <w:r>
                    <w:rPr>
                      <w:i/>
                      <w:szCs w:val="24"/>
                      <w:lang w:eastAsia="lt-LT"/>
                    </w:rPr>
                    <w:t>Q</w:t>
                  </w:r>
                  <w:r>
                    <w:rPr>
                      <w:i/>
                      <w:szCs w:val="24"/>
                      <w:vertAlign w:val="subscript"/>
                      <w:lang w:eastAsia="lt-LT"/>
                    </w:rPr>
                    <w:t>H,m</w:t>
                  </w:r>
                  <w:r>
                    <w:rPr>
                      <w:szCs w:val="24"/>
                      <w:lang w:eastAsia="lt-LT"/>
                    </w:rPr>
                    <w:t xml:space="preserve">, apskaičiuotas pagal (2.169) formulę, mažesnis už 0,1, tada </w:t>
                  </w:r>
                  <w:r>
                    <w:rPr>
                      <w:i/>
                      <w:szCs w:val="24"/>
                      <w:lang w:eastAsia="lt-LT"/>
                    </w:rPr>
                    <w:t>Q</w:t>
                  </w:r>
                  <w:r>
                    <w:rPr>
                      <w:i/>
                      <w:szCs w:val="24"/>
                      <w:vertAlign w:val="subscript"/>
                      <w:lang w:eastAsia="lt-LT"/>
                    </w:rPr>
                    <w:t>H2.vent.mvH,m,x</w:t>
                  </w:r>
                  <w:r>
                    <w:rPr>
                      <w:szCs w:val="24"/>
                      <w:lang w:eastAsia="lt-LT"/>
                    </w:rPr>
                    <w:t xml:space="preserve"> = 0;</w:t>
                  </w:r>
                </w:p>
                <w:p>
                  <w:pPr>
                    <w:tabs>
                      <w:tab w:val="left" w:pos="567"/>
                    </w:tabs>
                    <w:suppressAutoHyphens/>
                    <w:jc w:val="both"/>
                    <w:rPr>
                      <w:color w:val="000000"/>
                      <w:lang w:eastAsia="lt-LT"/>
                    </w:rPr>
                  </w:pPr>
                  <w:r>
                    <w:rPr>
                      <w:i/>
                      <w:color w:val="000000"/>
                      <w:lang w:eastAsia="lt-LT"/>
                    </w:rPr>
                    <w:t>η</w:t>
                  </w:r>
                  <w:r>
                    <w:rPr>
                      <w:i/>
                      <w:color w:val="000000"/>
                      <w:vertAlign w:val="subscript"/>
                      <w:lang w:eastAsia="lt-LT"/>
                    </w:rPr>
                    <w:t>mvH.air,x</w:t>
                  </w:r>
                  <w:r>
                    <w:rPr>
                      <w:i/>
                      <w:color w:val="000000"/>
                      <w:lang w:eastAsia="lt-LT"/>
                    </w:rPr>
                    <w:t xml:space="preserve"> </w:t>
                  </w:r>
                  <w:r>
                    <w:rPr>
                      <w:color w:val="000000"/>
                      <w:lang w:eastAsia="lt-LT"/>
                    </w:rPr>
                    <w:t>– atitinkamos „</w:t>
                  </w:r>
                  <w:r>
                    <w:rPr>
                      <w:i/>
                      <w:color w:val="000000"/>
                      <w:lang w:eastAsia="lt-LT"/>
                    </w:rPr>
                    <w:t>x</w:t>
                  </w:r>
                  <w:r>
                    <w:rPr>
                      <w:color w:val="000000"/>
                      <w:lang w:eastAsia="lt-LT"/>
                    </w:rPr>
                    <w:t>“ mechaninio vėdinimo</w:t>
                  </w:r>
                  <w:r>
                    <w:rPr>
                      <w:szCs w:val="24"/>
                      <w:lang w:eastAsia="lt-LT"/>
                    </w:rPr>
                    <w:t xml:space="preserve"> su rekuperacija</w:t>
                  </w:r>
                  <w:r>
                    <w:rPr>
                      <w:color w:val="000000"/>
                      <w:lang w:eastAsia="lt-LT"/>
                    </w:rPr>
                    <w:t xml:space="preserve"> sistemos, kurioje yra į patalpas tiekiamo oro pašildymas, oro pašildymui naudojamo šilumos šaltinio skaičiuojamasis naudingumo koeficientas, vieneto dalys. Nesant duomenų, imamas iš 2.16 lentelės;</w:t>
                  </w:r>
                </w:p>
                <w:p>
                  <w:pPr>
                    <w:tabs>
                      <w:tab w:val="left" w:pos="567"/>
                    </w:tabs>
                    <w:suppressAutoHyphens/>
                    <w:jc w:val="both"/>
                    <w:rPr>
                      <w:rFonts w:eastAsia="Calibri"/>
                      <w:color w:val="000000"/>
                      <w:szCs w:val="22"/>
                      <w:lang w:eastAsia="lt-LT"/>
                    </w:rPr>
                  </w:pPr>
                  <w:r>
                    <w:rPr>
                      <w:color w:val="000000"/>
                      <w:lang w:eastAsia="lt-LT"/>
                    </w:rPr>
                    <w:t xml:space="preserve">4–8 mėnesiais imama </w:t>
                  </w:r>
                  <w:r>
                    <w:rPr>
                      <w:i/>
                      <w:szCs w:val="24"/>
                      <w:lang w:eastAsia="lt-LT"/>
                    </w:rPr>
                    <w:t>Q</w:t>
                  </w:r>
                  <w:r>
                    <w:rPr>
                      <w:i/>
                      <w:szCs w:val="24"/>
                      <w:vertAlign w:val="subscript"/>
                      <w:lang w:eastAsia="lt-LT"/>
                    </w:rPr>
                    <w:t>H2.vent.mvH,m,x</w:t>
                  </w:r>
                  <w:r>
                    <w:rPr>
                      <w:szCs w:val="24"/>
                      <w:lang w:eastAsia="lt-LT"/>
                    </w:rPr>
                    <w:t xml:space="preserve"> = 0.</w:t>
                  </w:r>
                </w:p>
                <w:p>
                  <w:pPr>
                    <w:suppressAutoHyphens/>
                    <w:ind w:firstLine="567"/>
                    <w:jc w:val="both"/>
                    <w:rPr>
                      <w:color w:val="000000"/>
                      <w:lang w:eastAsia="lt-LT"/>
                    </w:rPr>
                  </w:pPr>
                  <w:r>
                    <w:rPr>
                      <w:color w:val="000000"/>
                      <w:lang w:eastAsia="lt-LT"/>
                    </w:rPr>
                    <w:t xml:space="preserve">Visų pastato mechaninio vėdinimo be rekuperacijos sistemų, kuriose yra oro pašildymas, skaičiuojamosios mėnesinės šiluminės energijos sąnaudos į pastato vidų tiekiamam išorės orui sušildyti iki patalpų temperatūros </w:t>
                  </w:r>
                  <w:r>
                    <w:rPr>
                      <w:i/>
                      <w:color w:val="000000"/>
                      <w:lang w:eastAsia="lt-LT"/>
                    </w:rPr>
                    <w:t>Q</w:t>
                  </w:r>
                  <w:r>
                    <w:rPr>
                      <w:i/>
                      <w:color w:val="000000"/>
                      <w:vertAlign w:val="subscript"/>
                      <w:lang w:eastAsia="lt-LT"/>
                    </w:rPr>
                    <w:t>H2.vent.mvH,m</w:t>
                  </w:r>
                  <w:r>
                    <w:rPr>
                      <w:color w:val="000000"/>
                      <w:lang w:eastAsia="lt-LT"/>
                    </w:rPr>
                    <w:t xml:space="preserve"> (kWh/(m²·mėn.)) apskaičiuojamos taip:</w:t>
                  </w:r>
                </w:p>
                <w:tbl>
                  <w:tblPr>
                    <w:tblW w:w="0" w:type="auto"/>
                    <w:tblLook w:val="01E0" w:firstRow="1" w:lastRow="1" w:firstColumn="1" w:lastColumn="1" w:noHBand="0" w:noVBand="0"/>
                  </w:tblPr>
                  <w:tblGrid>
                    <w:gridCol w:w="8568"/>
                    <w:gridCol w:w="1083"/>
                  </w:tblGrid>
                  <w:tr>
                    <w:tc>
                      <w:tcPr>
                        <w:tcW w:w="8568" w:type="dxa"/>
                        <w:vAlign w:val="center"/>
                      </w:tcPr>
                      <w:p>
                        <w:pPr>
                          <w:suppressAutoHyphens/>
                          <w:spacing w:line="360" w:lineRule="auto"/>
                          <w:ind w:left="850" w:hanging="850"/>
                          <w:jc w:val="center"/>
                          <w:rPr>
                            <w:rFonts w:eastAsia="Calibri"/>
                            <w:bCs/>
                            <w:color w:val="000000"/>
                            <w:szCs w:val="22"/>
                            <w:lang w:eastAsia="lt-LT"/>
                          </w:rPr>
                        </w:pPr>
                        <w:r>
                          <w:rPr>
                            <w:rFonts w:eastAsia="Calibri"/>
                            <w:color w:val="000000"/>
                            <w:position w:val="-24"/>
                            <w:szCs w:val="22"/>
                            <w:lang w:eastAsia="lt-LT"/>
                          </w:rPr>
                          <w:object w:dxaOrig="3230" w:dyaOrig="600">
                            <v:shape id="_x0000_i1145" type="#_x0000_t75" style="width:160.2pt;height:29.95pt" o:ole="">
                              <v:imagedata r:id="rId522" o:title=""/>
                            </v:shape>
                            <o:OLEObject Type="Embed" ProgID="Equation.3" ShapeID="_x0000_i1145" DrawAspect="Content" ObjectID="_0000000001" r:id="rId523"/>
                          </w:object>
                        </w:r>
                        <w:r>
                          <w:rPr>
                            <w:color w:val="000000"/>
                            <w:lang w:eastAsia="lt-LT"/>
                          </w:rPr>
                          <w:t>.</w:t>
                        </w:r>
                      </w:p>
                    </w:tc>
                    <w:tc>
                      <w:tcPr>
                        <w:tcW w:w="1083" w:type="dxa"/>
                        <w:vAlign w:val="center"/>
                      </w:tcPr>
                      <w:p>
                        <w:pPr>
                          <w:suppressAutoHyphens/>
                          <w:rPr>
                            <w:color w:val="000000"/>
                            <w:sz w:val="10"/>
                            <w:szCs w:val="10"/>
                            <w:lang w:eastAsia="lt-LT"/>
                          </w:rPr>
                        </w:pPr>
                      </w:p>
                      <w:p>
                        <w:pPr>
                          <w:suppressAutoHyphens/>
                          <w:spacing w:line="360" w:lineRule="auto"/>
                          <w:ind w:left="850" w:hanging="850"/>
                          <w:jc w:val="right"/>
                          <w:rPr>
                            <w:rFonts w:eastAsia="Calibri"/>
                            <w:bCs/>
                            <w:color w:val="000000"/>
                            <w:szCs w:val="22"/>
                            <w:lang w:eastAsia="lt-LT"/>
                          </w:rPr>
                        </w:pPr>
                        <w:r>
                          <w:rPr>
                            <w:bCs/>
                            <w:color w:val="000000"/>
                            <w:lang w:eastAsia="lt-LT"/>
                          </w:rPr>
                          <w:t>(2.113)</w:t>
                        </w:r>
                      </w:p>
                    </w:tc>
                  </w:tr>
                </w:tbl>
                <w:p>
                  <w:pPr>
                    <w:rPr>
                      <w:rFonts w:eastAsia="MS Mincho"/>
                      <w:i/>
                      <w:iCs/>
                      <w:sz w:val="20"/>
                    </w:rPr>
                  </w:pPr>
                  <w:r>
                    <w:rPr>
                      <w:rFonts w:eastAsia="MS Mincho"/>
                      <w:i/>
                      <w:iCs/>
                      <w:sz w:val="20"/>
                    </w:rPr>
                    <w:t>Punkto pakeitimai:</w:t>
                  </w:r>
                </w:p>
                <w:p>
                  <w:r>
                    <w:rPr>
                      <w:rFonts w:eastAsia="MS Mincho"/>
                      <w:i/>
                      <w:iCs/>
                      <w:sz w:val="20"/>
                    </w:rPr>
                    <w:t xml:space="preserve">Nr. </w:t>
                  </w:r>
                  <w:hyperlink r:id="rId524" w:history="1">
                    <w:r>
                      <w:rPr>
                        <w:rFonts w:eastAsia="MS Mincho"/>
                        <w:i/>
                        <w:iCs/>
                        <w:color w:val="0000FF"/>
                        <w:sz w:val="20"/>
                        <w:u w:val="single"/>
                      </w:rPr>
                      <w:t>D1-23</w:t>
                    </w:r>
                  </w:hyperlink>
                  <w:r>
                    <w:rPr>
                      <w:rFonts w:eastAsia="MS Mincho"/>
                      <w:i/>
                      <w:iCs/>
                      <w:sz w:val="20"/>
                    </w:rPr>
                    <w:t>, 2019-01-11, paskelbta TAR 2019-01-14, i. k. 2019-00444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
              <w:sdtPr>
                <w:alias w:val="2 pr. 31 p."/>
                <w:tag w:val="part_f7173c7402164a1d874033f800b8fef4"/>
                <w:lock w:val="sdtLocked"/>
                <w:richText/>
              </w:sdtPr>
              <w:sdtContent>
                <w:p>
                  <w:pPr>
                    <w:suppressAutoHyphens/>
                    <w:ind w:firstLine="567"/>
                    <w:jc w:val="both"/>
                    <w:rPr>
                      <w:szCs w:val="24"/>
                      <w:lang w:eastAsia="lt-LT"/>
                    </w:rPr>
                  </w:pPr>
                  <w:sdt>
                    <w:sdtPr>
                      <w:alias w:val="Numeris"/>
                      <w:tag w:val="nr_f7173c7402164a1d874033f800b8fef4"/>
                      <w:lock w:val="sdtLocked"/>
                      <w:richText/>
                    </w:sdtPr>
                    <w:sdtContent>
                      <w:r>
                        <w:rPr>
                          <w:lang w:eastAsia="lt-LT"/>
                        </w:rPr>
                        <w:t>31</w:t>
                      </w:r>
                    </w:sdtContent>
                  </w:sdt>
                  <w:r>
                    <w:rPr>
                      <w:lang w:eastAsia="lt-LT"/>
                    </w:rPr>
                    <w:t xml:space="preserve">. </w:t>
                  </w:r>
                  <w:r>
                    <w:rPr>
                      <w:szCs w:val="24"/>
                      <w:lang w:eastAsia="lt-LT"/>
                    </w:rPr>
                    <w:t xml:space="preserve">Atitinkamos „x“ pastato mechaninio vėdinimo su rekuperacija sistemos, kurioje yra oro pašildymas, skaičiuojamosios mėnesinės šiluminės energijos sąnaudos į pastato vidų tiekiamam išorės orui sušildyti iki patalpų temperatūros </w:t>
                  </w:r>
                  <w:r>
                    <w:rPr>
                      <w:i/>
                      <w:szCs w:val="24"/>
                      <w:lang w:eastAsia="lt-LT"/>
                    </w:rPr>
                    <w:t>Q</w:t>
                  </w:r>
                  <w:r>
                    <w:rPr>
                      <w:i/>
                      <w:szCs w:val="24"/>
                      <w:vertAlign w:val="subscript"/>
                      <w:lang w:eastAsia="lt-LT"/>
                    </w:rPr>
                    <w:t>H2.vent.reH,m</w:t>
                  </w:r>
                  <w:r>
                    <w:rPr>
                      <w:szCs w:val="24"/>
                      <w:lang w:eastAsia="lt-LT"/>
                    </w:rPr>
                    <w:t xml:space="preserve"> (kWh/(m²·mėn.)) apskaičiuojamos taip:</w:t>
                  </w:r>
                </w:p>
                <w:p>
                  <w:pPr>
                    <w:suppressAutoHyphens/>
                    <w:jc w:val="both"/>
                    <w:rPr>
                      <w:rFonts w:eastAsia="Calibri"/>
                      <w:szCs w:val="24"/>
                      <w:lang w:eastAsia="lt-LT"/>
                    </w:rPr>
                  </w:pPr>
                </w:p>
                <w:tbl>
                  <w:tblPr>
                    <w:tblW w:w="5000" w:type="pct"/>
                    <w:tblLook w:val="01E0" w:firstRow="1" w:lastRow="1" w:firstColumn="1" w:lastColumn="1" w:noHBand="0" w:noVBand="0"/>
                  </w:tblPr>
                  <w:tblGrid>
                    <w:gridCol w:w="9080"/>
                    <w:gridCol w:w="916"/>
                  </w:tblGrid>
                  <w:tr>
                    <w:tc>
                      <w:tcPr>
                        <w:tcW w:w="4584" w:type="pct"/>
                        <w:vAlign w:val="center"/>
                      </w:tcPr>
                      <w:p>
                        <w:pPr>
                          <w:suppressAutoHyphens/>
                          <w:spacing w:line="360" w:lineRule="auto"/>
                          <w:ind w:left="850" w:hanging="850"/>
                          <w:jc w:val="center"/>
                          <w:rPr>
                            <w:rFonts w:eastAsia="Calibri"/>
                            <w:bCs/>
                            <w:szCs w:val="24"/>
                          </w:rPr>
                        </w:pPr>
                        <w:r>
                          <w:rPr>
                            <w:rFonts w:eastAsia="Calibri"/>
                            <w:position w:val="-32"/>
                            <w:szCs w:val="24"/>
                          </w:rPr>
                          <w:object w:dxaOrig="8565" w:dyaOrig="705">
                            <v:shape id="_x0000_i1148" type="#_x0000_t75" style="width:399.65pt;height:32.35pt" o:ole="">
                              <v:imagedata r:id="rId525" o:title=""/>
                            </v:shape>
                            <o:OLEObject Type="Embed" ProgID="Equation.3" ShapeID="_x0000_i1148" DrawAspect="Content" ObjectID="_0000000001" r:id="rId526"/>
                          </w:object>
                        </w:r>
                      </w:p>
                    </w:tc>
                    <w:tc>
                      <w:tcPr>
                        <w:tcW w:w="416" w:type="pct"/>
                        <w:vAlign w:val="center"/>
                      </w:tcPr>
                      <w:p>
                        <w:pPr>
                          <w:suppressAutoHyphens/>
                          <w:rPr>
                            <w:szCs w:val="24"/>
                            <w:lang w:eastAsia="lt-LT"/>
                          </w:rPr>
                        </w:pPr>
                      </w:p>
                      <w:p>
                        <w:pPr>
                          <w:suppressAutoHyphens/>
                          <w:spacing w:line="360" w:lineRule="auto"/>
                          <w:ind w:left="850" w:hanging="850"/>
                          <w:jc w:val="right"/>
                          <w:rPr>
                            <w:rFonts w:eastAsia="Calibri"/>
                            <w:bCs/>
                            <w:szCs w:val="24"/>
                          </w:rPr>
                        </w:pPr>
                        <w:r>
                          <w:rPr>
                            <w:bCs/>
                            <w:szCs w:val="24"/>
                            <w:lang w:eastAsia="lt-LT"/>
                          </w:rPr>
                          <w:t>(2.114)</w:t>
                        </w:r>
                      </w:p>
                    </w:tc>
                  </w:tr>
                </w:tbl>
                <w:p>
                  <w:pPr>
                    <w:tabs>
                      <w:tab w:val="left" w:pos="0"/>
                      <w:tab w:val="left" w:pos="426"/>
                      <w:tab w:val="left" w:pos="993"/>
                    </w:tabs>
                    <w:suppressAutoHyphens/>
                    <w:ind w:firstLine="567"/>
                    <w:jc w:val="both"/>
                    <w:rPr>
                      <w:szCs w:val="24"/>
                      <w:lang w:eastAsia="lt-LT"/>
                    </w:rPr>
                  </w:pPr>
                  <w:r>
                    <w:rPr>
                      <w:szCs w:val="24"/>
                      <w:lang w:eastAsia="lt-LT"/>
                    </w:rPr>
                    <w:t>čia:</w:t>
                    <w:tab/>
                    <w:t xml:space="preserve">jeigu </w:t>
                  </w:r>
                  <w:r>
                    <w:rPr>
                      <w:i/>
                      <w:szCs w:val="24"/>
                      <w:lang w:eastAsia="lt-LT"/>
                    </w:rPr>
                    <w:t>Q</w:t>
                  </w:r>
                  <w:r>
                    <w:rPr>
                      <w:i/>
                      <w:szCs w:val="24"/>
                      <w:vertAlign w:val="subscript"/>
                      <w:lang w:eastAsia="lt-LT"/>
                    </w:rPr>
                    <w:t>H,m</w:t>
                  </w:r>
                  <w:r>
                    <w:rPr>
                      <w:szCs w:val="24"/>
                      <w:lang w:eastAsia="lt-LT"/>
                    </w:rPr>
                    <w:t xml:space="preserve">, apskaičiuotas pagal (2.169) formulę, mažesnis už 0,1, tada </w:t>
                  </w:r>
                  <w:r>
                    <w:rPr>
                      <w:i/>
                      <w:szCs w:val="24"/>
                    </w:rPr>
                    <w:t>Q</w:t>
                  </w:r>
                  <w:r>
                    <w:rPr>
                      <w:i/>
                      <w:szCs w:val="24"/>
                      <w:vertAlign w:val="subscript"/>
                    </w:rPr>
                    <w:t>H2.vent.</w:t>
                  </w:r>
                  <w:r>
                    <w:rPr>
                      <w:i/>
                      <w:szCs w:val="24"/>
                      <w:u w:val="single"/>
                      <w:vertAlign w:val="subscript"/>
                    </w:rPr>
                    <w:t>mvH</w:t>
                  </w:r>
                  <w:r>
                    <w:rPr>
                      <w:i/>
                      <w:szCs w:val="24"/>
                      <w:vertAlign w:val="subscript"/>
                    </w:rPr>
                    <w:t>,m,x</w:t>
                  </w:r>
                  <w:r>
                    <w:rPr>
                      <w:szCs w:val="24"/>
                    </w:rPr>
                    <w:t xml:space="preserve"> </w:t>
                  </w:r>
                  <w:r>
                    <w:rPr>
                      <w:szCs w:val="24"/>
                      <w:lang w:eastAsia="lt-LT"/>
                    </w:rPr>
                    <w:t>= 0;</w:t>
                  </w:r>
                  <w:r>
                    <w:rPr>
                      <w:b/>
                      <w:szCs w:val="24"/>
                      <w:lang w:eastAsia="lt-LT"/>
                    </w:rPr>
                    <w:t xml:space="preserve"> </w:t>
                  </w:r>
                  <w:r>
                    <w:rPr>
                      <w:i/>
                      <w:szCs w:val="24"/>
                      <w:lang w:eastAsia="lt-LT"/>
                    </w:rPr>
                    <w:t>η</w:t>
                  </w:r>
                  <w:r>
                    <w:rPr>
                      <w:i/>
                      <w:szCs w:val="24"/>
                      <w:vertAlign w:val="subscript"/>
                      <w:lang w:eastAsia="lt-LT"/>
                    </w:rPr>
                    <w:t xml:space="preserve">reH.air,x </w:t>
                  </w:r>
                  <w:r>
                    <w:rPr>
                      <w:szCs w:val="24"/>
                      <w:lang w:eastAsia="lt-LT"/>
                    </w:rPr>
                    <w:t>– atitinkamos „</w:t>
                  </w:r>
                  <w:r>
                    <w:rPr>
                      <w:i/>
                      <w:szCs w:val="24"/>
                      <w:lang w:eastAsia="lt-LT"/>
                    </w:rPr>
                    <w:t>x</w:t>
                  </w:r>
                  <w:r>
                    <w:rPr>
                      <w:szCs w:val="24"/>
                      <w:lang w:eastAsia="lt-LT"/>
                    </w:rPr>
                    <w:t>“ mechaninio vėdinimo su rekuperacija sistemos, kurioje yra į patalpas tiekiamo oro pašildymas, orui pašildyti naudojamo šilumos šaltinio skaičiuojamasis naudingumo koeficientas, vieneto dalys. Jei nėra duomenų, vertė imama iš 2.16 lentelės;</w:t>
                  </w:r>
                </w:p>
                <w:p>
                  <w:pPr>
                    <w:tabs>
                      <w:tab w:val="left" w:pos="0"/>
                      <w:tab w:val="left" w:pos="426"/>
                    </w:tabs>
                    <w:suppressAutoHyphens/>
                    <w:ind w:firstLine="567"/>
                    <w:jc w:val="both"/>
                    <w:rPr>
                      <w:szCs w:val="24"/>
                      <w:lang w:eastAsia="lt-LT"/>
                    </w:rPr>
                  </w:pPr>
                  <w:r>
                    <w:rPr>
                      <w:i/>
                      <w:szCs w:val="24"/>
                      <w:lang w:eastAsia="lt-LT"/>
                    </w:rPr>
                    <w:t>η</w:t>
                  </w:r>
                  <w:r>
                    <w:rPr>
                      <w:i/>
                      <w:szCs w:val="24"/>
                      <w:vertAlign w:val="subscript"/>
                      <w:lang w:eastAsia="lt-LT"/>
                    </w:rPr>
                    <w:t>reH,x</w:t>
                  </w:r>
                  <w:r>
                    <w:rPr>
                      <w:i/>
                      <w:szCs w:val="24"/>
                      <w:lang w:eastAsia="lt-LT"/>
                    </w:rPr>
                    <w:t xml:space="preserve"> </w:t>
                  </w:r>
                  <w:r>
                    <w:rPr>
                      <w:szCs w:val="24"/>
                      <w:lang w:eastAsia="lt-LT"/>
                    </w:rPr>
                    <w:t>– atitinkamos „</w:t>
                  </w:r>
                  <w:r>
                    <w:rPr>
                      <w:i/>
                      <w:szCs w:val="24"/>
                      <w:lang w:eastAsia="lt-LT"/>
                    </w:rPr>
                    <w:t>x</w:t>
                  </w:r>
                  <w:r>
                    <w:rPr>
                      <w:szCs w:val="24"/>
                      <w:lang w:eastAsia="lt-LT"/>
                    </w:rPr>
                    <w:t xml:space="preserve">“ mechaninio vėdinimo su rekuperacija sistemos, kurioje yra į patalpas tiekiamo oro pašildymas, skaičiuojamasis šios sistemos šilumos sugrąžinimo naudingumo koeficientas, vieneto dalys. Jei nėra duomenų, imama </w:t>
                  </w:r>
                  <w:r>
                    <w:rPr>
                      <w:i/>
                      <w:szCs w:val="24"/>
                      <w:lang w:eastAsia="lt-LT"/>
                    </w:rPr>
                    <w:t>η</w:t>
                  </w:r>
                  <w:r>
                    <w:rPr>
                      <w:i/>
                      <w:szCs w:val="24"/>
                      <w:vertAlign w:val="subscript"/>
                      <w:lang w:eastAsia="lt-LT"/>
                    </w:rPr>
                    <w:t xml:space="preserve">reH,x </w:t>
                  </w:r>
                  <w:r>
                    <w:rPr>
                      <w:szCs w:val="24"/>
                      <w:lang w:eastAsia="lt-LT"/>
                    </w:rPr>
                    <w:t xml:space="preserve">= 0,65. </w:t>
                  </w:r>
                  <w:r>
                    <w:rPr>
                      <w:rFonts w:eastAsia="Calibri"/>
                      <w:szCs w:val="24"/>
                    </w:rPr>
                    <w:t>4</w:t>
                  </w:r>
                  <w:r>
                    <w:t>–</w:t>
                  </w:r>
                  <w:r>
                    <w:rPr>
                      <w:rFonts w:eastAsia="Calibri"/>
                      <w:szCs w:val="24"/>
                    </w:rPr>
                    <w:t xml:space="preserve">8 mėnesiais imama </w:t>
                  </w:r>
                  <w:r>
                    <w:rPr>
                      <w:i/>
                      <w:szCs w:val="24"/>
                    </w:rPr>
                    <w:t>Q</w:t>
                  </w:r>
                  <w:r>
                    <w:rPr>
                      <w:i/>
                      <w:szCs w:val="24"/>
                      <w:vertAlign w:val="subscript"/>
                    </w:rPr>
                    <w:t>H2.vent.reH,m,x</w:t>
                  </w:r>
                  <w:r>
                    <w:rPr>
                      <w:szCs w:val="24"/>
                    </w:rPr>
                    <w:t xml:space="preserve"> = 0.</w:t>
                  </w:r>
                </w:p>
                <w:p>
                  <w:pPr>
                    <w:tabs>
                      <w:tab w:val="left" w:pos="0"/>
                      <w:tab w:val="left" w:pos="426"/>
                    </w:tabs>
                    <w:suppressAutoHyphens/>
                    <w:ind w:firstLine="567"/>
                    <w:jc w:val="both"/>
                    <w:rPr>
                      <w:szCs w:val="24"/>
                      <w:lang w:eastAsia="lt-LT"/>
                    </w:rPr>
                  </w:pPr>
                  <w:r>
                    <w:rPr>
                      <w:szCs w:val="24"/>
                      <w:lang w:eastAsia="lt-LT"/>
                    </w:rPr>
                    <w:t xml:space="preserve">Visų pastato mechaninio vėdinimo su rekuperacija sistemų, kuriose yra oro pašildymas, skaičiuojamosios mėnesinės šiluminės energijos sąnaudos į pastato vidų tiekiamam išorės orui sušildyti iki patalpų temperatūros </w:t>
                  </w:r>
                  <w:r>
                    <w:rPr>
                      <w:i/>
                      <w:szCs w:val="24"/>
                      <w:lang w:eastAsia="lt-LT"/>
                    </w:rPr>
                    <w:t>Q</w:t>
                  </w:r>
                  <w:r>
                    <w:rPr>
                      <w:i/>
                      <w:szCs w:val="24"/>
                      <w:vertAlign w:val="subscript"/>
                      <w:lang w:eastAsia="lt-LT"/>
                    </w:rPr>
                    <w:t>H2.vent.reH,m</w:t>
                  </w:r>
                  <w:r>
                    <w:rPr>
                      <w:szCs w:val="24"/>
                      <w:lang w:eastAsia="lt-LT"/>
                    </w:rPr>
                    <w:t xml:space="preserve"> (kWh/(m²·mėn.)) apskaičiuojamos taip:</w:t>
                  </w:r>
                </w:p>
                <w:p>
                  <w:pPr>
                    <w:suppressAutoHyphens/>
                    <w:ind w:firstLine="567"/>
                    <w:jc w:val="both"/>
                    <w:rPr>
                      <w:szCs w:val="24"/>
                      <w:lang w:eastAsia="lt-LT"/>
                    </w:rPr>
                  </w:pPr>
                </w:p>
                <w:tbl>
                  <w:tblPr>
                    <w:tblW w:w="5000" w:type="pct"/>
                    <w:tblLook w:val="01E0" w:firstRow="1" w:lastRow="1" w:firstColumn="1" w:lastColumn="1" w:noHBand="0" w:noVBand="0"/>
                  </w:tblPr>
                  <w:tblGrid>
                    <w:gridCol w:w="9080"/>
                    <w:gridCol w:w="916"/>
                  </w:tblGrid>
                  <w:tr>
                    <w:tc>
                      <w:tcPr>
                        <w:tcW w:w="4584" w:type="pct"/>
                        <w:vAlign w:val="center"/>
                        <w:hideMark/>
                      </w:tcPr>
                      <w:p>
                        <w:pPr>
                          <w:suppressAutoHyphens/>
                          <w:spacing w:line="276" w:lineRule="auto"/>
                          <w:jc w:val="center"/>
                          <w:rPr>
                            <w:rFonts w:eastAsia="Calibri"/>
                            <w:bCs/>
                            <w:szCs w:val="24"/>
                          </w:rPr>
                        </w:pPr>
                        <w:r>
                          <w:rPr>
                            <w:rFonts w:eastAsia="Calibri"/>
                            <w:position w:val="-24"/>
                            <w:szCs w:val="24"/>
                          </w:rPr>
                          <w:object w:dxaOrig="3090" w:dyaOrig="615">
                            <v:shape id="_x0000_i1149" type="#_x0000_t75" style="width:156.15pt;height:29.95pt" o:ole="">
                              <v:imagedata r:id="rId527" o:title=""/>
                            </v:shape>
                            <o:OLEObject Type="Embed" ProgID="Equation.3" ShapeID="_x0000_i1149" DrawAspect="Content" ObjectID="_0000000001" r:id="rId528"/>
                          </w:object>
                        </w:r>
                        <w:r>
                          <w:rPr>
                            <w:szCs w:val="24"/>
                            <w:lang w:eastAsia="lt-LT"/>
                          </w:rPr>
                          <w:t>.</w:t>
                        </w:r>
                      </w:p>
                    </w:tc>
                    <w:tc>
                      <w:tcPr>
                        <w:tcW w:w="416" w:type="pct"/>
                        <w:vAlign w:val="center"/>
                        <w:hideMark/>
                      </w:tcPr>
                      <w:p>
                        <w:pPr>
                          <w:suppressAutoHyphens/>
                          <w:spacing w:line="276" w:lineRule="auto"/>
                          <w:jc w:val="right"/>
                          <w:rPr>
                            <w:rFonts w:eastAsia="Calibri"/>
                            <w:bCs/>
                            <w:szCs w:val="24"/>
                          </w:rPr>
                        </w:pPr>
                        <w:r>
                          <w:rPr>
                            <w:bCs/>
                            <w:szCs w:val="24"/>
                            <w:lang w:eastAsia="lt-LT"/>
                          </w:rPr>
                          <w:t>(2.115)</w:t>
                        </w:r>
                      </w:p>
                    </w:tc>
                  </w:tr>
                </w:tbl>
                <w:p>
                  <w:pPr>
                    <w:suppressAutoHyphens/>
                    <w:ind w:left="567"/>
                    <w:jc w:val="center"/>
                    <w:rPr>
                      <w:b/>
                      <w:szCs w:val="24"/>
                    </w:rPr>
                  </w:pPr>
                </w:p>
                <w:p>
                  <w:pPr>
                    <w:suppressAutoHyphens/>
                    <w:ind w:left="1287"/>
                    <w:jc w:val="center"/>
                    <w:rPr>
                      <w:b/>
                      <w:szCs w:val="24"/>
                      <w:lang w:eastAsia="lt-LT"/>
                    </w:rPr>
                  </w:pPr>
                  <w:r>
                    <w:rPr>
                      <w:b/>
                      <w:szCs w:val="24"/>
                      <w:lang w:eastAsia="lt-LT"/>
                    </w:rPr>
                    <w:t xml:space="preserve">Šilumos šaltinių, naudojamų mechaninėse vėdinimo sistemose išorės orui pašildyti, skaičiuojamųjų naudingumo koeficientų </w:t>
                  </w:r>
                  <w:r>
                    <w:rPr>
                      <w:b/>
                      <w:i/>
                      <w:szCs w:val="24"/>
                      <w:lang w:eastAsia="lt-LT"/>
                    </w:rPr>
                    <w:t>η</w:t>
                  </w:r>
                  <w:r>
                    <w:rPr>
                      <w:b/>
                      <w:i/>
                      <w:szCs w:val="24"/>
                      <w:vertAlign w:val="subscript"/>
                      <w:lang w:eastAsia="lt-LT"/>
                    </w:rPr>
                    <w:t>mvH.air</w:t>
                  </w:r>
                  <w:r>
                    <w:rPr>
                      <w:b/>
                      <w:i/>
                      <w:szCs w:val="24"/>
                      <w:lang w:eastAsia="lt-LT"/>
                    </w:rPr>
                    <w:t xml:space="preserve"> </w:t>
                  </w:r>
                  <w:r>
                    <w:rPr>
                      <w:b/>
                      <w:szCs w:val="24"/>
                      <w:lang w:eastAsia="lt-LT"/>
                    </w:rPr>
                    <w:t xml:space="preserve">ir </w:t>
                  </w:r>
                  <w:r>
                    <w:rPr>
                      <w:b/>
                      <w:i/>
                      <w:szCs w:val="24"/>
                      <w:lang w:eastAsia="lt-LT"/>
                    </w:rPr>
                    <w:t>η</w:t>
                  </w:r>
                  <w:r>
                    <w:rPr>
                      <w:b/>
                      <w:i/>
                      <w:szCs w:val="24"/>
                      <w:vertAlign w:val="subscript"/>
                      <w:lang w:eastAsia="lt-LT"/>
                    </w:rPr>
                    <w:t>reH.air</w:t>
                  </w:r>
                  <w:r>
                    <w:rPr>
                      <w:b/>
                      <w:szCs w:val="24"/>
                      <w:lang w:eastAsia="lt-LT"/>
                    </w:rPr>
                    <w:t xml:space="preserve"> vertės</w:t>
                  </w:r>
                </w:p>
                <w:p>
                  <w:pPr>
                    <w:suppressAutoHyphens/>
                    <w:ind w:left="1287" w:firstLine="7077"/>
                    <w:jc w:val="center"/>
                    <w:rPr>
                      <w:szCs w:val="24"/>
                      <w:lang w:eastAsia="lt-LT"/>
                    </w:rPr>
                  </w:pPr>
                  <w:r>
                    <w:rPr>
                      <w:szCs w:val="24"/>
                      <w:lang w:eastAsia="lt-LT"/>
                    </w:rPr>
                    <w:t>2.16 lentelė</w:t>
                  </w:r>
                </w:p>
                <w:tbl>
                  <w:tblPr>
                    <w:tblW w:w="5000" w:type="pct"/>
                    <w:tblLook w:val="04A0" w:firstRow="1" w:lastRow="0" w:firstColumn="1" w:lastColumn="0" w:noHBand="0" w:noVBand="1"/>
                  </w:tblPr>
                  <w:tblGrid>
                    <w:gridCol w:w="556"/>
                    <w:gridCol w:w="7276"/>
                    <w:gridCol w:w="2164"/>
                  </w:tblGrid>
                  <w:tr>
                    <w:trPr>
                      <w:trHeight w:val="479"/>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szCs w:val="24"/>
                          </w:rPr>
                        </w:pPr>
                        <w:r>
                          <w:rPr>
                            <w:bCs/>
                            <w:szCs w:val="24"/>
                            <w:lang w:eastAsia="lt-LT"/>
                          </w:rPr>
                          <w:t>Eil. Nr.</w:t>
                        </w:r>
                      </w:p>
                    </w:tc>
                    <w:tc>
                      <w:tcPr>
                        <w:tcW w:w="360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bCs/>
                            <w:szCs w:val="24"/>
                          </w:rPr>
                        </w:pPr>
                        <w:r>
                          <w:rPr>
                            <w:bCs/>
                            <w:szCs w:val="24"/>
                            <w:lang w:eastAsia="lt-LT"/>
                          </w:rPr>
                          <w:t>Šilumos šaltinio apibūdinimas</w:t>
                        </w:r>
                      </w:p>
                    </w:tc>
                    <w:tc>
                      <w:tcPr>
                        <w:tcW w:w="1105"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lang w:eastAsia="lt-LT"/>
                          </w:rPr>
                        </w:pPr>
                        <w:r>
                          <w:rPr>
                            <w:i/>
                            <w:szCs w:val="24"/>
                            <w:lang w:eastAsia="lt-LT"/>
                          </w:rPr>
                          <w:t>η</w:t>
                        </w:r>
                        <w:r>
                          <w:rPr>
                            <w:i/>
                            <w:szCs w:val="24"/>
                            <w:vertAlign w:val="subscript"/>
                            <w:lang w:eastAsia="lt-LT"/>
                          </w:rPr>
                          <w:t>mvH.air</w:t>
                        </w:r>
                        <w:r>
                          <w:rPr>
                            <w:szCs w:val="24"/>
                            <w:lang w:eastAsia="lt-LT"/>
                          </w:rPr>
                          <w:t>,</w:t>
                        </w:r>
                      </w:p>
                      <w:p>
                        <w:pPr>
                          <w:suppressAutoHyphens/>
                          <w:spacing w:line="276" w:lineRule="auto"/>
                          <w:jc w:val="center"/>
                          <w:rPr>
                            <w:rFonts w:eastAsia="Calibri"/>
                            <w:szCs w:val="24"/>
                          </w:rPr>
                        </w:pPr>
                        <w:r>
                          <w:rPr>
                            <w:i/>
                            <w:szCs w:val="24"/>
                            <w:lang w:eastAsia="lt-LT"/>
                          </w:rPr>
                          <w:t>η</w:t>
                        </w:r>
                        <w:r>
                          <w:rPr>
                            <w:i/>
                            <w:szCs w:val="24"/>
                            <w:vertAlign w:val="subscript"/>
                            <w:lang w:eastAsia="lt-LT"/>
                          </w:rPr>
                          <w:t>reH.air</w:t>
                        </w:r>
                      </w:p>
                    </w:tc>
                  </w:tr>
                  <w:tr>
                    <w:trPr>
                      <w:trHeight w:val="315"/>
                    </w:trPr>
                    <w:tc>
                      <w:tcPr>
                        <w:tcW w:w="288" w:type="pct"/>
                        <w:tcBorders>
                          <w:top w:val="nil"/>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1.</w:t>
                        </w:r>
                      </w:p>
                    </w:tc>
                    <w:tc>
                      <w:tcPr>
                        <w:tcW w:w="3606" w:type="pct"/>
                        <w:tcBorders>
                          <w:top w:val="nil"/>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Šilumos tinklai</w:t>
                        </w:r>
                      </w:p>
                    </w:tc>
                    <w:tc>
                      <w:tcPr>
                        <w:tcW w:w="1105" w:type="pct"/>
                        <w:tcBorders>
                          <w:top w:val="nil"/>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1</w:t>
                        </w:r>
                      </w:p>
                    </w:tc>
                  </w:tr>
                  <w:tr>
                    <w:trPr>
                      <w:trHeight w:val="315"/>
                    </w:trPr>
                    <w:tc>
                      <w:tcPr>
                        <w:tcW w:w="288" w:type="pct"/>
                        <w:tcBorders>
                          <w:top w:val="nil"/>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2.</w:t>
                        </w:r>
                      </w:p>
                    </w:tc>
                    <w:tc>
                      <w:tcPr>
                        <w:tcW w:w="3606" w:type="pct"/>
                        <w:tcBorders>
                          <w:top w:val="nil"/>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Dujinis katilas, išskyrus katilus su absorbciniu šilumos siurbliu</w:t>
                        </w:r>
                      </w:p>
                    </w:tc>
                    <w:tc>
                      <w:tcPr>
                        <w:tcW w:w="1105" w:type="pct"/>
                        <w:tcBorders>
                          <w:top w:val="nil"/>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0,94</w:t>
                        </w:r>
                      </w:p>
                    </w:tc>
                  </w:tr>
                  <w:tr>
                    <w:trPr>
                      <w:trHeight w:val="315"/>
                    </w:trPr>
                    <w:tc>
                      <w:tcPr>
                        <w:tcW w:w="288" w:type="pct"/>
                        <w:tcBorders>
                          <w:top w:val="nil"/>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3.</w:t>
                        </w:r>
                      </w:p>
                    </w:tc>
                    <w:tc>
                      <w:tcPr>
                        <w:tcW w:w="3606" w:type="pct"/>
                        <w:tcBorders>
                          <w:top w:val="nil"/>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Skystojo kuro katilas</w:t>
                        </w:r>
                      </w:p>
                    </w:tc>
                    <w:tc>
                      <w:tcPr>
                        <w:tcW w:w="1105" w:type="pct"/>
                        <w:tcBorders>
                          <w:top w:val="nil"/>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0,87</w:t>
                        </w:r>
                      </w:p>
                    </w:tc>
                  </w:tr>
                  <w:tr>
                    <w:trPr>
                      <w:trHeight w:val="315"/>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4.</w:t>
                        </w:r>
                      </w:p>
                    </w:tc>
                    <w:tc>
                      <w:tcPr>
                        <w:tcW w:w="360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Kietojo kuro katilas</w:t>
                        </w:r>
                      </w:p>
                    </w:tc>
                    <w:tc>
                      <w:tcPr>
                        <w:tcW w:w="1105"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0,85</w:t>
                        </w:r>
                      </w:p>
                    </w:tc>
                  </w:tr>
                  <w:tr>
                    <w:trPr>
                      <w:trHeight w:val="315"/>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5.</w:t>
                        </w:r>
                      </w:p>
                    </w:tc>
                    <w:tc>
                      <w:tcPr>
                        <w:tcW w:w="360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Šildymas elektra</w:t>
                        </w:r>
                      </w:p>
                    </w:tc>
                    <w:tc>
                      <w:tcPr>
                        <w:tcW w:w="1105"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1</w:t>
                        </w:r>
                      </w:p>
                    </w:tc>
                  </w:tr>
                  <w:tr>
                    <w:trPr>
                      <w:trHeight w:val="315"/>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6.</w:t>
                        </w:r>
                      </w:p>
                    </w:tc>
                    <w:tc>
                      <w:tcPr>
                        <w:tcW w:w="360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both"/>
                          <w:rPr>
                            <w:rFonts w:eastAsia="Calibri"/>
                            <w:szCs w:val="24"/>
                          </w:rPr>
                        </w:pPr>
                        <w:r>
                          <w:rPr>
                            <w:szCs w:val="24"/>
                            <w:lang w:eastAsia="lt-LT"/>
                          </w:rPr>
                          <w:t xml:space="preserve">Šiluminis siurblys </w:t>
                        </w:r>
                      </w:p>
                    </w:tc>
                    <w:tc>
                      <w:tcPr>
                        <w:tcW w:w="1105"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center"/>
                          <w:rPr>
                            <w:rFonts w:eastAsia="Calibri"/>
                            <w:szCs w:val="24"/>
                            <w:vertAlign w:val="superscript"/>
                          </w:rPr>
                        </w:pPr>
                        <w:r>
                          <w:rPr>
                            <w:szCs w:val="24"/>
                            <w:lang w:eastAsia="lt-LT"/>
                          </w:rPr>
                          <w:t>η</w:t>
                        </w:r>
                        <w:r>
                          <w:rPr>
                            <w:szCs w:val="24"/>
                            <w:vertAlign w:val="subscript"/>
                            <w:lang w:eastAsia="lt-LT"/>
                          </w:rPr>
                          <w:t>SPF</w:t>
                        </w:r>
                        <w:r>
                          <w:rPr>
                            <w:strike/>
                            <w:szCs w:val="24"/>
                            <w:lang w:eastAsia="lt-LT"/>
                          </w:rPr>
                          <w:t>*</w:t>
                        </w:r>
                        <w:r>
                          <w:rPr>
                            <w:szCs w:val="24"/>
                            <w:vertAlign w:val="superscript"/>
                            <w:lang w:eastAsia="lt-LT"/>
                          </w:rPr>
                          <w:t>1)</w:t>
                        </w:r>
                      </w:p>
                    </w:tc>
                  </w:tr>
                  <w:tr>
                    <w:trPr>
                      <w:trHeight w:val="315"/>
                    </w:trPr>
                    <w:tc>
                      <w:tcPr>
                        <w:tcW w:w="288" w:type="pct"/>
                        <w:tcBorders>
                          <w:top w:val="single" w:sz="4" w:space="0" w:color="auto"/>
                          <w:left w:val="single" w:sz="4" w:space="0" w:color="auto"/>
                          <w:bottom w:val="single" w:sz="4" w:space="0" w:color="auto"/>
                          <w:right w:val="single" w:sz="4" w:space="0" w:color="auto"/>
                        </w:tcBorders>
                      </w:tcPr>
                      <w:p>
                        <w:pPr>
                          <w:suppressAutoHyphens/>
                          <w:spacing w:line="276" w:lineRule="auto"/>
                          <w:jc w:val="center"/>
                          <w:rPr>
                            <w:szCs w:val="24"/>
                            <w:lang w:eastAsia="lt-LT"/>
                          </w:rPr>
                        </w:pPr>
                        <w:r>
                          <w:rPr>
                            <w:szCs w:val="24"/>
                            <w:lang w:eastAsia="lt-LT"/>
                          </w:rPr>
                          <w:t>7.</w:t>
                        </w:r>
                      </w:p>
                    </w:tc>
                    <w:tc>
                      <w:tcPr>
                        <w:tcW w:w="3606" w:type="pct"/>
                        <w:tcBorders>
                          <w:top w:val="single" w:sz="4" w:space="0" w:color="auto"/>
                          <w:left w:val="single" w:sz="4" w:space="0" w:color="auto"/>
                          <w:bottom w:val="single" w:sz="4" w:space="0" w:color="auto"/>
                          <w:right w:val="single" w:sz="4" w:space="0" w:color="auto"/>
                        </w:tcBorders>
                        <w:noWrap/>
                        <w:vAlign w:val="center"/>
                      </w:tcPr>
                      <w:p>
                        <w:pPr>
                          <w:suppressAutoHyphens/>
                          <w:spacing w:line="276" w:lineRule="auto"/>
                          <w:jc w:val="both"/>
                          <w:rPr>
                            <w:szCs w:val="24"/>
                            <w:lang w:eastAsia="lt-LT"/>
                          </w:rPr>
                        </w:pPr>
                        <w:r>
                          <w:rPr>
                            <w:szCs w:val="24"/>
                            <w:lang w:eastAsia="lt-LT"/>
                          </w:rPr>
                          <w:t>Dujinis katilas su absorbciniu šilumos siurbliu, veikiantis šildymo režimu</w:t>
                        </w:r>
                      </w:p>
                    </w:tc>
                    <w:tc>
                      <w:tcPr>
                        <w:tcW w:w="1105" w:type="pct"/>
                        <w:tcBorders>
                          <w:top w:val="single" w:sz="4" w:space="0" w:color="auto"/>
                          <w:left w:val="nil"/>
                          <w:bottom w:val="single" w:sz="4" w:space="0" w:color="auto"/>
                          <w:right w:val="single" w:sz="4" w:space="0" w:color="auto"/>
                        </w:tcBorders>
                        <w:noWrap/>
                        <w:vAlign w:val="bottom"/>
                      </w:tcPr>
                      <w:p>
                        <w:pPr>
                          <w:suppressAutoHyphens/>
                          <w:spacing w:line="276" w:lineRule="auto"/>
                          <w:jc w:val="center"/>
                          <w:rPr>
                            <w:szCs w:val="24"/>
                            <w:lang w:eastAsia="lt-LT"/>
                          </w:rPr>
                        </w:pPr>
                        <w:r>
                          <w:rPr>
                            <w:szCs w:val="24"/>
                            <w:lang w:eastAsia="lt-LT"/>
                          </w:rPr>
                          <w:t>1,4</w:t>
                        </w:r>
                      </w:p>
                    </w:tc>
                  </w:tr>
                </w:tbl>
                <w:p>
                  <w:pPr/>
                </w:p>
                <w:p>
                  <w:pPr>
                    <w:suppressAutoHyphens/>
                    <w:ind w:firstLine="567"/>
                    <w:jc w:val="both"/>
                    <w:rPr>
                      <w:szCs w:val="24"/>
                      <w:lang w:eastAsia="lt-LT"/>
                    </w:rPr>
                  </w:pPr>
                  <w:r>
                    <w:rPr>
                      <w:strike/>
                      <w:szCs w:val="24"/>
                      <w:lang w:eastAsia="lt-LT"/>
                    </w:rPr>
                    <w:t>*</w:t>
                  </w:r>
                  <w:r>
                    <w:rPr>
                      <w:szCs w:val="24"/>
                      <w:vertAlign w:val="superscript"/>
                      <w:lang w:eastAsia="lt-LT"/>
                    </w:rPr>
                    <w:t>1) </w:t>
                  </w:r>
                  <w:r>
                    <w:rPr>
                      <w:szCs w:val="24"/>
                      <w:lang w:eastAsia="lt-LT"/>
                    </w:rPr>
                    <w:t xml:space="preserve">sezoninis naudingumo koeficientas (SPF). Apskaičiuojamas dauginant COP, nustatytą pagal </w:t>
                  </w:r>
                  <w:r>
                    <w:rPr>
                      <w:rFonts w:eastAsia="Calibri"/>
                      <w:bCs/>
                      <w:szCs w:val="24"/>
                      <w:lang w:eastAsia="lt-LT"/>
                    </w:rPr>
                    <w:t>LST EN 14511-3:2013</w:t>
                  </w:r>
                  <w:r>
                    <w:rPr>
                      <w:szCs w:val="24"/>
                      <w:lang w:eastAsia="lt-LT"/>
                    </w:rPr>
                    <w:t xml:space="preserve"> [3.35] arba LST EN 13141-8:2014 [3.44] bandymų metodus prie standartinių bandymo sąlygų, dauginant iš 0,9. COP vertė prie standartinių bandymo sąlygų imama iš siurblio techninės dokumentacijos, jei nėra duomenų, vertė imama iš 2.17 lentelės.</w:t>
                  </w:r>
                </w:p>
                <w:p>
                  <w:pPr>
                    <w:suppressAutoHyphens/>
                    <w:jc w:val="both"/>
                    <w:rPr>
                      <w:szCs w:val="24"/>
                      <w:lang w:eastAsia="lt-LT"/>
                    </w:rPr>
                  </w:pPr>
                </w:p>
                <w:p>
                  <w:pPr>
                    <w:suppressAutoHyphens/>
                    <w:jc w:val="center"/>
                    <w:rPr>
                      <w:b/>
                      <w:szCs w:val="24"/>
                      <w:lang w:eastAsia="lt-LT"/>
                    </w:rPr>
                  </w:pPr>
                  <w:r>
                    <w:rPr>
                      <w:b/>
                      <w:szCs w:val="24"/>
                      <w:lang w:eastAsia="lt-LT"/>
                    </w:rPr>
                    <w:t xml:space="preserve">Šiluminių siurblių skaičiuojamųjų sezoninių naudingumo koeficientų </w:t>
                  </w:r>
                  <w:r>
                    <w:rPr>
                      <w:b/>
                      <w:i/>
                      <w:szCs w:val="24"/>
                      <w:lang w:eastAsia="lt-LT"/>
                    </w:rPr>
                    <w:t>η</w:t>
                  </w:r>
                  <w:r>
                    <w:rPr>
                      <w:b/>
                      <w:i/>
                      <w:szCs w:val="24"/>
                      <w:vertAlign w:val="subscript"/>
                      <w:lang w:eastAsia="lt-LT"/>
                    </w:rPr>
                    <w:t>SPF</w:t>
                  </w:r>
                  <w:r>
                    <w:rPr>
                      <w:b/>
                      <w:i/>
                      <w:szCs w:val="24"/>
                      <w:lang w:eastAsia="lt-LT"/>
                    </w:rPr>
                    <w:t xml:space="preserve"> </w:t>
                  </w:r>
                  <w:r>
                    <w:rPr>
                      <w:b/>
                      <w:szCs w:val="24"/>
                      <w:lang w:eastAsia="lt-LT"/>
                    </w:rPr>
                    <w:t>vertės</w:t>
                  </w:r>
                </w:p>
                <w:p>
                  <w:pPr>
                    <w:suppressAutoHyphens/>
                    <w:ind w:left="1287"/>
                    <w:jc w:val="right"/>
                    <w:rPr>
                      <w:szCs w:val="24"/>
                      <w:lang w:eastAsia="lt-LT"/>
                    </w:rPr>
                  </w:pPr>
                  <w:r>
                    <w:rPr>
                      <w:szCs w:val="24"/>
                      <w:lang w:eastAsia="lt-LT"/>
                    </w:rPr>
                    <w:t>2.17 lentelė</w:t>
                  </w:r>
                </w:p>
                <w:tbl>
                  <w:tblPr>
                    <w:tblW w:w="5000" w:type="pct"/>
                    <w:tblLook w:val="04A0" w:firstRow="1" w:lastRow="0" w:firstColumn="1" w:lastColumn="0" w:noHBand="0" w:noVBand="1"/>
                  </w:tblPr>
                  <w:tblGrid>
                    <w:gridCol w:w="576"/>
                    <w:gridCol w:w="7211"/>
                    <w:gridCol w:w="2209"/>
                  </w:tblGrid>
                  <w:tr>
                    <w:trPr>
                      <w:trHeight w:val="479"/>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szCs w:val="24"/>
                          </w:rPr>
                        </w:pPr>
                        <w:r>
                          <w:rPr>
                            <w:bCs/>
                            <w:szCs w:val="24"/>
                            <w:lang w:eastAsia="lt-LT"/>
                          </w:rPr>
                          <w:t>Eil. Nr.</w:t>
                        </w:r>
                      </w:p>
                    </w:tc>
                    <w:tc>
                      <w:tcPr>
                        <w:tcW w:w="3607"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bCs/>
                            <w:szCs w:val="24"/>
                          </w:rPr>
                        </w:pPr>
                        <w:r>
                          <w:rPr>
                            <w:bCs/>
                            <w:szCs w:val="24"/>
                            <w:lang w:eastAsia="lt-LT"/>
                          </w:rPr>
                          <w:t>Šiluminio siurblio apibūdinimas</w:t>
                        </w:r>
                      </w:p>
                    </w:tc>
                    <w:tc>
                      <w:tcPr>
                        <w:tcW w:w="1105"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i/>
                            <w:szCs w:val="24"/>
                            <w:lang w:eastAsia="lt-LT"/>
                          </w:rPr>
                          <w:t>η</w:t>
                        </w:r>
                        <w:r>
                          <w:rPr>
                            <w:i/>
                            <w:szCs w:val="24"/>
                            <w:vertAlign w:val="subscript"/>
                            <w:lang w:eastAsia="lt-LT"/>
                          </w:rPr>
                          <w:t>SPF</w:t>
                        </w:r>
                        <w:r>
                          <w:rPr>
                            <w:i/>
                            <w:szCs w:val="24"/>
                            <w:lang w:eastAsia="lt-LT"/>
                          </w:rPr>
                          <w:t xml:space="preserve"> </w:t>
                        </w:r>
                      </w:p>
                    </w:tc>
                  </w:tr>
                  <w:tr>
                    <w:trPr>
                      <w:trHeight w:val="315"/>
                    </w:trPr>
                    <w:tc>
                      <w:tcPr>
                        <w:tcW w:w="288" w:type="pct"/>
                        <w:tcBorders>
                          <w:top w:val="nil"/>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1.</w:t>
                        </w:r>
                      </w:p>
                    </w:tc>
                    <w:tc>
                      <w:tcPr>
                        <w:tcW w:w="3607" w:type="pct"/>
                        <w:tcBorders>
                          <w:top w:val="nil"/>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Šiluminis siurblys, kai energija imama iš oro</w:t>
                        </w:r>
                      </w:p>
                    </w:tc>
                    <w:tc>
                      <w:tcPr>
                        <w:tcW w:w="1105" w:type="pct"/>
                        <w:tcBorders>
                          <w:top w:val="nil"/>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 xml:space="preserve">3,0  </w:t>
                        </w:r>
                      </w:p>
                    </w:tc>
                  </w:tr>
                  <w:tr>
                    <w:trPr>
                      <w:trHeight w:val="315"/>
                    </w:trPr>
                    <w:tc>
                      <w:tcPr>
                        <w:tcW w:w="288" w:type="pct"/>
                        <w:tcBorders>
                          <w:top w:val="nil"/>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2.</w:t>
                        </w:r>
                      </w:p>
                    </w:tc>
                    <w:tc>
                      <w:tcPr>
                        <w:tcW w:w="3607" w:type="pct"/>
                        <w:tcBorders>
                          <w:top w:val="nil"/>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 xml:space="preserve">Šiluminis siurblys, kai energija imama iš grunto </w:t>
                        </w:r>
                      </w:p>
                    </w:tc>
                    <w:tc>
                      <w:tcPr>
                        <w:tcW w:w="1105" w:type="pct"/>
                        <w:tcBorders>
                          <w:top w:val="nil"/>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4,0</w:t>
                        </w:r>
                      </w:p>
                    </w:tc>
                  </w:tr>
                  <w:tr>
                    <w:trPr>
                      <w:trHeight w:val="315"/>
                    </w:trPr>
                    <w:tc>
                      <w:tcPr>
                        <w:tcW w:w="28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3.</w:t>
                        </w:r>
                      </w:p>
                    </w:tc>
                    <w:tc>
                      <w:tcPr>
                        <w:tcW w:w="3607"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Šiluminis siurblys, kai energija imama iš vandens</w:t>
                        </w:r>
                      </w:p>
                    </w:tc>
                    <w:tc>
                      <w:tcPr>
                        <w:tcW w:w="1105"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center"/>
                          <w:rPr>
                            <w:rFonts w:eastAsia="Calibri"/>
                            <w:szCs w:val="24"/>
                          </w:rPr>
                        </w:pPr>
                        <w:r>
                          <w:rPr>
                            <w:szCs w:val="24"/>
                            <w:lang w:eastAsia="lt-LT"/>
                          </w:rPr>
                          <w:t>4,5“</w:t>
                        </w:r>
                      </w:p>
                    </w:tc>
                  </w:tr>
                </w:tbl>
                <w:p>
                  <w:pPr>
                    <w:jc w:val="both"/>
                    <w:rPr>
                      <w:rFonts w:eastAsia="MS Mincho"/>
                      <w:i/>
                      <w:iCs/>
                      <w:sz w:val="20"/>
                    </w:rPr>
                  </w:pPr>
                  <w:r>
                    <w:rPr>
                      <w:rFonts w:eastAsia="MS Mincho"/>
                      <w:i/>
                      <w:iCs/>
                      <w:sz w:val="20"/>
                    </w:rPr>
                    <w:t>Punkto pakeitimai:</w:t>
                  </w:r>
                </w:p>
                <w:p>
                  <w:pPr>
                    <w:jc w:val="both"/>
                  </w:pPr>
                  <w:r>
                    <w:rPr>
                      <w:rFonts w:eastAsia="MS Mincho"/>
                      <w:i/>
                      <w:iCs/>
                      <w:sz w:val="20"/>
                    </w:rPr>
                    <w:t xml:space="preserve">Nr. </w:t>
                  </w:r>
                  <w:hyperlink r:id="rId529" w:history="1">
                    <w:r>
                      <w:rPr>
                        <w:rFonts w:eastAsia="MS Mincho"/>
                        <w:i/>
                        <w:iCs/>
                        <w:color w:val="0000FF"/>
                        <w:sz w:val="20"/>
                        <w:u w:val="single"/>
                      </w:rPr>
                      <w:t>D1-576</w:t>
                    </w:r>
                  </w:hyperlink>
                  <w:r>
                    <w:rPr>
                      <w:rFonts w:eastAsia="MS Mincho"/>
                      <w:i/>
                      <w:iCs/>
                      <w:sz w:val="20"/>
                    </w:rPr>
                    <w:t>, 2020-09-28, paskelbta TAR 2020-09-28, i. k. 2020-20131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skyrius"/>
            <w:tag w:val="part_3596243690b1453faaa50ac5c84a410a"/>
            <w:lock w:val="sdtLocked"/>
            <w:richText/>
          </w:sdtPr>
          <w:sdtContent>
            <w:p>
              <w:pPr>
                <w:keepNext/>
                <w:keepLines/>
                <w:jc w:val="center"/>
                <w:outlineLvl w:val="2"/>
                <w:rPr>
                  <w:b/>
                  <w:bCs/>
                </w:rPr>
              </w:pPr>
              <w:sdt>
                <w:sdtPr>
                  <w:alias w:val="Numeris"/>
                  <w:tag w:val="nr_3596243690b1453faaa50ac5c84a410a"/>
                  <w:lock w:val="sdtLocked"/>
                  <w:richText/>
                </w:sdtPr>
                <w:sdtContent>
                  <w:r>
                    <w:rPr>
                      <w:b/>
                      <w:bCs/>
                    </w:rPr>
                    <w:t>XIII</w:t>
                  </w:r>
                </w:sdtContent>
              </w:sdt>
              <w:r>
                <w:rPr>
                  <w:b/>
                  <w:bCs/>
                </w:rPr>
                <w:t xml:space="preserve"> skyrius</w:t>
              </w:r>
            </w:p>
            <w:p>
              <w:pPr>
                <w:keepNext/>
                <w:keepLines/>
                <w:jc w:val="center"/>
                <w:outlineLvl w:val="2"/>
                <w:rPr>
                  <w:b/>
                  <w:bCs/>
                  <w:color w:val="4F81BD"/>
                </w:rPr>
              </w:pPr>
              <w:sdt>
                <w:sdtPr>
                  <w:alias w:val="Pavadinimas"/>
                  <w:tag w:val="title_3596243690b1453faaa50ac5c84a410a"/>
                  <w:lock w:val="sdtLocked"/>
                  <w:richText/>
                </w:sdtPr>
                <w:sdtContent>
                  <w:r>
                    <w:rPr>
                      <w:b/>
                      <w:bCs/>
                    </w:rPr>
                    <w:t xml:space="preserve">Pastato savitųjų šilumos nuostolių skaičiavimas </w:t>
                  </w:r>
                </w:sdtContent>
              </w:sdt>
            </w:p>
            <w:p>
              <w:pPr>
                <w:ind w:firstLine="567"/>
              </w:pPr>
            </w:p>
            <w:sdt>
              <w:sdtPr>
                <w:alias w:val="2 pr. 32 p."/>
                <w:tag w:val="part_966f6be9e5b84fa3aa382a611543b601"/>
                <w:lock w:val="sdtLocked"/>
                <w:richText/>
              </w:sdtPr>
              <w:sdtContent>
                <w:p>
                  <w:pPr>
                    <w:ind w:firstLine="567"/>
                    <w:jc w:val="both"/>
                    <w:rPr>
                      <w:color w:val="000000"/>
                    </w:rPr>
                  </w:pPr>
                  <w:sdt>
                    <w:sdtPr>
                      <w:alias w:val="Numeris"/>
                      <w:tag w:val="nr_966f6be9e5b84fa3aa382a611543b601"/>
                      <w:lock w:val="sdtLocked"/>
                      <w:richText/>
                    </w:sdtPr>
                    <w:sdtContent>
                      <w:r>
                        <w:rPr>
                          <w:color w:val="000000"/>
                        </w:rPr>
                        <w:t>32</w:t>
                      </w:r>
                    </w:sdtContent>
                  </w:sdt>
                  <w:r>
                    <w:rPr>
                      <w:color w:val="000000"/>
                    </w:rPr>
                    <w:t xml:space="preserve">. Atitinkamo mėnesio „m“ pastato norminiai </w:t>
                  </w:r>
                  <w:r>
                    <w:rPr>
                      <w:i/>
                      <w:color w:val="000000"/>
                    </w:rPr>
                    <w:t>H</w:t>
                  </w:r>
                  <w:r>
                    <w:rPr>
                      <w:i/>
                      <w:color w:val="000000"/>
                      <w:vertAlign w:val="subscript"/>
                    </w:rPr>
                    <w:t>N.H.p,m</w:t>
                  </w:r>
                  <w:r>
                    <w:rPr>
                      <w:color w:val="000000"/>
                      <w:vertAlign w:val="subscript"/>
                    </w:rPr>
                    <w:t xml:space="preserve"> </w:t>
                  </w:r>
                  <w:r>
                    <w:rPr>
                      <w:color w:val="000000"/>
                    </w:rPr>
                    <w:t xml:space="preserve">(W/K), atskaitiniai </w:t>
                  </w:r>
                  <w:r>
                    <w:rPr>
                      <w:i/>
                      <w:color w:val="000000"/>
                    </w:rPr>
                    <w:t>H</w:t>
                  </w:r>
                  <w:r>
                    <w:rPr>
                      <w:i/>
                      <w:color w:val="000000"/>
                      <w:vertAlign w:val="subscript"/>
                    </w:rPr>
                    <w:t>R.H.p,m</w:t>
                  </w:r>
                  <w:r>
                    <w:rPr>
                      <w:color w:val="000000"/>
                      <w:vertAlign w:val="subscript"/>
                    </w:rPr>
                    <w:t xml:space="preserve"> </w:t>
                  </w:r>
                  <w:r>
                    <w:rPr>
                      <w:color w:val="000000"/>
                    </w:rPr>
                    <w:t xml:space="preserve">(W/K) ir skaičiuojamieji </w:t>
                  </w:r>
                  <w:r>
                    <w:rPr>
                      <w:i/>
                      <w:color w:val="000000"/>
                    </w:rPr>
                    <w:t>H</w:t>
                  </w:r>
                  <w:r>
                    <w:rPr>
                      <w:i/>
                      <w:color w:val="000000"/>
                      <w:vertAlign w:val="subscript"/>
                    </w:rPr>
                    <w:t>H.p,m</w:t>
                  </w:r>
                  <w:r>
                    <w:rPr>
                      <w:color w:val="000000"/>
                      <w:vertAlign w:val="subscript"/>
                    </w:rPr>
                    <w:t xml:space="preserve"> </w:t>
                  </w:r>
                  <w:r>
                    <w:rPr>
                      <w:color w:val="000000"/>
                    </w:rPr>
                    <w:t xml:space="preserve">(W/K) savitieji šilumos nuostoliai, kurie turi būti įvertinti energijos poreikių pastatui šildyti skaičiavimuose, nustatomi taip: </w:t>
                  </w: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3810" w:dyaOrig="710">
                            <v:shape id="_x0000_i1150" type="#_x0000_t75" style="width:190.1pt;height:35.6pt" o:ole="">
                              <v:imagedata r:id="rId530" o:title=""/>
                            </v:shape>
                            <o:OLEObject Type="Embed" ProgID="Equation.3" ShapeID="_x0000_i1150" DrawAspect="Content" ObjectID="_0000000001" r:id="rId531"/>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(2.116)</w:t>
                        </w:r>
                      </w:p>
                    </w:tc>
                  </w:tr>
                </w:tbl>
                <w:p>
                  <w:pPr>
                    <w:ind w:firstLine="60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3720" w:dyaOrig="710">
                            <v:shape id="_x0000_i1151" type="#_x0000_t75" style="width:186.05pt;height:35.6pt" o:ole="">
                              <v:imagedata r:id="rId532" o:title=""/>
                            </v:shape>
                            <o:OLEObject Type="Embed" ProgID="Equation.3" ShapeID="_x0000_i1151" DrawAspect="Content" ObjectID="_0000000001" r:id="rId533"/>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(2.117)</w:t>
                        </w:r>
                      </w:p>
                    </w:tc>
                  </w:tr>
                </w:tbl>
                <w:p>
                  <w:pPr>
                    <w:ind w:firstLine="60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3310" w:dyaOrig="680">
                            <v:shape id="_x0000_i1152" type="#_x0000_t75" style="width:165.85pt;height:34pt" o:ole="">
                              <v:imagedata r:id="rId534" o:title=""/>
                            </v:shape>
                            <o:OLEObject Type="Embed" ProgID="Equation.3" ShapeID="_x0000_i1152" DrawAspect="Content" ObjectID="_0000000001" r:id="rId535"/>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(2.118)</w:t>
                        </w:r>
                      </w:p>
                    </w:tc>
                  </w:tr>
                </w:tbl>
                <w:p>
                  <w:pPr>
                    <w:ind w:left="72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5320" w:dyaOrig="730">
                            <v:shape id="_x0000_i1153" type="#_x0000_t75" style="width:266.15pt;height:37.2pt" o:ole="">
                              <v:imagedata r:id="rId536" o:title=""/>
                            </v:shape>
                            <o:OLEObject Type="Embed" ProgID="Equation.3" ShapeID="_x0000_i1153" DrawAspect="Content" ObjectID="_0000000001" r:id="rId537"/>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(2.119)</w:t>
                        </w:r>
                      </w:p>
                    </w:tc>
                  </w:tr>
                </w:tbl>
                <w:p>
                  <w:pPr>
                    <w:ind w:left="72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5180" w:dyaOrig="730">
                            <v:shape id="_x0000_i1154" type="#_x0000_t75" style="width:258.9pt;height:37.2pt" o:ole="">
                              <v:imagedata r:id="rId538" o:title=""/>
                            </v:shape>
                            <o:OLEObject Type="Embed" ProgID="Equation.3" ShapeID="_x0000_i1154" DrawAspect="Content" ObjectID="_0000000001" r:id="rId539"/>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(2.120)</w:t>
                        </w:r>
                      </w:p>
                    </w:tc>
                  </w:tr>
                </w:tbl>
                <w:p>
                  <w:pPr>
                    <w:ind w:left="72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6940" w:dyaOrig="400">
                            <v:shape id="_x0000_i1155" type="#_x0000_t75" style="width:347.05pt;height:20.2pt" o:ole="">
                              <v:imagedata r:id="rId540" o:title=""/>
                            </v:shape>
                            <o:OLEObject Type="Embed" ProgID="Equation.3" ShapeID="_x0000_i1155" DrawAspect="Content" ObjectID="_0000000001" r:id="rId541"/>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(2.121)</w:t>
                        </w:r>
                      </w:p>
                    </w:tc>
                  </w:tr>
                </w:tbl>
                <w:p>
                  <w:pPr>
                    <w:tabs>
                      <w:tab w:val="left" w:pos="567"/>
                    </w:tabs>
                    <w:jc w:val="both"/>
                    <w:rPr>
                      <w:rFonts w:eastAsia="Calibri"/>
                      <w:color w:val="000000"/>
                      <w:szCs w:val="22"/>
                    </w:rPr>
                  </w:pPr>
                  <w:r>
                    <w:rPr>
                      <w:color w:val="000000"/>
                    </w:rPr>
                    <w:t>čia:</w:t>
                    <w:tab/>
                  </w:r>
                  <w:r>
                    <w:rPr>
                      <w:i/>
                      <w:color w:val="000000"/>
                    </w:rPr>
                    <w:t>Q</w:t>
                  </w:r>
                  <w:r>
                    <w:rPr>
                      <w:i/>
                      <w:color w:val="000000"/>
                      <w:vertAlign w:val="subscript"/>
                    </w:rPr>
                    <w:t>N.H.w,m</w:t>
                  </w:r>
                  <w:r>
                    <w:rPr>
                      <w:i/>
                      <w:color w:val="000000"/>
                    </w:rPr>
                    <w:t>, Q</w:t>
                  </w:r>
                  <w:r>
                    <w:rPr>
                      <w:i/>
                      <w:color w:val="000000"/>
                      <w:vertAlign w:val="subscript"/>
                    </w:rPr>
                    <w:t>R.H.w,m</w:t>
                  </w:r>
                  <w:r>
                    <w:rPr>
                      <w:i/>
                      <w:color w:val="000000"/>
                    </w:rPr>
                    <w:t>, Q</w:t>
                  </w:r>
                  <w:r>
                    <w:rPr>
                      <w:i/>
                      <w:color w:val="000000"/>
                      <w:vertAlign w:val="subscript"/>
                    </w:rPr>
                    <w:t>H.w,m</w:t>
                  </w:r>
                  <w:r>
                    <w:rPr>
                      <w:color w:val="000000"/>
                    </w:rPr>
                    <w:t xml:space="preserve"> – apskaičiuojama pagal (2.7), (2.8) ir (2.9)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N.H.r,m</w:t>
                  </w:r>
                  <w:r>
                    <w:rPr>
                      <w:i/>
                      <w:color w:val="000000"/>
                    </w:rPr>
                    <w:t>, Q</w:t>
                  </w:r>
                  <w:r>
                    <w:rPr>
                      <w:i/>
                      <w:color w:val="000000"/>
                      <w:vertAlign w:val="subscript"/>
                    </w:rPr>
                    <w:t>R.H.r,m</w:t>
                  </w:r>
                  <w:r>
                    <w:rPr>
                      <w:i/>
                      <w:color w:val="000000"/>
                    </w:rPr>
                    <w:t>, Q</w:t>
                  </w:r>
                  <w:r>
                    <w:rPr>
                      <w:i/>
                      <w:color w:val="000000"/>
                      <w:vertAlign w:val="subscript"/>
                    </w:rPr>
                    <w:t>H.r,m</w:t>
                  </w:r>
                  <w:r>
                    <w:rPr>
                      <w:color w:val="000000"/>
                    </w:rPr>
                    <w:t xml:space="preserve"> – apskaičiuojama pagal (2.11), (2.12) ir (2.13)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N.H.ce,m</w:t>
                  </w:r>
                  <w:r>
                    <w:rPr>
                      <w:i/>
                      <w:color w:val="000000"/>
                    </w:rPr>
                    <w:t>, Q</w:t>
                  </w:r>
                  <w:r>
                    <w:rPr>
                      <w:i/>
                      <w:color w:val="000000"/>
                      <w:vertAlign w:val="subscript"/>
                    </w:rPr>
                    <w:t>R.H.ce,m</w:t>
                  </w:r>
                  <w:r>
                    <w:rPr>
                      <w:i/>
                      <w:color w:val="000000"/>
                    </w:rPr>
                    <w:t>, Q</w:t>
                  </w:r>
                  <w:r>
                    <w:rPr>
                      <w:i/>
                      <w:color w:val="000000"/>
                      <w:vertAlign w:val="subscript"/>
                    </w:rPr>
                    <w:t>H.ce,m</w:t>
                  </w:r>
                  <w:r>
                    <w:rPr>
                      <w:color w:val="000000"/>
                    </w:rPr>
                    <w:t xml:space="preserve"> – apskaičiuojama pagal (2.15), (2.16) ir (2.17)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N.H.fg,m</w:t>
                  </w:r>
                  <w:r>
                    <w:rPr>
                      <w:i/>
                      <w:color w:val="000000"/>
                    </w:rPr>
                    <w:t>, Q</w:t>
                  </w:r>
                  <w:r>
                    <w:rPr>
                      <w:i/>
                      <w:color w:val="000000"/>
                      <w:vertAlign w:val="subscript"/>
                    </w:rPr>
                    <w:t>R.H.gf,m</w:t>
                  </w:r>
                  <w:r>
                    <w:rPr>
                      <w:i/>
                      <w:color w:val="000000"/>
                    </w:rPr>
                    <w:t>, Q</w:t>
                  </w:r>
                  <w:r>
                    <w:rPr>
                      <w:i/>
                      <w:color w:val="000000"/>
                      <w:vertAlign w:val="subscript"/>
                    </w:rPr>
                    <w:t>H.fg,m</w:t>
                  </w:r>
                  <w:r>
                    <w:rPr>
                      <w:color w:val="000000"/>
                    </w:rPr>
                    <w:t xml:space="preserve"> – apskaičiuojama pagal (2.20), (2.21) ir (2.22)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N.H.wda,m</w:t>
                  </w:r>
                  <w:r>
                    <w:rPr>
                      <w:i/>
                      <w:color w:val="000000"/>
                    </w:rPr>
                    <w:t>, Q</w:t>
                  </w:r>
                  <w:r>
                    <w:rPr>
                      <w:i/>
                      <w:color w:val="000000"/>
                      <w:vertAlign w:val="subscript"/>
                    </w:rPr>
                    <w:t>R.H.wda,m</w:t>
                  </w:r>
                  <w:r>
                    <w:rPr>
                      <w:i/>
                      <w:color w:val="000000"/>
                    </w:rPr>
                    <w:t>, Q</w:t>
                  </w:r>
                  <w:r>
                    <w:rPr>
                      <w:i/>
                      <w:color w:val="000000"/>
                      <w:vertAlign w:val="subscript"/>
                    </w:rPr>
                    <w:t>H.wda,m</w:t>
                  </w:r>
                  <w:r>
                    <w:rPr>
                      <w:color w:val="000000"/>
                    </w:rPr>
                    <w:t xml:space="preserve"> – apskaičiuojama pagal (2.83), (2.84) ir (2.85)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N.H.d,m</w:t>
                  </w:r>
                  <w:r>
                    <w:rPr>
                      <w:i/>
                      <w:color w:val="000000"/>
                    </w:rPr>
                    <w:t>, Q</w:t>
                  </w:r>
                  <w:r>
                    <w:rPr>
                      <w:i/>
                      <w:color w:val="000000"/>
                      <w:vertAlign w:val="subscript"/>
                    </w:rPr>
                    <w:t>R.H.d,m</w:t>
                  </w:r>
                  <w:r>
                    <w:rPr>
                      <w:i/>
                      <w:color w:val="000000"/>
                    </w:rPr>
                    <w:t>, Q</w:t>
                  </w:r>
                  <w:r>
                    <w:rPr>
                      <w:i/>
                      <w:color w:val="000000"/>
                      <w:vertAlign w:val="subscript"/>
                    </w:rPr>
                    <w:t>H.d,m</w:t>
                  </w:r>
                  <w:r>
                    <w:rPr>
                      <w:color w:val="000000"/>
                    </w:rPr>
                    <w:t xml:space="preserve"> – apskaičiuojama pagal (2.87), (2.88) ir (2.89) formules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N.H.Ψ,m</w:t>
                  </w:r>
                  <w:r>
                    <w:rPr>
                      <w:color w:val="000000"/>
                    </w:rPr>
                    <w:t xml:space="preserve">, </w:t>
                  </w:r>
                  <w:r>
                    <w:rPr>
                      <w:i/>
                      <w:color w:val="000000"/>
                    </w:rPr>
                    <w:t>Q</w:t>
                  </w:r>
                  <w:r>
                    <w:rPr>
                      <w:i/>
                      <w:color w:val="000000"/>
                      <w:vertAlign w:val="subscript"/>
                    </w:rPr>
                    <w:t>R.H.Ψ,m</w:t>
                  </w:r>
                  <w:r>
                    <w:rPr>
                      <w:color w:val="000000"/>
                    </w:rPr>
                    <w:t xml:space="preserve">, </w:t>
                  </w:r>
                  <w:r>
                    <w:rPr>
                      <w:i/>
                      <w:color w:val="000000"/>
                    </w:rPr>
                    <w:t>Q</w:t>
                  </w:r>
                  <w:r>
                    <w:rPr>
                      <w:i/>
                      <w:color w:val="000000"/>
                      <w:vertAlign w:val="subscript"/>
                    </w:rPr>
                    <w:t>H.Ψ,m</w:t>
                  </w:r>
                  <w:r>
                    <w:rPr>
                      <w:color w:val="000000"/>
                    </w:rPr>
                    <w:t xml:space="preserve"> – apskaičiuojama pagal (2.91), (2.92) ir (2.93) formules (kWh/(m</w:t>
                  </w:r>
                  <w:r>
                    <w:rPr>
                      <w:color w:val="000000"/>
                      <w:vertAlign w:val="superscript"/>
                    </w:rPr>
                    <w:t>2</w:t>
                  </w:r>
                  <w:r>
                    <w:rPr>
                      <w:color w:val="000000"/>
                    </w:rPr>
                    <w:t>·mėn.)).</w:t>
                  </w:r>
                </w:p>
                <w:p>
                  <w:pPr>
                    <w:ind w:left="720"/>
                    <w:rPr>
                      <w:i/>
                      <w:color w:val="000000"/>
                    </w:rPr>
                  </w:pPr>
                </w:p>
              </w:sdtContent>
            </w:sdt>
            <w:sdt>
              <w:sdtPr>
                <w:alias w:val="2 pr. 33 p."/>
                <w:tag w:val="part_86163cb067624b4b81913b32a2114815"/>
                <w:lock w:val="sdtLocked"/>
                <w:richText/>
              </w:sdtPr>
              <w:sdtContent>
                <w:p>
                  <w:pPr>
                    <w:ind w:firstLine="600"/>
                    <w:jc w:val="both"/>
                    <w:rPr>
                      <w:color w:val="000000"/>
                    </w:rPr>
                  </w:pPr>
                  <w:sdt>
                    <w:sdtPr>
                      <w:alias w:val="Numeris"/>
                      <w:tag w:val="nr_86163cb067624b4b81913b32a2114815"/>
                      <w:lock w:val="sdtLocked"/>
                      <w:richText/>
                    </w:sdtPr>
                    <w:sdtContent>
                      <w:r>
                        <w:rPr>
                          <w:color w:val="000000"/>
                        </w:rPr>
                        <w:t>33</w:t>
                      </w:r>
                    </w:sdtContent>
                  </w:sdt>
                  <w:r>
                    <w:rPr>
                      <w:color w:val="000000"/>
                    </w:rPr>
                    <w:t xml:space="preserve">. Atitinkamo mėnesio „m“ pastato skaičiuojamieji </w:t>
                  </w:r>
                  <w:r>
                    <w:rPr>
                      <w:i/>
                      <w:color w:val="000000"/>
                    </w:rPr>
                    <w:t>H</w:t>
                  </w:r>
                  <w:r>
                    <w:rPr>
                      <w:i/>
                      <w:color w:val="000000"/>
                      <w:vertAlign w:val="subscript"/>
                    </w:rPr>
                    <w:t>C.p,m</w:t>
                  </w:r>
                  <w:r>
                    <w:rPr>
                      <w:color w:val="000000"/>
                      <w:vertAlign w:val="subscript"/>
                    </w:rPr>
                    <w:t xml:space="preserve"> </w:t>
                  </w:r>
                  <w:r>
                    <w:rPr>
                      <w:color w:val="000000"/>
                    </w:rPr>
                    <w:t xml:space="preserve">(W/K) savitieji šilumos nuostoliai, kuriuos reikia įvertinti energijos sąnaudoms pastatui vėsinti skaičiavimuose, nustatomi taip: </w:t>
                  </w:r>
                </w:p>
                <w:p>
                  <w:pPr>
                    <w:ind w:firstLine="600"/>
                    <w:rPr>
                      <w:color w:val="000000"/>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30"/>
                            <w:szCs w:val="22"/>
                          </w:rPr>
                          <w:object w:dxaOrig="3310" w:dyaOrig="710">
                            <v:shape id="_x0000_i1156" type="#_x0000_t75" style="width:165.85pt;height:35.6pt" o:ole="">
                              <v:imagedata r:id="rId542" o:title=""/>
                            </v:shape>
                            <o:OLEObject Type="Embed" ProgID="Equation.3" ShapeID="_x0000_i1156" DrawAspect="Content" ObjectID="_0000000001" r:id="rId543"/>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(2.122)</w:t>
                        </w:r>
                      </w:p>
                    </w:tc>
                  </w:tr>
                </w:tbl>
                <w:p>
                  <w:pPr>
                    <w:ind w:left="720"/>
                    <w:rPr>
                      <w:rFonts w:eastAsia="Calibri"/>
                      <w:color w:val="000000"/>
                      <w:szCs w:val="22"/>
                    </w:rPr>
                  </w:pPr>
                </w:p>
                <w:tbl>
                  <w:tblPr>
                    <w:tblW w:w="0" w:type="auto"/>
                    <w:tblLook w:val="01E0" w:firstRow="1" w:lastRow="1" w:firstColumn="1" w:lastColumn="1" w:noHBand="0" w:noVBand="0"/>
                  </w:tblPr>
                  <w:tblGrid>
                    <w:gridCol w:w="8594"/>
                    <w:gridCol w:w="976"/>
                  </w:tblGrid>
                  <w:tr>
                    <w:tc>
                      <w:tcPr>
                        <w:tcW w:w="8594"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6770" w:dyaOrig="400">
                            <v:shape id="_x0000_i1157" type="#_x0000_t75" style="width:338.15pt;height:20.2pt" o:ole="">
                              <v:imagedata r:id="rId544" o:title=""/>
                            </v:shape>
                            <o:OLEObject Type="Embed" ProgID="Equation.3" ShapeID="_x0000_i1157" DrawAspect="Content" ObjectID="_0000000001" r:id="rId545"/>
                          </w:object>
                        </w:r>
                        <w:r>
                          <w:rPr>
                            <w:color w:val="000000"/>
                          </w:rPr>
                          <w:t>;</w:t>
                        </w:r>
                      </w:p>
                    </w:tc>
                    <w:tc>
                      <w:tcPr>
                        <w:tcW w:w="976"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(2.123)</w:t>
                        </w:r>
                      </w:p>
                    </w:tc>
                  </w:tr>
                </w:tbl>
                <w:p>
                  <w:pPr>
                    <w:tabs>
                      <w:tab w:val="left" w:pos="567"/>
                    </w:tabs>
                    <w:rPr>
                      <w:rFonts w:eastAsia="Calibri"/>
                      <w:color w:val="000000"/>
                      <w:szCs w:val="22"/>
                    </w:rPr>
                  </w:pPr>
                  <w:r>
                    <w:rPr>
                      <w:color w:val="000000"/>
                    </w:rPr>
                    <w:t>čia:</w:t>
                    <w:tab/>
                  </w:r>
                  <w:r>
                    <w:rPr>
                      <w:i/>
                      <w:color w:val="000000"/>
                    </w:rPr>
                    <w:t>Q</w:t>
                  </w:r>
                  <w:r>
                    <w:rPr>
                      <w:i/>
                      <w:color w:val="000000"/>
                      <w:vertAlign w:val="subscript"/>
                    </w:rPr>
                    <w:t>C.w,m</w:t>
                  </w:r>
                  <w:r>
                    <w:rPr>
                      <w:color w:val="000000"/>
                    </w:rPr>
                    <w:t xml:space="preserve"> – apskaičiuojama pagal (2.10)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C.r,m</w:t>
                  </w:r>
                  <w:r>
                    <w:rPr>
                      <w:color w:val="000000"/>
                    </w:rPr>
                    <w:t xml:space="preserve"> – apskaičiuojama pagal (2.14)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C.ce,m</w:t>
                  </w:r>
                  <w:r>
                    <w:rPr>
                      <w:color w:val="000000"/>
                    </w:rPr>
                    <w:t xml:space="preserve"> – apskaičiuojama pagal (2.18)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C.fg,m</w:t>
                  </w:r>
                  <w:r>
                    <w:rPr>
                      <w:color w:val="000000"/>
                    </w:rPr>
                    <w:t xml:space="preserve"> – apskaičiuojama pagal (2.23)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C.wda,m</w:t>
                  </w:r>
                  <w:r>
                    <w:rPr>
                      <w:color w:val="000000"/>
                    </w:rPr>
                    <w:t xml:space="preserve"> – apskaičiuojama pagal (2.86)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C.d,m</w:t>
                  </w:r>
                  <w:r>
                    <w:rPr>
                      <w:color w:val="000000"/>
                    </w:rPr>
                    <w:t xml:space="preserve"> – apskaičiuojama pagal (2.90) formulę (kWh/(m</w:t>
                  </w:r>
                  <w:r>
                    <w:rPr>
                      <w:color w:val="000000"/>
                      <w:vertAlign w:val="superscript"/>
                    </w:rPr>
                    <w:t>2</w:t>
                  </w:r>
                  <w:r>
                    <w:rPr>
                      <w:color w:val="000000"/>
                    </w:rPr>
                    <w:t>·mėn.));</w:t>
                  </w:r>
                </w:p>
                <w:p>
                  <w:pPr>
                    <w:ind w:firstLine="567"/>
                    <w:rPr>
                      <w:color w:val="000000"/>
                    </w:rPr>
                  </w:pPr>
                  <w:r>
                    <w:rPr>
                      <w:i/>
                      <w:color w:val="000000"/>
                    </w:rPr>
                    <w:t>Q</w:t>
                  </w:r>
                  <w:r>
                    <w:rPr>
                      <w:i/>
                      <w:color w:val="000000"/>
                      <w:vertAlign w:val="subscript"/>
                    </w:rPr>
                    <w:t>C.Ψ,m</w:t>
                  </w:r>
                  <w:r>
                    <w:rPr>
                      <w:color w:val="000000"/>
                    </w:rPr>
                    <w:t xml:space="preserve"> – apskaičiuojama pagal (2.94) formulę (kWh/(m</w:t>
                  </w:r>
                  <w:r>
                    <w:rPr>
                      <w:color w:val="000000"/>
                      <w:vertAlign w:val="superscript"/>
                    </w:rPr>
                    <w:t>2</w:t>
                  </w:r>
                  <w:r>
                    <w:rPr>
                      <w:color w:val="000000"/>
                    </w:rPr>
                    <w:t>·mėn.)).</w:t>
                  </w:r>
                </w:p>
                <w:p>
                  <w:pPr>
                    <w:ind w:firstLine="567"/>
                    <w:rPr>
                      <w:color w:val="000000"/>
                    </w:rPr>
                  </w:pPr>
                </w:p>
              </w:sdtContent>
            </w:sdt>
          </w:sdtContent>
        </w:sdt>
        <w:sdt>
          <w:sdtPr>
            <w:alias w:val="skyrius"/>
            <w:tag w:val="part_cfd29a29b5d44f66aef6c325606f5162"/>
            <w:lock w:val="sdtLocked"/>
            <w:richText/>
          </w:sdtPr>
          <w:sdtContent>
            <w:p>
              <w:pPr>
                <w:keepNext/>
                <w:keepLines/>
                <w:jc w:val="center"/>
                <w:outlineLvl w:val="2"/>
                <w:rPr>
                  <w:b/>
                  <w:bCs/>
                </w:rPr>
              </w:pPr>
              <w:sdt>
                <w:sdtPr>
                  <w:alias w:val="Numeris"/>
                  <w:tag w:val="nr_cfd29a29b5d44f66aef6c325606f5162"/>
                  <w:lock w:val="sdtLocked"/>
                  <w:richText/>
                </w:sdtPr>
                <w:sdtContent>
                  <w:r>
                    <w:rPr>
                      <w:b/>
                      <w:bCs/>
                    </w:rPr>
                    <w:t>XIV</w:t>
                  </w:r>
                </w:sdtContent>
              </w:sdt>
              <w:r>
                <w:rPr>
                  <w:b/>
                  <w:bCs/>
                </w:rPr>
                <w:t xml:space="preserve"> skyrius</w:t>
              </w:r>
            </w:p>
            <w:p>
              <w:pPr>
                <w:keepNext/>
                <w:keepLines/>
                <w:jc w:val="center"/>
                <w:outlineLvl w:val="2"/>
                <w:rPr>
                  <w:b/>
                  <w:bCs/>
                </w:rPr>
              </w:pPr>
              <w:sdt>
                <w:sdtPr>
                  <w:alias w:val="Pavadinimas"/>
                  <w:tag w:val="title_cfd29a29b5d44f66aef6c325606f5162"/>
                  <w:lock w:val="sdtLocked"/>
                  <w:richText/>
                </w:sdtPr>
                <w:sdtContent>
                  <w:r>
                    <w:rPr>
                      <w:b/>
                      <w:bCs/>
                    </w:rPr>
                    <w:t xml:space="preserve">Mėnesinių elektros energijos sąnaudų skaičiavimas </w:t>
                  </w:r>
                </w:sdtContent>
              </w:sdt>
            </w:p>
            <w:p>
              <w:pPr>
                <w:ind w:firstLine="570"/>
              </w:pPr>
            </w:p>
            <w:sdt>
              <w:sdtPr>
                <w:alias w:val="2 pr. 34 p."/>
                <w:tag w:val="part_27b7e4a420484923a61d43cdfe74228b"/>
                <w:lock w:val="sdtLocked"/>
                <w:richText/>
              </w:sdtPr>
              <w:sdtContent>
                <w:p>
                  <w:pPr>
                    <w:ind w:firstLine="570"/>
                    <w:jc w:val="both"/>
                    <w:rPr>
                      <w:color w:val="000000"/>
                    </w:rPr>
                  </w:pPr>
                  <w:sdt>
                    <w:sdtPr>
                      <w:alias w:val="Numeris"/>
                      <w:tag w:val="nr_27b7e4a420484923a61d43cdfe74228b"/>
                      <w:lock w:val="sdtLocked"/>
                      <w:richText/>
                    </w:sdtPr>
                    <w:sdtContent>
                      <w:r>
                        <w:rPr>
                          <w:color w:val="000000"/>
                        </w:rPr>
                        <w:t>34</w:t>
                      </w:r>
                    </w:sdtContent>
                  </w:sdt>
                  <w:r>
                    <w:rPr>
                      <w:color w:val="000000"/>
                    </w:rPr>
                    <w:t>. Neatsinaujinančios pirminės energijos sąnaudos elektros energijai apskaičiuojamos taip:</w:t>
                  </w:r>
                </w:p>
                <w:sdt>
                  <w:sdtPr>
                    <w:alias w:val="2 pr. 34.1 pp."/>
                    <w:tag w:val="part_13e0668b215a4df4a0d9a92cdbf5dab8"/>
                    <w:lock w:val="sdtLocked"/>
                    <w:richText/>
                  </w:sdtPr>
                  <w:sdtContent>
                    <w:p>
                      <w:pPr>
                        <w:ind w:firstLine="570"/>
                        <w:jc w:val="both"/>
                        <w:rPr>
                          <w:color w:val="000000"/>
                        </w:rPr>
                      </w:pPr>
                      <w:sdt>
                        <w:sdtPr>
                          <w:alias w:val="Numeris"/>
                          <w:tag w:val="nr_13e0668b215a4df4a0d9a92cdbf5dab8"/>
                          <w:lock w:val="sdtLocked"/>
                          <w:richText/>
                        </w:sdtPr>
                        <w:sdtContent>
                          <w:r>
                            <w:rPr>
                              <w:color w:val="000000"/>
                            </w:rPr>
                            <w:t>34.1</w:t>
                          </w:r>
                        </w:sdtContent>
                      </w:sdt>
                      <w:r>
                        <w:rPr>
                          <w:color w:val="000000"/>
                        </w:rPr>
                        <w:t xml:space="preserve">. skaičiuojant mėnesines pastato elektros energijos sąnaudas, turi būti įvertintos elektrinės įrangos pastato šildomose patalpose energijos sąnaudos, elektros energijos sąnaudos šildomų patalpų apšvietimui, elektros energijos sąnaudos nešildomame pastato plote kitoms su pastato paskirtimi susijusioms reikmėms, pastato mechaninių vėdinimo sistemų ventiliatorių elektros energijos sąnaudos, elektros energijos sąnaudos pastatui vėsinti ir fotovoltiniuose Saulės kolektoriuose, vėjo elektrinėse pagaminta ir pastate suvartota elektros energija; </w:t>
                      </w:r>
                    </w:p>
                  </w:sdtContent>
                </w:sdt>
                <w:sdt>
                  <w:sdtPr>
                    <w:alias w:val="2 pr. 34.2 pp."/>
                    <w:tag w:val="part_7f867309b0384fd6a163e6c128c17c81"/>
                    <w:lock w:val="sdtLocked"/>
                    <w:richText/>
                  </w:sdtPr>
                  <w:sdtContent>
                    <w:p>
                      <w:pPr>
                        <w:tabs>
                          <w:tab w:val="left" w:pos="567"/>
                        </w:tabs>
                        <w:suppressAutoHyphens/>
                        <w:ind w:firstLine="567"/>
                        <w:jc w:val="both"/>
                        <w:rPr>
                          <w:color w:val="000000"/>
                          <w:lang w:eastAsia="lt-LT"/>
                        </w:rPr>
                      </w:pPr>
                      <w:sdt>
                        <w:sdtPr>
                          <w:alias w:val="Numeris"/>
                          <w:tag w:val="nr_7f867309b0384fd6a163e6c128c17c81"/>
                          <w:lock w:val="sdtLocked"/>
                          <w:richText/>
                        </w:sdtPr>
                        <w:sdtContent>
                          <w:r>
                            <w:rPr>
                              <w:color w:val="000000"/>
                              <w:lang w:eastAsia="lt-LT"/>
                            </w:rPr>
                            <w:t>34.2</w:t>
                          </w:r>
                        </w:sdtContent>
                      </w:sdt>
                      <w:r>
                        <w:rPr>
                          <w:color w:val="000000"/>
                          <w:lang w:eastAsia="lt-LT"/>
                        </w:rPr>
                        <w:t xml:space="preserve">. kiekvieno mėnesio </w:t>
                      </w:r>
                      <w:r>
                        <w:rPr>
                          <w:i/>
                          <w:color w:val="000000"/>
                          <w:lang w:eastAsia="lt-LT"/>
                        </w:rPr>
                        <w:t>„m“</w:t>
                      </w:r>
                      <w:r>
                        <w:rPr>
                          <w:b/>
                          <w:color w:val="000000"/>
                          <w:lang w:eastAsia="lt-LT"/>
                        </w:rPr>
                        <w:t xml:space="preserve"> </w:t>
                      </w:r>
                      <w:r>
                        <w:rPr>
                          <w:color w:val="000000"/>
                          <w:lang w:eastAsia="lt-LT"/>
                        </w:rPr>
                        <w:t xml:space="preserve">norminės neatsinaujinančios pirminės energijos sąnaudos elektros energijai </w:t>
                      </w:r>
                      <w:r>
                        <w:rPr>
                          <w:i/>
                          <w:color w:val="000000"/>
                          <w:lang w:eastAsia="lt-LT"/>
                        </w:rPr>
                        <w:t>Q</w:t>
                      </w:r>
                      <w:r>
                        <w:rPr>
                          <w:i/>
                          <w:color w:val="000000"/>
                          <w:vertAlign w:val="subscript"/>
                          <w:lang w:eastAsia="lt-LT"/>
                        </w:rPr>
                        <w:t>N.PRn.E,m</w:t>
                      </w:r>
                      <w:r>
                        <w:rPr>
                          <w:color w:val="000000"/>
                          <w:lang w:eastAsia="lt-LT"/>
                        </w:rPr>
                        <w:t xml:space="preserve"> (kWh/(m²·mėn.)) apskaičiuojamos taip: </w:t>
                      </w:r>
                    </w:p>
                    <w:p>
                      <w:pPr>
                        <w:tabs>
                          <w:tab w:val="left" w:pos="567"/>
                        </w:tabs>
                        <w:suppressAutoHyphens/>
                        <w:ind w:firstLine="570"/>
                        <w:jc w:val="both"/>
                        <w:rPr>
                          <w:color w:val="000000"/>
                          <w:lang w:eastAsia="lt-LT"/>
                        </w:rPr>
                      </w:pPr>
                    </w:p>
                    <w:tbl>
                      <w:tblPr>
                        <w:tblW w:w="0" w:type="auto"/>
                        <w:tblLook w:val="01E0" w:firstRow="1" w:lastRow="1" w:firstColumn="1" w:lastColumn="1" w:noHBand="0" w:noVBand="0"/>
                      </w:tblPr>
                      <w:tblGrid>
                        <w:gridCol w:w="8388"/>
                        <w:gridCol w:w="1182"/>
                      </w:tblGrid>
                      <w:tr>
                        <w:tc>
                          <w:tcPr>
                            <w:tcW w:w="8388" w:type="dxa"/>
                            <w:vAlign w:val="center"/>
                            <w:hideMark/>
                          </w:tcPr>
                          <w:p>
                            <w:pPr>
                              <w:tabs>
                                <w:tab w:val="left" w:pos="567"/>
                              </w:tabs>
                              <w:suppressAutoHyphens/>
                              <w:spacing w:line="276" w:lineRule="auto"/>
                              <w:jc w:val="center"/>
                              <w:rPr>
                                <w:color w:val="000000"/>
                                <w:lang w:eastAsia="lt-LT"/>
                              </w:rPr>
                            </w:pPr>
                            <w:r>
                              <w:rPr>
                                <w:rFonts w:eastAsia="Calibri"/>
                                <w:color w:val="000000"/>
                                <w:szCs w:val="22"/>
                                <w:lang w:eastAsia="lt-LT"/>
                              </w:rPr>
                              <w:object w:dxaOrig="2868" w:dyaOrig="600">
                                <v:shape id="_x0000_i1158" type="#_x0000_t75" style="width:2in;height:29.95pt" o:ole="">
                                  <v:imagedata r:id="rId546" o:title=""/>
                                </v:shape>
                                <o:OLEObject Type="Embed" ProgID="Equation.3" ShapeID="_x0000_i1158" DrawAspect="Content" ObjectID="_0000000001" r:id="rId547"/>
                              </w:object>
                            </w:r>
                            <w:r>
                              <w:rPr>
                                <w:color w:val="000000"/>
                                <w:lang w:eastAsia="lt-LT"/>
                              </w:rPr>
                              <w:t>;</w:t>
                            </w:r>
                          </w:p>
                          <w:p>
                            <w:pPr>
                              <w:tabs>
                                <w:tab w:val="left" w:pos="567"/>
                              </w:tabs>
                              <w:suppressAutoHyphens/>
                              <w:spacing w:line="276" w:lineRule="auto"/>
                              <w:jc w:val="center"/>
                              <w:rPr>
                                <w:rFonts w:eastAsia="Calibri"/>
                                <w:color w:val="000000"/>
                                <w:szCs w:val="22"/>
                                <w:lang w:eastAsia="lt-LT"/>
                              </w:rPr>
                            </w:pPr>
                          </w:p>
                        </w:tc>
                        <w:tc>
                          <w:tcPr>
                            <w:tcW w:w="1182" w:type="dxa"/>
                            <w:vAlign w:val="center"/>
                            <w:hideMark/>
                          </w:tcPr>
                          <w:p>
                            <w:pPr>
                              <w:tabs>
                                <w:tab w:val="left" w:pos="567"/>
                              </w:tabs>
                              <w:suppressAutoHyphens/>
                              <w:spacing w:line="276" w:lineRule="auto"/>
                              <w:jc w:val="right"/>
                              <w:rPr>
                                <w:rFonts w:eastAsia="Calibri"/>
                                <w:color w:val="000000"/>
                                <w:szCs w:val="22"/>
                                <w:lang w:eastAsia="lt-LT"/>
                              </w:rPr>
                            </w:pPr>
                            <w:r>
                              <w:rPr>
                                <w:color w:val="000000"/>
                                <w:lang w:eastAsia="lt-LT"/>
                              </w:rPr>
                              <w:t>(2.124)</w:t>
                            </w:r>
                          </w:p>
                        </w:tc>
                      </w:tr>
                    </w:tbl>
                    <w:p>
                      <w:pPr>
                        <w:tabs>
                          <w:tab w:val="left" w:pos="567"/>
                        </w:tabs>
                        <w:suppressAutoHyphens/>
                        <w:jc w:val="both"/>
                        <w:rPr>
                          <w:rFonts w:eastAsia="Calibri"/>
                          <w:bCs/>
                          <w:color w:val="000000"/>
                          <w:szCs w:val="22"/>
                          <w:lang w:eastAsia="lt-LT"/>
                        </w:rPr>
                      </w:pPr>
                      <w:r>
                        <w:rPr>
                          <w:bCs/>
                          <w:color w:val="000000"/>
                          <w:lang w:eastAsia="lt-LT"/>
                        </w:rPr>
                        <w:t>čia:</w:t>
                        <w:tab/>
                      </w:r>
                      <w:r>
                        <w:rPr>
                          <w:bCs/>
                          <w:i/>
                          <w:color w:val="000000"/>
                          <w:lang w:eastAsia="lt-LT"/>
                        </w:rPr>
                        <w:t>ψ</w:t>
                      </w:r>
                      <w:r>
                        <w:rPr>
                          <w:bCs/>
                          <w:i/>
                          <w:color w:val="000000"/>
                          <w:vertAlign w:val="subscript"/>
                          <w:lang w:eastAsia="lt-LT"/>
                        </w:rPr>
                        <w:t>E</w:t>
                      </w:r>
                      <w:r>
                        <w:rPr>
                          <w:bCs/>
                          <w:color w:val="000000"/>
                          <w:lang w:eastAsia="lt-LT"/>
                        </w:rPr>
                        <w:t xml:space="preserve"> – m</w:t>
                      </w:r>
                      <w:r>
                        <w:rPr>
                          <w:color w:val="000000"/>
                          <w:lang w:eastAsia="lt-LT"/>
                        </w:rPr>
                        <w:t>etinis elektros energijos suvartojimas pastato šildomo ploto vienetui kWh/(m²·metai)).</w:t>
                      </w:r>
                      <w:r>
                        <w:rPr>
                          <w:bCs/>
                          <w:color w:val="000000"/>
                          <w:lang w:eastAsia="lt-LT"/>
                        </w:rPr>
                        <w:t xml:space="preserve"> Imamas iš 2.4 lentelės;</w:t>
                      </w:r>
                    </w:p>
                    <w:p>
                      <w:pPr>
                        <w:tabs>
                          <w:tab w:val="left" w:pos="567"/>
                        </w:tabs>
                        <w:suppressAutoHyphens/>
                        <w:ind w:firstLine="567"/>
                        <w:jc w:val="both"/>
                        <w:rPr>
                          <w:bCs/>
                          <w:color w:val="000000"/>
                        </w:rPr>
                      </w:pPr>
                      <w:r>
                        <w:rPr>
                          <w:bCs/>
                          <w:i/>
                          <w:color w:val="000000"/>
                          <w:lang w:eastAsia="lt-LT"/>
                        </w:rPr>
                        <w:t>f</w:t>
                      </w:r>
                      <w:r>
                        <w:rPr>
                          <w:bCs/>
                          <w:i/>
                          <w:color w:val="000000"/>
                          <w:vertAlign w:val="subscript"/>
                          <w:lang w:eastAsia="lt-LT"/>
                        </w:rPr>
                        <w:t>N.PRn.E</w:t>
                      </w:r>
                      <w:r>
                        <w:rPr>
                          <w:bCs/>
                          <w:color w:val="000000"/>
                          <w:lang w:eastAsia="lt-LT"/>
                        </w:rPr>
                        <w:t xml:space="preserve"> – norminis neatsinaujinančios pirminės energijos faktorius elektros energijai.  Faktoriaus vertė imama iš 2.18 lentelės 10 eilutės (elektros įvairių gamybos būdų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34.3 pp."/>
                    <w:tag w:val="part_d02e97c3c85b4fd3b86c25af35dcfe2e"/>
                    <w:lock w:val="sdtLocked"/>
                    <w:richText/>
                  </w:sdtPr>
                  <w:sdtContent>
                    <w:p>
                      <w:pPr>
                        <w:ind w:firstLine="570"/>
                        <w:jc w:val="both"/>
                        <w:rPr>
                          <w:color w:val="000000"/>
                        </w:rPr>
                      </w:pPr>
                      <w:sdt>
                        <w:sdtPr>
                          <w:alias w:val="Numeris"/>
                          <w:tag w:val="nr_d02e97c3c85b4fd3b86c25af35dcfe2e"/>
                          <w:lock w:val="sdtLocked"/>
                          <w:richText/>
                        </w:sdtPr>
                        <w:sdtContent>
                          <w:r>
                            <w:rPr>
                              <w:color w:val="000000"/>
                            </w:rPr>
                            <w:t>34.3</w:t>
                          </w:r>
                        </w:sdtContent>
                      </w:sdt>
                      <w:r>
                        <w:rPr>
                          <w:color w:val="000000"/>
                        </w:rPr>
                        <w:t xml:space="preserve">. kiekvieno mėnesio </w:t>
                      </w:r>
                      <w:r>
                        <w:rPr>
                          <w:i/>
                          <w:color w:val="000000"/>
                        </w:rPr>
                        <w:t>„m“</w:t>
                      </w:r>
                      <w:r>
                        <w:rPr>
                          <w:b/>
                          <w:color w:val="000000"/>
                        </w:rPr>
                        <w:t xml:space="preserve"> </w:t>
                      </w:r>
                      <w:r>
                        <w:rPr>
                          <w:color w:val="000000"/>
                        </w:rPr>
                        <w:t xml:space="preserve">atskaitinės neatsinaujinančios pirminės energijos sąnaudos elektros energijai </w:t>
                      </w:r>
                      <w:r>
                        <w:rPr>
                          <w:i/>
                          <w:color w:val="000000"/>
                        </w:rPr>
                        <w:t>Q</w:t>
                      </w:r>
                      <w:r>
                        <w:rPr>
                          <w:i/>
                          <w:color w:val="000000"/>
                          <w:vertAlign w:val="subscript"/>
                        </w:rPr>
                        <w:t>R.PRn.E,m</w:t>
                      </w:r>
                      <w:r>
                        <w:rPr>
                          <w:color w:val="000000"/>
                        </w:rPr>
                        <w:t xml:space="preserve"> (kWh/(m²·mėn.)) apskaičiuojamos taip: </w:t>
                      </w:r>
                    </w:p>
                    <w:p>
                      <w:pPr>
                        <w:ind w:firstLine="570"/>
                        <w:jc w:val="both"/>
                        <w:rPr>
                          <w:color w:val="000000"/>
                        </w:rPr>
                      </w:pPr>
                    </w:p>
                    <w:p>
                      <w:pPr>
                        <w:ind w:firstLine="570"/>
                        <w:jc w:val="both"/>
                        <w:rPr>
                          <w:color w:val="000000"/>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szCs w:val="22"/>
                              </w:rPr>
                            </w:pPr>
                            <w:r>
                              <w:rPr>
                                <w:rFonts w:eastAsia="Calibri"/>
                                <w:color w:val="000000"/>
                                <w:position w:val="-22"/>
                                <w:szCs w:val="22"/>
                              </w:rPr>
                              <w:object w:dxaOrig="2830" w:dyaOrig="600">
                                <v:shape id="_x0000_i1159" type="#_x0000_t75" style="width:142.4pt;height:29.95pt" o:ole="">
                                  <v:imagedata r:id="rId548" o:title=""/>
                                </v:shape>
                                <o:OLEObject Type="Embed" ProgID="Equation.3" ShapeID="_x0000_i1159" DrawAspect="Content" ObjectID="_0000000001" r:id="rId549"/>
                              </w:object>
                            </w:r>
                            <w:r>
                              <w:rPr>
                                <w:color w:val="000000"/>
                              </w:rPr>
                              <w:t>;</w:t>
                            </w:r>
                          </w:p>
                        </w:tc>
                        <w:tc>
                          <w:tcPr>
                            <w:tcW w:w="1182" w:type="dxa"/>
                            <w:vAlign w:val="center"/>
                            <w:hideMark/>
                          </w:tcPr>
                          <w:p>
                            <w:pPr>
                              <w:spacing w:line="276" w:lineRule="auto"/>
                              <w:jc w:val="right"/>
                              <w:rPr>
                                <w:rFonts w:eastAsia="Calibri"/>
                                <w:color w:val="000000"/>
                                <w:szCs w:val="22"/>
                              </w:rPr>
                            </w:pPr>
                            <w:r>
                              <w:rPr>
                                <w:color w:val="000000"/>
                              </w:rPr>
                              <w:t>(2.125)</w:t>
                            </w:r>
                          </w:p>
                        </w:tc>
                      </w:tr>
                    </w:tbl>
                    <w:p>
                      <w:pPr>
                        <w:tabs>
                          <w:tab w:val="left" w:pos="567"/>
                        </w:tabs>
                        <w:jc w:val="both"/>
                        <w:rPr>
                          <w:bCs/>
                          <w:color w:val="000000"/>
                        </w:rPr>
                      </w:pPr>
                    </w:p>
                    <w:p>
                      <w:pPr>
                        <w:tabs>
                          <w:tab w:val="left" w:pos="567"/>
                        </w:tabs>
                        <w:jc w:val="both"/>
                        <w:rPr>
                          <w:bCs/>
                          <w:color w:val="000000"/>
                        </w:rPr>
                      </w:pPr>
                    </w:p>
                    <w:p>
                      <w:pPr>
                        <w:tabs>
                          <w:tab w:val="left" w:pos="567"/>
                        </w:tabs>
                        <w:jc w:val="both"/>
                        <w:rPr>
                          <w:color w:val="000000"/>
                        </w:rPr>
                      </w:pPr>
                      <w:r>
                        <w:rPr>
                          <w:bCs/>
                          <w:color w:val="000000"/>
                        </w:rPr>
                        <w:t xml:space="preserve">čia:  </w:t>
                        <w:tab/>
                      </w:r>
                      <w:r>
                        <w:rPr>
                          <w:bCs/>
                          <w:i/>
                          <w:color w:val="000000"/>
                        </w:rPr>
                        <w:t>f</w:t>
                      </w:r>
                      <w:r>
                        <w:rPr>
                          <w:bCs/>
                          <w:i/>
                          <w:color w:val="000000"/>
                          <w:vertAlign w:val="subscript"/>
                        </w:rPr>
                        <w:t>R.PRn.E</w:t>
                      </w:r>
                      <w:r>
                        <w:rPr>
                          <w:bCs/>
                          <w:color w:val="000000"/>
                        </w:rPr>
                        <w:t xml:space="preserve"> – atskaitinis neatsinaujinančios pirminės energijos faktorius elektros energijai. </w:t>
                      </w:r>
                      <w:r>
                        <w:rPr>
                          <w:b/>
                          <w:bCs/>
                          <w:color w:val="000000"/>
                        </w:rPr>
                        <w:t>Faktoriaus vertė imama iš 2.18 lentelės 10 eilutės.</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550"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34.4 pp."/>
                    <w:tag w:val="part_94801e8af15b426b83b40a4478001690"/>
                    <w:lock w:val="sdtLocked"/>
                    <w:richText/>
                  </w:sdtPr>
                  <w:sdtContent>
                    <w:p>
                      <w:pPr>
                        <w:tabs>
                          <w:tab w:val="left" w:pos="567"/>
                        </w:tabs>
                        <w:suppressAutoHyphens/>
                        <w:ind w:firstLine="567"/>
                        <w:jc w:val="both"/>
                        <w:rPr>
                          <w:color w:val="000000"/>
                          <w:lang w:eastAsia="lt-LT"/>
                        </w:rPr>
                      </w:pPr>
                      <w:sdt>
                        <w:sdtPr>
                          <w:alias w:val="Numeris"/>
                          <w:tag w:val="nr_94801e8af15b426b83b40a4478001690"/>
                          <w:lock w:val="sdtLocked"/>
                          <w:richText/>
                        </w:sdtPr>
                        <w:sdtContent>
                          <w:r>
                            <w:rPr>
                              <w:color w:val="000000"/>
                              <w:lang w:eastAsia="lt-LT"/>
                            </w:rPr>
                            <w:t>34.4</w:t>
                          </w:r>
                        </w:sdtContent>
                      </w:sdt>
                      <w:r>
                        <w:rPr>
                          <w:color w:val="000000"/>
                          <w:lang w:eastAsia="lt-LT"/>
                        </w:rPr>
                        <w:t xml:space="preserve">. kiekvieno mėnesio </w:t>
                      </w:r>
                      <w:r>
                        <w:rPr>
                          <w:i/>
                          <w:color w:val="000000"/>
                          <w:lang w:eastAsia="lt-LT"/>
                        </w:rPr>
                        <w:t>„m“</w:t>
                      </w:r>
                      <w:r>
                        <w:rPr>
                          <w:b/>
                          <w:color w:val="000000"/>
                          <w:lang w:eastAsia="lt-LT"/>
                        </w:rPr>
                        <w:t xml:space="preserve"> </w:t>
                      </w:r>
                      <w:r>
                        <w:rPr>
                          <w:color w:val="000000"/>
                          <w:lang w:eastAsia="lt-LT"/>
                        </w:rPr>
                        <w:t xml:space="preserve">skaičiuojamosios neatsinaujinančios pirminės energijos sąnaudos elektros energijai </w:t>
                      </w:r>
                      <w:r>
                        <w:rPr>
                          <w:i/>
                          <w:color w:val="000000"/>
                          <w:lang w:eastAsia="lt-LT"/>
                        </w:rPr>
                        <w:t>Q</w:t>
                      </w:r>
                      <w:r>
                        <w:rPr>
                          <w:i/>
                          <w:color w:val="000000"/>
                          <w:vertAlign w:val="subscript"/>
                          <w:lang w:eastAsia="lt-LT"/>
                        </w:rPr>
                        <w:t>PRn.E,m</w:t>
                      </w:r>
                      <w:r>
                        <w:rPr>
                          <w:color w:val="000000"/>
                          <w:lang w:eastAsia="lt-LT"/>
                        </w:rPr>
                        <w:t xml:space="preserve"> (kWh/(m²·mėn.)) apskaičiuojamos taip: </w:t>
                      </w:r>
                    </w:p>
                    <w:p>
                      <w:pPr>
                        <w:tabs>
                          <w:tab w:val="left" w:pos="567"/>
                        </w:tabs>
                        <w:suppressAutoHyphens/>
                        <w:ind w:firstLine="567"/>
                        <w:jc w:val="both"/>
                        <w:rPr>
                          <w:color w:val="000000"/>
                          <w:lang w:eastAsia="lt-LT"/>
                        </w:rPr>
                      </w:pPr>
                      <w:r>
                        <w:rPr>
                          <w:color w:val="000000"/>
                          <w:lang w:eastAsia="lt-LT"/>
                        </w:rPr>
                        <w:t>- jei pastate naudojama iš bendrų elektros tinklų tiekiama elektros energija arba elektros energija iš Saulės kolektorių ir vėjo elektrinių tiekiama viso pastato elektros sistemai,</w:t>
                      </w:r>
                    </w:p>
                    <w:p>
                      <w:pPr>
                        <w:tabs>
                          <w:tab w:val="left" w:pos="567"/>
                        </w:tabs>
                        <w:suppressAutoHyphens/>
                        <w:ind w:firstLine="567"/>
                        <w:jc w:val="both"/>
                        <w:rPr>
                          <w:color w:val="000000"/>
                          <w:lang w:eastAsia="lt-LT"/>
                        </w:rPr>
                      </w:pPr>
                    </w:p>
                    <w:tbl>
                      <w:tblPr>
                        <w:tblW w:w="5000" w:type="pct"/>
                        <w:tblLook w:val="04A0" w:firstRow="1" w:lastRow="0" w:firstColumn="1" w:lastColumn="0" w:noHBand="0" w:noVBand="1"/>
                      </w:tblPr>
                      <w:tblGrid>
                        <w:gridCol w:w="8840"/>
                        <w:gridCol w:w="1156"/>
                      </w:tblGrid>
                      <w:tr>
                        <w:tc>
                          <w:tcPr>
                            <w:tcW w:w="4422" w:type="pct"/>
                          </w:tcPr>
                          <w:p>
                            <w:pPr>
                              <w:tabs>
                                <w:tab w:val="left" w:pos="567"/>
                              </w:tabs>
                              <w:suppressAutoHyphens/>
                              <w:jc w:val="center"/>
                              <w:rPr>
                                <w:szCs w:val="24"/>
                              </w:rPr>
                            </w:pPr>
                            <w:r>
                              <w:rPr>
                                <w:szCs w:val="24"/>
                                <w:lang w:eastAsia="lt-LT"/>
                              </w:rPr>
                              <w:object w:dxaOrig="6619" w:dyaOrig="1140">
                                <v:shape id="_x0000_i1160" type="#_x0000_t75" style="width:336.55pt;height:56.65pt" o:ole="">
                                  <v:imagedata r:id="rId551" o:title=""/>
                                </v:shape>
                                <o:OLEObject Type="Embed" ProgID="Equation.3" ShapeID="_x0000_i1160" DrawAspect="Content" ObjectID="_0000000001" r:id="rId552"/>
                              </w:object>
                            </w:r>
                            <w:r>
                              <w:rPr>
                                <w:szCs w:val="24"/>
                              </w:rPr>
                              <w:t>;</w:t>
                            </w:r>
                          </w:p>
                          <w:p>
                            <w:pPr>
                              <w:tabs>
                                <w:tab w:val="left" w:pos="567"/>
                              </w:tabs>
                              <w:suppressAutoHyphens/>
                              <w:jc w:val="center"/>
                              <w:rPr>
                                <w:color w:val="000000"/>
                                <w:szCs w:val="24"/>
                              </w:rPr>
                            </w:pPr>
                          </w:p>
                        </w:tc>
                        <w:tc>
                          <w:tcPr>
                            <w:tcW w:w="578" w:type="pct"/>
                            <w:vAlign w:val="center"/>
                          </w:tcPr>
                          <w:p>
                            <w:pPr>
                              <w:tabs>
                                <w:tab w:val="left" w:pos="567"/>
                              </w:tabs>
                              <w:suppressAutoHyphens/>
                              <w:jc w:val="right"/>
                              <w:rPr>
                                <w:color w:val="000000"/>
                                <w:szCs w:val="24"/>
                              </w:rPr>
                            </w:pPr>
                            <w:r>
                              <w:rPr>
                                <w:color w:val="000000"/>
                                <w:szCs w:val="24"/>
                              </w:rPr>
                              <w:t>(2.126)</w:t>
                            </w:r>
                          </w:p>
                        </w:tc>
                      </w:tr>
                    </w:tbl>
                    <w:p>
                      <w:pPr>
                        <w:tabs>
                          <w:tab w:val="left" w:pos="567"/>
                          <w:tab w:val="left" w:pos="1134"/>
                        </w:tabs>
                        <w:suppressAutoHyphens/>
                        <w:jc w:val="both"/>
                        <w:rPr>
                          <w:color w:val="000000"/>
                          <w:szCs w:val="24"/>
                          <w:lang w:eastAsia="lt-LT"/>
                        </w:rPr>
                      </w:pPr>
                      <w:r>
                        <w:rPr>
                          <w:color w:val="000000"/>
                          <w:szCs w:val="24"/>
                          <w:lang w:eastAsia="lt-LT"/>
                        </w:rPr>
                        <w:t>čia:</w:t>
                        <w:tab/>
                      </w:r>
                      <w:r>
                        <w:rPr>
                          <w:i/>
                          <w:iCs/>
                          <w:color w:val="000000"/>
                          <w:szCs w:val="24"/>
                          <w:lang w:eastAsia="lt-LT"/>
                        </w:rPr>
                        <w:t>Q</w:t>
                      </w:r>
                      <w:r>
                        <w:rPr>
                          <w:i/>
                          <w:iCs/>
                          <w:color w:val="000000"/>
                          <w:szCs w:val="24"/>
                          <w:vertAlign w:val="subscript"/>
                          <w:lang w:eastAsia="lt-LT"/>
                        </w:rPr>
                        <w:t>E.sum.SK+WE+HE</w:t>
                      </w:r>
                      <w:r>
                        <w:rPr>
                          <w:color w:val="000000"/>
                          <w:szCs w:val="24"/>
                          <w:lang w:eastAsia="lt-LT"/>
                        </w:rPr>
                        <w:t xml:space="preserve"> – apskaičiuojama pagal </w:t>
                      </w:r>
                      <w:r>
                        <w:rPr>
                          <w:szCs w:val="24"/>
                          <w:lang w:eastAsia="lt-LT"/>
                        </w:rPr>
                        <w:t xml:space="preserve">(2.563-3) </w:t>
                      </w:r>
                      <w:r>
                        <w:rPr>
                          <w:color w:val="000000"/>
                          <w:szCs w:val="24"/>
                          <w:lang w:eastAsia="lt-LT"/>
                        </w:rPr>
                        <w:t>formulę;</w:t>
                      </w:r>
                    </w:p>
                    <w:p>
                      <w:pPr>
                        <w:tabs>
                          <w:tab w:val="left" w:pos="567"/>
                          <w:tab w:val="left" w:pos="1134"/>
                        </w:tabs>
                        <w:suppressAutoHyphens/>
                        <w:jc w:val="both"/>
                        <w:rPr>
                          <w:color w:val="000000"/>
                          <w:szCs w:val="24"/>
                          <w:lang w:eastAsia="lt-LT"/>
                        </w:rPr>
                      </w:pPr>
                    </w:p>
                    <w:p>
                      <w:pPr>
                        <w:tabs>
                          <w:tab w:val="left" w:pos="567"/>
                          <w:tab w:val="left" w:pos="1134"/>
                        </w:tabs>
                        <w:suppressAutoHyphens/>
                        <w:ind w:firstLine="567"/>
                        <w:jc w:val="both"/>
                        <w:rPr>
                          <w:color w:val="000000"/>
                          <w:szCs w:val="24"/>
                          <w:lang w:eastAsia="lt-LT"/>
                        </w:rPr>
                      </w:pPr>
                      <w:r>
                        <w:rPr>
                          <w:color w:val="000000"/>
                          <w:szCs w:val="24"/>
                          <w:lang w:eastAsia="lt-LT"/>
                        </w:rPr>
                        <w:t>jeigu</w:t>
                        <w:object w:dxaOrig="4580" w:dyaOrig="1140">
                          <v:shape id="_x0000_i1161" type="#_x0000_t75" style="width:233.8pt;height:56.65pt" o:ole="">
                            <v:imagedata r:id="rId553" o:title=""/>
                          </v:shape>
                          <o:OLEObject Type="Embed" ProgID="Equation.3" ShapeID="_x0000_i1161" DrawAspect="Content" ObjectID="_0000000001" r:id="rId554"/>
                        </w:object>
                        <w:tab/>
                        <w:t>,</w:t>
                      </w:r>
                    </w:p>
                    <w:p>
                      <w:pPr>
                        <w:tabs>
                          <w:tab w:val="left" w:pos="567"/>
                          <w:tab w:val="left" w:pos="1134"/>
                        </w:tabs>
                        <w:suppressAutoHyphens/>
                        <w:jc w:val="both"/>
                        <w:rPr>
                          <w:b/>
                          <w:color w:val="000000"/>
                          <w:szCs w:val="24"/>
                          <w:lang w:eastAsia="lt-LT"/>
                        </w:rPr>
                      </w:pPr>
                    </w:p>
                    <w:p>
                      <w:pPr>
                        <w:tabs>
                          <w:tab w:val="left" w:pos="567"/>
                          <w:tab w:val="left" w:pos="1134"/>
                        </w:tabs>
                        <w:suppressAutoHyphens/>
                        <w:ind w:firstLine="567"/>
                        <w:jc w:val="both"/>
                        <w:rPr>
                          <w:color w:val="000000"/>
                          <w:szCs w:val="24"/>
                          <w:lang w:eastAsia="lt-LT"/>
                        </w:rPr>
                      </w:pPr>
                      <w:r>
                        <w:rPr>
                          <w:color w:val="000000"/>
                          <w:szCs w:val="24"/>
                          <w:lang w:eastAsia="lt-LT"/>
                        </w:rPr>
                        <w:t xml:space="preserve">tada </w:t>
                        <w:object w:dxaOrig="4599" w:dyaOrig="1140">
                          <v:shape id="_x0000_i1162" type="#_x0000_t75" style="width:235.4pt;height:56.65pt" o:ole="">
                            <v:imagedata r:id="rId555" o:title=""/>
                          </v:shape>
                          <o:OLEObject Type="Embed" ProgID="Equation.3" ShapeID="_x0000_i1162" DrawAspect="Content" ObjectID="_0000000001" r:id="rId556"/>
                        </w:object>
                      </w:r>
                    </w:p>
                    <w:p>
                      <w:pPr>
                        <w:tabs>
                          <w:tab w:val="left" w:pos="567"/>
                        </w:tabs>
                        <w:suppressAutoHyphens/>
                        <w:ind w:firstLine="567"/>
                        <w:jc w:val="both"/>
                        <w:rPr>
                          <w:color w:val="000000"/>
                          <w:lang w:eastAsia="lt-LT"/>
                        </w:rPr>
                      </w:pPr>
                    </w:p>
                    <w:p>
                      <w:pPr>
                        <w:tabs>
                          <w:tab w:val="left" w:pos="567"/>
                        </w:tabs>
                        <w:suppressAutoHyphens/>
                        <w:ind w:firstLine="567"/>
                        <w:jc w:val="both"/>
                        <w:rPr>
                          <w:color w:val="000000"/>
                          <w:lang w:eastAsia="lt-LT"/>
                        </w:rPr>
                      </w:pPr>
                      <w:r>
                        <w:rPr>
                          <w:color w:val="000000"/>
                          <w:lang w:eastAsia="lt-LT"/>
                        </w:rPr>
                        <w:t xml:space="preserve">- jei atskirose pastato zonose įrengtos autonominės (viena nuo kitos atskirtos) elektros sistemos, (2.126) formulės dešinėje pusėje esančių dedamųjų skaičiavimai turi būti atlikti ne pastato šildomo ploto </w:t>
                      </w:r>
                      <w:r>
                        <w:rPr>
                          <w:i/>
                          <w:color w:val="000000"/>
                          <w:lang w:eastAsia="lt-LT"/>
                        </w:rPr>
                        <w:t>A</w:t>
                      </w:r>
                      <w:r>
                        <w:rPr>
                          <w:i/>
                          <w:color w:val="000000"/>
                          <w:vertAlign w:val="subscript"/>
                          <w:lang w:eastAsia="lt-LT"/>
                        </w:rPr>
                        <w:t>p</w:t>
                      </w:r>
                      <w:r>
                        <w:rPr>
                          <w:color w:val="000000"/>
                          <w:lang w:eastAsia="lt-LT"/>
                        </w:rPr>
                        <w:t xml:space="preserve"> (m²) vienetui, bet kiekvienos zonos </w:t>
                      </w:r>
                      <w:r>
                        <w:rPr>
                          <w:i/>
                          <w:color w:val="000000"/>
                          <w:lang w:eastAsia="lt-LT"/>
                        </w:rPr>
                        <w:t>„z“</w:t>
                      </w:r>
                      <w:r>
                        <w:rPr>
                          <w:color w:val="000000"/>
                          <w:lang w:eastAsia="lt-LT"/>
                        </w:rPr>
                        <w:t xml:space="preserve"> ploto </w:t>
                      </w:r>
                      <w:r>
                        <w:rPr>
                          <w:i/>
                          <w:color w:val="000000"/>
                          <w:lang w:eastAsia="lt-LT"/>
                        </w:rPr>
                        <w:t>A</w:t>
                      </w:r>
                      <w:r>
                        <w:rPr>
                          <w:i/>
                          <w:color w:val="000000"/>
                          <w:vertAlign w:val="subscript"/>
                          <w:lang w:eastAsia="lt-LT"/>
                        </w:rPr>
                        <w:t>E,z</w:t>
                      </w:r>
                      <w:r>
                        <w:rPr>
                          <w:color w:val="000000"/>
                          <w:lang w:eastAsia="lt-LT"/>
                        </w:rPr>
                        <w:t xml:space="preserve"> (m²) vienetui. Kiekvienoje pastato zonoje „z“ turi būti apskaičiuotos kiekvieno mėnesio „m“ skaičiuojamosios neatsinaujinančios pirminės energijos sąnaudos elektros energijai </w:t>
                      </w:r>
                      <w:r>
                        <w:rPr>
                          <w:i/>
                          <w:color w:val="000000"/>
                          <w:lang w:eastAsia="lt-LT"/>
                        </w:rPr>
                        <w:t>Q</w:t>
                      </w:r>
                      <w:r>
                        <w:rPr>
                          <w:i/>
                          <w:color w:val="000000"/>
                          <w:vertAlign w:val="subscript"/>
                          <w:lang w:eastAsia="lt-LT"/>
                        </w:rPr>
                        <w:t>PRn.E,m,z</w:t>
                      </w:r>
                      <w:r>
                        <w:rPr>
                          <w:color w:val="000000"/>
                          <w:lang w:eastAsia="lt-LT"/>
                        </w:rPr>
                        <w:t xml:space="preserve"> (kWh/(m²·mėn.)); viso pastato skaičiuojamosios neatsinaujinančios pirminės energijos sąnaudos elektros energijai </w:t>
                      </w:r>
                      <w:r>
                        <w:rPr>
                          <w:i/>
                          <w:color w:val="000000"/>
                          <w:lang w:eastAsia="lt-LT"/>
                        </w:rPr>
                        <w:t>Q</w:t>
                      </w:r>
                      <w:r>
                        <w:rPr>
                          <w:i/>
                          <w:color w:val="000000"/>
                          <w:vertAlign w:val="subscript"/>
                          <w:lang w:eastAsia="lt-LT"/>
                        </w:rPr>
                        <w:t>PRn.E,m</w:t>
                      </w:r>
                      <w:r>
                        <w:rPr>
                          <w:color w:val="000000"/>
                          <w:lang w:eastAsia="lt-LT"/>
                        </w:rPr>
                        <w:t xml:space="preserve"> (kWh/(m²·mėn.)) apskaičiuojamos taip:</w:t>
                      </w:r>
                    </w:p>
                    <w:p>
                      <w:pPr>
                        <w:tabs>
                          <w:tab w:val="left" w:pos="567"/>
                        </w:tabs>
                        <w:suppressAutoHyphens/>
                        <w:ind w:firstLine="567"/>
                        <w:jc w:val="both"/>
                        <w:rPr>
                          <w:rFonts w:eastAsia="Calibri"/>
                          <w:color w:val="000000"/>
                          <w:szCs w:val="22"/>
                          <w:lang w:eastAsia="lt-LT"/>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2"/>
                                <w:lang w:eastAsia="lt-LT"/>
                              </w:rPr>
                            </w:pPr>
                            <w:r>
                              <w:rPr>
                                <w:rFonts w:eastAsia="Calibri"/>
                                <w:color w:val="000000"/>
                                <w:szCs w:val="22"/>
                                <w:lang w:eastAsia="lt-LT"/>
                              </w:rPr>
                              <w:object w:dxaOrig="3315" w:dyaOrig="690">
                                <v:shape id="_x0000_i1163" type="#_x0000_t75" style="width:164.2pt;height:34.8pt" o:ole="">
                                  <v:imagedata r:id="rId557" o:title=""/>
                                </v:shape>
                                <o:OLEObject Type="Embed" ProgID="Equation.3" ShapeID="_x0000_i1163" DrawAspect="Content" ObjectID="_0000000001" r:id="rId558"/>
                              </w:object>
                            </w:r>
                            <w:r>
                              <w:rPr>
                                <w:color w:val="000000"/>
                                <w:lang w:eastAsia="lt-LT"/>
                              </w:rPr>
                              <w:t>;</w:t>
                            </w:r>
                          </w:p>
                        </w:tc>
                        <w:tc>
                          <w:tcPr>
                            <w:tcW w:w="1002" w:type="dxa"/>
                            <w:vAlign w:val="center"/>
                            <w:hideMark/>
                          </w:tcPr>
                          <w:p>
                            <w:pPr>
                              <w:tabs>
                                <w:tab w:val="left" w:pos="567"/>
                              </w:tabs>
                              <w:suppressAutoHyphens/>
                              <w:spacing w:line="276" w:lineRule="auto"/>
                              <w:jc w:val="right"/>
                              <w:rPr>
                                <w:rFonts w:eastAsia="Calibri"/>
                                <w:bCs/>
                                <w:color w:val="000000"/>
                                <w:szCs w:val="22"/>
                                <w:lang w:eastAsia="lt-LT"/>
                              </w:rPr>
                            </w:pPr>
                            <w:r>
                              <w:rPr>
                                <w:color w:val="000000"/>
                                <w:lang w:eastAsia="lt-LT"/>
                              </w:rPr>
                              <w:t>(2.127)</w:t>
                            </w:r>
                          </w:p>
                        </w:tc>
                      </w:tr>
                    </w:tbl>
                    <w:p>
                      <w:pPr>
                        <w:tabs>
                          <w:tab w:val="left" w:pos="567"/>
                        </w:tabs>
                        <w:suppressAutoHyphens/>
                        <w:jc w:val="both"/>
                        <w:rPr>
                          <w:bCs/>
                          <w:color w:val="000000"/>
                          <w:lang w:eastAsia="lt-LT"/>
                        </w:rPr>
                      </w:pPr>
                    </w:p>
                    <w:p>
                      <w:pPr>
                        <w:tabs>
                          <w:tab w:val="left" w:pos="567"/>
                        </w:tabs>
                        <w:suppressAutoHyphens/>
                        <w:jc w:val="both"/>
                        <w:rPr>
                          <w:rFonts w:eastAsia="Calibri"/>
                          <w:bCs/>
                          <w:color w:val="000000"/>
                          <w:szCs w:val="22"/>
                          <w:lang w:eastAsia="lt-LT"/>
                        </w:rPr>
                      </w:pPr>
                      <w:r>
                        <w:rPr>
                          <w:bCs/>
                          <w:color w:val="000000"/>
                          <w:lang w:eastAsia="lt-LT"/>
                        </w:rPr>
                        <w:t xml:space="preserve">čia: </w:t>
                      </w:r>
                      <w:r>
                        <w:rPr>
                          <w:bCs/>
                          <w:i/>
                          <w:color w:val="000000"/>
                          <w:lang w:eastAsia="lt-LT"/>
                        </w:rPr>
                        <w:t>f</w:t>
                      </w:r>
                      <w:r>
                        <w:rPr>
                          <w:bCs/>
                          <w:i/>
                          <w:color w:val="000000"/>
                          <w:vertAlign w:val="subscript"/>
                          <w:lang w:eastAsia="lt-LT"/>
                        </w:rPr>
                        <w:t>PRn.E</w:t>
                      </w:r>
                      <w:r>
                        <w:rPr>
                          <w:bCs/>
                          <w:color w:val="000000"/>
                          <w:lang w:eastAsia="lt-LT"/>
                        </w:rPr>
                        <w:t xml:space="preserve"> – neatsinaujinančios pirminės energijos faktorius elektros energijai. Imama </w:t>
                      </w:r>
                      <w:r>
                        <w:rPr>
                          <w:bCs/>
                          <w:i/>
                          <w:color w:val="000000"/>
                          <w:lang w:eastAsia="lt-LT"/>
                        </w:rPr>
                        <w:t>f</w:t>
                      </w:r>
                      <w:r>
                        <w:rPr>
                          <w:bCs/>
                          <w:i/>
                          <w:color w:val="000000"/>
                          <w:vertAlign w:val="subscript"/>
                          <w:lang w:eastAsia="lt-LT"/>
                        </w:rPr>
                        <w:t>PRn.E</w:t>
                      </w:r>
                      <w:r>
                        <w:rPr>
                          <w:bCs/>
                          <w:color w:val="000000"/>
                          <w:lang w:eastAsia="lt-LT"/>
                        </w:rPr>
                        <w:t xml:space="preserve"> =2,3;</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E.Eq,m</w:t>
                      </w:r>
                      <w:r>
                        <w:rPr>
                          <w:bCs/>
                          <w:color w:val="000000"/>
                          <w:lang w:eastAsia="lt-LT"/>
                        </w:rPr>
                        <w:t xml:space="preserve"> – apskaičiuojama pagal 35 punkto reikalavimus;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E.lg,m</w:t>
                      </w:r>
                      <w:r>
                        <w:rPr>
                          <w:bCs/>
                          <w:color w:val="000000"/>
                          <w:lang w:eastAsia="lt-LT"/>
                        </w:rPr>
                        <w:t xml:space="preserve"> – apskaičiuojama pagal 36 punkto reikalavimus;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E.e,m</w:t>
                      </w:r>
                      <w:r>
                        <w:rPr>
                          <w:bCs/>
                          <w:color w:val="000000"/>
                          <w:lang w:eastAsia="lt-LT"/>
                        </w:rPr>
                        <w:t xml:space="preserve"> – apskaičiuojama pagal 37 punkto reikalavimus;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E.vent,m</w:t>
                      </w:r>
                      <w:r>
                        <w:rPr>
                          <w:bCs/>
                          <w:color w:val="000000"/>
                          <w:lang w:eastAsia="lt-LT"/>
                        </w:rPr>
                        <w:t xml:space="preserve"> – apskaičiuojama pagal 38 punkto reikalavimus;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H.E,m</w:t>
                      </w:r>
                      <w:r>
                        <w:rPr>
                          <w:bCs/>
                          <w:color w:val="000000"/>
                          <w:lang w:eastAsia="lt-LT"/>
                        </w:rPr>
                        <w:t xml:space="preserve"> – pagrindinių pastato šildymo sistemos šilumos šaltinių elektros energijos sąnaudų ir elektros energijos sąnaudų orui pašildyti vėdinimo sistemos įrenginiuose suminės elektros energijos sąnaudos. Apskaičiuojama pagal (2.587) arba (2.588) formules;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hw.E,m</w:t>
                      </w:r>
                      <w:r>
                        <w:rPr>
                          <w:bCs/>
                          <w:color w:val="000000"/>
                          <w:lang w:eastAsia="lt-LT"/>
                        </w:rPr>
                        <w:t xml:space="preserve"> – pagrindinių pastato karšto vandens ruošimo sistemos šilumos šaltinių elektros energijos sąnaudos. Apskaičiuojama pagal (2.589)–(2.591) formules;</w:t>
                      </w:r>
                    </w:p>
                    <w:p>
                      <w:pPr>
                        <w:tabs>
                          <w:tab w:val="left" w:pos="567"/>
                        </w:tabs>
                        <w:suppressAutoHyphens/>
                        <w:jc w:val="both"/>
                        <w:rPr>
                          <w:bCs/>
                          <w:color w:val="000000"/>
                          <w:lang w:eastAsia="lt-LT"/>
                        </w:rPr>
                      </w:pPr>
                      <w:r>
                        <w:rPr>
                          <w:bCs/>
                          <w:i/>
                          <w:color w:val="000000"/>
                          <w:lang w:eastAsia="lt-LT"/>
                        </w:rPr>
                        <w:t>Q</w:t>
                      </w:r>
                      <w:r>
                        <w:rPr>
                          <w:bCs/>
                          <w:i/>
                          <w:color w:val="000000"/>
                          <w:vertAlign w:val="subscript"/>
                          <w:lang w:eastAsia="lt-LT"/>
                        </w:rPr>
                        <w:t>C.E,m</w:t>
                      </w:r>
                      <w:r>
                        <w:rPr>
                          <w:bCs/>
                          <w:color w:val="000000"/>
                          <w:lang w:eastAsia="lt-LT"/>
                        </w:rPr>
                        <w:t xml:space="preserve"> – apskaičiuojama pagal (2.566) formulę;</w:t>
                      </w:r>
                    </w:p>
                    <w:p>
                      <w:pPr>
                        <w:tabs>
                          <w:tab w:val="left" w:pos="567"/>
                        </w:tabs>
                        <w:suppressAutoHyphens/>
                        <w:jc w:val="both"/>
                        <w:rPr>
                          <w:color w:val="000000"/>
                          <w:lang w:eastAsia="lt-LT"/>
                        </w:rPr>
                      </w:pPr>
                      <w:r>
                        <w:rPr>
                          <w:bCs/>
                          <w:i/>
                          <w:color w:val="000000"/>
                          <w:lang w:eastAsia="lt-LT"/>
                        </w:rPr>
                        <w:t>Q</w:t>
                      </w:r>
                      <w:r>
                        <w:rPr>
                          <w:bCs/>
                          <w:i/>
                          <w:color w:val="000000"/>
                          <w:vertAlign w:val="subscript"/>
                          <w:lang w:eastAsia="lt-LT"/>
                        </w:rPr>
                        <w:t>E.SK+WE+HE.m</w:t>
                      </w:r>
                      <w:r>
                        <w:rPr>
                          <w:bCs/>
                          <w:color w:val="000000"/>
                          <w:lang w:eastAsia="lt-LT"/>
                        </w:rPr>
                        <w:t xml:space="preserve"> – vėjo elektrinėse, hidroelektrinėse ir Saulės kolektoriuose pagamintos elektros energijos sąnaudos pastate </w:t>
                      </w:r>
                      <w:r>
                        <w:rPr>
                          <w:color w:val="000000"/>
                          <w:lang w:eastAsia="lt-LT"/>
                        </w:rPr>
                        <w:t>(kWh/(m²·mėn.)). Apskaičiuojama pagal (2.562) formulę;</w:t>
                      </w:r>
                    </w:p>
                    <w:p>
                      <w:pPr>
                        <w:tabs>
                          <w:tab w:val="left" w:pos="567"/>
                        </w:tabs>
                        <w:suppressAutoHyphens/>
                        <w:jc w:val="both"/>
                        <w:rPr>
                          <w:color w:val="000000"/>
                          <w:lang w:eastAsia="lt-LT"/>
                        </w:rPr>
                      </w:pPr>
                      <w:r>
                        <w:rPr>
                          <w:bCs/>
                          <w:i/>
                          <w:color w:val="000000"/>
                          <w:lang w:eastAsia="lt-LT"/>
                        </w:rPr>
                        <w:t>Q</w:t>
                      </w:r>
                      <w:r>
                        <w:rPr>
                          <w:bCs/>
                          <w:i/>
                          <w:color w:val="000000"/>
                          <w:vertAlign w:val="subscript"/>
                          <w:lang w:eastAsia="lt-LT"/>
                        </w:rPr>
                        <w:t>E.PRn.SK+WE+HE.m</w:t>
                      </w:r>
                      <w:r>
                        <w:rPr>
                          <w:bCs/>
                          <w:color w:val="000000"/>
                          <w:lang w:eastAsia="lt-LT"/>
                        </w:rPr>
                        <w:t xml:space="preserve"> – vėjo elektrinių, hidroelektrinių ir Saulės kolektorių neatsinaujinančios pirminės energijos sąnaudos elektros energijos gamybai </w:t>
                      </w:r>
                      <w:r>
                        <w:rPr>
                          <w:color w:val="000000"/>
                          <w:lang w:eastAsia="lt-LT"/>
                        </w:rPr>
                        <w:t>(kWh/(m²·mėn.)). Apskaičiuojama pagal (2.563) formulę.</w:t>
                      </w:r>
                    </w:p>
                    <w:p>
                      <w:pPr>
                        <w:tabs>
                          <w:tab w:val="left" w:pos="567"/>
                        </w:tabs>
                        <w:suppressAutoHyphens/>
                        <w:ind w:left="567"/>
                        <w:jc w:val="center"/>
                        <w:rPr>
                          <w:b/>
                          <w:lang w:eastAsia="lt-LT"/>
                        </w:rPr>
                      </w:pPr>
                    </w:p>
                    <w:p>
                      <w:pPr>
                        <w:tabs>
                          <w:tab w:val="left" w:pos="567"/>
                        </w:tabs>
                        <w:suppressAutoHyphens/>
                        <w:jc w:val="center"/>
                        <w:rPr>
                          <w:b/>
                          <w:bCs/>
                          <w:lang w:eastAsia="lt-LT"/>
                        </w:rPr>
                      </w:pPr>
                      <w:r>
                        <w:rPr>
                          <w:b/>
                          <w:bCs/>
                          <w:lang w:eastAsia="lt-LT"/>
                        </w:rPr>
                        <w:t xml:space="preserve">Energijos gamybai naudojamų energijos šaltinių neatsinaujinančios pirminės energijos faktoriaus </w:t>
                      </w:r>
                      <w:r>
                        <w:rPr>
                          <w:b/>
                          <w:bCs/>
                          <w:i/>
                          <w:lang w:eastAsia="lt-LT"/>
                        </w:rPr>
                        <w:t>f</w:t>
                      </w:r>
                      <w:r>
                        <w:rPr>
                          <w:b/>
                          <w:bCs/>
                          <w:i/>
                          <w:vertAlign w:val="subscript"/>
                          <w:lang w:eastAsia="lt-LT"/>
                        </w:rPr>
                        <w:t xml:space="preserve">PRn </w:t>
                      </w:r>
                      <w:r>
                        <w:rPr>
                          <w:b/>
                          <w:bCs/>
                          <w:lang w:eastAsia="lt-LT"/>
                        </w:rPr>
                        <w:t xml:space="preserve"> (vnt.), atsinaujinančios pirminės energijos faktoriaus </w:t>
                      </w:r>
                      <w:r>
                        <w:rPr>
                          <w:b/>
                          <w:bCs/>
                          <w:i/>
                          <w:lang w:eastAsia="lt-LT"/>
                        </w:rPr>
                        <w:t>f</w:t>
                      </w:r>
                      <w:r>
                        <w:rPr>
                          <w:b/>
                          <w:bCs/>
                          <w:i/>
                          <w:vertAlign w:val="subscript"/>
                          <w:lang w:eastAsia="lt-LT"/>
                        </w:rPr>
                        <w:t xml:space="preserve">PR,r </w:t>
                      </w:r>
                      <w:r>
                        <w:rPr>
                          <w:b/>
                          <w:bCs/>
                          <w:lang w:eastAsia="lt-LT"/>
                        </w:rPr>
                        <w:t xml:space="preserve"> (vnt.) ir CO</w:t>
                      </w:r>
                      <w:r>
                        <w:rPr>
                          <w:b/>
                          <w:bCs/>
                          <w:vertAlign w:val="subscript"/>
                          <w:lang w:eastAsia="lt-LT"/>
                        </w:rPr>
                        <w:t>2</w:t>
                      </w:r>
                      <w:r>
                        <w:rPr>
                          <w:b/>
                          <w:bCs/>
                          <w:lang w:eastAsia="lt-LT"/>
                        </w:rPr>
                        <w:t xml:space="preserve"> emisijų faktoriaus </w:t>
                      </w:r>
                      <w:r>
                        <w:rPr>
                          <w:b/>
                          <w:bCs/>
                          <w:i/>
                          <w:lang w:eastAsia="lt-LT"/>
                        </w:rPr>
                        <w:t>M</w:t>
                      </w:r>
                      <w:r>
                        <w:rPr>
                          <w:b/>
                          <w:bCs/>
                          <w:i/>
                          <w:vertAlign w:val="subscript"/>
                          <w:lang w:eastAsia="lt-LT"/>
                        </w:rPr>
                        <w:t>CO2</w:t>
                      </w:r>
                      <w:r>
                        <w:rPr>
                          <w:b/>
                          <w:bCs/>
                          <w:lang w:eastAsia="lt-LT"/>
                        </w:rPr>
                        <w:t xml:space="preserve"> (kgCO</w:t>
                      </w:r>
                      <w:r>
                        <w:rPr>
                          <w:b/>
                          <w:bCs/>
                          <w:sz w:val="16"/>
                          <w:szCs w:val="16"/>
                          <w:lang w:eastAsia="lt-LT"/>
                        </w:rPr>
                        <w:t>2</w:t>
                      </w:r>
                      <w:r>
                        <w:rPr>
                          <w:b/>
                          <w:bCs/>
                          <w:lang w:eastAsia="lt-LT"/>
                        </w:rPr>
                        <w:t>/kWh) vertės</w:t>
                      </w:r>
                    </w:p>
                    <w:p>
                      <w:pPr>
                        <w:tabs>
                          <w:tab w:val="left" w:pos="567"/>
                        </w:tabs>
                        <w:suppressAutoHyphens/>
                        <w:ind w:left="7767" w:firstLine="597"/>
                        <w:jc w:val="center"/>
                        <w:rPr>
                          <w:lang w:eastAsia="lt-LT"/>
                        </w:rPr>
                      </w:pPr>
                      <w:r>
                        <w:rPr>
                          <w:lang w:eastAsia="lt-LT"/>
                        </w:rPr>
                        <w:t>2.18 lentelė</w:t>
                      </w:r>
                    </w:p>
                    <w:tbl>
                      <w:tblPr>
                        <w:tblW w:w="490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5"/>
                        <w:gridCol w:w="5485"/>
                        <w:gridCol w:w="1072"/>
                        <w:gridCol w:w="1072"/>
                        <w:gridCol w:w="1464"/>
                      </w:tblGrid>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Eil.</w:t>
                            </w:r>
                          </w:p>
                          <w:p>
                            <w:pPr>
                              <w:tabs>
                                <w:tab w:val="left" w:pos="567"/>
                              </w:tabs>
                              <w:suppressAutoHyphens/>
                              <w:spacing w:line="276" w:lineRule="auto"/>
                              <w:jc w:val="center"/>
                              <w:rPr>
                                <w:rFonts w:eastAsia="Calibri"/>
                                <w:szCs w:val="24"/>
                                <w:lang w:eastAsia="lt-LT"/>
                              </w:rPr>
                            </w:pPr>
                            <w:r>
                              <w:rPr>
                                <w:szCs w:val="24"/>
                                <w:lang w:eastAsia="lt-LT"/>
                              </w:rPr>
                              <w:t>Nr.</w:t>
                            </w:r>
                          </w:p>
                        </w:tc>
                        <w:tc>
                          <w:tcPr>
                            <w:tcW w:w="279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Energijos šaltinis</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i/>
                                <w:szCs w:val="24"/>
                                <w:lang w:eastAsia="lt-LT"/>
                              </w:rPr>
                            </w:pPr>
                            <w:r>
                              <w:rPr>
                                <w:i/>
                                <w:szCs w:val="24"/>
                                <w:lang w:eastAsia="lt-LT"/>
                              </w:rPr>
                              <w:t>f</w:t>
                            </w:r>
                            <w:r>
                              <w:rPr>
                                <w:i/>
                                <w:szCs w:val="24"/>
                                <w:vertAlign w:val="subscript"/>
                                <w:lang w:eastAsia="lt-LT"/>
                              </w:rPr>
                              <w:t>PRn</w:t>
                            </w:r>
                            <w:r>
                              <w:rPr>
                                <w:i/>
                                <w:szCs w:val="24"/>
                                <w:lang w:eastAsia="lt-LT"/>
                              </w:rPr>
                              <w:t>,</w:t>
                            </w:r>
                          </w:p>
                          <w:p>
                            <w:pPr>
                              <w:tabs>
                                <w:tab w:val="left" w:pos="567"/>
                              </w:tabs>
                              <w:suppressAutoHyphens/>
                              <w:spacing w:line="276" w:lineRule="auto"/>
                              <w:jc w:val="center"/>
                              <w:rPr>
                                <w:rFonts w:eastAsia="Calibri"/>
                                <w:szCs w:val="24"/>
                                <w:lang w:eastAsia="lt-LT"/>
                              </w:rPr>
                            </w:pPr>
                            <w:r>
                              <w:rPr>
                                <w:szCs w:val="24"/>
                                <w:lang w:eastAsia="lt-LT"/>
                              </w:rPr>
                              <w:t>vnt</w:t>
                            </w:r>
                          </w:p>
                        </w:tc>
                        <w:tc>
                          <w:tcPr>
                            <w:tcW w:w="547"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i/>
                                <w:szCs w:val="24"/>
                                <w:lang w:eastAsia="lt-LT"/>
                              </w:rPr>
                            </w:pPr>
                            <w:r>
                              <w:rPr>
                                <w:i/>
                                <w:szCs w:val="24"/>
                                <w:lang w:eastAsia="lt-LT"/>
                              </w:rPr>
                              <w:t>f</w:t>
                            </w:r>
                            <w:r>
                              <w:rPr>
                                <w:i/>
                                <w:szCs w:val="24"/>
                                <w:vertAlign w:val="subscript"/>
                                <w:lang w:eastAsia="lt-LT"/>
                              </w:rPr>
                              <w:t>PRr</w:t>
                            </w:r>
                            <w:r>
                              <w:rPr>
                                <w:i/>
                                <w:szCs w:val="24"/>
                                <w:lang w:eastAsia="lt-LT"/>
                              </w:rPr>
                              <w:t>,</w:t>
                            </w:r>
                          </w:p>
                          <w:p>
                            <w:pPr>
                              <w:tabs>
                                <w:tab w:val="left" w:pos="567"/>
                              </w:tabs>
                              <w:suppressAutoHyphens/>
                              <w:spacing w:line="276" w:lineRule="auto"/>
                              <w:jc w:val="center"/>
                              <w:rPr>
                                <w:rFonts w:eastAsia="Calibri"/>
                                <w:bCs/>
                                <w:i/>
                                <w:szCs w:val="24"/>
                                <w:lang w:eastAsia="lt-LT"/>
                              </w:rPr>
                            </w:pPr>
                            <w:r>
                              <w:rPr>
                                <w:szCs w:val="24"/>
                                <w:lang w:eastAsia="lt-LT"/>
                              </w:rPr>
                              <w:t>vnt</w:t>
                            </w:r>
                          </w:p>
                        </w:tc>
                        <w:tc>
                          <w:tcPr>
                            <w:tcW w:w="747"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i/>
                                <w:szCs w:val="24"/>
                                <w:lang w:eastAsia="lt-LT"/>
                              </w:rPr>
                            </w:pPr>
                            <w:r>
                              <w:rPr>
                                <w:bCs/>
                                <w:i/>
                                <w:szCs w:val="24"/>
                                <w:lang w:eastAsia="lt-LT"/>
                              </w:rPr>
                              <w:t>M</w:t>
                            </w:r>
                            <w:r>
                              <w:rPr>
                                <w:bCs/>
                                <w:i/>
                                <w:szCs w:val="24"/>
                                <w:vertAlign w:val="subscript"/>
                                <w:lang w:eastAsia="lt-LT"/>
                              </w:rPr>
                              <w:t>CO2</w:t>
                            </w:r>
                            <w:r>
                              <w:rPr>
                                <w:bCs/>
                                <w:szCs w:val="24"/>
                                <w:lang w:eastAsia="lt-LT"/>
                              </w:rPr>
                              <w:t>, kgCO2/kWh</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Mazutas[3.18]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Orimulsija[3.18]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Dyzelinas, krosninis skystas kuras, skalūnų alyva[3.18]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Suskystintos dujos[3.18]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5.</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Durpės[3.18]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0,36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6.</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Akmens anglis[3.18]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1,2</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0,36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7.</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Biokuras (mediena, šiaudai, biodujos, bioalyva ir kt.)[3.18]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0,04</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8.</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Gamtinės dujos[3.18]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9.</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Elektra, gaminama hidroelektrinėse</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0,01</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10.</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Elektros įvairių gamybos būdų vidurkis[3.18]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2,3</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11.</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Fotovoltiniai Saulės kolektoriai</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12.</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Vandenį šildantys Saulės kolektoriai[3.18]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Vėjo elektrinės</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14.</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šilumos tinklų (Lietuvos vidurkis)</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0,62</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0,63</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15.</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 xml:space="preserve">Šiluma iš AB „Jonavos šilumos tinklai“ šilumos tinklų </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0,60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0,11</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16.</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trike/>
                                <w:szCs w:val="24"/>
                                <w:lang w:eastAsia="lt-LT"/>
                              </w:rPr>
                            </w:pPr>
                            <w:r>
                              <w:rPr>
                                <w:szCs w:val="24"/>
                                <w:lang w:eastAsia="lt-LT"/>
                              </w:rPr>
                              <w:t>Šiluma iš AB „Kauno energija“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0,36</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0,74</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17.</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zCs w:val="24"/>
                                <w:lang w:eastAsia="lt-LT"/>
                              </w:rPr>
                            </w:pPr>
                            <w:r>
                              <w:rPr>
                                <w:szCs w:val="24"/>
                                <w:lang w:eastAsia="lt-LT"/>
                              </w:rPr>
                              <w:t>Šiluma iš AB „Klaipėdos energija“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0,44</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0,70</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18.</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rPr>
                                <w:szCs w:val="24"/>
                                <w:lang w:eastAsia="lt-LT"/>
                              </w:rPr>
                            </w:pPr>
                            <w:r>
                              <w:rPr>
                                <w:szCs w:val="24"/>
                                <w:lang w:eastAsia="lt-LT"/>
                              </w:rPr>
                              <w:t>Šiluma iš UAB „Litesko“ filialo „Palangos šiluma“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0,43</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0,66</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19.</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rPr>
                                <w:szCs w:val="24"/>
                                <w:lang w:eastAsia="lt-LT"/>
                              </w:rPr>
                            </w:pPr>
                            <w:r>
                              <w:rPr>
                                <w:szCs w:val="24"/>
                                <w:lang w:eastAsia="lt-LT"/>
                              </w:rPr>
                              <w:t>Šiluma iš AB „Prienų šilumos tinklai“ Prienų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0,39</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0,70</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0,09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20.</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AB „Šiaulių energija“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0,61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21.</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„Akmenės energija“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0,53</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0,67</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22.</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„Birštono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0,50</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0,68</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23.</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zCs w:val="24"/>
                                <w:lang w:eastAsia="lt-LT"/>
                              </w:rPr>
                            </w:pPr>
                            <w:r>
                              <w:rPr>
                                <w:szCs w:val="24"/>
                                <w:lang w:eastAsia="lt-LT"/>
                              </w:rPr>
                              <w:t>Šiluma iš UAB „Elektrėnų komunalinis ūkis“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0,28</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0,80</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24.</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zCs w:val="24"/>
                                <w:lang w:eastAsia="lt-LT"/>
                              </w:rPr>
                            </w:pPr>
                            <w:r>
                              <w:rPr>
                                <w:szCs w:val="24"/>
                                <w:lang w:eastAsia="lt-LT"/>
                              </w:rPr>
                              <w:t>Šiluma iš UAB „Fortum Joniškio energija“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0,49</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0,69</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0,11</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25.</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„Fortum Švenčionių energija“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0,54</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26.</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„Ignalinos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0,73</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0,17</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27.</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„Kaišiadorių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0,76</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28.</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„Kretingos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0,43</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0,73</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29.</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„Lazdijų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0,34</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0,84</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30.</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„Alytaus energija“ Alytaus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31.</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„Biržų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0,42</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0,77</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32.</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„Druskininkų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0,36</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0,74</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33.</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„Kelmės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34.</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„Marijampolės šiluma“ Kazlų Rūdoje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0,27</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35.</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„Marijampolės šiluma“ Marijampolėje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0,47</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0,65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0,11</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36.</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„Telšių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0,07</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37.</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„Litesko“ filialo „Vilkaviškio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0,72</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0,10</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38.</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„Mažeikių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0,35</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0,84</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39.</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„Molėtų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0,83</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40.</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„Pakruojo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0,73</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0,09</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41.</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„Plungės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0,35</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0,76</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42.</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„Radviliškio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0,34</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0,76</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43.</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„Raseinių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trike/>
                                <w:szCs w:val="24"/>
                                <w:lang w:eastAsia="lt-LT"/>
                              </w:rPr>
                            </w:pPr>
                            <w:r>
                              <w:rPr>
                                <w:szCs w:val="24"/>
                                <w:lang w:eastAsia="lt-LT"/>
                              </w:rPr>
                              <w:t>0,58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0,70</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0,17</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44.</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„Skuodo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0,27</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45.</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„Šakių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0,82</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0,09</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46.</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zCs w:val="24"/>
                                <w:lang w:eastAsia="lt-LT"/>
                              </w:rPr>
                            </w:pPr>
                            <w:r>
                              <w:rPr>
                                <w:szCs w:val="24"/>
                                <w:lang w:eastAsia="lt-LT"/>
                              </w:rPr>
                              <w:t>Šiluma iš UAB „Šalčininkų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0,49</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0,65</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47.</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„Šilalės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48.</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„Šilutės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0,31</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0,77</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49.</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„Širvintų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0,27</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0,86</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50.</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„Tauragės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0,29</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0,85</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51.</w:t>
                            </w:r>
                          </w:p>
                        </w:tc>
                        <w:tc>
                          <w:tcPr>
                            <w:tcW w:w="2799" w:type="pct"/>
                            <w:tcBorders>
                              <w:top w:val="single" w:sz="4" w:space="0" w:color="auto"/>
                              <w:left w:val="single" w:sz="4" w:space="0" w:color="auto"/>
                              <w:bottom w:val="single" w:sz="4" w:space="0" w:color="auto"/>
                              <w:right w:val="single" w:sz="4" w:space="0" w:color="auto"/>
                            </w:tcBorders>
                            <w:vAlign w:val="bottom"/>
                          </w:tcPr>
                          <w:p>
                            <w:pPr>
                              <w:tabs>
                                <w:tab w:val="left" w:pos="567"/>
                              </w:tabs>
                              <w:suppressAutoHyphens/>
                              <w:spacing w:line="276" w:lineRule="auto"/>
                              <w:jc w:val="both"/>
                              <w:rPr>
                                <w:szCs w:val="24"/>
                                <w:lang w:eastAsia="lt-LT"/>
                              </w:rPr>
                            </w:pPr>
                            <w:r>
                              <w:rPr>
                                <w:szCs w:val="24"/>
                                <w:lang w:eastAsia="lt-LT"/>
                              </w:rPr>
                              <w:t>Šiluma iš UAB „Ukmergės šiluma“ šilumos tinklų</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0,53</w:t>
                            </w:r>
                          </w:p>
                        </w:tc>
                        <w:tc>
                          <w:tcPr>
                            <w:tcW w:w="5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0,61</w:t>
                            </w:r>
                          </w:p>
                        </w:tc>
                        <w:tc>
                          <w:tcPr>
                            <w:tcW w:w="747"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szCs w:val="24"/>
                                <w:lang w:eastAsia="lt-LT"/>
                              </w:rPr>
                            </w:pPr>
                            <w:r>
                              <w:rPr>
                                <w:szCs w:val="24"/>
                                <w:lang w:eastAsia="lt-LT"/>
                              </w:rPr>
                              <w:t>0,12</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52.</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„Utenos šilumos tinklai“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0,35</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0,81</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0,08</w:t>
                            </w:r>
                          </w:p>
                        </w:tc>
                      </w:tr>
                      <w:tr>
                        <w:tc>
                          <w:tcPr>
                            <w:tcW w:w="3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53.</w:t>
                            </w:r>
                          </w:p>
                        </w:tc>
                        <w:tc>
                          <w:tcPr>
                            <w:tcW w:w="2799" w:type="pct"/>
                            <w:tcBorders>
                              <w:top w:val="single" w:sz="4" w:space="0" w:color="auto"/>
                              <w:left w:val="single" w:sz="4" w:space="0" w:color="auto"/>
                              <w:bottom w:val="single" w:sz="4" w:space="0" w:color="auto"/>
                              <w:right w:val="single" w:sz="4" w:space="0" w:color="auto"/>
                            </w:tcBorders>
                            <w:vAlign w:val="bottom"/>
                            <w:hideMark/>
                          </w:tcPr>
                          <w:p>
                            <w:pPr>
                              <w:tabs>
                                <w:tab w:val="left" w:pos="567"/>
                              </w:tabs>
                              <w:suppressAutoHyphens/>
                              <w:spacing w:line="276" w:lineRule="auto"/>
                              <w:jc w:val="both"/>
                              <w:rPr>
                                <w:rFonts w:eastAsia="Calibri"/>
                                <w:szCs w:val="24"/>
                                <w:lang w:eastAsia="lt-LT"/>
                              </w:rPr>
                            </w:pPr>
                            <w:r>
                              <w:rPr>
                                <w:szCs w:val="24"/>
                                <w:lang w:eastAsia="lt-LT"/>
                              </w:rPr>
                              <w:t>Šiluma iš UAB „Varėnos šiluma“ šilumos tinklų</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0,28</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0,82</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0,06</w:t>
                            </w:r>
                          </w:p>
                        </w:tc>
                      </w:tr>
                      <w:tr>
                        <w:tc>
                          <w:tcPr>
                            <w:tcW w:w="360"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rFonts w:eastAsia="Calibri"/>
                                <w:szCs w:val="24"/>
                                <w:lang w:eastAsia="lt-LT"/>
                              </w:rPr>
                            </w:pPr>
                            <w:r>
                              <w:rPr>
                                <w:rFonts w:eastAsia="Calibri"/>
                                <w:szCs w:val="24"/>
                                <w:lang w:eastAsia="lt-LT"/>
                              </w:rPr>
                              <w:t>54.</w:t>
                            </w:r>
                          </w:p>
                        </w:tc>
                        <w:tc>
                          <w:tcPr>
                            <w:tcW w:w="279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 xml:space="preserve">Energijos šaltinis norminėms sąnaudoms skaičiuoti </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1,3</w:t>
                            </w:r>
                          </w:p>
                        </w:tc>
                        <w:tc>
                          <w:tcPr>
                            <w:tcW w:w="5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0,26</w:t>
                            </w:r>
                          </w:p>
                        </w:tc>
                        <w:tc>
                          <w:tcPr>
                            <w:tcW w:w="74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szCs w:val="24"/>
                                <w:lang w:eastAsia="lt-LT"/>
                              </w:rPr>
                            </w:pPr>
                            <w:r>
                              <w:rPr>
                                <w:bCs/>
                                <w:szCs w:val="24"/>
                                <w:lang w:eastAsia="lt-LT"/>
                              </w:rPr>
                              <w:t>0,29</w:t>
                            </w:r>
                          </w:p>
                        </w:tc>
                      </w:tr>
                    </w:tbl>
                    <w:p>
                      <w:pPr>
                        <w:rPr>
                          <w:rFonts w:eastAsia="MS Mincho"/>
                          <w:i/>
                          <w:iCs/>
                          <w:sz w:val="20"/>
                        </w:rPr>
                      </w:pPr>
                    </w:p>
                    <w:p>
                      <w:pPr>
                        <w:rPr>
                          <w:rFonts w:eastAsia="MS Mincho"/>
                          <w:i/>
                          <w:iCs/>
                          <w:sz w:val="20"/>
                        </w:rPr>
                      </w:pPr>
                      <w:r>
                        <w:rPr>
                          <w:rFonts w:eastAsia="MS Mincho"/>
                          <w:i/>
                          <w:iCs/>
                          <w:sz w:val="20"/>
                        </w:rPr>
                        <w:t>Papunkčio pakeitimai:</w:t>
                      </w:r>
                    </w:p>
                    <w:p>
                      <w:pPr>
                        <w:rPr>
                          <w:rFonts w:eastAsia="MS Mincho"/>
                          <w:i/>
                          <w:iCs/>
                          <w:sz w:val="20"/>
                        </w:rPr>
                      </w:pPr>
                      <w:r>
                        <w:rPr>
                          <w:rFonts w:eastAsia="MS Mincho"/>
                          <w:i/>
                          <w:iCs/>
                          <w:sz w:val="20"/>
                        </w:rPr>
                        <w:t xml:space="preserve">Nr. </w:t>
                      </w:r>
                      <w:hyperlink r:id="rId559" w:history="1">
                        <w:r>
                          <w:rPr>
                            <w:rFonts w:eastAsia="MS Mincho"/>
                            <w:i/>
                            <w:iCs/>
                            <w:color w:val="0000FF"/>
                            <w:sz w:val="20"/>
                            <w:u w:val="single"/>
                          </w:rPr>
                          <w:t>D1-23</w:t>
                        </w:r>
                      </w:hyperlink>
                      <w:r>
                        <w:rPr>
                          <w:rFonts w:eastAsia="MS Mincho"/>
                          <w:i/>
                          <w:iCs/>
                          <w:sz w:val="20"/>
                        </w:rPr>
                        <w:t>, 2019-01-11, paskelbta TAR 2019-01-14, i. k. 2019-00444</w:t>
                      </w:r>
                    </w:p>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35 p."/>
                <w:tag w:val="part_e421960e1d0940dfb423052c57c2c356"/>
                <w:lock w:val="sdtLocked"/>
                <w:richText/>
              </w:sdtPr>
              <w:sdtContent>
                <w:p>
                  <w:pPr>
                    <w:ind w:firstLine="570"/>
                    <w:jc w:val="both"/>
                    <w:rPr>
                      <w:color w:val="000000"/>
                    </w:rPr>
                  </w:pPr>
                  <w:sdt>
                    <w:sdtPr>
                      <w:alias w:val="Numeris"/>
                      <w:tag w:val="nr_e421960e1d0940dfb423052c57c2c356"/>
                      <w:lock w:val="sdtLocked"/>
                      <w:richText/>
                    </w:sdtPr>
                    <w:sdtContent>
                      <w:r>
                        <w:rPr>
                          <w:color w:val="000000"/>
                        </w:rPr>
                        <w:t>35</w:t>
                      </w:r>
                    </w:sdtContent>
                  </w:sdt>
                  <w:r>
                    <w:rPr>
                      <w:color w:val="000000"/>
                    </w:rPr>
                    <w:t xml:space="preserve">. Kiekvieno mėnesio </w:t>
                  </w:r>
                  <w:r>
                    <w:rPr>
                      <w:i/>
                      <w:color w:val="000000"/>
                    </w:rPr>
                    <w:t>„m“</w:t>
                  </w:r>
                  <w:r>
                    <w:rPr>
                      <w:b/>
                      <w:color w:val="000000"/>
                    </w:rPr>
                    <w:t xml:space="preserve"> </w:t>
                  </w:r>
                  <w:r>
                    <w:rPr>
                      <w:color w:val="000000"/>
                    </w:rPr>
                    <w:t xml:space="preserve">pastato šildomose patalpose esančios įrangos norminės </w:t>
                  </w:r>
                  <w:r>
                    <w:rPr>
                      <w:i/>
                      <w:color w:val="000000"/>
                    </w:rPr>
                    <w:t>Q</w:t>
                  </w:r>
                  <w:r>
                    <w:rPr>
                      <w:i/>
                      <w:color w:val="000000"/>
                      <w:vertAlign w:val="subscript"/>
                    </w:rPr>
                    <w:t>N.E.eq,m</w:t>
                  </w:r>
                  <w:r>
                    <w:rPr>
                      <w:color w:val="000000"/>
                    </w:rPr>
                    <w:t xml:space="preserve"> (kWh/(m²·mėn.)), atskaitinės </w:t>
                  </w:r>
                  <w:r>
                    <w:rPr>
                      <w:i/>
                      <w:color w:val="000000"/>
                    </w:rPr>
                    <w:t>Q</w:t>
                  </w:r>
                  <w:r>
                    <w:rPr>
                      <w:i/>
                      <w:color w:val="000000"/>
                      <w:vertAlign w:val="subscript"/>
                    </w:rPr>
                    <w:t>R.E.eq,m</w:t>
                  </w:r>
                  <w:r>
                    <w:rPr>
                      <w:color w:val="000000"/>
                    </w:rPr>
                    <w:t xml:space="preserve"> (kWh/(m²·mėn.)) ir skaičiuojamosios elektros energijos sąnaudos </w:t>
                  </w:r>
                  <w:r>
                    <w:rPr>
                      <w:i/>
                      <w:color w:val="000000"/>
                    </w:rPr>
                    <w:t>Q</w:t>
                  </w:r>
                  <w:r>
                    <w:rPr>
                      <w:i/>
                      <w:color w:val="000000"/>
                      <w:vertAlign w:val="subscript"/>
                    </w:rPr>
                    <w:t>E.eq,m</w:t>
                  </w:r>
                  <w:r>
                    <w:rPr>
                      <w:color w:val="000000"/>
                    </w:rPr>
                    <w:t xml:space="preserve"> (kWh/(m²·mėn.)) apskaičiuojamos taip: </w:t>
                  </w: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szCs w:val="22"/>
                          </w:rPr>
                        </w:pPr>
                        <w:r>
                          <w:rPr>
                            <w:rFonts w:eastAsia="Calibri"/>
                            <w:color w:val="000000"/>
                            <w:szCs w:val="22"/>
                          </w:rPr>
                          <w:object w:dxaOrig="4490" w:dyaOrig="600">
                            <v:shape id="_x0000_i1164" type="#_x0000_t75" style="width:225.7pt;height:29.95pt" o:ole="">
                              <v:imagedata r:id="rId560" o:title=""/>
                            </v:shape>
                            <o:OLEObject Type="Embed" ProgID="Equation.3" ShapeID="_x0000_i1164" DrawAspect="Content" ObjectID="_0000000001" r:id="rId561"/>
                          </w:object>
                        </w:r>
                        <w:r>
                          <w:rPr>
                            <w:color w:val="000000"/>
                          </w:rPr>
                          <w:t>;</w:t>
                        </w:r>
                      </w:p>
                    </w:tc>
                    <w:tc>
                      <w:tcPr>
                        <w:tcW w:w="1182" w:type="dxa"/>
                        <w:vAlign w:val="center"/>
                        <w:hideMark/>
                      </w:tcPr>
                      <w:p>
                        <w:pPr>
                          <w:spacing w:line="276" w:lineRule="auto"/>
                          <w:jc w:val="right"/>
                          <w:rPr>
                            <w:rFonts w:eastAsia="Calibri"/>
                            <w:color w:val="000000"/>
                            <w:szCs w:val="22"/>
                          </w:rPr>
                        </w:pPr>
                        <w:r>
                          <w:rPr>
                            <w:color w:val="000000"/>
                          </w:rPr>
                          <w:t>(2.128)</w:t>
                        </w:r>
                      </w:p>
                    </w:tc>
                  </w:tr>
                </w:tbl>
                <w:p>
                  <w:pPr>
                    <w:tabs>
                      <w:tab w:val="left" w:pos="567"/>
                    </w:tabs>
                    <w:rPr>
                      <w:rFonts w:eastAsia="Calibri"/>
                      <w:bCs/>
                      <w:color w:val="000000"/>
                      <w:szCs w:val="22"/>
                    </w:rPr>
                  </w:pPr>
                  <w:r>
                    <w:rPr>
                      <w:bCs/>
                      <w:color w:val="000000"/>
                    </w:rPr>
                    <w:t xml:space="preserve">čia: </w:t>
                    <w:tab/>
                    <w:t>12 – mėnesių skaičius metuose;</w:t>
                  </w:r>
                </w:p>
                <w:p>
                  <w:pPr>
                    <w:ind w:firstLine="570"/>
                    <w:jc w:val="both"/>
                    <w:rPr>
                      <w:bCs/>
                      <w:color w:val="000000"/>
                    </w:rPr>
                  </w:pPr>
                  <w:r>
                    <w:rPr>
                      <w:bCs/>
                      <w:color w:val="000000"/>
                    </w:rPr>
                    <w:t>0,5 – bendro elektros suvartojimo pastato šildomose patalpose elektros energijos dalis prietaisams;</w:t>
                  </w:r>
                </w:p>
                <w:p>
                  <w:pPr>
                    <w:ind w:firstLine="570"/>
                    <w:jc w:val="both"/>
                    <w:rPr>
                      <w:bCs/>
                      <w:color w:val="000000"/>
                    </w:rPr>
                  </w:pPr>
                  <w:r>
                    <w:rPr>
                      <w:bCs/>
                      <w:i/>
                      <w:color w:val="000000"/>
                    </w:rPr>
                    <w:t>f</w:t>
                  </w:r>
                  <w:r>
                    <w:rPr>
                      <w:bCs/>
                      <w:i/>
                      <w:color w:val="000000"/>
                      <w:vertAlign w:val="subscript"/>
                    </w:rPr>
                    <w:t>E</w:t>
                  </w:r>
                  <w:r>
                    <w:rPr>
                      <w:bCs/>
                      <w:color w:val="000000"/>
                    </w:rPr>
                    <w:t xml:space="preserve"> – elektros energijos dalis, sunaudojama pastato šildomose patalpose. Imama iš 2.4 lentelės;</w:t>
                  </w:r>
                </w:p>
                <w:p>
                  <w:pPr>
                    <w:ind w:firstLine="570"/>
                    <w:jc w:val="both"/>
                    <w:rPr>
                      <w:bCs/>
                      <w:color w:val="000000"/>
                    </w:rPr>
                  </w:pPr>
                  <w:r>
                    <w:rPr>
                      <w:bCs/>
                      <w:i/>
                      <w:color w:val="000000"/>
                    </w:rPr>
                    <w:t>ψ</w:t>
                  </w:r>
                  <w:r>
                    <w:rPr>
                      <w:bCs/>
                      <w:i/>
                      <w:color w:val="000000"/>
                      <w:vertAlign w:val="subscript"/>
                    </w:rPr>
                    <w:t>E</w:t>
                  </w:r>
                  <w:r>
                    <w:rPr>
                      <w:bCs/>
                      <w:color w:val="000000"/>
                    </w:rPr>
                    <w:t xml:space="preserve"> – m</w:t>
                  </w:r>
                  <w:r>
                    <w:rPr>
                      <w:color w:val="000000"/>
                    </w:rPr>
                    <w:t>etinis elektros energijos suvartojimas pastato šildomo ploto vienetui (kWh/(m²·metai)).</w:t>
                  </w:r>
                  <w:r>
                    <w:rPr>
                      <w:bCs/>
                      <w:color w:val="000000"/>
                    </w:rPr>
                    <w:t xml:space="preserve"> Imamas iš 2.4 lentelės.</w:t>
                  </w:r>
                </w:p>
                <w:p>
                  <w:pPr>
                    <w:ind w:firstLine="570"/>
                    <w:rPr>
                      <w:color w:val="000000"/>
                    </w:rPr>
                  </w:pPr>
                </w:p>
              </w:sdtContent>
            </w:sdt>
            <w:sdt>
              <w:sdtPr>
                <w:alias w:val="2 pr. 36 p."/>
                <w:tag w:val="part_44bdd88dec8f437fb799bbee0c98fdfb"/>
                <w:lock w:val="sdtLocked"/>
                <w:richText/>
              </w:sdtPr>
              <w:sdtContent>
                <w:p>
                  <w:pPr>
                    <w:ind w:firstLine="570"/>
                    <w:jc w:val="both"/>
                    <w:rPr>
                      <w:color w:val="000000"/>
                    </w:rPr>
                  </w:pPr>
                  <w:sdt>
                    <w:sdtPr>
                      <w:alias w:val="Numeris"/>
                      <w:tag w:val="nr_44bdd88dec8f437fb799bbee0c98fdfb"/>
                      <w:lock w:val="sdtLocked"/>
                      <w:richText/>
                    </w:sdtPr>
                    <w:sdtContent>
                      <w:r>
                        <w:rPr>
                          <w:color w:val="000000"/>
                        </w:rPr>
                        <w:t>36</w:t>
                      </w:r>
                    </w:sdtContent>
                  </w:sdt>
                  <w:r>
                    <w:rPr>
                      <w:color w:val="000000"/>
                    </w:rPr>
                    <w:t xml:space="preserve">. Kiekvieno mėnesio </w:t>
                  </w:r>
                  <w:r>
                    <w:rPr>
                      <w:i/>
                      <w:color w:val="000000"/>
                    </w:rPr>
                    <w:t>„m“</w:t>
                  </w:r>
                  <w:r>
                    <w:rPr>
                      <w:b/>
                      <w:color w:val="000000"/>
                    </w:rPr>
                    <w:t xml:space="preserve"> </w:t>
                  </w:r>
                  <w:r>
                    <w:rPr>
                      <w:color w:val="000000"/>
                    </w:rPr>
                    <w:t xml:space="preserve">skaičiuojamosios </w:t>
                  </w:r>
                  <w:r>
                    <w:rPr>
                      <w:i/>
                      <w:color w:val="000000"/>
                    </w:rPr>
                    <w:t>Q</w:t>
                  </w:r>
                  <w:r>
                    <w:rPr>
                      <w:i/>
                      <w:color w:val="000000"/>
                      <w:vertAlign w:val="subscript"/>
                    </w:rPr>
                    <w:t>E.lg,m</w:t>
                  </w:r>
                  <w:r>
                    <w:rPr>
                      <w:color w:val="000000"/>
                    </w:rPr>
                    <w:t xml:space="preserve">  (kWh/(m²·mėn.)) elektros energijos sąnaudos šildomų patalpų apšvietimui [3.27] apskaičiuojamos taip: </w:t>
                  </w: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szCs w:val="22"/>
                          </w:rPr>
                        </w:pPr>
                        <w:r>
                          <w:rPr>
                            <w:color w:val="000000"/>
                          </w:rPr>
                          <w:object w:dxaOrig="4430" w:dyaOrig="680">
                            <v:shape id="_x0000_i1165" type="#_x0000_t75" style="width:221.65pt;height:34pt" o:ole="">
                              <v:imagedata r:id="rId562" o:title=""/>
                            </v:shape>
                            <o:OLEObject Type="Embed" ProgID="Equation.3" ShapeID="_x0000_i1165" DrawAspect="Content" ObjectID="_0000000001" r:id="rId563"/>
                          </w:object>
                          <w:t>;</w:t>
                        </w:r>
                      </w:p>
                    </w:tc>
                    <w:tc>
                      <w:tcPr>
                        <w:tcW w:w="1182" w:type="dxa"/>
                        <w:vAlign w:val="center"/>
                        <w:hideMark/>
                      </w:tcPr>
                      <w:p>
                        <w:pPr>
                          <w:spacing w:line="276" w:lineRule="auto"/>
                          <w:jc w:val="right"/>
                          <w:rPr>
                            <w:rFonts w:eastAsia="Calibri"/>
                            <w:color w:val="000000"/>
                            <w:szCs w:val="22"/>
                          </w:rPr>
                        </w:pPr>
                        <w:r>
                          <w:rPr>
                            <w:color w:val="000000"/>
                          </w:rPr>
                          <w:t>(2.129)</w:t>
                        </w:r>
                      </w:p>
                    </w:tc>
                  </w:tr>
                </w:tbl>
                <w:p>
                  <w:pPr>
                    <w:tabs>
                      <w:tab w:val="left" w:pos="567"/>
                    </w:tabs>
                    <w:jc w:val="both"/>
                    <w:rPr>
                      <w:rFonts w:eastAsia="Calibri"/>
                      <w:bCs/>
                      <w:color w:val="000000"/>
                      <w:szCs w:val="22"/>
                    </w:rPr>
                  </w:pPr>
                  <w:r>
                    <w:rPr>
                      <w:bCs/>
                      <w:color w:val="000000"/>
                    </w:rPr>
                    <w:t>čia:</w:t>
                    <w:tab/>
                    <w:t>0,5 – elektros energijos dalis nuo bendro elektros suvartojimo pastato šildomose patalpose, naudojama apšvietimui;</w:t>
                  </w:r>
                </w:p>
                <w:p>
                  <w:pPr>
                    <w:ind w:firstLine="570"/>
                    <w:jc w:val="both"/>
                    <w:rPr>
                      <w:bCs/>
                      <w:color w:val="000000"/>
                    </w:rPr>
                  </w:pPr>
                  <w:r>
                    <w:rPr>
                      <w:bCs/>
                      <w:i/>
                      <w:color w:val="000000"/>
                    </w:rPr>
                    <w:t>k</w:t>
                  </w:r>
                  <w:r>
                    <w:rPr>
                      <w:bCs/>
                      <w:i/>
                      <w:color w:val="000000"/>
                      <w:vertAlign w:val="subscript"/>
                    </w:rPr>
                    <w:t>m</w:t>
                  </w:r>
                  <w:r>
                    <w:rPr>
                      <w:bCs/>
                      <w:i/>
                      <w:color w:val="000000"/>
                    </w:rPr>
                    <w:t xml:space="preserve"> </w:t>
                  </w:r>
                  <w:r>
                    <w:rPr>
                      <w:bCs/>
                      <w:color w:val="000000"/>
                    </w:rPr>
                    <w:t>– koeficientas, apibūdinantis elektros energijos patalpų apšvietimui naudojimą atitinkamą metų mėnesį. Imamas iš 2.19 lentelės;</w:t>
                  </w:r>
                </w:p>
                <w:p>
                  <w:pPr>
                    <w:ind w:firstLine="570"/>
                    <w:jc w:val="both"/>
                    <w:rPr>
                      <w:bCs/>
                      <w:color w:val="000000"/>
                    </w:rPr>
                  </w:pPr>
                  <w:r>
                    <w:rPr>
                      <w:bCs/>
                      <w:i/>
                      <w:color w:val="000000"/>
                    </w:rPr>
                    <w:t xml:space="preserve">25,89 – </w:t>
                  </w:r>
                  <w:r>
                    <w:rPr>
                      <w:bCs/>
                      <w:color w:val="000000"/>
                    </w:rPr>
                    <w:t xml:space="preserve">mėnesinių koeficientų </w:t>
                  </w:r>
                  <w:r>
                    <w:rPr>
                      <w:bCs/>
                      <w:i/>
                      <w:color w:val="000000"/>
                    </w:rPr>
                    <w:t>k</w:t>
                  </w:r>
                  <w:r>
                    <w:rPr>
                      <w:bCs/>
                      <w:i/>
                      <w:color w:val="000000"/>
                      <w:vertAlign w:val="subscript"/>
                    </w:rPr>
                    <w:t>m</w:t>
                  </w:r>
                  <w:r>
                    <w:rPr>
                      <w:bCs/>
                      <w:color w:val="000000"/>
                    </w:rPr>
                    <w:t xml:space="preserve"> suma; </w:t>
                  </w:r>
                </w:p>
                <w:p>
                  <w:pPr>
                    <w:ind w:firstLine="570"/>
                    <w:jc w:val="both"/>
                    <w:rPr>
                      <w:bCs/>
                      <w:color w:val="000000"/>
                    </w:rPr>
                  </w:pPr>
                  <w:r>
                    <w:rPr>
                      <w:bCs/>
                      <w:i/>
                      <w:color w:val="000000"/>
                    </w:rPr>
                    <w:t>f</w:t>
                  </w:r>
                  <w:r>
                    <w:rPr>
                      <w:bCs/>
                      <w:i/>
                      <w:color w:val="000000"/>
                      <w:vertAlign w:val="subscript"/>
                    </w:rPr>
                    <w:t>E</w:t>
                  </w:r>
                  <w:r>
                    <w:rPr>
                      <w:bCs/>
                      <w:color w:val="000000"/>
                    </w:rPr>
                    <w:t xml:space="preserve"> – elektros energijos dalis, naudojama pastato šildomose patalpose. Imama iš 2.4 lentelės;</w:t>
                  </w:r>
                </w:p>
                <w:p>
                  <w:pPr>
                    <w:ind w:firstLine="570"/>
                    <w:jc w:val="both"/>
                    <w:rPr>
                      <w:bCs/>
                      <w:color w:val="000000"/>
                    </w:rPr>
                  </w:pPr>
                  <w:r>
                    <w:rPr>
                      <w:bCs/>
                      <w:i/>
                      <w:color w:val="000000"/>
                    </w:rPr>
                    <w:t>ψ</w:t>
                  </w:r>
                  <w:r>
                    <w:rPr>
                      <w:bCs/>
                      <w:i/>
                      <w:color w:val="000000"/>
                      <w:vertAlign w:val="subscript"/>
                    </w:rPr>
                    <w:t>E</w:t>
                  </w:r>
                  <w:r>
                    <w:rPr>
                      <w:bCs/>
                      <w:color w:val="000000"/>
                    </w:rPr>
                    <w:t xml:space="preserve"> – m</w:t>
                  </w:r>
                  <w:r>
                    <w:rPr>
                      <w:color w:val="000000"/>
                    </w:rPr>
                    <w:t>etinis elektros energijos suvartojimas pastato ploto vienetui (kWh/(m²·metai)).</w:t>
                  </w:r>
                  <w:r>
                    <w:rPr>
                      <w:bCs/>
                      <w:color w:val="000000"/>
                    </w:rPr>
                    <w:t xml:space="preserve"> Imamas iš 2.4 lentelės;</w:t>
                  </w:r>
                </w:p>
                <w:p>
                  <w:pPr>
                    <w:ind w:firstLine="570"/>
                    <w:jc w:val="both"/>
                    <w:rPr>
                      <w:bCs/>
                      <w:color w:val="000000"/>
                    </w:rPr>
                  </w:pPr>
                  <w:r>
                    <w:rPr>
                      <w:bCs/>
                      <w:i/>
                      <w:color w:val="000000"/>
                    </w:rPr>
                    <w:t>A</w:t>
                  </w:r>
                  <w:r>
                    <w:rPr>
                      <w:bCs/>
                      <w:i/>
                      <w:color w:val="000000"/>
                      <w:vertAlign w:val="subscript"/>
                    </w:rPr>
                    <w:t xml:space="preserve">p,x </w:t>
                  </w:r>
                  <w:r>
                    <w:rPr>
                      <w:bCs/>
                      <w:color w:val="000000"/>
                    </w:rPr>
                    <w:t>– pastato patalpų plotas, kuriose įrengta atitinkama „x“ patalpų apšvietimo įranga (m²);</w:t>
                  </w:r>
                </w:p>
                <w:p>
                  <w:pPr>
                    <w:ind w:firstLine="570"/>
                    <w:jc w:val="both"/>
                    <w:rPr>
                      <w:bCs/>
                      <w:color w:val="000000"/>
                    </w:rPr>
                  </w:pPr>
                  <w:r>
                    <w:rPr>
                      <w:bCs/>
                      <w:i/>
                      <w:color w:val="000000"/>
                    </w:rPr>
                    <w:t>η</w:t>
                  </w:r>
                  <w:r>
                    <w:rPr>
                      <w:bCs/>
                      <w:i/>
                      <w:color w:val="000000"/>
                      <w:vertAlign w:val="subscript"/>
                    </w:rPr>
                    <w:t>E,x</w:t>
                  </w:r>
                  <w:r>
                    <w:rPr>
                      <w:bCs/>
                      <w:i/>
                      <w:color w:val="000000"/>
                    </w:rPr>
                    <w:t xml:space="preserve"> – </w:t>
                  </w:r>
                  <w:r>
                    <w:rPr>
                      <w:bCs/>
                      <w:color w:val="000000"/>
                    </w:rPr>
                    <w:t xml:space="preserve">atitinkamos „x“ patalpų apšvietimo įrangos efektyvumo rodiklis (lm/W). Imama iš apšvietimo įrangos techninės dokumentacijos, nesant duomenų, – iš Reglamento 11 lentelės. </w:t>
                  </w:r>
                </w:p>
                <w:p>
                  <w:pPr>
                    <w:ind w:firstLine="570"/>
                    <w:jc w:val="both"/>
                    <w:rPr>
                      <w:color w:val="000000"/>
                    </w:rPr>
                  </w:pPr>
                </w:p>
                <w:p>
                  <w:pPr>
                    <w:ind w:firstLine="570"/>
                    <w:jc w:val="both"/>
                    <w:rPr>
                      <w:color w:val="000000"/>
                    </w:rPr>
                  </w:pPr>
                  <w:r>
                    <w:rPr>
                      <w:color w:val="000000"/>
                    </w:rPr>
                    <w:t xml:space="preserve">Kiekvieno mėnesio </w:t>
                  </w:r>
                  <w:r>
                    <w:rPr>
                      <w:i/>
                      <w:color w:val="000000"/>
                    </w:rPr>
                    <w:t>„m“</w:t>
                  </w:r>
                  <w:r>
                    <w:rPr>
                      <w:b/>
                      <w:color w:val="000000"/>
                    </w:rPr>
                    <w:t xml:space="preserve"> </w:t>
                  </w:r>
                  <w:r>
                    <w:rPr>
                      <w:color w:val="000000"/>
                    </w:rPr>
                    <w:t xml:space="preserve">norminės </w:t>
                  </w:r>
                  <w:r>
                    <w:rPr>
                      <w:i/>
                      <w:color w:val="000000"/>
                    </w:rPr>
                    <w:t>Q</w:t>
                  </w:r>
                  <w:r>
                    <w:rPr>
                      <w:i/>
                      <w:color w:val="000000"/>
                      <w:vertAlign w:val="subscript"/>
                    </w:rPr>
                    <w:t>N.E.lg,m</w:t>
                  </w:r>
                  <w:r>
                    <w:rPr>
                      <w:color w:val="000000"/>
                    </w:rPr>
                    <w:t xml:space="preserve"> (kWh/(m²·mėn.)) ir atskaitinės </w:t>
                  </w:r>
                  <w:r>
                    <w:rPr>
                      <w:i/>
                      <w:color w:val="000000"/>
                    </w:rPr>
                    <w:t>Q</w:t>
                  </w:r>
                  <w:r>
                    <w:rPr>
                      <w:i/>
                      <w:color w:val="000000"/>
                      <w:vertAlign w:val="subscript"/>
                    </w:rPr>
                    <w:t>R.E.lg,m</w:t>
                  </w:r>
                  <w:r>
                    <w:rPr>
                      <w:color w:val="000000"/>
                    </w:rPr>
                    <w:t xml:space="preserve"> (kWh/(m²·mėn.)) elektros energijos sąnaudos šildomų patalpų apšvietimui apskaičiuojamos pagal (2.129) formulę, imant </w:t>
                  </w:r>
                  <w:r>
                    <w:rPr>
                      <w:i/>
                      <w:color w:val="000000"/>
                    </w:rPr>
                    <w:t>η</w:t>
                  </w:r>
                  <w:r>
                    <w:rPr>
                      <w:i/>
                      <w:color w:val="000000"/>
                      <w:vertAlign w:val="subscript"/>
                    </w:rPr>
                    <w:t>E</w:t>
                  </w:r>
                  <w:r>
                    <w:rPr>
                      <w:color w:val="000000"/>
                    </w:rPr>
                    <w:t>=15.</w:t>
                  </w:r>
                </w:p>
                <w:p>
                  <w:pPr>
                    <w:jc w:val="center"/>
                    <w:rPr>
                      <w:b/>
                      <w:color w:val="000000"/>
                    </w:rPr>
                  </w:pPr>
                </w:p>
                <w:p>
                  <w:pPr>
                    <w:jc w:val="center"/>
                    <w:rPr>
                      <w:b/>
                    </w:rPr>
                  </w:pPr>
                  <w:r>
                    <w:rPr>
                      <w:b/>
                    </w:rPr>
                    <w:t xml:space="preserve">Koeficiento </w:t>
                  </w:r>
                  <w:r>
                    <w:rPr>
                      <w:b/>
                      <w:i/>
                    </w:rPr>
                    <w:t>k</w:t>
                  </w:r>
                  <w:r>
                    <w:rPr>
                      <w:b/>
                      <w:i/>
                      <w:vertAlign w:val="subscript"/>
                    </w:rPr>
                    <w:t>m</w:t>
                  </w:r>
                  <w:r>
                    <w:rPr>
                      <w:b/>
                    </w:rPr>
                    <w:t xml:space="preserve"> vertė skirtingais metų mėnesiais</w:t>
                  </w:r>
                </w:p>
                <w:p>
                  <w:pPr>
                    <w:ind w:left="720"/>
                    <w:jc w:val="right"/>
                  </w:pPr>
                  <w:r>
                    <w:t>2.19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736"/>
                    <w:gridCol w:w="736"/>
                    <w:gridCol w:w="736"/>
                    <w:gridCol w:w="736"/>
                    <w:gridCol w:w="736"/>
                    <w:gridCol w:w="736"/>
                    <w:gridCol w:w="736"/>
                    <w:gridCol w:w="736"/>
                    <w:gridCol w:w="736"/>
                    <w:gridCol w:w="736"/>
                    <w:gridCol w:w="738"/>
                    <w:gridCol w:w="737"/>
                  </w:tblGrid>
                  <w:tr>
                    <w:trPr>
                      <w:gridAfter w:val="1"/>
                      <w:wAfter w:w="737" w:type="dxa"/>
                      <w:trHeight w:val="334"/>
                    </w:trPr>
                    <w:tc>
                      <w:tcPr>
                        <w:tcW w:w="8834" w:type="dxa"/>
                        <w:gridSpan w:val="1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pacing w:val="-6"/>
                            <w:szCs w:val="22"/>
                          </w:rPr>
                        </w:pPr>
                        <w:r>
                          <w:rPr>
                            <w:spacing w:val="-6"/>
                          </w:rPr>
                          <w:t>Metų mėnesio numeris</w:t>
                        </w:r>
                      </w:p>
                    </w:tc>
                  </w:tr>
                  <w:tr>
                    <w:tc>
                      <w:tcPr>
                        <w:tcW w:w="736"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szCs w:val="22"/>
                          </w:rPr>
                        </w:pP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7</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9</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w:t>
                        </w:r>
                      </w:p>
                    </w:tc>
                    <w:tc>
                      <w:tcPr>
                        <w:tcW w:w="73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11</w:t>
                        </w:r>
                      </w:p>
                    </w:tc>
                    <w:tc>
                      <w:tcPr>
                        <w:tcW w:w="73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12</w:t>
                        </w:r>
                      </w:p>
                    </w:tc>
                  </w:tr>
                  <w:tr>
                    <w:tc>
                      <w:tcPr>
                        <w:tcW w:w="736"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b/>
                            <w:i/>
                          </w:rPr>
                          <w:t>k</w:t>
                        </w:r>
                        <w:r>
                          <w:rPr>
                            <w:b/>
                            <w:i/>
                            <w:vertAlign w:val="subscript"/>
                          </w:rPr>
                          <w:t>m</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3,1</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2,52</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2,06</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1,73</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1,51</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1,41</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1,45</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1,63</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1,92</w:t>
                        </w:r>
                      </w:p>
                    </w:tc>
                    <w:tc>
                      <w:tcPr>
                        <w:tcW w:w="73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2,33</w:t>
                        </w:r>
                      </w:p>
                    </w:tc>
                    <w:tc>
                      <w:tcPr>
                        <w:tcW w:w="73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2,9</w:t>
                        </w:r>
                      </w:p>
                    </w:tc>
                    <w:tc>
                      <w:tcPr>
                        <w:tcW w:w="73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3,33</w:t>
                        </w:r>
                      </w:p>
                    </w:tc>
                  </w:tr>
                </w:tbl>
                <w:p>
                  <w:pPr>
                    <w:rPr>
                      <w:rFonts w:eastAsia="Calibri"/>
                      <w:szCs w:val="22"/>
                    </w:rPr>
                  </w:pPr>
                </w:p>
              </w:sdtContent>
            </w:sdt>
            <w:sdt>
              <w:sdtPr>
                <w:alias w:val="2 pr. 37 p."/>
                <w:tag w:val="part_b7e91d61ca7b493796b36b8e4234a724"/>
                <w:lock w:val="sdtLocked"/>
                <w:richText/>
              </w:sdtPr>
              <w:sdtContent>
                <w:p>
                  <w:pPr>
                    <w:ind w:firstLine="570"/>
                    <w:jc w:val="both"/>
                    <w:rPr>
                      <w:color w:val="000000"/>
                    </w:rPr>
                  </w:pPr>
                  <w:sdt>
                    <w:sdtPr>
                      <w:alias w:val="Numeris"/>
                      <w:tag w:val="nr_b7e91d61ca7b493796b36b8e4234a724"/>
                      <w:lock w:val="sdtLocked"/>
                      <w:richText/>
                    </w:sdtPr>
                    <w:sdtContent>
                      <w:r>
                        <w:rPr>
                          <w:color w:val="000000"/>
                        </w:rPr>
                        <w:t>37</w:t>
                      </w:r>
                    </w:sdtContent>
                  </w:sdt>
                  <w:r>
                    <w:rPr>
                      <w:color w:val="000000"/>
                    </w:rPr>
                    <w:t xml:space="preserve">. Kiekvieno mėnesio </w:t>
                  </w:r>
                  <w:r>
                    <w:rPr>
                      <w:i/>
                      <w:color w:val="000000"/>
                    </w:rPr>
                    <w:t>„m“</w:t>
                  </w:r>
                  <w:r>
                    <w:rPr>
                      <w:b/>
                      <w:color w:val="000000"/>
                    </w:rPr>
                    <w:t xml:space="preserve"> </w:t>
                  </w:r>
                  <w:r>
                    <w:rPr>
                      <w:color w:val="000000"/>
                    </w:rPr>
                    <w:t xml:space="preserve">norminės </w:t>
                  </w:r>
                  <w:r>
                    <w:rPr>
                      <w:i/>
                      <w:color w:val="000000"/>
                    </w:rPr>
                    <w:t>Q</w:t>
                  </w:r>
                  <w:r>
                    <w:rPr>
                      <w:i/>
                      <w:color w:val="000000"/>
                      <w:vertAlign w:val="subscript"/>
                    </w:rPr>
                    <w:t>N.E.e,m</w:t>
                  </w:r>
                  <w:r>
                    <w:rPr>
                      <w:color w:val="000000"/>
                    </w:rPr>
                    <w:t xml:space="preserve"> (kWh/(m²·mėn.)), atskaitinės </w:t>
                  </w:r>
                  <w:r>
                    <w:rPr>
                      <w:i/>
                      <w:color w:val="000000"/>
                    </w:rPr>
                    <w:t>Q</w:t>
                  </w:r>
                  <w:r>
                    <w:rPr>
                      <w:i/>
                      <w:color w:val="000000"/>
                      <w:vertAlign w:val="subscript"/>
                    </w:rPr>
                    <w:t>R.E.e,m</w:t>
                  </w:r>
                  <w:r>
                    <w:rPr>
                      <w:color w:val="000000"/>
                    </w:rPr>
                    <w:t xml:space="preserve"> (kWh/(m²·mėn.)) ir skaičiuojamosios </w:t>
                  </w:r>
                  <w:r>
                    <w:rPr>
                      <w:i/>
                      <w:color w:val="000000"/>
                    </w:rPr>
                    <w:t>Q</w:t>
                  </w:r>
                  <w:r>
                    <w:rPr>
                      <w:i/>
                      <w:color w:val="000000"/>
                      <w:vertAlign w:val="subscript"/>
                    </w:rPr>
                    <w:t>E.e,m</w:t>
                  </w:r>
                  <w:r>
                    <w:rPr>
                      <w:color w:val="000000"/>
                    </w:rPr>
                    <w:t xml:space="preserve">  (kWh/(m²·mėn.)) elektros energijos sąnaudos nešildomame pastato plote kitoms su pastato paskirtimi susijusioms reikmėms apskaičiuojamos taip:</w:t>
                  </w: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ind w:left="851" w:hanging="851"/>
                          <w:jc w:val="center"/>
                          <w:rPr>
                            <w:rFonts w:eastAsia="Calibri"/>
                            <w:color w:val="000000"/>
                            <w:szCs w:val="22"/>
                          </w:rPr>
                        </w:pPr>
                        <w:r>
                          <w:rPr>
                            <w:rFonts w:eastAsia="Calibri"/>
                            <w:color w:val="000000"/>
                            <w:position w:val="-22"/>
                            <w:szCs w:val="22"/>
                          </w:rPr>
                          <w:object w:dxaOrig="4320" w:dyaOrig="600">
                            <v:shape id="_x0000_i1166" type="#_x0000_t75" style="width:3in;height:29.95pt" o:ole="">
                              <v:imagedata r:id="rId564" o:title=""/>
                            </v:shape>
                            <o:OLEObject Type="Embed" ProgID="Equation.3" ShapeID="_x0000_i1166" DrawAspect="Content" ObjectID="_0000000001" r:id="rId565"/>
                          </w:object>
                        </w:r>
                        <w:r>
                          <w:rPr>
                            <w:color w:val="000000"/>
                          </w:rPr>
                          <w:t>.</w:t>
                        </w:r>
                      </w:p>
                    </w:tc>
                    <w:tc>
                      <w:tcPr>
                        <w:tcW w:w="1182" w:type="dxa"/>
                        <w:vAlign w:val="center"/>
                        <w:hideMark/>
                      </w:tcPr>
                      <w:p>
                        <w:pPr>
                          <w:spacing w:line="276" w:lineRule="auto"/>
                          <w:ind w:left="851" w:hanging="851"/>
                          <w:jc w:val="right"/>
                          <w:rPr>
                            <w:rFonts w:eastAsia="Calibri"/>
                            <w:color w:val="000000"/>
                            <w:szCs w:val="22"/>
                          </w:rPr>
                        </w:pPr>
                        <w:r>
                          <w:rPr>
                            <w:color w:val="000000"/>
                          </w:rPr>
                          <w:t>(2.130)</w:t>
                        </w:r>
                      </w:p>
                    </w:tc>
                  </w:tr>
                </w:tbl>
                <w:p>
                  <w:pPr>
                    <w:rPr>
                      <w:color w:val="000000"/>
                    </w:rPr>
                  </w:pPr>
                </w:p>
              </w:sdtContent>
            </w:sdt>
            <w:sdt>
              <w:sdtPr>
                <w:alias w:val="2 pr. 38 p."/>
                <w:tag w:val="part_42ae43fe89ca43f99c6006a611b835ce"/>
                <w:lock w:val="sdtLocked"/>
                <w:richText/>
              </w:sdtPr>
              <w:sdtContent>
                <w:p>
                  <w:pPr>
                    <w:ind w:firstLine="573"/>
                    <w:jc w:val="both"/>
                    <w:rPr>
                      <w:rFonts w:eastAsia="Calibri"/>
                      <w:color w:val="000000"/>
                      <w:szCs w:val="22"/>
                    </w:rPr>
                  </w:pPr>
                  <w:sdt>
                    <w:sdtPr>
                      <w:alias w:val="Numeris"/>
                      <w:tag w:val="nr_42ae43fe89ca43f99c6006a611b835ce"/>
                      <w:lock w:val="sdtLocked"/>
                      <w:richText/>
                    </w:sdtPr>
                    <w:sdtContent>
                      <w:r>
                        <w:rPr>
                          <w:color w:val="000000"/>
                        </w:rPr>
                        <w:t>38</w:t>
                      </w:r>
                    </w:sdtContent>
                  </w:sdt>
                  <w:r>
                    <w:rPr>
                      <w:color w:val="000000"/>
                    </w:rPr>
                    <w:t xml:space="preserve">. Kiekvieno mėnesio </w:t>
                  </w:r>
                  <w:r>
                    <w:rPr>
                      <w:i/>
                      <w:color w:val="000000"/>
                    </w:rPr>
                    <w:t>„m“</w:t>
                  </w:r>
                  <w:r>
                    <w:rPr>
                      <w:b/>
                      <w:color w:val="000000"/>
                    </w:rPr>
                    <w:t xml:space="preserve"> </w:t>
                  </w:r>
                  <w:r>
                    <w:rPr>
                      <w:color w:val="000000"/>
                    </w:rPr>
                    <w:t xml:space="preserve">pastato mechaninių vėdinimo sistemų ventiliatorių mėnesinės skaičiuojamosios elektros energijos sąnaudos pastato šildomo ploto vienetui </w:t>
                  </w:r>
                  <w:r>
                    <w:rPr>
                      <w:i/>
                      <w:color w:val="000000"/>
                    </w:rPr>
                    <w:t>Q</w:t>
                  </w:r>
                  <w:r>
                    <w:rPr>
                      <w:i/>
                      <w:color w:val="000000"/>
                      <w:vertAlign w:val="subscript"/>
                    </w:rPr>
                    <w:t>E.vent,m</w:t>
                  </w:r>
                  <w:r>
                    <w:rPr>
                      <w:color w:val="000000"/>
                    </w:rPr>
                    <w:t xml:space="preserve"> (kWh/(m²·mėn.)) apskaičiuojamos taip:</w:t>
                  </w:r>
                </w:p>
                <w:tbl>
                  <w:tblPr>
                    <w:tblW w:w="5000" w:type="pct"/>
                    <w:tblLook w:val="01E0" w:firstRow="1" w:lastRow="1" w:firstColumn="1" w:lastColumn="1" w:noHBand="0" w:noVBand="0"/>
                  </w:tblPr>
                  <w:tblGrid>
                    <w:gridCol w:w="8677"/>
                    <w:gridCol w:w="1319"/>
                  </w:tblGrid>
                  <w:tr>
                    <w:tc>
                      <w:tcPr>
                        <w:tcW w:w="4340" w:type="pct"/>
                        <w:vAlign w:val="center"/>
                      </w:tcPr>
                      <w:p>
                        <w:pPr>
                          <w:rPr>
                            <w:color w:val="000000"/>
                            <w:sz w:val="10"/>
                            <w:szCs w:val="10"/>
                          </w:rPr>
                        </w:pPr>
                      </w:p>
                      <w:p>
                        <w:pPr>
                          <w:spacing w:line="360" w:lineRule="auto"/>
                          <w:ind w:left="850" w:hanging="283"/>
                          <w:rPr>
                            <w:rFonts w:eastAsia="Calibri"/>
                            <w:color w:val="000000"/>
                          </w:rPr>
                        </w:pPr>
                        <w:r>
                          <w:rPr>
                            <w:color w:val="000000"/>
                          </w:rPr>
                          <w:t>- jei (</w:t>
                        </w:r>
                        <w:r>
                          <w:rPr>
                            <w:i/>
                            <w:color w:val="000000"/>
                          </w:rPr>
                          <w:t>ν</w:t>
                        </w:r>
                        <w:r>
                          <w:rPr>
                            <w:i/>
                            <w:color w:val="000000"/>
                            <w:vertAlign w:val="subscript"/>
                          </w:rPr>
                          <w:t>o</w:t>
                        </w:r>
                        <w:r>
                          <w:rPr>
                            <w:i/>
                            <w:color w:val="000000"/>
                          </w:rPr>
                          <w:t xml:space="preserve"> – ν</w:t>
                        </w:r>
                        <w:r>
                          <w:rPr>
                            <w:i/>
                            <w:color w:val="000000"/>
                            <w:vertAlign w:val="subscript"/>
                          </w:rPr>
                          <w:t xml:space="preserve">inf,m </w:t>
                        </w:r>
                        <w:r>
                          <w:rPr>
                            <w:i/>
                            <w:color w:val="000000"/>
                          </w:rPr>
                          <w:t>– ν</w:t>
                        </w:r>
                        <w:r>
                          <w:rPr>
                            <w:i/>
                            <w:color w:val="000000"/>
                            <w:vertAlign w:val="subscript"/>
                          </w:rPr>
                          <w:t>do,m</w:t>
                        </w:r>
                        <w:r>
                          <w:rPr>
                            <w:color w:val="000000"/>
                          </w:rPr>
                          <w:t>)&gt;0,</w:t>
                        </w:r>
                      </w:p>
                      <w:p>
                        <w:pPr>
                          <w:rPr>
                            <w:color w:val="000000"/>
                            <w:sz w:val="10"/>
                            <w:szCs w:val="10"/>
                          </w:rPr>
                        </w:pPr>
                      </w:p>
                      <w:p>
                        <w:pPr>
                          <w:spacing w:line="360" w:lineRule="auto"/>
                          <w:ind w:left="850" w:hanging="850"/>
                          <w:jc w:val="center"/>
                          <w:rPr>
                            <w:color w:val="000000"/>
                          </w:rPr>
                        </w:pPr>
                        <w:r>
                          <w:rPr>
                            <w:rFonts w:eastAsia="Calibri"/>
                            <w:color w:val="000000"/>
                            <w:szCs w:val="22"/>
                          </w:rPr>
                          <w:object w:dxaOrig="7250" w:dyaOrig="1330">
                            <v:shape id="_x0000_i1167" type="#_x0000_t75" style="width:363.25pt;height:67.15pt" o:ole="">
                              <v:imagedata r:id="rId566" o:title=""/>
                            </v:shape>
                            <o:OLEObject Type="Embed" ProgID="Equation.3" ShapeID="_x0000_i1167" DrawAspect="Content" ObjectID="_0000000001" r:id="rId567"/>
                          </w:object>
                        </w:r>
                      </w:p>
                      <w:p>
                        <w:pPr>
                          <w:rPr>
                            <w:color w:val="000000"/>
                            <w:sz w:val="10"/>
                            <w:szCs w:val="10"/>
                          </w:rPr>
                        </w:pPr>
                      </w:p>
                      <w:p>
                        <w:pPr>
                          <w:spacing w:line="360" w:lineRule="auto"/>
                          <w:ind w:left="850" w:hanging="283"/>
                          <w:jc w:val="both"/>
                          <w:rPr>
                            <w:rFonts w:eastAsia="Calibri"/>
                            <w:bCs/>
                            <w:color w:val="000000"/>
                            <w:szCs w:val="22"/>
                          </w:rPr>
                        </w:pPr>
                        <w:r>
                          <w:rPr>
                            <w:color w:val="000000"/>
                          </w:rPr>
                          <w:t xml:space="preserve">- kitu atveju </w:t>
                        </w:r>
                        <w:r>
                          <w:rPr>
                            <w:i/>
                            <w:color w:val="000000"/>
                          </w:rPr>
                          <w:t>Q</w:t>
                        </w:r>
                        <w:r>
                          <w:rPr>
                            <w:i/>
                            <w:color w:val="000000"/>
                            <w:vertAlign w:val="subscript"/>
                          </w:rPr>
                          <w:t>E.vent,m</w:t>
                        </w:r>
                        <w:r>
                          <w:rPr>
                            <w:color w:val="000000"/>
                          </w:rPr>
                          <w:t>=0;</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(2.131)</w:t>
                        </w:r>
                      </w:p>
                    </w:tc>
                  </w:tr>
                </w:tbl>
                <w:p>
                  <w:pPr>
                    <w:tabs>
                      <w:tab w:val="left" w:pos="567"/>
                    </w:tabs>
                    <w:jc w:val="both"/>
                    <w:rPr>
                      <w:rFonts w:eastAsia="Calibri"/>
                      <w:color w:val="000000"/>
                      <w:szCs w:val="22"/>
                    </w:rPr>
                  </w:pPr>
                  <w:r>
                    <w:rPr>
                      <w:color w:val="000000"/>
                    </w:rPr>
                    <w:t>čia:</w:t>
                    <w:tab/>
                  </w:r>
                  <w:r>
                    <w:rPr>
                      <w:i/>
                      <w:color w:val="000000"/>
                    </w:rPr>
                    <w:t>G</w:t>
                  </w:r>
                  <w:r>
                    <w:rPr>
                      <w:i/>
                      <w:color w:val="000000"/>
                      <w:vertAlign w:val="subscript"/>
                    </w:rPr>
                    <w:t>mv,x</w:t>
                  </w:r>
                  <w:r>
                    <w:rPr>
                      <w:i/>
                      <w:color w:val="000000"/>
                    </w:rPr>
                    <w:t xml:space="preserve"> –</w:t>
                  </w:r>
                  <w:r>
                    <w:rPr>
                      <w:color w:val="000000"/>
                    </w:rPr>
                    <w:t xml:space="preserve"> atitinkamos „</w:t>
                  </w:r>
                  <w:r>
                    <w:rPr>
                      <w:i/>
                      <w:color w:val="000000"/>
                    </w:rPr>
                    <w:t>x</w:t>
                  </w:r>
                  <w:r>
                    <w:rPr>
                      <w:color w:val="000000"/>
                    </w:rPr>
                    <w:t xml:space="preserve">“ mechaninio vėdinimo be rekuperacijos sistemos, kurioje nėra į patalpas tiekiamo oro pašildymo, elektrinių ventiliatorių sunaudojamas elektros energijos kiekis </w:t>
                  </w:r>
                  <w:smartTag w:uri="urn:schemas-microsoft-com:office:smarttags" w:element="metricconverter">
                    <w:smartTagPr>
                      <w:attr w:name="ProductID" w:val="1 mﾳ"/>
                    </w:smartTagPr>
                    <w:r>
                      <w:rPr>
                        <w:color w:val="000000"/>
                      </w:rPr>
                      <w:t>1 m³</w:t>
                    </w:r>
                  </w:smartTag>
                  <w:r>
                    <w:rPr>
                      <w:color w:val="000000"/>
                    </w:rPr>
                    <w:t xml:space="preserve"> oro debitui (Wh/m³).</w:t>
                  </w:r>
                  <w:r>
                    <w:rPr>
                      <w:bCs/>
                      <w:color w:val="000000"/>
                    </w:rPr>
                    <w:t xml:space="preserve"> </w:t>
                  </w:r>
                  <w:r>
                    <w:rPr>
                      <w:color w:val="000000"/>
                    </w:rPr>
                    <w:t>Jei yra elektrinių ventiliatorių sunaudojamą elektros energijos kiekį vienam m³ oro debitui patvirtinantys dokumentai, nurodomas ventiliatorių gamintojo pavadinimas, tipas (markė) ir skaičiavimuose naudojami šiuose dokumentuose nurodyti duomenys. Jei tokių dokumentų nėra, nežinomas ventiliatorių gamintojas ar gaminio tipas (markė) arba ventiliatoriai sunaudoja daugiau kaip 2 Wh/m³ elektros energijos, skaičiavimuose turi būti naudojamos 2 Wh/m³ ventiliatorių elektros energijos sąnaudos;</w:t>
                  </w:r>
                </w:p>
                <w:p>
                  <w:pPr>
                    <w:ind w:firstLine="567"/>
                    <w:jc w:val="both"/>
                    <w:rPr>
                      <w:color w:val="000000"/>
                    </w:rPr>
                  </w:pPr>
                  <w:r>
                    <w:rPr>
                      <w:i/>
                      <w:color w:val="000000"/>
                    </w:rPr>
                    <w:t>G</w:t>
                  </w:r>
                  <w:r>
                    <w:rPr>
                      <w:i/>
                      <w:color w:val="000000"/>
                      <w:vertAlign w:val="subscript"/>
                    </w:rPr>
                    <w:t>mvH,x</w:t>
                  </w:r>
                  <w:r>
                    <w:rPr>
                      <w:i/>
                      <w:color w:val="000000"/>
                    </w:rPr>
                    <w:t xml:space="preserve"> –</w:t>
                  </w:r>
                  <w:r>
                    <w:rPr>
                      <w:color w:val="000000"/>
                    </w:rPr>
                    <w:t xml:space="preserve"> atitinkamos „</w:t>
                  </w:r>
                  <w:r>
                    <w:rPr>
                      <w:i/>
                      <w:color w:val="000000"/>
                    </w:rPr>
                    <w:t>x</w:t>
                  </w:r>
                  <w:r>
                    <w:rPr>
                      <w:color w:val="000000"/>
                    </w:rPr>
                    <w:t xml:space="preserve">“ mechaninio vėdinimo be rekuperacijos sistemos, kurioje yra į patalpas tiekiamo oro pašildymas, elektrinių ventiliatorių sunaudojamas elektros energijos kiekis </w:t>
                  </w:r>
                  <w:smartTag w:uri="urn:schemas-microsoft-com:office:smarttags" w:element="metricconverter">
                    <w:smartTagPr>
                      <w:attr w:name="ProductID" w:val="1 mﾳ"/>
                    </w:smartTagPr>
                    <w:r>
                      <w:rPr>
                        <w:color w:val="000000"/>
                      </w:rPr>
                      <w:t>1 m³</w:t>
                    </w:r>
                  </w:smartTag>
                  <w:r>
                    <w:rPr>
                      <w:color w:val="000000"/>
                    </w:rPr>
                    <w:t xml:space="preserve"> oro debitui (Wh/m³).</w:t>
                  </w:r>
                  <w:r>
                    <w:rPr>
                      <w:bCs/>
                      <w:color w:val="000000"/>
                    </w:rPr>
                    <w:t xml:space="preserve"> </w:t>
                  </w:r>
                  <w:r>
                    <w:rPr>
                      <w:color w:val="000000"/>
                    </w:rPr>
                    <w:t xml:space="preserve">Jei yra rekuperatoriaus elektrinių ventiliatorių sunaudojamą elektros energijos kiekį vienam m³ oro debitui patvirtinantys dokumentai, nurodomas rekuperatoriaus gamintojo pavadinimas, tipas (markė) ir skaičiavimuose naudojamos šiuose dokumentuose nurodyti duomenys. Jei tokių dokumentų nėra, nežinomas rekuperatoriaus gamintojas ar gaminio tipas (markė) arba rekuperatoriaus ventiliatoriai sunaudoja daugiau kaip 2 Wh/m³ elektros energijos, skaičiavimuose turi būti naudojamos 2 Wh/m³ rekuperatoriaus ventiliatorių elektros energijos sąnaudos; </w:t>
                  </w:r>
                </w:p>
                <w:p>
                  <w:pPr>
                    <w:ind w:firstLine="567"/>
                    <w:jc w:val="both"/>
                    <w:rPr>
                      <w:color w:val="000000"/>
                    </w:rPr>
                  </w:pPr>
                  <w:r>
                    <w:rPr>
                      <w:i/>
                      <w:color w:val="000000"/>
                    </w:rPr>
                    <w:t>G</w:t>
                  </w:r>
                  <w:r>
                    <w:rPr>
                      <w:i/>
                      <w:color w:val="000000"/>
                      <w:vertAlign w:val="subscript"/>
                    </w:rPr>
                    <w:t>re,x</w:t>
                  </w:r>
                  <w:r>
                    <w:rPr>
                      <w:i/>
                      <w:color w:val="000000"/>
                    </w:rPr>
                    <w:t xml:space="preserve"> –</w:t>
                  </w:r>
                  <w:r>
                    <w:rPr>
                      <w:color w:val="000000"/>
                    </w:rPr>
                    <w:t xml:space="preserve"> atitinkamos „</w:t>
                  </w:r>
                  <w:r>
                    <w:rPr>
                      <w:i/>
                      <w:color w:val="000000"/>
                    </w:rPr>
                    <w:t>x</w:t>
                  </w:r>
                  <w:r>
                    <w:rPr>
                      <w:color w:val="000000"/>
                    </w:rPr>
                    <w:t xml:space="preserve">“ mechaninio vėdinimo su rekuperacija sistemos, kurioje nėra į patalpas tiekiamo oro pašildymo, elektrinių ventiliatorių sunaudojamas elektros energijos kiekis </w:t>
                  </w:r>
                  <w:smartTag w:uri="urn:schemas-microsoft-com:office:smarttags" w:element="metricconverter">
                    <w:smartTagPr>
                      <w:attr w:name="ProductID" w:val="1 mﾳ"/>
                    </w:smartTagPr>
                    <w:r>
                      <w:rPr>
                        <w:color w:val="000000"/>
                      </w:rPr>
                      <w:t>1 m³</w:t>
                    </w:r>
                  </w:smartTag>
                  <w:r>
                    <w:rPr>
                      <w:color w:val="000000"/>
                    </w:rPr>
                    <w:t xml:space="preserve"> oro debitui (Wh/m³).</w:t>
                  </w:r>
                  <w:r>
                    <w:rPr>
                      <w:bCs/>
                      <w:color w:val="000000"/>
                    </w:rPr>
                    <w:t xml:space="preserve"> </w:t>
                  </w:r>
                  <w:r>
                    <w:rPr>
                      <w:color w:val="000000"/>
                    </w:rPr>
                    <w:t>Jei yra rekuperatoriaus elektrinių ventiliatorių sunaudojamą elektros energijos kiekį vienam m³ oro debitui patvirtinantys dokumentai, nurodomas rekuperatoriaus gamintojo pavadinimas, tipas (markė) ir skaičiavimuose naudojamos šiuose dokumentuose nurodyti duomenys. Jei tokių dokumentų nėra, nežinomas rekuperatoriaus gamintojas ar gaminio tipas (markė) arba rekuperatoriaus ventiliatoriai sunaudoja daugiau kaip 2 Wh/m³ elektros energijos, skaičiavimuose turi būti naudojamos 2 Wh/m³ rekuperatoriaus ventiliatorių elektros energijos sąnaudos;</w:t>
                  </w:r>
                </w:p>
                <w:p>
                  <w:pPr>
                    <w:ind w:firstLine="567"/>
                    <w:jc w:val="both"/>
                    <w:rPr>
                      <w:color w:val="000000"/>
                    </w:rPr>
                  </w:pPr>
                  <w:r>
                    <w:rPr>
                      <w:i/>
                      <w:color w:val="000000"/>
                    </w:rPr>
                    <w:t>G</w:t>
                  </w:r>
                  <w:r>
                    <w:rPr>
                      <w:i/>
                      <w:color w:val="000000"/>
                      <w:vertAlign w:val="subscript"/>
                    </w:rPr>
                    <w:t>reH,x</w:t>
                  </w:r>
                  <w:r>
                    <w:rPr>
                      <w:i/>
                      <w:color w:val="000000"/>
                    </w:rPr>
                    <w:t xml:space="preserve"> –</w:t>
                  </w:r>
                  <w:r>
                    <w:rPr>
                      <w:color w:val="000000"/>
                    </w:rPr>
                    <w:t xml:space="preserve"> atitinkamos „</w:t>
                  </w:r>
                  <w:r>
                    <w:rPr>
                      <w:i/>
                      <w:color w:val="000000"/>
                    </w:rPr>
                    <w:t>x</w:t>
                  </w:r>
                  <w:r>
                    <w:rPr>
                      <w:color w:val="000000"/>
                    </w:rPr>
                    <w:t xml:space="preserve">“ mechaninio vėdinimo be rekuperacijos sistemos, kurioje yra į patalpas tiekiamo oro pašildymas, elektrinių ventiliatorių sunaudojamas elektros energijos kiekis </w:t>
                  </w:r>
                  <w:smartTag w:uri="urn:schemas-microsoft-com:office:smarttags" w:element="metricconverter">
                    <w:smartTagPr>
                      <w:attr w:name="ProductID" w:val="1 mﾳ"/>
                    </w:smartTagPr>
                    <w:r>
                      <w:rPr>
                        <w:color w:val="000000"/>
                      </w:rPr>
                      <w:t>1 m³</w:t>
                    </w:r>
                  </w:smartTag>
                  <w:r>
                    <w:rPr>
                      <w:color w:val="000000"/>
                    </w:rPr>
                    <w:t xml:space="preserve"> oro debitui (Wh/m³).</w:t>
                  </w:r>
                  <w:r>
                    <w:rPr>
                      <w:bCs/>
                      <w:color w:val="000000"/>
                    </w:rPr>
                    <w:t xml:space="preserve"> </w:t>
                  </w:r>
                  <w:r>
                    <w:rPr>
                      <w:color w:val="000000"/>
                    </w:rPr>
                    <w:t>Jei yra elektrinių ventiliatorių sunaudojamą elektros energijos kiekį vienam m³ oro debitui patvirtinantys dokumentai, nurodomas ventiliatorių gamintojo pavadinimas, tipas (markė) ir skaičiavimuose naudojami šiuose dokumentuose nurodyti duomenys. Jei tokių dokumentų nėra, nežinomas ventiliatorių gamintojas ar gaminio tipas (markė) arba ventiliatoriai sunaudoja daugiau kaip 2 Wh/m³ elektros energijos, skaičiavimuose turi būti naudojamos 2 Wh/m³ ventiliatorių elektros energijos sąnaudos.</w:t>
                  </w:r>
                </w:p>
                <w:p>
                  <w:pPr>
                    <w:ind w:firstLine="540"/>
                    <w:rPr>
                      <w:color w:val="000000"/>
                    </w:rPr>
                  </w:pPr>
                </w:p>
              </w:sdtContent>
            </w:sdt>
          </w:sdtContent>
        </w:sdt>
        <w:sdt>
          <w:sdtPr>
            <w:alias w:val="skyrius"/>
            <w:tag w:val="part_bbc06d4cd4474d7f8f83de168e1b8d11"/>
            <w:lock w:val="sdtLocked"/>
            <w:richText/>
          </w:sdtPr>
          <w:sdtContent>
            <w:p>
              <w:pPr>
                <w:keepNext/>
                <w:keepLines/>
                <w:jc w:val="center"/>
                <w:outlineLvl w:val="2"/>
                <w:rPr>
                  <w:b/>
                  <w:bCs/>
                </w:rPr>
              </w:pPr>
              <w:sdt>
                <w:sdtPr>
                  <w:alias w:val="Numeris"/>
                  <w:tag w:val="nr_bbc06d4cd4474d7f8f83de168e1b8d11"/>
                  <w:lock w:val="sdtLocked"/>
                  <w:richText/>
                </w:sdtPr>
                <w:sdtContent>
                  <w:r>
                    <w:rPr>
                      <w:b/>
                      <w:bCs/>
                    </w:rPr>
                    <w:t>XV</w:t>
                  </w:r>
                </w:sdtContent>
              </w:sdt>
              <w:r>
                <w:rPr>
                  <w:b/>
                  <w:bCs/>
                </w:rPr>
                <w:t xml:space="preserve"> skyrius</w:t>
              </w:r>
            </w:p>
            <w:p>
              <w:pPr>
                <w:keepNext/>
                <w:keepLines/>
                <w:jc w:val="center"/>
                <w:outlineLvl w:val="2"/>
                <w:rPr>
                  <w:b/>
                  <w:bCs/>
                </w:rPr>
              </w:pPr>
              <w:sdt>
                <w:sdtPr>
                  <w:alias w:val="Pavadinimas"/>
                  <w:tag w:val="title_bbc06d4cd4474d7f8f83de168e1b8d11"/>
                  <w:lock w:val="sdtLocked"/>
                  <w:richText/>
                </w:sdtPr>
                <w:sdtContent>
                  <w:r>
                    <w:rPr>
                      <w:b/>
                      <w:bCs/>
                    </w:rPr>
                    <w:t xml:space="preserve">Mėnesinių energijos sąnaudų karštam vandeniui ruošti skaičiavimas </w:t>
                  </w:r>
                </w:sdtContent>
              </w:sdt>
            </w:p>
            <w:p>
              <w:pPr>
                <w:ind w:firstLine="570"/>
                <w:jc w:val="center"/>
              </w:pPr>
            </w:p>
            <w:sdt>
              <w:sdtPr>
                <w:alias w:val="2 pr. 39 p."/>
                <w:tag w:val="part_9fd64f0ec9d84c6a85ce658ad92a7b0c"/>
                <w:lock w:val="sdtLocked"/>
                <w:richText/>
              </w:sdtPr>
              <w:sdtContent>
                <w:p>
                  <w:pPr>
                    <w:ind w:firstLine="570"/>
                    <w:jc w:val="both"/>
                    <w:rPr>
                      <w:color w:val="000000"/>
                    </w:rPr>
                  </w:pPr>
                  <w:sdt>
                    <w:sdtPr>
                      <w:alias w:val="Numeris"/>
                      <w:tag w:val="nr_9fd64f0ec9d84c6a85ce658ad92a7b0c"/>
                      <w:lock w:val="sdtLocked"/>
                      <w:richText/>
                    </w:sdtPr>
                    <w:sdtContent>
                      <w:r>
                        <w:rPr>
                          <w:color w:val="000000"/>
                        </w:rPr>
                        <w:t>39</w:t>
                      </w:r>
                    </w:sdtContent>
                  </w:sdt>
                  <w:r>
                    <w:rPr>
                      <w:color w:val="000000"/>
                    </w:rPr>
                    <w:t>. Karšto vandens ruošimo sistemų neatsinaujinančios pirminės energijos sąnaudos turi būti apskaičiuotos taip:</w:t>
                  </w:r>
                </w:p>
                <w:sdt>
                  <w:sdtPr>
                    <w:alias w:val="2 pr. 39.1 pp."/>
                    <w:tag w:val="part_3b9dc86e0b594993ac31371bffe66ae8"/>
                    <w:lock w:val="sdtLocked"/>
                    <w:richText/>
                  </w:sdtPr>
                  <w:sdtContent>
                    <w:p>
                      <w:pPr>
                        <w:ind w:firstLine="570"/>
                        <w:jc w:val="both"/>
                        <w:rPr>
                          <w:color w:val="000000"/>
                        </w:rPr>
                      </w:pPr>
                      <w:sdt>
                        <w:sdtPr>
                          <w:alias w:val="Numeris"/>
                          <w:tag w:val="nr_3b9dc86e0b594993ac31371bffe66ae8"/>
                          <w:lock w:val="sdtLocked"/>
                          <w:richText/>
                        </w:sdtPr>
                        <w:sdtContent>
                          <w:r>
                            <w:rPr>
                              <w:color w:val="000000"/>
                            </w:rPr>
                            <w:t>39.1</w:t>
                          </w:r>
                        </w:sdtContent>
                      </w:sdt>
                      <w:r>
                        <w:rPr>
                          <w:color w:val="000000"/>
                        </w:rPr>
                        <w:t>. norminės ir atskaitinės pirminės energijos sąnaudos turi būti apskaičiuotos laikant, kad pastate yra karšto buitinio vandens cirkuliacinis kontūras (t. y. visi 41 punkte išvardinti karšto vandens ruošimo sistemos vamzdynai) ir nėra karšto buitinio vandens talpų;</w:t>
                      </w:r>
                    </w:p>
                  </w:sdtContent>
                </w:sdt>
                <w:sdt>
                  <w:sdtPr>
                    <w:alias w:val="2 pr. 39.2 pp."/>
                    <w:tag w:val="part_afaae4c4f788485bb58886b2a1083fee"/>
                    <w:lock w:val="sdtLocked"/>
                    <w:richText/>
                  </w:sdtPr>
                  <w:sdtContent>
                    <w:p>
                      <w:pPr>
                        <w:ind w:firstLine="570"/>
                        <w:jc w:val="both"/>
                        <w:rPr>
                          <w:color w:val="000000"/>
                        </w:rPr>
                      </w:pPr>
                      <w:sdt>
                        <w:sdtPr>
                          <w:alias w:val="Numeris"/>
                          <w:tag w:val="nr_afaae4c4f788485bb58886b2a1083fee"/>
                          <w:lock w:val="sdtLocked"/>
                          <w:richText/>
                        </w:sdtPr>
                        <w:sdtContent>
                          <w:r>
                            <w:rPr>
                              <w:color w:val="000000"/>
                            </w:rPr>
                            <w:t>39.2</w:t>
                          </w:r>
                        </w:sdtContent>
                      </w:sdt>
                      <w:r>
                        <w:rPr>
                          <w:color w:val="000000"/>
                        </w:rPr>
                        <w:t xml:space="preserve">. kiekvieno mėnesio </w:t>
                      </w:r>
                      <w:r>
                        <w:rPr>
                          <w:i/>
                          <w:color w:val="000000"/>
                        </w:rPr>
                        <w:t>„m“</w:t>
                      </w:r>
                      <w:r>
                        <w:rPr>
                          <w:b/>
                          <w:color w:val="000000"/>
                        </w:rPr>
                        <w:t xml:space="preserve"> </w:t>
                      </w:r>
                      <w:r>
                        <w:rPr>
                          <w:color w:val="000000"/>
                        </w:rPr>
                        <w:t xml:space="preserve">norminės </w:t>
                      </w:r>
                      <w:r>
                        <w:rPr>
                          <w:i/>
                          <w:color w:val="000000"/>
                        </w:rPr>
                        <w:t>Q</w:t>
                      </w:r>
                      <w:r>
                        <w:rPr>
                          <w:i/>
                          <w:color w:val="000000"/>
                          <w:vertAlign w:val="subscript"/>
                        </w:rPr>
                        <w:t>N.PRn.hw,m</w:t>
                      </w:r>
                      <w:r>
                        <w:rPr>
                          <w:color w:val="000000"/>
                        </w:rPr>
                        <w:t xml:space="preserve"> (kWh/(m</w:t>
                      </w:r>
                      <w:r>
                        <w:rPr>
                          <w:color w:val="000000"/>
                          <w:vertAlign w:val="superscript"/>
                        </w:rPr>
                        <w:t>2</w:t>
                      </w:r>
                      <w:r>
                        <w:rPr>
                          <w:color w:val="000000"/>
                        </w:rPr>
                        <w:t>·mėn.)) ir atskaitinės</w:t>
                      </w:r>
                      <w:r>
                        <w:rPr>
                          <w:b/>
                          <w:color w:val="000000"/>
                        </w:rPr>
                        <w:t xml:space="preserve"> </w:t>
                      </w:r>
                      <w:r>
                        <w:rPr>
                          <w:i/>
                          <w:color w:val="000000"/>
                        </w:rPr>
                        <w:t>Q</w:t>
                      </w:r>
                      <w:r>
                        <w:rPr>
                          <w:i/>
                          <w:color w:val="000000"/>
                          <w:vertAlign w:val="subscript"/>
                        </w:rPr>
                        <w:t>R.PRn.hw,m</w:t>
                      </w:r>
                      <w:r>
                        <w:rPr>
                          <w:color w:val="000000"/>
                        </w:rPr>
                        <w:t xml:space="preserve"> (kWh/(m</w:t>
                      </w:r>
                      <w:r>
                        <w:rPr>
                          <w:color w:val="000000"/>
                          <w:vertAlign w:val="superscript"/>
                        </w:rPr>
                        <w:t>2</w:t>
                      </w:r>
                      <w:r>
                        <w:rPr>
                          <w:color w:val="000000"/>
                        </w:rPr>
                        <w:t>·mėn.)) neatsinaujinančios pirminės</w:t>
                      </w:r>
                      <w:r>
                        <w:rPr>
                          <w:b/>
                          <w:color w:val="000000"/>
                        </w:rPr>
                        <w:t xml:space="preserve"> </w:t>
                      </w:r>
                      <w:r>
                        <w:rPr>
                          <w:color w:val="000000"/>
                        </w:rPr>
                        <w:t xml:space="preserve">energijos sąnaudos karštam vandeniui ruošti apskaičiuojamos taip [3.22], [3.23]: </w:t>
                      </w:r>
                    </w:p>
                    <w:tbl>
                      <w:tblPr>
                        <w:tblW w:w="5000" w:type="pct"/>
                        <w:tblLook w:val="01E0" w:firstRow="1" w:lastRow="1" w:firstColumn="1" w:lastColumn="1" w:noHBand="0" w:noVBand="0"/>
                      </w:tblPr>
                      <w:tblGrid>
                        <w:gridCol w:w="8677"/>
                        <w:gridCol w:w="1319"/>
                      </w:tblGrid>
                      <w:tr>
                        <w:tc>
                          <w:tcPr>
                            <w:tcW w:w="4340" w:type="pct"/>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30"/>
                                <w:szCs w:val="22"/>
                              </w:rPr>
                              <w:object w:dxaOrig="6610" w:dyaOrig="710">
                                <v:shape id="_x0000_i1168" type="#_x0000_t75" style="width:331.7pt;height:35.6pt" o:ole="">
                                  <v:imagedata r:id="rId568" o:title=""/>
                                </v:shape>
                                <o:OLEObject Type="Embed" ProgID="Equation.3" ShapeID="_x0000_i1168" DrawAspect="Content" ObjectID="_0000000001" r:id="rId569"/>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(2.132)</w:t>
                            </w:r>
                          </w:p>
                        </w:tc>
                      </w:tr>
                    </w:tbl>
                    <w:p>
                      <w:pPr>
                        <w:ind w:firstLine="570"/>
                        <w:rPr>
                          <w:rFonts w:eastAsia="Calibri"/>
                          <w:color w:val="000000"/>
                          <w:szCs w:val="22"/>
                        </w:rPr>
                      </w:pPr>
                    </w:p>
                    <w:tbl>
                      <w:tblPr>
                        <w:tblW w:w="5000" w:type="pct"/>
                        <w:tblLook w:val="01E0" w:firstRow="1" w:lastRow="1" w:firstColumn="1" w:lastColumn="1" w:noHBand="0" w:noVBand="0"/>
                      </w:tblPr>
                      <w:tblGrid>
                        <w:gridCol w:w="8677"/>
                        <w:gridCol w:w="1319"/>
                      </w:tblGrid>
                      <w:tr>
                        <w:tc>
                          <w:tcPr>
                            <w:tcW w:w="4340" w:type="pct"/>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30"/>
                                <w:szCs w:val="22"/>
                              </w:rPr>
                              <w:object w:dxaOrig="6460" w:dyaOrig="710">
                                <v:shape id="_x0000_i1169" type="#_x0000_t75" style="width:323.6pt;height:35.6pt" o:ole="">
                                  <v:imagedata r:id="rId570" o:title=""/>
                                </v:shape>
                                <o:OLEObject Type="Embed" ProgID="Equation.3" ShapeID="_x0000_i1169" DrawAspect="Content" ObjectID="_0000000001" r:id="rId571"/>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(2.133)</w:t>
                            </w:r>
                          </w:p>
                        </w:tc>
                      </w:tr>
                    </w:tbl>
                    <w:p>
                      <w:pPr>
                        <w:tabs>
                          <w:tab w:val="left" w:pos="567"/>
                        </w:tabs>
                        <w:jc w:val="both"/>
                        <w:rPr>
                          <w:color w:val="000000"/>
                        </w:rPr>
                      </w:pPr>
                    </w:p>
                    <w:p>
                      <w:pPr>
                        <w:tabs>
                          <w:tab w:val="left" w:pos="567"/>
                        </w:tabs>
                        <w:jc w:val="both"/>
                        <w:rPr>
                          <w:color w:val="000000"/>
                        </w:rPr>
                      </w:pPr>
                    </w:p>
                    <w:p>
                      <w:pPr>
                        <w:tabs>
                          <w:tab w:val="left" w:pos="567"/>
                        </w:tabs>
                        <w:jc w:val="both"/>
                        <w:rPr>
                          <w:rFonts w:eastAsia="Calibri"/>
                          <w:bCs/>
                          <w:color w:val="000000"/>
                          <w:szCs w:val="22"/>
                        </w:rPr>
                      </w:pPr>
                      <w:r>
                        <w:rPr>
                          <w:color w:val="000000"/>
                        </w:rPr>
                        <w:t>čia:</w:t>
                        <w:tab/>
                      </w:r>
                      <w:r>
                        <w:rPr>
                          <w:i/>
                          <w:color w:val="000000"/>
                        </w:rPr>
                        <w:t>Q</w:t>
                      </w:r>
                      <w:r>
                        <w:rPr>
                          <w:i/>
                          <w:color w:val="000000"/>
                          <w:vertAlign w:val="subscript"/>
                        </w:rPr>
                        <w:t>N.hw.Lv,m</w:t>
                      </w:r>
                      <w:r>
                        <w:rPr>
                          <w:bCs/>
                          <w:color w:val="000000"/>
                        </w:rPr>
                        <w:t xml:space="preserve"> – apskaičiuojamas pagal (2.145) formulę, vietoje </w:t>
                      </w:r>
                      <w:r>
                        <w:rPr>
                          <w:i/>
                          <w:color w:val="000000"/>
                        </w:rPr>
                        <w:t>U</w:t>
                      </w:r>
                      <w:r>
                        <w:rPr>
                          <w:i/>
                          <w:color w:val="000000"/>
                          <w:vertAlign w:val="superscript"/>
                        </w:rPr>
                        <w:t>‘</w:t>
                      </w:r>
                      <w:r>
                        <w:rPr>
                          <w:i/>
                          <w:color w:val="000000"/>
                          <w:vertAlign w:val="subscript"/>
                        </w:rPr>
                        <w:t>hw.avg.Lv</w:t>
                      </w:r>
                      <w:r>
                        <w:rPr>
                          <w:bCs/>
                          <w:color w:val="000000"/>
                        </w:rPr>
                        <w:t xml:space="preserve"> skaičiavimuose naudojant </w:t>
                      </w:r>
                      <w:r>
                        <w:rPr>
                          <w:i/>
                          <w:color w:val="000000"/>
                        </w:rPr>
                        <w:t>U</w:t>
                      </w:r>
                      <w:r>
                        <w:rPr>
                          <w:i/>
                          <w:color w:val="000000"/>
                          <w:vertAlign w:val="superscript"/>
                        </w:rPr>
                        <w:t>‘</w:t>
                      </w:r>
                      <w:r>
                        <w:rPr>
                          <w:i/>
                          <w:color w:val="000000"/>
                          <w:vertAlign w:val="subscript"/>
                        </w:rPr>
                        <w:t xml:space="preserve">N.hw.Lv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V</w:t>
                      </w:r>
                      <w:r>
                        <w:rPr>
                          <w:bCs/>
                          <w:color w:val="000000"/>
                          <w:vertAlign w:val="subscript"/>
                        </w:rPr>
                        <w:t xml:space="preserve">  </w:t>
                      </w:r>
                      <w:r>
                        <w:rPr>
                          <w:bCs/>
                          <w:color w:val="000000"/>
                        </w:rPr>
                        <w:t xml:space="preserve">skaičiavimams naudojant (2.146) formulę; </w:t>
                      </w:r>
                    </w:p>
                    <w:p>
                      <w:pPr>
                        <w:ind w:firstLine="567"/>
                        <w:jc w:val="both"/>
                        <w:rPr>
                          <w:bCs/>
                          <w:color w:val="000000"/>
                        </w:rPr>
                      </w:pPr>
                      <w:r>
                        <w:rPr>
                          <w:i/>
                          <w:color w:val="000000"/>
                        </w:rPr>
                        <w:t>Q</w:t>
                      </w:r>
                      <w:r>
                        <w:rPr>
                          <w:i/>
                          <w:color w:val="000000"/>
                          <w:vertAlign w:val="subscript"/>
                        </w:rPr>
                        <w:t>N.hw.Ls,m</w:t>
                      </w:r>
                      <w:r>
                        <w:rPr>
                          <w:bCs/>
                          <w:color w:val="000000"/>
                        </w:rPr>
                        <w:t xml:space="preserve"> – apskaičiuojamas pagal (2.147) formulę, vietoje </w:t>
                      </w:r>
                      <w:r>
                        <w:rPr>
                          <w:i/>
                          <w:color w:val="000000"/>
                        </w:rPr>
                        <w:t>U</w:t>
                      </w:r>
                      <w:r>
                        <w:rPr>
                          <w:i/>
                          <w:color w:val="000000"/>
                          <w:vertAlign w:val="superscript"/>
                        </w:rPr>
                        <w:t>‘</w:t>
                      </w:r>
                      <w:r>
                        <w:rPr>
                          <w:i/>
                          <w:color w:val="000000"/>
                          <w:vertAlign w:val="subscript"/>
                        </w:rPr>
                        <w:t>hw.avg.Ls</w:t>
                      </w:r>
                      <w:r>
                        <w:rPr>
                          <w:bCs/>
                          <w:color w:val="000000"/>
                        </w:rPr>
                        <w:t xml:space="preserve"> skaičiavimuose naudojant </w:t>
                      </w:r>
                      <w:r>
                        <w:rPr>
                          <w:i/>
                          <w:color w:val="000000"/>
                        </w:rPr>
                        <w:t>U</w:t>
                      </w:r>
                      <w:r>
                        <w:rPr>
                          <w:i/>
                          <w:color w:val="000000"/>
                          <w:vertAlign w:val="superscript"/>
                        </w:rPr>
                        <w:t>‘</w:t>
                      </w:r>
                      <w:r>
                        <w:rPr>
                          <w:i/>
                          <w:color w:val="000000"/>
                          <w:vertAlign w:val="subscript"/>
                        </w:rPr>
                        <w:t xml:space="preserve">N.hw.Ls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s</w:t>
                      </w:r>
                      <w:r>
                        <w:rPr>
                          <w:bCs/>
                          <w:color w:val="000000"/>
                          <w:vertAlign w:val="subscript"/>
                        </w:rPr>
                        <w:t xml:space="preserve"> </w:t>
                      </w:r>
                      <w:r>
                        <w:rPr>
                          <w:bCs/>
                          <w:color w:val="000000"/>
                        </w:rPr>
                        <w:t>skaičiavimams naudojant (2.148) formulę;</w:t>
                      </w:r>
                    </w:p>
                    <w:p>
                      <w:pPr>
                        <w:ind w:firstLine="567"/>
                        <w:jc w:val="both"/>
                        <w:rPr>
                          <w:bCs/>
                          <w:color w:val="000000"/>
                        </w:rPr>
                      </w:pPr>
                      <w:r>
                        <w:rPr>
                          <w:i/>
                          <w:color w:val="000000"/>
                        </w:rPr>
                        <w:t>Q</w:t>
                      </w:r>
                      <w:r>
                        <w:rPr>
                          <w:i/>
                          <w:color w:val="000000"/>
                          <w:vertAlign w:val="subscript"/>
                        </w:rPr>
                        <w:t>N.hw.L</w:t>
                      </w:r>
                      <w:r>
                        <w:rPr>
                          <w:i/>
                          <w:color w:val="000000"/>
                          <w:position w:val="-6"/>
                          <w:sz w:val="20"/>
                          <w:vertAlign w:val="subscript"/>
                        </w:rPr>
                        <w:t>SL</w:t>
                      </w:r>
                      <w:r>
                        <w:rPr>
                          <w:bCs/>
                          <w:color w:val="000000"/>
                        </w:rPr>
                        <w:t xml:space="preserve"> – apskaičiuojamas pagal (2.149) formulę, vietoje </w:t>
                      </w:r>
                      <w:r>
                        <w:rPr>
                          <w:i/>
                          <w:color w:val="000000"/>
                        </w:rPr>
                        <w:t>U‘</w:t>
                      </w:r>
                      <w:r>
                        <w:rPr>
                          <w:i/>
                          <w:color w:val="000000"/>
                          <w:vertAlign w:val="subscript"/>
                        </w:rPr>
                        <w:t>hw.avg.L</w:t>
                      </w:r>
                      <w:r>
                        <w:rPr>
                          <w:i/>
                          <w:color w:val="000000"/>
                          <w:position w:val="-6"/>
                          <w:sz w:val="20"/>
                          <w:vertAlign w:val="subscript"/>
                        </w:rPr>
                        <w:t>SL</w:t>
                      </w:r>
                      <w:r>
                        <w:rPr>
                          <w:bCs/>
                          <w:color w:val="000000"/>
                        </w:rPr>
                        <w:t xml:space="preserve"> skaičiavimuose naudojant </w:t>
                      </w:r>
                      <w:r>
                        <w:rPr>
                          <w:i/>
                          <w:color w:val="000000"/>
                        </w:rPr>
                        <w:t>U‘</w:t>
                      </w:r>
                      <w:r>
                        <w:rPr>
                          <w:i/>
                          <w:color w:val="000000"/>
                          <w:vertAlign w:val="subscript"/>
                        </w:rPr>
                        <w:t>N.hw.L</w:t>
                      </w:r>
                      <w:r>
                        <w:rPr>
                          <w:i/>
                          <w:color w:val="000000"/>
                          <w:position w:val="-6"/>
                          <w:sz w:val="20"/>
                          <w:vertAlign w:val="subscript"/>
                        </w:rPr>
                        <w:t>SL</w:t>
                      </w:r>
                      <w:r>
                        <w:rPr>
                          <w:i/>
                          <w:color w:val="000000"/>
                          <w:vertAlign w:val="subscript"/>
                        </w:rPr>
                        <w:t xml:space="preserve">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SL</w:t>
                      </w:r>
                      <w:r>
                        <w:rPr>
                          <w:bCs/>
                          <w:color w:val="000000"/>
                          <w:vertAlign w:val="subscript"/>
                        </w:rPr>
                        <w:t xml:space="preserve">  </w:t>
                      </w:r>
                      <w:r>
                        <w:rPr>
                          <w:bCs/>
                          <w:color w:val="000000"/>
                        </w:rPr>
                        <w:t>skaičiavimams naudojant (2.150) formulę;</w:t>
                      </w:r>
                    </w:p>
                    <w:p>
                      <w:pPr>
                        <w:ind w:firstLine="567"/>
                        <w:jc w:val="both"/>
                        <w:rPr>
                          <w:bCs/>
                          <w:color w:val="000000"/>
                        </w:rPr>
                      </w:pPr>
                      <w:r>
                        <w:rPr>
                          <w:i/>
                          <w:color w:val="000000"/>
                        </w:rPr>
                        <w:t>Q</w:t>
                      </w:r>
                      <w:r>
                        <w:rPr>
                          <w:i/>
                          <w:color w:val="000000"/>
                          <w:vertAlign w:val="subscript"/>
                        </w:rPr>
                        <w:t>R.hw.Lv,m</w:t>
                      </w:r>
                      <w:r>
                        <w:rPr>
                          <w:bCs/>
                          <w:color w:val="000000"/>
                        </w:rPr>
                        <w:t xml:space="preserve"> – apskaičiuojamas pagal (2.145) formulę, vietoje </w:t>
                      </w:r>
                      <w:r>
                        <w:rPr>
                          <w:i/>
                          <w:color w:val="000000"/>
                        </w:rPr>
                        <w:t>U</w:t>
                      </w:r>
                      <w:r>
                        <w:rPr>
                          <w:i/>
                          <w:color w:val="000000"/>
                          <w:vertAlign w:val="superscript"/>
                        </w:rPr>
                        <w:t>‘</w:t>
                      </w:r>
                      <w:r>
                        <w:rPr>
                          <w:i/>
                          <w:color w:val="000000"/>
                          <w:vertAlign w:val="subscript"/>
                        </w:rPr>
                        <w:t>hw.avg.Lv</w:t>
                      </w:r>
                      <w:r>
                        <w:rPr>
                          <w:bCs/>
                          <w:color w:val="000000"/>
                        </w:rPr>
                        <w:t xml:space="preserve">  skaičiavimuose naudojant </w:t>
                      </w:r>
                      <w:r>
                        <w:rPr>
                          <w:i/>
                          <w:color w:val="000000"/>
                        </w:rPr>
                        <w:t>U</w:t>
                      </w:r>
                      <w:r>
                        <w:rPr>
                          <w:i/>
                          <w:color w:val="000000"/>
                          <w:vertAlign w:val="superscript"/>
                        </w:rPr>
                        <w:t>‘</w:t>
                      </w:r>
                      <w:r>
                        <w:rPr>
                          <w:i/>
                          <w:color w:val="000000"/>
                          <w:vertAlign w:val="subscript"/>
                        </w:rPr>
                        <w:t xml:space="preserve">R.hw.Lv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V</w:t>
                      </w:r>
                      <w:r>
                        <w:rPr>
                          <w:bCs/>
                          <w:color w:val="000000"/>
                          <w:vertAlign w:val="subscript"/>
                        </w:rPr>
                        <w:t xml:space="preserve">  </w:t>
                      </w:r>
                      <w:r>
                        <w:rPr>
                          <w:bCs/>
                          <w:color w:val="000000"/>
                        </w:rPr>
                        <w:t>skaičiavimams naudojant (2.146) formulę;</w:t>
                      </w:r>
                    </w:p>
                    <w:p>
                      <w:pPr>
                        <w:ind w:firstLine="567"/>
                        <w:jc w:val="both"/>
                        <w:rPr>
                          <w:bCs/>
                          <w:color w:val="000000"/>
                        </w:rPr>
                      </w:pPr>
                      <w:r>
                        <w:rPr>
                          <w:i/>
                          <w:color w:val="000000"/>
                        </w:rPr>
                        <w:t>Q</w:t>
                      </w:r>
                      <w:r>
                        <w:rPr>
                          <w:i/>
                          <w:color w:val="000000"/>
                          <w:vertAlign w:val="subscript"/>
                        </w:rPr>
                        <w:t>R.hw.Ls,m</w:t>
                      </w:r>
                      <w:r>
                        <w:rPr>
                          <w:bCs/>
                          <w:color w:val="000000"/>
                        </w:rPr>
                        <w:t xml:space="preserve"> – apskaičiuojamas pagal (2.147) formulę, vietoje </w:t>
                      </w:r>
                      <w:r>
                        <w:rPr>
                          <w:i/>
                          <w:color w:val="000000"/>
                        </w:rPr>
                        <w:t>U</w:t>
                      </w:r>
                      <w:r>
                        <w:rPr>
                          <w:i/>
                          <w:color w:val="000000"/>
                          <w:vertAlign w:val="superscript"/>
                        </w:rPr>
                        <w:t>‘</w:t>
                      </w:r>
                      <w:r>
                        <w:rPr>
                          <w:i/>
                          <w:color w:val="000000"/>
                          <w:vertAlign w:val="subscript"/>
                        </w:rPr>
                        <w:t>hw.avg.Ls</w:t>
                      </w:r>
                      <w:r>
                        <w:rPr>
                          <w:bCs/>
                          <w:color w:val="000000"/>
                        </w:rPr>
                        <w:t xml:space="preserve">  skaičiavimuose naudojant </w:t>
                      </w:r>
                      <w:r>
                        <w:rPr>
                          <w:i/>
                          <w:color w:val="000000"/>
                        </w:rPr>
                        <w:t>U</w:t>
                      </w:r>
                      <w:r>
                        <w:rPr>
                          <w:i/>
                          <w:color w:val="000000"/>
                          <w:vertAlign w:val="superscript"/>
                        </w:rPr>
                        <w:t>‘</w:t>
                      </w:r>
                      <w:r>
                        <w:rPr>
                          <w:i/>
                          <w:color w:val="000000"/>
                          <w:vertAlign w:val="subscript"/>
                        </w:rPr>
                        <w:t xml:space="preserve">R.hw.Ls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s</w:t>
                      </w:r>
                      <w:r>
                        <w:rPr>
                          <w:bCs/>
                          <w:color w:val="000000"/>
                          <w:vertAlign w:val="subscript"/>
                        </w:rPr>
                        <w:t xml:space="preserve">  </w:t>
                      </w:r>
                      <w:r>
                        <w:rPr>
                          <w:bCs/>
                          <w:color w:val="000000"/>
                        </w:rPr>
                        <w:t>skaičiavimams naudojant (2.148) formulę;</w:t>
                      </w:r>
                    </w:p>
                    <w:p>
                      <w:pPr>
                        <w:ind w:firstLine="567"/>
                        <w:jc w:val="both"/>
                        <w:rPr>
                          <w:bCs/>
                          <w:color w:val="000000"/>
                        </w:rPr>
                      </w:pPr>
                      <w:r>
                        <w:rPr>
                          <w:i/>
                          <w:color w:val="000000"/>
                        </w:rPr>
                        <w:t>Q</w:t>
                      </w:r>
                      <w:r>
                        <w:rPr>
                          <w:i/>
                          <w:color w:val="000000"/>
                          <w:vertAlign w:val="subscript"/>
                        </w:rPr>
                        <w:t>R.hw.L</w:t>
                      </w:r>
                      <w:r>
                        <w:rPr>
                          <w:i/>
                          <w:color w:val="000000"/>
                          <w:position w:val="-6"/>
                          <w:sz w:val="20"/>
                          <w:vertAlign w:val="subscript"/>
                        </w:rPr>
                        <w:t>SL</w:t>
                      </w:r>
                      <w:r>
                        <w:rPr>
                          <w:bCs/>
                          <w:color w:val="000000"/>
                        </w:rPr>
                        <w:t xml:space="preserve"> – apskaičiuojamas pagal (2.149) formulę, vietoje </w:t>
                      </w:r>
                      <w:r>
                        <w:rPr>
                          <w:i/>
                          <w:color w:val="000000"/>
                        </w:rPr>
                        <w:t>U‘</w:t>
                      </w:r>
                      <w:r>
                        <w:rPr>
                          <w:i/>
                          <w:color w:val="000000"/>
                          <w:vertAlign w:val="subscript"/>
                        </w:rPr>
                        <w:t>hw.avg.L</w:t>
                      </w:r>
                      <w:r>
                        <w:rPr>
                          <w:i/>
                          <w:color w:val="000000"/>
                          <w:position w:val="-6"/>
                          <w:sz w:val="20"/>
                          <w:vertAlign w:val="subscript"/>
                        </w:rPr>
                        <w:t>SL</w:t>
                      </w:r>
                      <w:r>
                        <w:rPr>
                          <w:bCs/>
                          <w:color w:val="000000"/>
                        </w:rPr>
                        <w:t xml:space="preserve"> skaičiavimuose naudojant </w:t>
                      </w:r>
                      <w:r>
                        <w:rPr>
                          <w:i/>
                          <w:color w:val="000000"/>
                        </w:rPr>
                        <w:t>U‘</w:t>
                      </w:r>
                      <w:r>
                        <w:rPr>
                          <w:i/>
                          <w:color w:val="000000"/>
                          <w:vertAlign w:val="subscript"/>
                        </w:rPr>
                        <w:t>R.hw.L</w:t>
                      </w:r>
                      <w:r>
                        <w:rPr>
                          <w:i/>
                          <w:color w:val="000000"/>
                          <w:position w:val="-6"/>
                          <w:sz w:val="20"/>
                          <w:vertAlign w:val="subscript"/>
                        </w:rPr>
                        <w:t>SL</w:t>
                      </w:r>
                      <w:r>
                        <w:rPr>
                          <w:i/>
                          <w:color w:val="000000"/>
                          <w:vertAlign w:val="subscript"/>
                        </w:rPr>
                        <w:t xml:space="preserve"> </w:t>
                      </w:r>
                      <w:r>
                        <w:rPr>
                          <w:color w:val="000000"/>
                        </w:rPr>
                        <w:t xml:space="preserve">vertes iš </w:t>
                      </w:r>
                      <w:r>
                        <w:rPr>
                          <w:bCs/>
                          <w:color w:val="000000"/>
                        </w:rPr>
                        <w:t xml:space="preserve">2.20 lentelės ir vamzdynų ilgio </w:t>
                      </w:r>
                      <w:r>
                        <w:rPr>
                          <w:bCs/>
                          <w:i/>
                          <w:color w:val="000000"/>
                        </w:rPr>
                        <w:t>L</w:t>
                      </w:r>
                      <w:r>
                        <w:rPr>
                          <w:bCs/>
                          <w:i/>
                          <w:color w:val="000000"/>
                          <w:vertAlign w:val="subscript"/>
                        </w:rPr>
                        <w:t>SL</w:t>
                      </w:r>
                      <w:r>
                        <w:rPr>
                          <w:bCs/>
                          <w:color w:val="000000"/>
                          <w:vertAlign w:val="subscript"/>
                        </w:rPr>
                        <w:t xml:space="preserve">  </w:t>
                      </w:r>
                      <w:r>
                        <w:rPr>
                          <w:bCs/>
                          <w:color w:val="000000"/>
                        </w:rPr>
                        <w:t>skaičiavimams naudojant (2.150) formulę;</w:t>
                      </w:r>
                    </w:p>
                    <w:p>
                      <w:pPr>
                        <w:ind w:firstLine="567"/>
                        <w:jc w:val="both"/>
                        <w:rPr>
                          <w:bCs/>
                          <w:color w:val="000000"/>
                        </w:rPr>
                      </w:pPr>
                      <w:r>
                        <w:rPr>
                          <w:i/>
                          <w:color w:val="000000"/>
                        </w:rPr>
                        <w:t>η</w:t>
                      </w:r>
                      <w:r>
                        <w:rPr>
                          <w:i/>
                          <w:color w:val="000000"/>
                          <w:vertAlign w:val="subscript"/>
                        </w:rPr>
                        <w:t>N.hw.eq</w:t>
                      </w:r>
                      <w:r>
                        <w:rPr>
                          <w:i/>
                          <w:color w:val="000000"/>
                        </w:rPr>
                        <w:t>, η</w:t>
                      </w:r>
                      <w:r>
                        <w:rPr>
                          <w:i/>
                          <w:color w:val="000000"/>
                          <w:vertAlign w:val="subscript"/>
                        </w:rPr>
                        <w:t>R.hw.eq</w:t>
                      </w:r>
                      <w:r>
                        <w:rPr>
                          <w:i/>
                          <w:color w:val="000000"/>
                        </w:rPr>
                        <w:t xml:space="preserve"> </w:t>
                      </w:r>
                      <w:r>
                        <w:rPr>
                          <w:color w:val="000000"/>
                        </w:rPr>
                        <w:t xml:space="preserve">– imama iš </w:t>
                      </w:r>
                      <w:r>
                        <w:rPr>
                          <w:bCs/>
                          <w:color w:val="000000"/>
                        </w:rPr>
                        <w:t>2.20 lentelės;</w:t>
                      </w:r>
                    </w:p>
                    <w:p>
                      <w:pPr>
                        <w:ind w:firstLine="567"/>
                        <w:jc w:val="both"/>
                        <w:rPr>
                          <w:color w:val="000000"/>
                        </w:rPr>
                      </w:pPr>
                      <w:r>
                        <w:rPr>
                          <w:i/>
                          <w:color w:val="000000"/>
                          <w:szCs w:val="24"/>
                        </w:rPr>
                        <w:t>f</w:t>
                      </w:r>
                      <w:r>
                        <w:rPr>
                          <w:i/>
                          <w:color w:val="000000"/>
                          <w:szCs w:val="24"/>
                          <w:vertAlign w:val="subscript"/>
                        </w:rPr>
                        <w:t>N.PRn.hw</w:t>
                      </w:r>
                      <w:r>
                        <w:rPr>
                          <w:color w:val="000000"/>
                          <w:szCs w:val="24"/>
                        </w:rPr>
                        <w:t xml:space="preserve"> – energijos šaltinio, naudojamo karštam vandeniui ruošti, norminis pirminės energijos faktorius. Faktoriaus vertė imama iš 2.1</w:t>
                      </w:r>
                      <w:r>
                        <w:rPr>
                          <w:color w:val="000000"/>
                        </w:rPr>
                        <w:t>8</w:t>
                      </w:r>
                      <w:r>
                        <w:rPr>
                          <w:color w:val="000000"/>
                          <w:szCs w:val="24"/>
                        </w:rPr>
                        <w:t xml:space="preserve"> lentelės 54 eilutės</w:t>
                      </w:r>
                      <w:r>
                        <w:rPr>
                          <w:color w:val="000000"/>
                        </w:rPr>
                        <w:t>;</w:t>
                      </w:r>
                    </w:p>
                    <w:p>
                      <w:pPr>
                        <w:ind w:firstLine="567"/>
                        <w:jc w:val="both"/>
                        <w:rPr>
                          <w:color w:val="000000"/>
                        </w:rPr>
                      </w:pPr>
                      <w:r>
                        <w:rPr>
                          <w:i/>
                          <w:color w:val="000000"/>
                        </w:rPr>
                        <w:t>f</w:t>
                      </w:r>
                      <w:r>
                        <w:rPr>
                          <w:i/>
                          <w:color w:val="000000"/>
                          <w:vertAlign w:val="subscript"/>
                        </w:rPr>
                        <w:t>R.PRn</w:t>
                      </w:r>
                      <w:r>
                        <w:rPr>
                          <w:i/>
                          <w:color w:val="000000"/>
                        </w:rPr>
                        <w:t>.</w:t>
                      </w:r>
                      <w:r>
                        <w:rPr>
                          <w:i/>
                          <w:color w:val="000000"/>
                          <w:vertAlign w:val="subscript"/>
                        </w:rPr>
                        <w:t>hw</w:t>
                      </w:r>
                      <w:r>
                        <w:rPr>
                          <w:color w:val="000000"/>
                        </w:rPr>
                        <w:t xml:space="preserve"> – energijos šaltinio, naudojamo karštam vandeniui ruošti, atskaitinis pirminės energijos faktorius. Faktoriaus vertė imama </w:t>
                      </w:r>
                      <w:r>
                        <w:rPr>
                          <w:bCs/>
                          <w:color w:val="000000"/>
                        </w:rPr>
                        <w:t>iš 2.20 lentelės;</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572"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39.3 pp."/>
                    <w:tag w:val="part_6263b315385c4a8bbc5f7e7c6b45e37d"/>
                    <w:lock w:val="sdtLocked"/>
                    <w:richText/>
                  </w:sdtPr>
                  <w:sdtContent>
                    <w:p>
                      <w:pPr>
                        <w:suppressAutoHyphens/>
                        <w:ind w:firstLine="567"/>
                        <w:jc w:val="both"/>
                        <w:rPr>
                          <w:color w:val="000000"/>
                          <w:lang w:eastAsia="lt-LT"/>
                        </w:rPr>
                      </w:pPr>
                      <w:sdt>
                        <w:sdtPr>
                          <w:alias w:val="Numeris"/>
                          <w:tag w:val="nr_6263b315385c4a8bbc5f7e7c6b45e37d"/>
                          <w:lock w:val="sdtLocked"/>
                          <w:richText/>
                        </w:sdtPr>
                        <w:sdtContent>
                          <w:r>
                            <w:rPr>
                              <w:color w:val="000000"/>
                              <w:lang w:eastAsia="lt-LT"/>
                            </w:rPr>
                            <w:t>39.3</w:t>
                          </w:r>
                        </w:sdtContent>
                      </w:sdt>
                      <w:r>
                        <w:rPr>
                          <w:color w:val="000000"/>
                          <w:lang w:eastAsia="lt-LT"/>
                        </w:rPr>
                        <w:t>. pastato karšto vandens ruošimo sistemų mėnesinės</w:t>
                      </w:r>
                      <w:r>
                        <w:rPr>
                          <w:b/>
                          <w:color w:val="000000"/>
                          <w:lang w:eastAsia="lt-LT"/>
                        </w:rPr>
                        <w:t xml:space="preserve"> </w:t>
                      </w:r>
                      <w:r>
                        <w:rPr>
                          <w:color w:val="000000"/>
                          <w:lang w:eastAsia="lt-LT"/>
                        </w:rPr>
                        <w:t>skaičiuojamosios neatsinaujinančios pirminės</w:t>
                      </w:r>
                      <w:r>
                        <w:rPr>
                          <w:b/>
                          <w:color w:val="000000"/>
                          <w:lang w:eastAsia="lt-LT"/>
                        </w:rPr>
                        <w:t xml:space="preserve"> </w:t>
                      </w:r>
                      <w:r>
                        <w:rPr>
                          <w:color w:val="000000"/>
                          <w:lang w:eastAsia="lt-LT"/>
                        </w:rPr>
                        <w:t xml:space="preserve">energijos sąnaudos karštam vandeniui ruošti </w:t>
                      </w:r>
                      <w:r>
                        <w:rPr>
                          <w:i/>
                          <w:color w:val="000000"/>
                          <w:lang w:eastAsia="lt-LT"/>
                        </w:rPr>
                        <w:t>Q</w:t>
                      </w:r>
                      <w:r>
                        <w:rPr>
                          <w:i/>
                          <w:color w:val="000000"/>
                          <w:vertAlign w:val="subscript"/>
                          <w:lang w:eastAsia="lt-LT"/>
                        </w:rPr>
                        <w:t>PRn.hw,m</w:t>
                      </w:r>
                      <w:r>
                        <w:rPr>
                          <w:color w:val="000000"/>
                          <w:lang w:eastAsia="lt-LT"/>
                        </w:rPr>
                        <w:t xml:space="preserve"> (kWh/(m</w:t>
                      </w:r>
                      <w:r>
                        <w:rPr>
                          <w:color w:val="000000"/>
                          <w:vertAlign w:val="superscript"/>
                          <w:lang w:eastAsia="lt-LT"/>
                        </w:rPr>
                        <w:t>2</w:t>
                      </w:r>
                      <w:r>
                        <w:rPr>
                          <w:color w:val="000000"/>
                          <w:lang w:eastAsia="lt-LT"/>
                        </w:rPr>
                        <w:t>·mėn.)) apskaičiuojamos taip: LST EN 15316-1:2007 [3.22], LST EN 15316-3-2:2008 [3.23]:</w:t>
                      </w:r>
                    </w:p>
                    <w:sdt>
                      <w:sdtPr>
                        <w:alias w:val="2 pr. 39.3.1 pp."/>
                        <w:tag w:val="part_3e2fa7e5e9844635810605ff255c778f"/>
                        <w:lock w:val="sdtLocked"/>
                        <w:richText/>
                      </w:sdtPr>
                      <w:sdtContent>
                        <w:p>
                          <w:pPr>
                            <w:tabs>
                              <w:tab w:val="left" w:pos="567"/>
                              <w:tab w:val="left" w:pos="709"/>
                              <w:tab w:val="left" w:pos="993"/>
                            </w:tabs>
                            <w:suppressAutoHyphens/>
                            <w:ind w:left="1430" w:hanging="863"/>
                            <w:jc w:val="both"/>
                            <w:rPr>
                              <w:color w:val="1D2228"/>
                              <w:szCs w:val="24"/>
                              <w:shd w:val="clear" w:color="auto" w:fill="FFFFFF"/>
                              <w:lang w:eastAsia="lt-LT"/>
                            </w:rPr>
                          </w:pPr>
                          <w:sdt>
                            <w:sdtPr>
                              <w:alias w:val="Numeris"/>
                              <w:tag w:val="nr_3e2fa7e5e9844635810605ff255c778f"/>
                              <w:lock w:val="sdtLocked"/>
                              <w:richText/>
                            </w:sdtPr>
                            <w:sdtContent>
                              <w:r>
                                <w:rPr>
                                  <w:rFonts w:eastAsia="Calibri"/>
                                  <w:color w:val="000000"/>
                                  <w:szCs w:val="22"/>
                                  <w:lang w:eastAsia="lt-LT"/>
                                </w:rPr>
                                <w:t>39.3.1</w:t>
                              </w:r>
                            </w:sdtContent>
                          </w:sdt>
                          <w:r>
                            <w:rPr>
                              <w:rFonts w:eastAsia="Calibri"/>
                              <w:color w:val="000000"/>
                              <w:szCs w:val="22"/>
                              <w:lang w:eastAsia="lt-LT"/>
                            </w:rPr>
                            <w:t xml:space="preserve">. jei karštam vandeniui ruošti nenaudojama elektros energija </w:t>
                          </w:r>
                          <w:r>
                            <w:rPr>
                              <w:color w:val="1D2228"/>
                              <w:szCs w:val="24"/>
                              <w:lang w:eastAsia="lt-LT"/>
                            </w:rPr>
                            <w:t xml:space="preserve">arba tam </w:t>
                          </w:r>
                          <w:r>
                            <w:rPr>
                              <w:color w:val="1D2228"/>
                              <w:szCs w:val="24"/>
                              <w:shd w:val="clear" w:color="auto" w:fill="FFFFFF"/>
                              <w:lang w:eastAsia="lt-LT"/>
                            </w:rPr>
                            <w:t>naudojami dujiniai katilai su absorbciniais šilumos siurbliais:</w:t>
                          </w:r>
                        </w:p>
                        <w:tbl>
                          <w:tblPr>
                            <w:tblW w:w="5000" w:type="pct"/>
                            <w:tblLook w:val="01E0" w:firstRow="1" w:lastRow="1" w:firstColumn="1" w:lastColumn="1" w:noHBand="0" w:noVBand="0"/>
                          </w:tblPr>
                          <w:tblGrid>
                            <w:gridCol w:w="8896"/>
                            <w:gridCol w:w="1100"/>
                          </w:tblGrid>
                          <w:tr>
                            <w:tc>
                              <w:tcPr>
                                <w:tcW w:w="4450" w:type="pct"/>
                                <w:vAlign w:val="center"/>
                              </w:tcPr>
                              <w:p>
                                <w:pPr>
                                  <w:tabs>
                                    <w:tab w:val="left" w:pos="567"/>
                                  </w:tabs>
                                  <w:suppressAutoHyphens/>
                                  <w:spacing w:line="276" w:lineRule="auto"/>
                                  <w:jc w:val="center"/>
                                  <w:rPr>
                                    <w:rFonts w:eastAsia="Calibri"/>
                                    <w:bCs/>
                                    <w:strike/>
                                    <w:color w:val="000000"/>
                                    <w:szCs w:val="22"/>
                                    <w:lang w:eastAsia="lt-LT"/>
                                  </w:rPr>
                                </w:pPr>
                              </w:p>
                            </w:tc>
                            <w:tc>
                              <w:tcPr>
                                <w:tcW w:w="550" w:type="pct"/>
                                <w:vAlign w:val="center"/>
                              </w:tcPr>
                              <w:p>
                                <w:pPr>
                                  <w:tabs>
                                    <w:tab w:val="left" w:pos="567"/>
                                  </w:tabs>
                                  <w:suppressAutoHyphens/>
                                  <w:spacing w:line="276" w:lineRule="auto"/>
                                  <w:jc w:val="center"/>
                                  <w:rPr>
                                    <w:rFonts w:eastAsia="Calibri"/>
                                    <w:bCs/>
                                    <w:strike/>
                                    <w:color w:val="000000"/>
                                    <w:szCs w:val="22"/>
                                    <w:lang w:eastAsia="lt-LT"/>
                                  </w:rPr>
                                </w:pPr>
                              </w:p>
                            </w:tc>
                          </w:tr>
                          <w:tr>
                            <w:tc>
                              <w:tcPr>
                                <w:tcW w:w="4450" w:type="pct"/>
                                <w:shd w:val="clear" w:color="auto" w:fill="auto"/>
                                <w:vAlign w:val="center"/>
                              </w:tcPr>
                              <w:p>
                                <w:pPr>
                                  <w:tabs>
                                    <w:tab w:val="left" w:pos="567"/>
                                  </w:tabs>
                                  <w:suppressAutoHyphens/>
                                  <w:spacing w:line="276" w:lineRule="auto"/>
                                  <w:jc w:val="center"/>
                                  <w:rPr>
                                    <w:rFonts w:eastAsia="Calibri"/>
                                    <w:bCs/>
                                    <w:color w:val="000000"/>
                                    <w:szCs w:val="22"/>
                                    <w:lang w:eastAsia="lt-LT"/>
                                  </w:rPr>
                                </w:pPr>
                                <w:r>
                                  <w:rPr>
                                    <w:rFonts w:eastAsia="Calibri"/>
                                    <w:bCs/>
                                    <w:color w:val="000000"/>
                                    <w:szCs w:val="22"/>
                                    <w:lang w:eastAsia="lt-LT"/>
                                  </w:rPr>
                                  <w:object w:dxaOrig="4940" w:dyaOrig="1540">
                                    <v:shape id="_x0000_i1170" type="#_x0000_t75" style="width:233.8pt;height:1in" o:ole="">
                                      <v:imagedata r:id="rId573" o:title=""/>
                                    </v:shape>
                                    <o:OLEObject Type="Embed" ProgID="Equation.3" ShapeID="_x0000_i1170" DrawAspect="Content" ObjectID="_0000000001" r:id="rId574"/>
                                  </w:object>
                                </w:r>
                              </w:p>
                            </w:tc>
                            <w:tc>
                              <w:tcPr>
                                <w:tcW w:w="550" w:type="pct"/>
                                <w:shd w:val="clear" w:color="auto" w:fill="auto"/>
                                <w:vAlign w:val="center"/>
                                <w:hideMark/>
                              </w:tcPr>
                              <w:p>
                                <w:pPr>
                                  <w:tabs>
                                    <w:tab w:val="left" w:pos="567"/>
                                  </w:tabs>
                                  <w:suppressAutoHyphens/>
                                  <w:spacing w:line="276" w:lineRule="auto"/>
                                  <w:jc w:val="center"/>
                                  <w:rPr>
                                    <w:rFonts w:eastAsia="Calibri"/>
                                    <w:bCs/>
                                    <w:color w:val="000000"/>
                                    <w:szCs w:val="22"/>
                                    <w:lang w:eastAsia="lt-LT"/>
                                  </w:rPr>
                                </w:pPr>
                                <w:r>
                                  <w:rPr>
                                    <w:bCs/>
                                    <w:color w:val="000000"/>
                                    <w:lang w:eastAsia="lt-LT"/>
                                  </w:rPr>
                                  <w:t>(2.134)</w:t>
                                </w:r>
                              </w:p>
                            </w:tc>
                          </w:tr>
                        </w:tbl>
                        <w:p>
                          <w:pPr>
                            <w:tabs>
                              <w:tab w:val="left" w:pos="567"/>
                              <w:tab w:val="left" w:pos="851"/>
                            </w:tabs>
                            <w:suppressAutoHyphens/>
                            <w:ind w:left="567" w:hanging="567"/>
                            <w:jc w:val="both"/>
                            <w:rPr>
                              <w:rFonts w:eastAsia="Calibri"/>
                              <w:color w:val="000000"/>
                              <w:szCs w:val="22"/>
                              <w:lang w:eastAsia="lt-LT"/>
                            </w:rPr>
                          </w:pPr>
                        </w:p>
                        <w:p>
                          <w:pPr>
                            <w:tabs>
                              <w:tab w:val="left" w:pos="567"/>
                              <w:tab w:val="left" w:pos="851"/>
                            </w:tabs>
                            <w:suppressAutoHyphens/>
                            <w:ind w:left="567" w:hanging="567"/>
                            <w:jc w:val="both"/>
                            <w:rPr>
                              <w:bCs/>
                              <w:iCs/>
                              <w:color w:val="000000"/>
                              <w:szCs w:val="24"/>
                              <w:lang w:eastAsia="lt-LT"/>
                            </w:rPr>
                          </w:pPr>
                          <w:r>
                            <w:rPr>
                              <w:rFonts w:eastAsia="Calibri"/>
                              <w:color w:val="000000"/>
                              <w:szCs w:val="22"/>
                              <w:lang w:eastAsia="lt-LT"/>
                            </w:rPr>
                            <w:t xml:space="preserve">čia: </w:t>
                            <w:tab/>
                          </w:r>
                          <w:r>
                            <w:rPr>
                              <w:color w:val="000000"/>
                              <w:szCs w:val="24"/>
                              <w:lang w:eastAsia="lt-LT"/>
                            </w:rPr>
                            <w:t xml:space="preserve">jei pagal (2.134) formulę apskaičiuota </w:t>
                          </w:r>
                          <w:r>
                            <w:rPr>
                              <w:bCs/>
                              <w:i/>
                              <w:color w:val="000000"/>
                              <w:szCs w:val="24"/>
                              <w:lang w:eastAsia="lt-LT"/>
                            </w:rPr>
                            <w:t>Q</w:t>
                          </w:r>
                          <w:r>
                            <w:rPr>
                              <w:bCs/>
                              <w:i/>
                              <w:color w:val="000000"/>
                              <w:szCs w:val="24"/>
                              <w:vertAlign w:val="subscript"/>
                              <w:lang w:eastAsia="lt-LT"/>
                            </w:rPr>
                            <w:t>PRn.hw,m</w:t>
                          </w:r>
                          <w:r>
                            <w:rPr>
                              <w:bCs/>
                              <w:iCs/>
                              <w:color w:val="000000"/>
                              <w:szCs w:val="24"/>
                              <w:lang w:eastAsia="lt-LT"/>
                            </w:rPr>
                            <w:t xml:space="preserve">&lt;0, imama </w:t>
                          </w:r>
                          <w:r>
                            <w:rPr>
                              <w:bCs/>
                              <w:i/>
                              <w:color w:val="000000"/>
                              <w:szCs w:val="24"/>
                              <w:lang w:eastAsia="lt-LT"/>
                            </w:rPr>
                            <w:t>Q</w:t>
                          </w:r>
                          <w:r>
                            <w:rPr>
                              <w:bCs/>
                              <w:i/>
                              <w:color w:val="000000"/>
                              <w:szCs w:val="24"/>
                              <w:vertAlign w:val="subscript"/>
                              <w:lang w:eastAsia="lt-LT"/>
                            </w:rPr>
                            <w:t>PRn.hw,m</w:t>
                          </w:r>
                          <w:r>
                            <w:rPr>
                              <w:rFonts w:ascii="Calibri" w:hAnsi="Calibri" w:cs="Calibri"/>
                              <w:bCs/>
                              <w:iCs/>
                              <w:color w:val="000000"/>
                              <w:szCs w:val="24"/>
                              <w:lang w:eastAsia="lt-LT"/>
                            </w:rPr>
                            <w:t>=</w:t>
                          </w:r>
                          <w:r>
                            <w:rPr>
                              <w:bCs/>
                              <w:iCs/>
                              <w:color w:val="000000"/>
                              <w:szCs w:val="24"/>
                              <w:lang w:eastAsia="lt-LT"/>
                            </w:rPr>
                            <w:t>0;</w:t>
                          </w:r>
                        </w:p>
                        <w:p>
                          <w:pPr>
                            <w:tabs>
                              <w:tab w:val="left" w:pos="567"/>
                              <w:tab w:val="left" w:pos="851"/>
                            </w:tabs>
                            <w:suppressAutoHyphens/>
                            <w:ind w:left="567" w:firstLine="567"/>
                            <w:jc w:val="both"/>
                            <w:rPr>
                              <w:szCs w:val="24"/>
                              <w:lang w:eastAsia="lt-LT"/>
                            </w:rPr>
                          </w:pPr>
                          <w:r>
                            <w:rPr>
                              <w:i/>
                              <w:szCs w:val="24"/>
                              <w:lang w:eastAsia="lt-LT"/>
                            </w:rPr>
                            <w:t>Q</w:t>
                          </w:r>
                          <w:r>
                            <w:rPr>
                              <w:i/>
                              <w:szCs w:val="24"/>
                              <w:vertAlign w:val="subscript"/>
                              <w:lang w:eastAsia="lt-LT"/>
                            </w:rPr>
                            <w:t xml:space="preserve">hwE.,m </w:t>
                          </w:r>
                          <w:r>
                            <w:rPr>
                              <w:szCs w:val="24"/>
                              <w:lang w:eastAsia="lt-LT"/>
                            </w:rPr>
                            <w:t>– apskaičiuojama pagal (2.589-1) formulę (kWh/(m</w:t>
                          </w:r>
                          <w:r>
                            <w:rPr>
                              <w:szCs w:val="24"/>
                              <w:vertAlign w:val="superscript"/>
                              <w:lang w:eastAsia="lt-LT"/>
                            </w:rPr>
                            <w:t>2</w:t>
                          </w:r>
                          <w:r>
                            <w:rPr>
                              <w:szCs w:val="24"/>
                              <w:lang w:eastAsia="lt-LT"/>
                            </w:rPr>
                            <w:t>·mėn.));</w:t>
                          </w:r>
                        </w:p>
                        <w:p>
                          <w:pPr>
                            <w:tabs>
                              <w:tab w:val="left" w:pos="567"/>
                            </w:tabs>
                            <w:suppressAutoHyphens/>
                            <w:ind w:firstLine="567"/>
                            <w:jc w:val="both"/>
                            <w:rPr>
                              <w:szCs w:val="24"/>
                              <w:lang w:eastAsia="lt-LT"/>
                            </w:rPr>
                          </w:pPr>
                          <w:r>
                            <w:rPr>
                              <w:i/>
                              <w:iCs/>
                              <w:szCs w:val="24"/>
                              <w:lang w:eastAsia="lt-LT"/>
                            </w:rPr>
                            <w:t>Q</w:t>
                          </w:r>
                          <w:r>
                            <w:rPr>
                              <w:i/>
                              <w:iCs/>
                              <w:szCs w:val="24"/>
                              <w:vertAlign w:val="subscript"/>
                              <w:lang w:eastAsia="lt-LT"/>
                            </w:rPr>
                            <w:t>hw.E.SK+WE+HE</w:t>
                          </w:r>
                          <w:r>
                            <w:rPr>
                              <w:szCs w:val="24"/>
                              <w:lang w:eastAsia="lt-LT"/>
                            </w:rPr>
                            <w:t xml:space="preserve"> – apskaičiuojama pagal (2.563-2) formulę;</w:t>
                          </w:r>
                        </w:p>
                        <w:p>
                          <w:pPr>
                            <w:tabs>
                              <w:tab w:val="left" w:pos="567"/>
                              <w:tab w:val="left" w:pos="851"/>
                            </w:tabs>
                            <w:suppressAutoHyphens/>
                            <w:ind w:left="567" w:firstLine="567"/>
                            <w:jc w:val="both"/>
                            <w:rPr>
                              <w:bCs/>
                              <w:szCs w:val="24"/>
                              <w:lang w:eastAsia="lt-LT"/>
                            </w:rPr>
                          </w:pPr>
                          <w:r>
                            <w:rPr>
                              <w:i/>
                              <w:szCs w:val="24"/>
                              <w:lang w:eastAsia="lt-LT"/>
                            </w:rPr>
                            <w:t>Q</w:t>
                          </w:r>
                          <w:r>
                            <w:rPr>
                              <w:i/>
                              <w:szCs w:val="24"/>
                              <w:vertAlign w:val="subscript"/>
                              <w:lang w:eastAsia="lt-LT"/>
                            </w:rPr>
                            <w:t>hw,m</w:t>
                          </w:r>
                          <w:r>
                            <w:rPr>
                              <w:szCs w:val="24"/>
                              <w:lang w:eastAsia="lt-LT"/>
                            </w:rPr>
                            <w:t>– karšto buitinio vandens ruošimo sistemos mėnesinis šiluminės energijos poreikis (kWh/(m</w:t>
                          </w:r>
                          <w:r>
                            <w:rPr>
                              <w:szCs w:val="24"/>
                              <w:vertAlign w:val="superscript"/>
                              <w:lang w:eastAsia="lt-LT"/>
                            </w:rPr>
                            <w:t>2</w:t>
                          </w:r>
                          <w:r>
                            <w:rPr>
                              <w:szCs w:val="24"/>
                              <w:lang w:eastAsia="lt-LT"/>
                            </w:rPr>
                            <w:t>·mėn.)). Apskaičiuojama pagal (2.139) formulę;</w:t>
                          </w:r>
                        </w:p>
                        <w:p>
                          <w:pPr>
                            <w:tabs>
                              <w:tab w:val="left" w:pos="567"/>
                            </w:tabs>
                            <w:suppressAutoHyphens/>
                            <w:ind w:firstLine="567"/>
                            <w:jc w:val="both"/>
                            <w:rPr>
                              <w:szCs w:val="24"/>
                              <w:lang w:eastAsia="lt-LT"/>
                            </w:rPr>
                          </w:pPr>
                          <w:r>
                            <w:rPr>
                              <w:i/>
                              <w:szCs w:val="24"/>
                              <w:lang w:eastAsia="lt-LT"/>
                            </w:rPr>
                            <w:t>Q</w:t>
                          </w:r>
                          <w:r>
                            <w:rPr>
                              <w:i/>
                              <w:szCs w:val="24"/>
                              <w:vertAlign w:val="subscript"/>
                              <w:lang w:eastAsia="lt-LT"/>
                            </w:rPr>
                            <w:t>hw.hwSK,m</w:t>
                          </w:r>
                          <w:r>
                            <w:rPr>
                              <w:szCs w:val="24"/>
                              <w:lang w:eastAsia="lt-LT"/>
                            </w:rPr>
                            <w:t xml:space="preserve"> – apskaičiuojama pagal 51 punkto reikalavimus ir pagal (2.183) formulę;</w:t>
                          </w:r>
                        </w:p>
                        <w:p>
                          <w:pPr>
                            <w:tabs>
                              <w:tab w:val="left" w:pos="567"/>
                            </w:tabs>
                            <w:suppressAutoHyphens/>
                            <w:ind w:firstLine="567"/>
                            <w:jc w:val="both"/>
                            <w:rPr>
                              <w:szCs w:val="24"/>
                              <w:lang w:eastAsia="lt-LT"/>
                            </w:rPr>
                          </w:pPr>
                          <w:r>
                            <w:rPr>
                              <w:i/>
                              <w:szCs w:val="24"/>
                              <w:lang w:eastAsia="lt-LT"/>
                            </w:rPr>
                            <w:t>Q</w:t>
                          </w:r>
                          <w:r>
                            <w:rPr>
                              <w:i/>
                              <w:szCs w:val="24"/>
                              <w:vertAlign w:val="superscript"/>
                              <w:lang w:eastAsia="lt-LT"/>
                            </w:rPr>
                            <w:t>I</w:t>
                          </w:r>
                          <w:r>
                            <w:rPr>
                              <w:i/>
                              <w:szCs w:val="24"/>
                              <w:vertAlign w:val="subscript"/>
                              <w:lang w:eastAsia="lt-LT"/>
                            </w:rPr>
                            <w:t>hw.hwSK,m</w:t>
                          </w:r>
                          <w:r>
                            <w:rPr>
                              <w:szCs w:val="24"/>
                              <w:lang w:eastAsia="lt-LT"/>
                            </w:rPr>
                            <w:t xml:space="preserve"> – apskaičiuojama pagal 53 punkto reikalavimus ir pagal (2.206) formulę;</w:t>
                          </w:r>
                        </w:p>
                        <w:p>
                          <w:pPr>
                            <w:tabs>
                              <w:tab w:val="left" w:pos="567"/>
                            </w:tabs>
                            <w:suppressAutoHyphens/>
                            <w:ind w:firstLine="567"/>
                            <w:jc w:val="both"/>
                            <w:rPr>
                              <w:szCs w:val="24"/>
                              <w:lang w:eastAsia="lt-LT"/>
                            </w:rPr>
                          </w:pPr>
                          <w:r>
                            <w:rPr>
                              <w:i/>
                              <w:szCs w:val="24"/>
                              <w:lang w:eastAsia="lt-LT"/>
                            </w:rPr>
                            <w:t>Q</w:t>
                          </w:r>
                          <w:r>
                            <w:rPr>
                              <w:i/>
                              <w:szCs w:val="24"/>
                              <w:vertAlign w:val="subscript"/>
                              <w:lang w:eastAsia="lt-LT"/>
                            </w:rPr>
                            <w:t>PRn.hw.SK+WE+HE,m</w:t>
                          </w:r>
                          <w:r>
                            <w:rPr>
                              <w:szCs w:val="24"/>
                              <w:lang w:eastAsia="lt-LT"/>
                            </w:rPr>
                            <w:t xml:space="preserve"> – apskaičiuojama pagal 69 punkto reikalavimus ir pagal (2.559) formulę;</w:t>
                          </w:r>
                        </w:p>
                        <w:p>
                          <w:pPr>
                            <w:tabs>
                              <w:tab w:val="left" w:pos="567"/>
                            </w:tabs>
                            <w:suppressAutoHyphens/>
                            <w:ind w:firstLine="567"/>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karšto buitinio vandens ruošimo įrangų, kurios nenaudoja elektros energijos, naudingumo koeficientas.</w:t>
                          </w:r>
                          <w:r>
                            <w:rPr>
                              <w:bCs/>
                              <w:szCs w:val="24"/>
                              <w:lang w:eastAsia="lt-LT"/>
                            </w:rPr>
                            <w:t xml:space="preserve"> Imamas iš 2.21 lentelės 1–8 arba 13 eilučių. Jei naudojamas dujinis katilas su absorbciniu šilumos siurbliu, vietoje </w:t>
                          </w:r>
                          <w:r>
                            <w:rPr>
                              <w:i/>
                              <w:szCs w:val="24"/>
                              <w:lang w:eastAsia="lt-LT"/>
                            </w:rPr>
                            <w:t>η</w:t>
                          </w:r>
                          <w:r>
                            <w:rPr>
                              <w:i/>
                              <w:szCs w:val="24"/>
                              <w:vertAlign w:val="subscript"/>
                              <w:lang w:eastAsia="lt-LT"/>
                            </w:rPr>
                            <w:t xml:space="preserve">hw.eq1 </w:t>
                          </w:r>
                          <w:r>
                            <w:rPr>
                              <w:bCs/>
                              <w:szCs w:val="24"/>
                              <w:lang w:eastAsia="lt-LT"/>
                            </w:rPr>
                            <w:t xml:space="preserve">turi būti imamas </w:t>
                          </w: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režimu, vnt. Jei katilas su absorbciniu šilumos siurbliu </w:t>
                          </w:r>
                          <w:r>
                            <w:rPr>
                              <w:color w:val="000000"/>
                              <w:lang w:eastAsia="lt-LT"/>
                            </w:rPr>
                            <w:t xml:space="preserve">naudojamas, bet duomenų apie </w:t>
                          </w:r>
                          <w:r>
                            <w:rPr>
                              <w:i/>
                              <w:szCs w:val="24"/>
                              <w:lang w:eastAsia="lt-LT"/>
                            </w:rPr>
                            <w:t>η</w:t>
                          </w:r>
                          <w:r>
                            <w:rPr>
                              <w:i/>
                              <w:szCs w:val="24"/>
                              <w:vertAlign w:val="subscript"/>
                              <w:lang w:eastAsia="lt-LT"/>
                            </w:rPr>
                            <w:t xml:space="preserve">GHP.H  </w:t>
                          </w:r>
                          <w:r>
                            <w:rPr>
                              <w:color w:val="000000"/>
                              <w:lang w:eastAsia="lt-LT"/>
                            </w:rPr>
                            <w:t xml:space="preserve">vertę nėra, </w:t>
                          </w:r>
                          <w:r>
                            <w:rPr>
                              <w:i/>
                              <w:szCs w:val="24"/>
                              <w:lang w:eastAsia="lt-LT"/>
                            </w:rPr>
                            <w:t>η</w:t>
                          </w:r>
                          <w:r>
                            <w:rPr>
                              <w:i/>
                              <w:szCs w:val="24"/>
                              <w:vertAlign w:val="subscript"/>
                              <w:lang w:eastAsia="lt-LT"/>
                            </w:rPr>
                            <w:t xml:space="preserve">GHP.H </w:t>
                          </w:r>
                          <w:r>
                            <w:rPr>
                              <w:lang w:eastAsia="lt-LT"/>
                            </w:rPr>
                            <w:t>vertė i</w:t>
                          </w:r>
                          <w:r>
                            <w:rPr>
                              <w:szCs w:val="24"/>
                              <w:lang w:eastAsia="lt-LT"/>
                            </w:rPr>
                            <w:t xml:space="preserve">mama iš 2.16 lentelės. </w:t>
                          </w:r>
                          <w:r>
                            <w:rPr>
                              <w:bCs/>
                              <w:szCs w:val="24"/>
                              <w:lang w:eastAsia="lt-LT"/>
                            </w:rPr>
                            <w:t>Jei karštam vandeniui ruošti naudojami keli 1–8 eilutėje nurodyti įrangų tipai, apskaičiuojama pagal (2.137) formulę;</w:t>
                          </w:r>
                        </w:p>
                        <w:p>
                          <w:pPr>
                            <w:tabs>
                              <w:tab w:val="left" w:pos="567"/>
                            </w:tabs>
                            <w:suppressAutoHyphens/>
                            <w:ind w:firstLine="567"/>
                            <w:jc w:val="both"/>
                            <w:rPr>
                              <w:bCs/>
                              <w:szCs w:val="24"/>
                              <w:lang w:eastAsia="lt-LT"/>
                            </w:rPr>
                          </w:pPr>
                          <w:r>
                            <w:rPr>
                              <w:i/>
                              <w:szCs w:val="24"/>
                              <w:lang w:eastAsia="lt-LT"/>
                            </w:rPr>
                            <w:t>f</w:t>
                          </w:r>
                          <w:r>
                            <w:rPr>
                              <w:i/>
                              <w:szCs w:val="24"/>
                              <w:vertAlign w:val="subscript"/>
                              <w:lang w:eastAsia="lt-LT"/>
                            </w:rPr>
                            <w:t xml:space="preserve">PRn.hw.eq1 </w:t>
                          </w:r>
                          <w:r>
                            <w:rPr>
                              <w:bCs/>
                              <w:szCs w:val="24"/>
                              <w:lang w:eastAsia="lt-LT"/>
                            </w:rPr>
                            <w:t>– 2.21 lentelės 1–8 eilutėse išvardintų</w:t>
                          </w:r>
                          <w:r>
                            <w:rPr>
                              <w:szCs w:val="24"/>
                              <w:lang w:eastAsia="lt-LT"/>
                            </w:rPr>
                            <w:t xml:space="preserve"> energijos šaltinių, nenaudojančių elektros energijos, neatsinaujinančios pirminės energijos faktorius (žr.</w:t>
                          </w:r>
                          <w:r>
                            <w:rPr>
                              <w:bCs/>
                              <w:szCs w:val="24"/>
                              <w:lang w:eastAsia="lt-LT"/>
                            </w:rPr>
                            <w:t xml:space="preserve"> 2.18 lentelę). Kai naudojami keli 2.21 lentelės 1–8 eilutėse išvardinti energijos šaltiniai karštam vandeniui ruošti (dujos ir kietasis kuras; dujos ir šilumos tinklai, panašiai), skaičiavimuose turi būti naudojama šių energijos šaltinių neatsinaujinančios pirminės energijos faktorių vidutinė vertė. Jei karštam vandeniui ruošti naudojami dujiniai katilai su absorbciniais šilumos siurbliais, (2.134) formulėje vietoje </w:t>
                          </w:r>
                          <w:r>
                            <w:rPr>
                              <w:i/>
                              <w:szCs w:val="24"/>
                              <w:lang w:eastAsia="lt-LT"/>
                            </w:rPr>
                            <w:t>f</w:t>
                          </w:r>
                          <w:r>
                            <w:rPr>
                              <w:i/>
                              <w:szCs w:val="24"/>
                              <w:vertAlign w:val="subscript"/>
                              <w:lang w:eastAsia="lt-LT"/>
                            </w:rPr>
                            <w:t xml:space="preserve">PRn.hw.eq1 </w:t>
                          </w:r>
                          <w:r>
                            <w:rPr>
                              <w:bCs/>
                              <w:szCs w:val="24"/>
                              <w:lang w:eastAsia="lt-LT"/>
                            </w:rPr>
                            <w:t xml:space="preserve"> turi būti naudojama dujų, kurias vartoja katilas, neatsinaujinančios pirminės energijos faktoriaus vertė. Imama iš 2.18 lentelės.</w:t>
                          </w:r>
                        </w:p>
                        <w:p>
                          <w:pPr>
                            <w:tabs>
                              <w:tab w:val="left" w:pos="567"/>
                            </w:tabs>
                            <w:suppressAutoHyphens/>
                            <w:ind w:firstLine="567"/>
                            <w:jc w:val="both"/>
                            <w:rPr>
                              <w:bCs/>
                              <w:szCs w:val="24"/>
                              <w:lang w:eastAsia="lt-LT"/>
                            </w:rPr>
                          </w:pPr>
                          <w:r>
                            <w:rPr>
                              <w:bCs/>
                              <w:szCs w:val="24"/>
                              <w:lang w:eastAsia="lt-LT"/>
                            </w:rPr>
                            <w:t>Dujinio katilo su absorbciniu šilumos siurbliu šildymo galia</w:t>
                          </w:r>
                          <w:r>
                            <w:rPr>
                              <w:bCs/>
                              <w:i/>
                              <w:iCs/>
                              <w:szCs w:val="24"/>
                              <w:lang w:eastAsia="lt-LT"/>
                            </w:rPr>
                            <w:t xml:space="preserve"> P</w:t>
                          </w:r>
                          <w:r>
                            <w:rPr>
                              <w:bCs/>
                              <w:i/>
                              <w:iCs/>
                              <w:szCs w:val="24"/>
                              <w:vertAlign w:val="subscript"/>
                              <w:lang w:eastAsia="lt-LT"/>
                            </w:rPr>
                            <w:t>GHP.H</w:t>
                          </w:r>
                          <w:r>
                            <w:rPr>
                              <w:bCs/>
                              <w:szCs w:val="24"/>
                              <w:lang w:eastAsia="lt-LT"/>
                            </w:rPr>
                            <w:t xml:space="preserve"> (kW) turi būti nustatyta ir deklaruota gamintojo prie standartinių bandymo sąlygų pagal [3.46], [3.47] reikalavimus. </w:t>
                          </w:r>
                        </w:p>
                        <w:p>
                          <w:pPr>
                            <w:tabs>
                              <w:tab w:val="left" w:pos="567"/>
                            </w:tabs>
                            <w:suppressAutoHyphens/>
                            <w:ind w:firstLine="567"/>
                            <w:jc w:val="both"/>
                            <w:rPr>
                              <w:bCs/>
                              <w:szCs w:val="24"/>
                              <w:lang w:eastAsia="lt-LT"/>
                            </w:rPr>
                          </w:pPr>
                          <w:r>
                            <w:rPr>
                              <w:bCs/>
                              <w:szCs w:val="24"/>
                              <w:lang w:eastAsia="lt-LT"/>
                            </w:rPr>
                            <w:t>Jei nėra duomenų apie dujinio katilo su absorbciniu šilumos siurbliu šildymo galią</w:t>
                          </w:r>
                          <w:r>
                            <w:rPr>
                              <w:bCs/>
                              <w:i/>
                              <w:iCs/>
                              <w:szCs w:val="24"/>
                              <w:lang w:eastAsia="lt-LT"/>
                            </w:rPr>
                            <w:t xml:space="preserve"> P</w:t>
                          </w:r>
                          <w:r>
                            <w:rPr>
                              <w:bCs/>
                              <w:i/>
                              <w:iCs/>
                              <w:szCs w:val="24"/>
                              <w:vertAlign w:val="subscript"/>
                              <w:lang w:eastAsia="lt-LT"/>
                            </w:rPr>
                            <w:t>GHP.H</w:t>
                          </w:r>
                          <w:r>
                            <w:rPr>
                              <w:bCs/>
                              <w:szCs w:val="24"/>
                              <w:lang w:eastAsia="lt-LT"/>
                            </w:rPr>
                            <w:t xml:space="preserve"> (kW), ji apskaičiuojama taip: </w:t>
                          </w:r>
                        </w:p>
                        <w:tbl>
                          <w:tblPr>
                            <w:tblW w:w="5000" w:type="pct"/>
                            <w:tblLook w:val="01E0" w:firstRow="1" w:lastRow="1" w:firstColumn="1" w:lastColumn="1" w:noHBand="0" w:noVBand="0"/>
                          </w:tblPr>
                          <w:tblGrid>
                            <w:gridCol w:w="8509"/>
                            <w:gridCol w:w="1487"/>
                          </w:tblGrid>
                          <w:tr>
                            <w:tc>
                              <w:tcPr>
                                <w:tcW w:w="4256" w:type="pct"/>
                                <w:vAlign w:val="center"/>
                                <w:hideMark/>
                              </w:tcPr>
                              <w:p>
                                <w:pPr>
                                  <w:tabs>
                                    <w:tab w:val="left" w:pos="567"/>
                                  </w:tabs>
                                  <w:suppressAutoHyphens/>
                                  <w:jc w:val="center"/>
                                  <w:rPr>
                                    <w:rFonts w:eastAsia="Calibri"/>
                                    <w:bCs/>
                                    <w:szCs w:val="24"/>
                                    <w:lang w:eastAsia="lt-LT"/>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GHP.H</m:t>
                                      </m:r>
                                    </m:sub>
                                  </m:sSub>
                                  <m:r>
                                    <w:rPr>
                                      <w:rFonts w:ascii="Cambria Math" w:hAnsi="Cambria Math"/>
                                      <w:szCs w:val="24"/>
                                    </w:rPr>
                                    <m:t>=0,0013⋅</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H</m:t>
                                      </m:r>
                                    </m:sub>
                                  </m:sSub>
                                </m:oMath>
                                <w:r>
                                  <w:rPr>
                                    <w:szCs w:val="24"/>
                                    <w:lang w:eastAsia="lt-LT"/>
                                  </w:rPr>
                                  <w:t>;</w:t>
                                </w:r>
                              </w:p>
                            </w:tc>
                            <w:tc>
                              <w:tcPr>
                                <w:tcW w:w="744" w:type="pct"/>
                                <w:vAlign w:val="center"/>
                                <w:hideMark/>
                              </w:tcPr>
                              <w:p>
                                <w:pPr>
                                  <w:tabs>
                                    <w:tab w:val="left" w:pos="567"/>
                                  </w:tabs>
                                  <w:suppressAutoHyphens/>
                                  <w:jc w:val="right"/>
                                  <w:rPr>
                                    <w:rFonts w:eastAsia="Calibri"/>
                                    <w:bCs/>
                                    <w:szCs w:val="22"/>
                                    <w:lang w:eastAsia="lt-LT"/>
                                  </w:rPr>
                                </w:pPr>
                                <w:r>
                                  <w:rPr>
                                    <w:bCs/>
                                    <w:lang w:eastAsia="lt-LT"/>
                                  </w:rPr>
                                  <w:t>(2.134-2)</w:t>
                                </w:r>
                              </w:p>
                            </w:tc>
                          </w:tr>
                        </w:tbl>
                        <w:p>
                          <w:pPr>
                            <w:tabs>
                              <w:tab w:val="left" w:pos="567"/>
                            </w:tabs>
                            <w:suppressAutoHyphens/>
                            <w:jc w:val="both"/>
                            <w:rPr>
                              <w:bCs/>
                              <w:szCs w:val="24"/>
                              <w:lang w:eastAsia="lt-LT"/>
                            </w:rPr>
                          </w:pPr>
                          <w:r>
                            <w:rPr>
                              <w:bCs/>
                              <w:szCs w:val="24"/>
                              <w:lang w:eastAsia="lt-LT"/>
                            </w:rPr>
                            <w:t>čia:</w:t>
                            <w:tab/>
                          </w:r>
                          <w:r>
                            <w:rPr>
                              <w:i/>
                              <w:lang w:eastAsia="lt-LT"/>
                            </w:rPr>
                            <w:t>P</w:t>
                          </w:r>
                          <w:r>
                            <w:rPr>
                              <w:i/>
                              <w:vertAlign w:val="subscript"/>
                              <w:lang w:eastAsia="lt-LT"/>
                            </w:rPr>
                            <w:t>H</w:t>
                          </w:r>
                          <w:r>
                            <w:rPr>
                              <w:bCs/>
                              <w:szCs w:val="24"/>
                              <w:lang w:eastAsia="lt-LT"/>
                            </w:rPr>
                            <w:t xml:space="preserve"> </w:t>
                          </w:r>
                          <w:r>
                            <w:rPr>
                              <w:szCs w:val="24"/>
                              <w:lang w:eastAsia="lt-LT"/>
                            </w:rPr>
                            <w:t>–</w:t>
                          </w:r>
                          <w:r>
                            <w:rPr>
                              <w:bCs/>
                              <w:szCs w:val="24"/>
                              <w:lang w:eastAsia="lt-LT"/>
                            </w:rPr>
                            <w:t xml:space="preserve"> p</w:t>
                          </w:r>
                          <w:r>
                            <w:rPr>
                              <w:lang w:eastAsia="lt-LT"/>
                            </w:rPr>
                            <w:t xml:space="preserve">astatui (jo daliai) šildyti reikalinga šilumos šaltinio projektinė galia, W. Apskaičiuojama pagal reglamento 13 priedo reikalavimus;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39.3.2 pp."/>
                        <w:tag w:val="part_58cae6ba18be4d92b24e55b24ca6ee62"/>
                        <w:lock w:val="sdtLocked"/>
                        <w:richText/>
                      </w:sdtPr>
                      <w:sdtContent>
                        <w:p>
                          <w:pPr>
                            <w:suppressAutoHyphens/>
                            <w:ind w:firstLine="570"/>
                            <w:jc w:val="both"/>
                            <w:rPr>
                              <w:rFonts w:eastAsia="Calibri"/>
                              <w:color w:val="000000"/>
                              <w:szCs w:val="22"/>
                            </w:rPr>
                          </w:pPr>
                          <w:sdt>
                            <w:sdtPr>
                              <w:alias w:val="Numeris"/>
                              <w:tag w:val="nr_58cae6ba18be4d92b24e55b24ca6ee62"/>
                              <w:lock w:val="sdtLocked"/>
                              <w:richText/>
                            </w:sdtPr>
                            <w:sdtContent>
                              <w:r>
                                <w:rPr>
                                  <w:bCs/>
                                  <w:szCs w:val="24"/>
                                </w:rPr>
                                <w:t>39.3.2</w:t>
                              </w:r>
                            </w:sdtContent>
                          </w:sdt>
                          <w:r>
                            <w:rPr>
                              <w:bCs/>
                              <w:szCs w:val="24"/>
                            </w:rPr>
                            <w:t xml:space="preserve">. </w:t>
                          </w:r>
                          <w:r>
                            <w:rPr>
                              <w:rFonts w:eastAsia="Calibri"/>
                              <w:color w:val="000000"/>
                              <w:szCs w:val="22"/>
                              <w:lang w:eastAsia="lt-LT"/>
                            </w:rPr>
                            <w:t xml:space="preserve">jei karštam vandeniui ruošti naudojama tiktai elektros </w:t>
                          </w:r>
                          <w:r>
                            <w:rPr>
                              <w:rFonts w:eastAsia="Calibri"/>
                              <w:strike/>
                              <w:color w:val="000000"/>
                              <w:szCs w:val="22"/>
                              <w:lang w:eastAsia="lt-LT"/>
                            </w:rPr>
                            <w:t>energija,</w:t>
                          </w:r>
                          <w:r>
                            <w:rPr>
                              <w:rFonts w:eastAsia="Calibri"/>
                              <w:color w:val="000000"/>
                              <w:szCs w:val="22"/>
                              <w:lang w:eastAsia="lt-LT"/>
                            </w:rPr>
                            <w:t xml:space="preserve"> energiją vartojanti įranga:</w:t>
                          </w:r>
                        </w:p>
                        <w:p>
                          <w:pPr>
                            <w:suppressAutoHyphens/>
                            <w:ind w:left="709"/>
                            <w:rPr>
                              <w:color w:val="000000"/>
                              <w:lang w:eastAsia="lt-LT"/>
                            </w:rPr>
                          </w:pPr>
                          <w:r>
                            <w:rPr>
                              <w:szCs w:val="24"/>
                              <w:lang w:eastAsia="lt-LT"/>
                            </w:rPr>
                            <w:object w:dxaOrig="6930" w:dyaOrig="1060">
                              <v:shape id="_x0000_i1171" type="#_x0000_t75" style="width:345.45pt;height:54.2pt" o:ole="">
                                <v:imagedata r:id="rId575" o:title=""/>
                              </v:shape>
                              <o:OLEObject Type="Embed" ProgID="Equation.3" ShapeID="_x0000_i1171" DrawAspect="Content" ObjectID="_0000000001" r:id="rId576"/>
                            </w:object>
                            <w:t xml:space="preserve">                   (</w:t>
                          </w:r>
                          <w:r>
                            <w:rPr>
                              <w:bCs/>
                              <w:color w:val="000000"/>
                              <w:lang w:eastAsia="lt-LT"/>
                            </w:rPr>
                            <w:t>2.135)</w:t>
                          </w:r>
                        </w:p>
                        <w:p>
                          <w:pPr>
                            <w:tabs>
                              <w:tab w:val="left" w:pos="567"/>
                            </w:tabs>
                            <w:suppressAutoHyphens/>
                            <w:jc w:val="both"/>
                            <w:rPr>
                              <w:bCs/>
                              <w:szCs w:val="24"/>
                              <w:lang w:eastAsia="lt-LT"/>
                            </w:rPr>
                          </w:pPr>
                          <w:r>
                            <w:rPr>
                              <w:szCs w:val="24"/>
                              <w:lang w:eastAsia="lt-LT"/>
                            </w:rPr>
                            <w:t>čia:</w:t>
                          </w:r>
                          <w:r>
                            <w:rPr>
                              <w:bCs/>
                              <w:szCs w:val="24"/>
                              <w:lang w:eastAsia="lt-LT"/>
                            </w:rPr>
                            <w:tab/>
                          </w:r>
                          <w:r>
                            <w:rPr>
                              <w:szCs w:val="24"/>
                              <w:lang w:eastAsia="lt-LT"/>
                            </w:rPr>
                            <w:t xml:space="preserve">jei pagal (2.135)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rFonts w:ascii="Calibri" w:hAnsi="Calibri" w:cs="Calibri"/>
                              <w:bCs/>
                              <w:iCs/>
                              <w:szCs w:val="24"/>
                              <w:lang w:eastAsia="lt-LT"/>
                            </w:rPr>
                            <w:t>=</w:t>
                          </w:r>
                          <w:r>
                            <w:rPr>
                              <w:bCs/>
                              <w:iCs/>
                              <w:szCs w:val="24"/>
                              <w:lang w:eastAsia="lt-LT"/>
                            </w:rPr>
                            <w:t>0;</w:t>
                          </w:r>
                        </w:p>
                        <w:p>
                          <w:pPr>
                            <w:tabs>
                              <w:tab w:val="left" w:pos="567"/>
                            </w:tabs>
                            <w:suppressAutoHyphens/>
                            <w:jc w:val="both"/>
                            <w:rPr>
                              <w:bCs/>
                              <w:szCs w:val="24"/>
                              <w:lang w:eastAsia="lt-LT"/>
                            </w:rPr>
                          </w:pPr>
                          <w:r>
                            <w:rPr>
                              <w:i/>
                              <w:szCs w:val="24"/>
                              <w:lang w:eastAsia="lt-LT"/>
                            </w:rPr>
                            <w:t>η</w:t>
                          </w:r>
                          <w:r>
                            <w:rPr>
                              <w:i/>
                              <w:szCs w:val="24"/>
                              <w:vertAlign w:val="subscript"/>
                              <w:lang w:eastAsia="lt-LT"/>
                            </w:rPr>
                            <w:t xml:space="preserve">hw.eq2  </w:t>
                          </w:r>
                          <w:r>
                            <w:rPr>
                              <w:szCs w:val="24"/>
                              <w:lang w:eastAsia="lt-LT"/>
                            </w:rPr>
                            <w:t>– karšto buitinio vandens ruošimo įrangų, kurios naudoja elektros energiją, naudingumo koeficientas.</w:t>
                          </w:r>
                          <w:r>
                            <w:rPr>
                              <w:bCs/>
                              <w:szCs w:val="24"/>
                              <w:lang w:eastAsia="lt-LT"/>
                            </w:rPr>
                            <w:t xml:space="preserve"> Imamas iš 2.21 lentelės 9–12 eilutės. Jei karštam vandeniui ruošti naudojami keli 9–12 eilutėse nurodyti įrangų tipai, apskaičiuojama pagal (2.137) formulę;</w:t>
                          </w:r>
                        </w:p>
                        <w:p>
                          <w:pPr>
                            <w:suppressAutoHyphens/>
                            <w:ind w:firstLine="567"/>
                            <w:jc w:val="both"/>
                            <w:rPr>
                              <w:szCs w:val="24"/>
                              <w:lang w:eastAsia="lt-LT"/>
                            </w:rPr>
                          </w:pPr>
                          <w:r>
                            <w:rPr>
                              <w:bCs/>
                              <w:i/>
                              <w:szCs w:val="24"/>
                              <w:lang w:eastAsia="lt-LT"/>
                            </w:rPr>
                            <w:t>Q</w:t>
                          </w:r>
                          <w:r>
                            <w:rPr>
                              <w:bCs/>
                              <w:i/>
                              <w:szCs w:val="24"/>
                              <w:vertAlign w:val="subscript"/>
                              <w:lang w:eastAsia="lt-LT"/>
                            </w:rPr>
                            <w:t>hw.SK+WE+HE,m</w:t>
                          </w:r>
                          <w:r>
                            <w:rPr>
                              <w:bCs/>
                              <w:szCs w:val="24"/>
                              <w:lang w:eastAsia="lt-LT"/>
                            </w:rPr>
                            <w:t xml:space="preserve"> – vėjo elektrinėse, hidroelektrinėse ir Saulės kolektoriuose pagamintas suminis energijos kiekis karštam vandeniui ruošti pastato ploto vienetui </w:t>
                          </w:r>
                          <w:r>
                            <w:rPr>
                              <w:szCs w:val="24"/>
                              <w:lang w:eastAsia="lt-LT"/>
                            </w:rPr>
                            <w:t>(kWh/(m²·mėn.)). Apskaičiuojamas pagal (2.558) formulę;</w:t>
                          </w:r>
                        </w:p>
                        <w:p>
                          <w:pPr>
                            <w:suppressAutoHyphens/>
                            <w:ind w:firstLine="567"/>
                            <w:jc w:val="both"/>
                            <w:rPr>
                              <w:szCs w:val="24"/>
                              <w:lang w:eastAsia="lt-LT"/>
                            </w:rPr>
                          </w:pPr>
                          <w:r>
                            <w:rPr>
                              <w:i/>
                              <w:szCs w:val="24"/>
                              <w:lang w:eastAsia="lt-LT"/>
                            </w:rPr>
                            <w:t>Q</w:t>
                          </w:r>
                          <w:r>
                            <w:rPr>
                              <w:i/>
                              <w:szCs w:val="24"/>
                              <w:vertAlign w:val="subscript"/>
                              <w:lang w:eastAsia="lt-LT"/>
                            </w:rPr>
                            <w:t>hw.hwSK,m</w:t>
                          </w:r>
                          <w:r>
                            <w:rPr>
                              <w:szCs w:val="24"/>
                              <w:lang w:eastAsia="lt-LT"/>
                            </w:rPr>
                            <w:t xml:space="preserve">, </w:t>
                          </w:r>
                          <w:r>
                            <w:rPr>
                              <w:i/>
                              <w:szCs w:val="24"/>
                              <w:lang w:eastAsia="lt-LT"/>
                            </w:rPr>
                            <w:t>Q</w:t>
                          </w:r>
                          <w:r>
                            <w:rPr>
                              <w:i/>
                              <w:szCs w:val="24"/>
                              <w:vertAlign w:val="superscript"/>
                              <w:lang w:eastAsia="lt-LT"/>
                            </w:rPr>
                            <w:t>I</w:t>
                          </w:r>
                          <w:r>
                            <w:rPr>
                              <w:i/>
                              <w:szCs w:val="24"/>
                              <w:vertAlign w:val="subscript"/>
                              <w:lang w:eastAsia="lt-LT"/>
                            </w:rPr>
                            <w:t>hw.hwSK,m</w:t>
                          </w:r>
                          <w:r>
                            <w:rPr>
                              <w:szCs w:val="24"/>
                              <w:lang w:eastAsia="lt-LT"/>
                            </w:rPr>
                            <w:t xml:space="preserve"> – apskaičiuojama pagal (2.183) ir (2.206) formules;</w:t>
                          </w:r>
                        </w:p>
                        <w:p>
                          <w:pPr>
                            <w:suppressAutoHyphens/>
                            <w:ind w:firstLine="567"/>
                            <w:jc w:val="both"/>
                            <w:rPr>
                              <w:szCs w:val="24"/>
                              <w:lang w:eastAsia="lt-LT"/>
                            </w:rPr>
                          </w:pPr>
                          <w:r>
                            <w:rPr>
                              <w:bCs/>
                              <w:i/>
                              <w:szCs w:val="24"/>
                              <w:lang w:eastAsia="lt-LT"/>
                            </w:rPr>
                            <w:t>Q</w:t>
                          </w:r>
                          <w:r>
                            <w:rPr>
                              <w:bCs/>
                              <w:i/>
                              <w:szCs w:val="24"/>
                              <w:vertAlign w:val="subscript"/>
                              <w:lang w:eastAsia="lt-LT"/>
                            </w:rPr>
                            <w:t>hw.PRn.SK+WE+HE,m</w:t>
                          </w:r>
                          <w:r>
                            <w:rPr>
                              <w:bCs/>
                              <w:szCs w:val="24"/>
                              <w:lang w:eastAsia="lt-LT"/>
                            </w:rPr>
                            <w:t xml:space="preserve"> – vėjo elektrinių, hidroelektrinių ir Saulės kolektorių neatsinaujinančios pirminės energijos sąnaudos karštam vandeniui ruošti </w:t>
                          </w:r>
                          <w:r>
                            <w:rPr>
                              <w:szCs w:val="24"/>
                              <w:lang w:eastAsia="lt-LT"/>
                            </w:rPr>
                            <w:t>(kWh/(m²·mėn.)). Apskaičiuojamos pagal (2.559) formulę;</w:t>
                          </w:r>
                        </w:p>
                        <w:p>
                          <w:pPr>
                            <w:suppressAutoHyphens/>
                            <w:ind w:firstLine="567"/>
                            <w:jc w:val="both"/>
                            <w:rPr>
                              <w:bCs/>
                              <w:szCs w:val="24"/>
                              <w:lang w:eastAsia="lt-LT"/>
                            </w:rPr>
                          </w:pPr>
                          <w:r>
                            <w:rPr>
                              <w:i/>
                              <w:szCs w:val="24"/>
                              <w:lang w:eastAsia="lt-LT"/>
                            </w:rPr>
                            <w:t>f</w:t>
                          </w:r>
                          <w:r>
                            <w:rPr>
                              <w:i/>
                              <w:szCs w:val="24"/>
                              <w:vertAlign w:val="subscript"/>
                              <w:lang w:eastAsia="lt-LT"/>
                            </w:rPr>
                            <w:t>PRn.hw.eq2</w:t>
                          </w:r>
                          <w:r>
                            <w:rPr>
                              <w:szCs w:val="24"/>
                              <w:lang w:eastAsia="lt-LT"/>
                            </w:rPr>
                            <w:t xml:space="preserve"> – </w:t>
                          </w:r>
                          <w:r>
                            <w:rPr>
                              <w:bCs/>
                              <w:szCs w:val="24"/>
                              <w:lang w:eastAsia="lt-LT"/>
                            </w:rPr>
                            <w:t>2.21 lentelės 9–12 eilutėse išvardintos</w:t>
                          </w:r>
                          <w:r>
                            <w:rPr>
                              <w:szCs w:val="24"/>
                              <w:lang w:eastAsia="lt-LT"/>
                            </w:rPr>
                            <w:t xml:space="preserve"> įrangos energijos šaltinio (elektros energijos) neatsinaujinančios pirminės energijos faktoriaus vertė. </w:t>
                          </w:r>
                          <w:r>
                            <w:rPr>
                              <w:iCs/>
                              <w:szCs w:val="24"/>
                              <w:lang w:eastAsia="lt-LT"/>
                            </w:rPr>
                            <w:t>Imama iš</w:t>
                          </w:r>
                          <w:r>
                            <w:rPr>
                              <w:i/>
                              <w:szCs w:val="24"/>
                              <w:lang w:eastAsia="lt-LT"/>
                            </w:rPr>
                            <w:t xml:space="preserve"> </w:t>
                          </w:r>
                          <w:r>
                            <w:rPr>
                              <w:bCs/>
                              <w:szCs w:val="24"/>
                              <w:lang w:eastAsia="lt-LT"/>
                            </w:rPr>
                            <w:t xml:space="preserve"> 2.18 lentelės.</w:t>
                          </w:r>
                        </w:p>
                      </w:sdtContent>
                    </w:sdt>
                    <w:sdt>
                      <w:sdtPr>
                        <w:alias w:val="2 pr. 39.3.3 pp."/>
                        <w:tag w:val="part_b653b967e59a4d11ab7bc4bc6500b80d"/>
                        <w:lock w:val="sdtLocked"/>
                        <w:richText/>
                      </w:sdtPr>
                      <w:sdtContent>
                        <w:p>
                          <w:pPr>
                            <w:tabs>
                              <w:tab w:val="left" w:pos="567"/>
                              <w:tab w:val="left" w:pos="993"/>
                            </w:tabs>
                            <w:suppressAutoHyphens/>
                            <w:ind w:firstLine="567"/>
                            <w:jc w:val="both"/>
                            <w:rPr>
                              <w:rFonts w:eastAsia="Calibri"/>
                              <w:szCs w:val="22"/>
                              <w:lang w:eastAsia="lt-LT"/>
                            </w:rPr>
                          </w:pPr>
                          <w:sdt>
                            <w:sdtPr>
                              <w:alias w:val="Numeris"/>
                              <w:tag w:val="nr_b653b967e59a4d11ab7bc4bc6500b80d"/>
                              <w:lock w:val="sdtLocked"/>
                              <w:richText/>
                            </w:sdtPr>
                            <w:sdtContent>
                              <w:r>
                                <w:rPr>
                                  <w:rFonts w:eastAsia="Calibri"/>
                                  <w:color w:val="000000"/>
                                  <w:szCs w:val="22"/>
                                  <w:lang w:eastAsia="lt-LT"/>
                                </w:rPr>
                                <w:t>39.3.3</w:t>
                              </w:r>
                            </w:sdtContent>
                          </w:sdt>
                          <w:r>
                            <w:rPr>
                              <w:rFonts w:eastAsia="Calibri"/>
                              <w:color w:val="000000"/>
                              <w:szCs w:val="22"/>
                              <w:lang w:eastAsia="lt-LT"/>
                            </w:rPr>
                            <w:t xml:space="preserve">. jei karštam vandeniui ruošti naudojama </w:t>
                          </w:r>
                          <w:r>
                            <w:rPr>
                              <w:rFonts w:eastAsia="Calibri"/>
                              <w:bCs/>
                              <w:color w:val="000000"/>
                              <w:szCs w:val="22"/>
                              <w:lang w:eastAsia="lt-LT"/>
                            </w:rPr>
                            <w:t>elektros energiją vartojanti ir nevartojanti įranga</w:t>
                          </w:r>
                          <w:r>
                            <w:rPr>
                              <w:rFonts w:eastAsia="Calibri"/>
                              <w:color w:val="000000"/>
                              <w:szCs w:val="22"/>
                              <w:lang w:eastAsia="lt-LT"/>
                            </w:rPr>
                            <w:t xml:space="preserve">, </w:t>
                          </w:r>
                          <w:r>
                            <w:rPr>
                              <w:rFonts w:eastAsia="Calibri"/>
                              <w:szCs w:val="22"/>
                              <w:lang w:eastAsia="lt-LT"/>
                            </w:rPr>
                            <w:t>tačiau nenaudojami dujiniai katilai su absorbciniais šilumos siurbliais:</w:t>
                          </w:r>
                        </w:p>
                        <w:tbl>
                          <w:tblPr>
                            <w:tblW w:w="5000" w:type="pct"/>
                            <w:tblLook w:val="01E0" w:firstRow="1" w:lastRow="1" w:firstColumn="1" w:lastColumn="1" w:noHBand="0" w:noVBand="0"/>
                          </w:tblPr>
                          <w:tblGrid>
                            <w:gridCol w:w="8720"/>
                            <w:gridCol w:w="418"/>
                            <w:gridCol w:w="858"/>
                          </w:tblGrid>
                          <w:tr>
                            <w:tc>
                              <w:tcPr>
                                <w:tcW w:w="4571" w:type="pct"/>
                                <w:gridSpan w:val="2"/>
                                <w:vAlign w:val="center"/>
                              </w:tcPr>
                              <w:p>
                                <w:pPr>
                                  <w:tabs>
                                    <w:tab w:val="left" w:pos="567"/>
                                  </w:tabs>
                                  <w:suppressAutoHyphens/>
                                  <w:spacing w:line="276" w:lineRule="auto"/>
                                  <w:ind w:left="567"/>
                                  <w:jc w:val="both"/>
                                  <w:rPr>
                                    <w:rFonts w:eastAsia="Calibri"/>
                                    <w:bCs/>
                                    <w:strike/>
                                    <w:color w:val="000000"/>
                                    <w:szCs w:val="22"/>
                                    <w:lang w:eastAsia="lt-LT"/>
                                  </w:rPr>
                                </w:pPr>
                              </w:p>
                            </w:tc>
                            <w:tc>
                              <w:tcPr>
                                <w:tcW w:w="429" w:type="pct"/>
                                <w:vAlign w:val="center"/>
                              </w:tcPr>
                              <w:p>
                                <w:pPr>
                                  <w:tabs>
                                    <w:tab w:val="left" w:pos="567"/>
                                  </w:tabs>
                                  <w:suppressAutoHyphens/>
                                  <w:spacing w:line="276" w:lineRule="auto"/>
                                  <w:jc w:val="right"/>
                                  <w:rPr>
                                    <w:rFonts w:eastAsia="Calibri"/>
                                    <w:bCs/>
                                    <w:color w:val="000000"/>
                                    <w:szCs w:val="22"/>
                                    <w:lang w:eastAsia="lt-LT"/>
                                  </w:rPr>
                                </w:pPr>
                              </w:p>
                            </w:tc>
                          </w:tr>
                          <w:tr>
                            <w:tc>
                              <w:tcPr>
                                <w:tcW w:w="4362" w:type="pct"/>
                                <w:shd w:val="clear" w:color="auto" w:fill="auto"/>
                                <w:vAlign w:val="center"/>
                                <w:hideMark/>
                              </w:tcPr>
                              <w:p>
                                <w:pPr>
                                  <w:tabs>
                                    <w:tab w:val="left" w:pos="567"/>
                                  </w:tabs>
                                  <w:suppressAutoHyphens/>
                                  <w:spacing w:line="276" w:lineRule="auto"/>
                                  <w:jc w:val="both"/>
                                  <w:rPr>
                                    <w:rFonts w:eastAsia="Calibri"/>
                                    <w:bCs/>
                                    <w:color w:val="000000"/>
                                    <w:lang w:eastAsia="lt-LT"/>
                                  </w:rPr>
                                </w:pPr>
                                <w:r>
                                  <w:rPr>
                                    <w:rFonts w:eastAsia="Calibri"/>
                                    <w:bCs/>
                                    <w:color w:val="000000"/>
                                    <w:lang w:eastAsia="lt-LT"/>
                                  </w:rPr>
                                  <w:object w:dxaOrig="10620" w:dyaOrig="1939">
                                    <v:shape id="_x0000_i1172" type="#_x0000_t75" style="width:406.9pt;height:74.45pt" o:ole="">
                                      <v:imagedata r:id="rId577" o:title=""/>
                                    </v:shape>
                                    <o:OLEObject Type="Embed" ProgID="Equation.3" ShapeID="_x0000_i1172" DrawAspect="Content" ObjectID="_0000000001" r:id="rId578"/>
                                  </w:object>
                                </w:r>
                              </w:p>
                            </w:tc>
                            <w:tc>
                              <w:tcPr>
                                <w:tcW w:w="638" w:type="pct"/>
                                <w:gridSpan w:val="2"/>
                                <w:shd w:val="clear" w:color="auto" w:fill="auto"/>
                                <w:vAlign w:val="center"/>
                                <w:hideMark/>
                              </w:tcPr>
                              <w:p>
                                <w:pPr>
                                  <w:tabs>
                                    <w:tab w:val="left" w:pos="567"/>
                                  </w:tabs>
                                  <w:suppressAutoHyphens/>
                                  <w:spacing w:line="276" w:lineRule="auto"/>
                                  <w:ind w:firstLine="310"/>
                                  <w:rPr>
                                    <w:rFonts w:eastAsia="Calibri"/>
                                    <w:bCs/>
                                    <w:color w:val="000000"/>
                                    <w:lang w:eastAsia="lt-LT"/>
                                  </w:rPr>
                                </w:pPr>
                                <w:r>
                                  <w:rPr>
                                    <w:rFonts w:eastAsia="Calibri"/>
                                    <w:bCs/>
                                    <w:color w:val="000000"/>
                                    <w:lang w:eastAsia="lt-LT"/>
                                  </w:rPr>
                                  <w:t>(2.136)</w:t>
                                </w:r>
                              </w:p>
                            </w:tc>
                          </w:tr>
                        </w:tbl>
                        <w:p>
                          <w:pPr>
                            <w:tabs>
                              <w:tab w:val="left" w:pos="567"/>
                            </w:tabs>
                            <w:suppressAutoHyphens/>
                            <w:rPr>
                              <w:color w:val="000000"/>
                              <w:lang w:eastAsia="lt-LT"/>
                            </w:rPr>
                          </w:pPr>
                        </w:p>
                        <w:p>
                          <w:pPr>
                            <w:tabs>
                              <w:tab w:val="left" w:pos="567"/>
                            </w:tabs>
                            <w:suppressAutoHyphens/>
                            <w:ind w:left="567" w:hanging="567"/>
                            <w:jc w:val="both"/>
                            <w:rPr>
                              <w:iCs/>
                              <w:color w:val="FF0000"/>
                              <w:szCs w:val="24"/>
                              <w:lang w:eastAsia="lt-LT"/>
                            </w:rPr>
                          </w:pPr>
                          <w:r>
                            <w:rPr>
                              <w:color w:val="000000"/>
                              <w:lang w:eastAsia="lt-LT"/>
                            </w:rPr>
                            <w:t>čia:</w:t>
                          </w:r>
                          <w:r>
                            <w:rPr>
                              <w:color w:val="FF0000"/>
                              <w:szCs w:val="24"/>
                              <w:lang w:eastAsia="lt-LT"/>
                            </w:rPr>
                            <w:t xml:space="preserve"> </w:t>
                          </w:r>
                          <w:r>
                            <w:rPr>
                              <w:szCs w:val="24"/>
                              <w:lang w:eastAsia="lt-LT"/>
                            </w:rPr>
                            <w:t xml:space="preserve">jei pagal (2.136)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rFonts w:ascii="Calibri" w:hAnsi="Calibri" w:cs="Calibri"/>
                              <w:bCs/>
                              <w:iCs/>
                              <w:szCs w:val="24"/>
                              <w:lang w:eastAsia="lt-LT"/>
                            </w:rPr>
                            <w:t>=</w:t>
                          </w:r>
                          <w:r>
                            <w:rPr>
                              <w:bCs/>
                              <w:iCs/>
                              <w:szCs w:val="24"/>
                              <w:lang w:eastAsia="lt-LT"/>
                            </w:rPr>
                            <w:t>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39.3.4 pp."/>
                        <w:tag w:val="part_31f45b86659c412a9c6a4920e032f952"/>
                        <w:lock w:val="sdtLocked"/>
                        <w:richText/>
                      </w:sdtPr>
                      <w:sdtContent>
                        <w:p>
                          <w:pPr>
                            <w:tabs>
                              <w:tab w:val="left" w:pos="567"/>
                              <w:tab w:val="left" w:pos="993"/>
                            </w:tabs>
                            <w:suppressAutoHyphens/>
                            <w:ind w:firstLine="567"/>
                            <w:jc w:val="both"/>
                            <w:rPr>
                              <w:rFonts w:eastAsia="Calibri"/>
                              <w:szCs w:val="22"/>
                              <w:lang w:eastAsia="lt-LT"/>
                            </w:rPr>
                          </w:pPr>
                          <w:sdt>
                            <w:sdtPr>
                              <w:alias w:val="Numeris"/>
                              <w:tag w:val="nr_31f45b86659c412a9c6a4920e032f952"/>
                              <w:lock w:val="sdtLocked"/>
                              <w:richText/>
                            </w:sdtPr>
                            <w:sdtContent>
                              <w:r>
                                <w:rPr>
                                  <w:rFonts w:eastAsia="Calibri"/>
                                  <w:color w:val="000000"/>
                                  <w:szCs w:val="22"/>
                                </w:rPr>
                                <w:t>39.3.4</w:t>
                              </w:r>
                            </w:sdtContent>
                          </w:sdt>
                          <w:r>
                            <w:rPr>
                              <w:rFonts w:eastAsia="Calibri"/>
                              <w:color w:val="000000"/>
                              <w:szCs w:val="22"/>
                            </w:rPr>
                            <w:t>. jei karštam vandeniui ruošti kartu su dujiniais katilais su absorbciniais šilumos</w:t>
                          </w:r>
                          <w:r>
                            <w:rPr>
                              <w:rFonts w:eastAsia="Calibri"/>
                              <w:szCs w:val="22"/>
                              <w:lang w:eastAsia="lt-LT"/>
                            </w:rPr>
                            <w:t xml:space="preserve"> siurbliais naudojama bet kuri kita 2.21 lentelėje 9-12 eilutėse išvardinta elektros energiją naudojanti įranga: </w:t>
                          </w:r>
                        </w:p>
                        <w:p>
                          <w:pPr>
                            <w:tabs>
                              <w:tab w:val="left" w:pos="506"/>
                              <w:tab w:val="left" w:pos="567"/>
                            </w:tabs>
                            <w:suppressAutoHyphens/>
                            <w:rPr>
                              <w:b/>
                              <w:bCs/>
                              <w:szCs w:val="24"/>
                              <w:lang w:eastAsia="lt-LT"/>
                            </w:rPr>
                          </w:pPr>
                        </w:p>
                        <w:tbl>
                          <w:tblPr>
                            <w:tblW w:w="5000" w:type="pct"/>
                            <w:tblLook w:val="01E0" w:firstRow="1" w:lastRow="1" w:firstColumn="1" w:lastColumn="1" w:noHBand="0" w:noVBand="0"/>
                          </w:tblPr>
                          <w:tblGrid>
                            <w:gridCol w:w="8697"/>
                            <w:gridCol w:w="1299"/>
                          </w:tblGrid>
                          <w:tr>
                            <w:tc>
                              <w:tcPr>
                                <w:tcW w:w="4350" w:type="pct"/>
                                <w:shd w:val="clear" w:color="auto" w:fill="auto"/>
                                <w:vAlign w:val="center"/>
                              </w:tcPr>
                              <w:p>
                                <w:pPr>
                                  <w:tabs>
                                    <w:tab w:val="left" w:pos="567"/>
                                  </w:tabs>
                                  <w:suppressAutoHyphens/>
                                  <w:jc w:val="center"/>
                                  <w:rPr>
                                    <w:rFonts w:eastAsia="Calibri"/>
                                    <w:bCs/>
                                    <w:szCs w:val="22"/>
                                    <w:lang w:eastAsia="lt-LT"/>
                                  </w:rPr>
                                </w:pPr>
                                <w:r>
                                  <w:rPr>
                                    <w:szCs w:val="24"/>
                                    <w:lang w:eastAsia="lt-LT"/>
                                  </w:rPr>
                                  <w:object w:dxaOrig="9040" w:dyaOrig="2320">
                                    <v:shape id="_x0000_i1173" type="#_x0000_t75" style="width:384.25pt;height:94.65pt" o:ole="">
                                      <v:imagedata r:id="rId579" o:title=""/>
                                    </v:shape>
                                    <o:OLEObject Type="Embed" ProgID="Equation.3" ShapeID="_x0000_i1173" DrawAspect="Content" ObjectID="_0000000001" r:id="rId580"/>
                                  </w:object>
                                  <w:t>;</w:t>
                                </w:r>
                              </w:p>
                            </w:tc>
                            <w:tc>
                              <w:tcPr>
                                <w:tcW w:w="650" w:type="pct"/>
                                <w:shd w:val="clear" w:color="auto" w:fill="auto"/>
                                <w:vAlign w:val="center"/>
                                <w:hideMark/>
                              </w:tcPr>
                              <w:p>
                                <w:pPr>
                                  <w:tabs>
                                    <w:tab w:val="left" w:pos="567"/>
                                  </w:tabs>
                                  <w:suppressAutoHyphens/>
                                  <w:jc w:val="right"/>
                                  <w:rPr>
                                    <w:rFonts w:eastAsia="Calibri"/>
                                    <w:bCs/>
                                    <w:szCs w:val="22"/>
                                    <w:lang w:eastAsia="lt-LT"/>
                                  </w:rPr>
                                </w:pPr>
                                <w:r>
                                  <w:rPr>
                                    <w:bCs/>
                                    <w:lang w:eastAsia="lt-LT"/>
                                  </w:rPr>
                                  <w:t>(2.136-1)</w:t>
                                </w:r>
                              </w:p>
                            </w:tc>
                          </w:tr>
                        </w:tbl>
                        <w:p>
                          <w:pPr>
                            <w:tabs>
                              <w:tab w:val="left" w:pos="567"/>
                            </w:tabs>
                            <w:suppressAutoHyphens/>
                            <w:ind w:left="567" w:hanging="567"/>
                            <w:jc w:val="both"/>
                            <w:rPr>
                              <w:b/>
                              <w:szCs w:val="24"/>
                              <w:lang w:eastAsia="lt-LT"/>
                            </w:rPr>
                          </w:pPr>
                        </w:p>
                        <w:p>
                          <w:pPr>
                            <w:tabs>
                              <w:tab w:val="left" w:pos="567"/>
                              <w:tab w:val="left" w:pos="851"/>
                            </w:tabs>
                            <w:suppressAutoHyphens/>
                            <w:ind w:left="567" w:hanging="567"/>
                            <w:jc w:val="both"/>
                            <w:rPr>
                              <w:szCs w:val="24"/>
                              <w:lang w:eastAsia="lt-LT"/>
                            </w:rPr>
                          </w:pPr>
                          <w:r>
                            <w:rPr>
                              <w:szCs w:val="24"/>
                              <w:lang w:eastAsia="lt-LT"/>
                            </w:rPr>
                            <w:t>čia:</w:t>
                            <w:tab/>
                          </w:r>
                          <w:r>
                            <w:rPr>
                              <w:i/>
                              <w:szCs w:val="24"/>
                              <w:lang w:eastAsia="lt-LT"/>
                            </w:rPr>
                            <w:t>Q</w:t>
                          </w:r>
                          <w:r>
                            <w:rPr>
                              <w:i/>
                              <w:szCs w:val="24"/>
                              <w:vertAlign w:val="subscript"/>
                              <w:lang w:eastAsia="lt-LT"/>
                            </w:rPr>
                            <w:t xml:space="preserve">hwE.,m </w:t>
                          </w:r>
                          <w:r>
                            <w:rPr>
                              <w:szCs w:val="24"/>
                              <w:lang w:eastAsia="lt-LT"/>
                            </w:rPr>
                            <w:t>– apskaičiuojama pagal (2.589-1) formulę (kWh/(m</w:t>
                          </w:r>
                          <w:r>
                            <w:rPr>
                              <w:szCs w:val="24"/>
                              <w:vertAlign w:val="superscript"/>
                              <w:lang w:eastAsia="lt-LT"/>
                            </w:rPr>
                            <w:t>2</w:t>
                          </w:r>
                          <w:r>
                            <w:rPr>
                              <w:szCs w:val="24"/>
                              <w:lang w:eastAsia="lt-LT"/>
                            </w:rPr>
                            <w:t>·mėn.));</w:t>
                          </w:r>
                        </w:p>
                        <w:p>
                          <w:pPr>
                            <w:tabs>
                              <w:tab w:val="left" w:pos="567"/>
                            </w:tabs>
                            <w:suppressAutoHyphens/>
                            <w:ind w:firstLine="567"/>
                            <w:jc w:val="both"/>
                            <w:rPr>
                              <w:szCs w:val="24"/>
                              <w:lang w:eastAsia="lt-LT"/>
                            </w:rPr>
                          </w:pPr>
                          <w:r>
                            <w:rPr>
                              <w:i/>
                              <w:iCs/>
                              <w:szCs w:val="24"/>
                              <w:lang w:eastAsia="lt-LT"/>
                            </w:rPr>
                            <w:t>Q</w:t>
                          </w:r>
                          <w:r>
                            <w:rPr>
                              <w:i/>
                              <w:iCs/>
                              <w:szCs w:val="24"/>
                              <w:vertAlign w:val="subscript"/>
                              <w:lang w:eastAsia="lt-LT"/>
                            </w:rPr>
                            <w:t>hw.E.SK+WE+HE</w:t>
                          </w:r>
                          <w:r>
                            <w:rPr>
                              <w:szCs w:val="24"/>
                              <w:lang w:eastAsia="lt-LT"/>
                            </w:rPr>
                            <w:t xml:space="preserve"> – apskaičiuojama pagal (2.563-2) formulę;</w:t>
                          </w:r>
                        </w:p>
                        <w:p>
                          <w:pPr>
                            <w:tabs>
                              <w:tab w:val="left" w:pos="567"/>
                            </w:tabs>
                            <w:suppressAutoHyphens/>
                            <w:ind w:left="567"/>
                            <w:jc w:val="both"/>
                            <w:rPr>
                              <w:iCs/>
                              <w:szCs w:val="24"/>
                              <w:lang w:eastAsia="lt-LT"/>
                            </w:rPr>
                          </w:pPr>
                          <w:r>
                            <w:rPr>
                              <w:szCs w:val="24"/>
                              <w:lang w:eastAsia="lt-LT"/>
                            </w:rPr>
                            <w:t xml:space="preserve">jei pagal (2.136-1)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bCs/>
                              <w:iCs/>
                              <w:szCs w:val="24"/>
                              <w:lang w:eastAsia="lt-LT"/>
                            </w:rPr>
                            <w:t>=0;</w:t>
                          </w:r>
                        </w:p>
                        <w:p>
                          <w:pPr>
                            <w:tabs>
                              <w:tab w:val="left" w:pos="567"/>
                              <w:tab w:val="left" w:pos="709"/>
                            </w:tabs>
                            <w:suppressAutoHyphens/>
                            <w:ind w:firstLine="567"/>
                            <w:rPr>
                              <w:bCs/>
                              <w:szCs w:val="24"/>
                              <w:lang w:eastAsia="lt-LT"/>
                            </w:rPr>
                          </w:pPr>
                          <w:r>
                            <w:rPr>
                              <w:i/>
                              <w:szCs w:val="24"/>
                              <w:lang w:eastAsia="lt-LT"/>
                            </w:rPr>
                            <w:t>η</w:t>
                          </w:r>
                          <w:r>
                            <w:rPr>
                              <w:i/>
                              <w:szCs w:val="24"/>
                              <w:vertAlign w:val="subscript"/>
                              <w:lang w:eastAsia="lt-LT"/>
                            </w:rPr>
                            <w:t xml:space="preserve">hw.eq1  </w:t>
                          </w:r>
                          <w:r>
                            <w:rPr>
                              <w:szCs w:val="24"/>
                              <w:lang w:eastAsia="lt-LT"/>
                            </w:rPr>
                            <w:t>– dujinio katilo su absorbciniu šilumos siurbliu</w:t>
                          </w:r>
                          <w:r>
                            <w:rPr>
                              <w:bCs/>
                              <w:szCs w:val="24"/>
                              <w:lang w:eastAsia="lt-LT"/>
                            </w:rPr>
                            <w:t xml:space="preserve"> 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39.3.5 pp."/>
                        <w:tag w:val="part_f90b4d6beefe4daf9201ddd178abc74a"/>
                        <w:lock w:val="sdtLocked"/>
                        <w:richText/>
                      </w:sdtPr>
                      <w:sdtContent>
                        <w:p>
                          <w:pPr>
                            <w:tabs>
                              <w:tab w:val="left" w:pos="426"/>
                              <w:tab w:val="left" w:pos="567"/>
                            </w:tabs>
                            <w:ind w:firstLine="567"/>
                            <w:jc w:val="both"/>
                            <w:rPr>
                              <w:rFonts w:eastAsia="Calibri"/>
                              <w:szCs w:val="22"/>
                            </w:rPr>
                          </w:pPr>
                          <w:sdt>
                            <w:sdtPr>
                              <w:alias w:val="Numeris"/>
                              <w:tag w:val="nr_f90b4d6beefe4daf9201ddd178abc74a"/>
                              <w:lock w:val="sdtLocked"/>
                              <w:richText/>
                            </w:sdtPr>
                            <w:sdtContent>
                              <w:r>
                                <w:rPr>
                                  <w:rFonts w:eastAsia="Calibri"/>
                                  <w:szCs w:val="22"/>
                                </w:rPr>
                                <w:t>39.3.5</w:t>
                              </w:r>
                            </w:sdtContent>
                          </w:sdt>
                          <w:r>
                            <w:rPr>
                              <w:rFonts w:eastAsia="Calibri"/>
                              <w:szCs w:val="22"/>
                            </w:rPr>
                            <w:t xml:space="preserve">. jei karštam vandeniui ruošti kartu su dujiniais katilais su absorbciniais šilumos siurbliais naudojama bet kuri kita 2.21 lentelėje išvardinta elektros energijos nenaudojanti įranga:  </w:t>
                          </w:r>
                        </w:p>
                        <w:tbl>
                          <w:tblPr>
                            <w:tblW w:w="5000" w:type="pct"/>
                            <w:tblLook w:val="01E0" w:firstRow="1" w:lastRow="1" w:firstColumn="1" w:lastColumn="1" w:noHBand="0" w:noVBand="0"/>
                          </w:tblPr>
                          <w:tblGrid>
                            <w:gridCol w:w="8591"/>
                            <w:gridCol w:w="1405"/>
                          </w:tblGrid>
                          <w:tr>
                            <w:tc>
                              <w:tcPr>
                                <w:tcW w:w="4297" w:type="pct"/>
                                <w:vAlign w:val="center"/>
                              </w:tcPr>
                              <w:p>
                                <w:pPr>
                                  <w:tabs>
                                    <w:tab w:val="left" w:pos="567"/>
                                  </w:tabs>
                                  <w:suppressAutoHyphens/>
                                  <w:ind w:firstLine="567"/>
                                  <w:jc w:val="center"/>
                                  <w:rPr>
                                    <w:rFonts w:eastAsia="Calibri"/>
                                    <w:bCs/>
                                    <w:strike/>
                                    <w:szCs w:val="22"/>
                                    <w:lang w:eastAsia="lt-LT"/>
                                  </w:rPr>
                                </w:pPr>
                              </w:p>
                            </w:tc>
                            <w:tc>
                              <w:tcPr>
                                <w:tcW w:w="703" w:type="pct"/>
                                <w:vAlign w:val="center"/>
                              </w:tcPr>
                              <w:p>
                                <w:pPr>
                                  <w:tabs>
                                    <w:tab w:val="left" w:pos="567"/>
                                  </w:tabs>
                                  <w:suppressAutoHyphens/>
                                  <w:ind w:firstLine="567"/>
                                  <w:jc w:val="right"/>
                                  <w:rPr>
                                    <w:rFonts w:eastAsia="Calibri"/>
                                    <w:bCs/>
                                    <w:strike/>
                                    <w:szCs w:val="22"/>
                                    <w:lang w:eastAsia="lt-LT"/>
                                  </w:rPr>
                                </w:pPr>
                              </w:p>
                            </w:tc>
                          </w:tr>
                          <w:tr>
                            <w:tc>
                              <w:tcPr>
                                <w:tcW w:w="4297" w:type="pct"/>
                                <w:vAlign w:val="center"/>
                              </w:tcPr>
                              <w:tbl>
                                <w:tblPr>
                                  <w:tblW w:w="5000" w:type="pct"/>
                                  <w:tblLook w:val="01E0" w:firstRow="1" w:lastRow="1" w:firstColumn="1" w:lastColumn="1" w:noHBand="0" w:noVBand="0"/>
                                </w:tblPr>
                                <w:tblGrid>
                                  <w:gridCol w:w="7197"/>
                                  <w:gridCol w:w="1178"/>
                                </w:tblGrid>
                                <w:tr>
                                  <w:tc>
                                    <w:tcPr>
                                      <w:tcW w:w="4297" w:type="pct"/>
                                      <w:vAlign w:val="center"/>
                                    </w:tcPr>
                                    <w:p>
                                      <w:pPr>
                                        <w:tabs>
                                          <w:tab w:val="left" w:pos="567"/>
                                        </w:tabs>
                                        <w:suppressAutoHyphens/>
                                        <w:ind w:firstLine="567"/>
                                        <w:jc w:val="center"/>
                                        <w:rPr>
                                          <w:rFonts w:eastAsia="Calibri"/>
                                          <w:bCs/>
                                          <w:szCs w:val="22"/>
                                          <w:lang w:eastAsia="lt-LT"/>
                                        </w:rPr>
                                      </w:pPr>
                                      <w:r>
                                        <w:rPr>
                                          <w:rFonts w:eastAsia="Calibri"/>
                                          <w:bCs/>
                                          <w:szCs w:val="22"/>
                                          <w:lang w:eastAsia="lt-LT"/>
                                        </w:rPr>
                                        <w:object w:dxaOrig="5300" w:dyaOrig="2320">
                                          <v:shape id="_x0000_i1174" type="#_x0000_t75" style="width:240.25pt;height:104.35pt" o:ole="">
                                            <v:imagedata r:id="rId581" o:title=""/>
                                          </v:shape>
                                          <o:OLEObject Type="Embed" ProgID="Equation.3" ShapeID="_x0000_i1174" DrawAspect="Content" ObjectID="_0000000001" r:id="rId582"/>
                                        </w:object>
                                      </w:r>
                                    </w:p>
                                  </w:tc>
                                  <w:tc>
                                    <w:tcPr>
                                      <w:tcW w:w="703" w:type="pct"/>
                                      <w:vAlign w:val="center"/>
                                      <w:hideMark/>
                                    </w:tcPr>
                                    <w:p>
                                      <w:pPr>
                                        <w:tabs>
                                          <w:tab w:val="left" w:pos="567"/>
                                        </w:tabs>
                                        <w:suppressAutoHyphens/>
                                        <w:ind w:firstLine="567"/>
                                        <w:jc w:val="right"/>
                                        <w:rPr>
                                          <w:rFonts w:eastAsia="Calibri"/>
                                          <w:bCs/>
                                          <w:szCs w:val="22"/>
                                          <w:lang w:eastAsia="lt-LT"/>
                                        </w:rPr>
                                      </w:pPr>
                                    </w:p>
                                  </w:tc>
                                </w:tr>
                              </w:tbl>
                              <w:p>
                                <w:pPr>
                                  <w:tabs>
                                    <w:tab w:val="left" w:pos="567"/>
                                  </w:tabs>
                                  <w:suppressAutoHyphens/>
                                  <w:ind w:firstLine="567"/>
                                  <w:jc w:val="center"/>
                                  <w:rPr>
                                    <w:strike/>
                                    <w:szCs w:val="24"/>
                                    <w:lang w:eastAsia="lt-LT"/>
                                  </w:rPr>
                                </w:pPr>
                              </w:p>
                            </w:tc>
                            <w:tc>
                              <w:tcPr>
                                <w:tcW w:w="703" w:type="pct"/>
                                <w:vAlign w:val="center"/>
                              </w:tcPr>
                              <w:p>
                                <w:pPr>
                                  <w:tabs>
                                    <w:tab w:val="left" w:pos="567"/>
                                  </w:tabs>
                                  <w:suppressAutoHyphens/>
                                  <w:jc w:val="right"/>
                                  <w:rPr>
                                    <w:bCs/>
                                    <w:strike/>
                                    <w:lang w:eastAsia="lt-LT"/>
                                  </w:rPr>
                                </w:pPr>
                                <w:r>
                                  <w:rPr>
                                    <w:bCs/>
                                    <w:lang w:eastAsia="lt-LT"/>
                                  </w:rPr>
                                  <w:t>(2.136-2)</w:t>
                                </w:r>
                              </w:p>
                            </w:tc>
                          </w:tr>
                        </w:tbl>
                        <w:p>
                          <w:pPr>
                            <w:tabs>
                              <w:tab w:val="left" w:pos="567"/>
                            </w:tabs>
                            <w:suppressAutoHyphens/>
                            <w:ind w:firstLine="567"/>
                            <w:jc w:val="both"/>
                            <w:rPr>
                              <w:szCs w:val="24"/>
                              <w:lang w:eastAsia="lt-LT"/>
                            </w:rPr>
                          </w:pPr>
                          <w:r>
                            <w:rPr>
                              <w:szCs w:val="24"/>
                              <w:lang w:eastAsia="lt-LT"/>
                            </w:rPr>
                            <w:t>čia:</w:t>
                            <w:tab/>
                          </w:r>
                          <w:r>
                            <w:rPr>
                              <w:i/>
                              <w:szCs w:val="24"/>
                              <w:lang w:eastAsia="lt-LT"/>
                            </w:rPr>
                            <w:t>Q</w:t>
                          </w:r>
                          <w:r>
                            <w:rPr>
                              <w:i/>
                              <w:szCs w:val="24"/>
                              <w:vertAlign w:val="subscript"/>
                              <w:lang w:eastAsia="lt-LT"/>
                            </w:rPr>
                            <w:t xml:space="preserve">hwE.,m </w:t>
                          </w:r>
                          <w:r>
                            <w:rPr>
                              <w:szCs w:val="24"/>
                              <w:lang w:eastAsia="lt-LT"/>
                            </w:rPr>
                            <w:t>– apskaičiuojama pagal (2.589-1) formulę (kWh/(m</w:t>
                          </w:r>
                          <w:r>
                            <w:rPr>
                              <w:szCs w:val="24"/>
                              <w:vertAlign w:val="superscript"/>
                              <w:lang w:eastAsia="lt-LT"/>
                            </w:rPr>
                            <w:t>2</w:t>
                          </w:r>
                          <w:r>
                            <w:rPr>
                              <w:szCs w:val="24"/>
                              <w:lang w:eastAsia="lt-LT"/>
                            </w:rPr>
                            <w:t>·mėn.));</w:t>
                          </w:r>
                        </w:p>
                        <w:p>
                          <w:pPr>
                            <w:tabs>
                              <w:tab w:val="left" w:pos="567"/>
                            </w:tabs>
                            <w:suppressAutoHyphens/>
                            <w:ind w:firstLine="567"/>
                            <w:jc w:val="both"/>
                            <w:rPr>
                              <w:iCs/>
                              <w:szCs w:val="24"/>
                              <w:lang w:eastAsia="lt-LT"/>
                            </w:rPr>
                          </w:pPr>
                          <w:r>
                            <w:rPr>
                              <w:szCs w:val="24"/>
                              <w:lang w:eastAsia="lt-LT"/>
                            </w:rPr>
                            <w:t xml:space="preserve">jei pagal (2.136-2) formulę apskaičiuota </w:t>
                          </w:r>
                          <w:r>
                            <w:rPr>
                              <w:bCs/>
                              <w:i/>
                              <w:szCs w:val="24"/>
                              <w:lang w:eastAsia="lt-LT"/>
                            </w:rPr>
                            <w:t>Q</w:t>
                          </w:r>
                          <w:r>
                            <w:rPr>
                              <w:bCs/>
                              <w:i/>
                              <w:szCs w:val="24"/>
                              <w:vertAlign w:val="subscript"/>
                              <w:lang w:eastAsia="lt-LT"/>
                            </w:rPr>
                            <w:t>PRn.hw,m</w:t>
                          </w:r>
                          <w:r>
                            <w:rPr>
                              <w:bCs/>
                              <w:iCs/>
                              <w:szCs w:val="24"/>
                              <w:lang w:eastAsia="lt-LT"/>
                            </w:rPr>
                            <w:t xml:space="preserve">&lt;0, imama </w:t>
                          </w:r>
                          <w:r>
                            <w:rPr>
                              <w:bCs/>
                              <w:i/>
                              <w:szCs w:val="24"/>
                              <w:lang w:eastAsia="lt-LT"/>
                            </w:rPr>
                            <w:t>Q</w:t>
                          </w:r>
                          <w:r>
                            <w:rPr>
                              <w:bCs/>
                              <w:i/>
                              <w:szCs w:val="24"/>
                              <w:vertAlign w:val="subscript"/>
                              <w:lang w:eastAsia="lt-LT"/>
                            </w:rPr>
                            <w:t>PRn.hw,m</w:t>
                          </w:r>
                          <w:r>
                            <w:rPr>
                              <w:bCs/>
                              <w:iCs/>
                              <w:szCs w:val="24"/>
                              <w:lang w:eastAsia="lt-LT"/>
                            </w:rPr>
                            <w:t>=0;</w:t>
                          </w:r>
                        </w:p>
                        <w:p>
                          <w:pPr>
                            <w:tabs>
                              <w:tab w:val="left" w:pos="567"/>
                            </w:tabs>
                            <w:suppressAutoHyphens/>
                            <w:ind w:firstLine="567"/>
                            <w:jc w:val="both"/>
                            <w:rPr>
                              <w:bCs/>
                              <w:szCs w:val="24"/>
                              <w:lang w:eastAsia="lt-LT"/>
                            </w:rPr>
                          </w:pPr>
                          <w:r>
                            <w:rPr>
                              <w:i/>
                              <w:szCs w:val="24"/>
                              <w:lang w:eastAsia="lt-LT"/>
                            </w:rPr>
                            <w:t>η</w:t>
                          </w:r>
                          <w:r>
                            <w:rPr>
                              <w:i/>
                              <w:szCs w:val="24"/>
                              <w:vertAlign w:val="subscript"/>
                              <w:lang w:eastAsia="lt-LT"/>
                            </w:rPr>
                            <w:t xml:space="preserve">hw.eq1(1) </w:t>
                          </w:r>
                          <w:r>
                            <w:rPr>
                              <w:szCs w:val="24"/>
                              <w:lang w:eastAsia="lt-LT"/>
                            </w:rPr>
                            <w:t xml:space="preserve">– pirmosios elektros energijos nevartojančios įrangos, t. y. dujinio katilo su absorbciniu šilumos siurbliu, </w:t>
                          </w:r>
                          <w:r>
                            <w:rPr>
                              <w:bCs/>
                              <w:szCs w:val="24"/>
                              <w:lang w:eastAsia="lt-LT"/>
                            </w:rPr>
                            <w:t xml:space="preserve">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p>
                        <w:p>
                          <w:pPr>
                            <w:tabs>
                              <w:tab w:val="left" w:pos="567"/>
                            </w:tabs>
                            <w:suppressAutoHyphens/>
                            <w:ind w:firstLine="567"/>
                            <w:jc w:val="both"/>
                            <w:rPr>
                              <w:bCs/>
                              <w:szCs w:val="24"/>
                              <w:lang w:eastAsia="lt-LT"/>
                            </w:rPr>
                          </w:pPr>
                          <w:r>
                            <w:rPr>
                              <w:i/>
                              <w:szCs w:val="24"/>
                              <w:lang w:eastAsia="lt-LT"/>
                            </w:rPr>
                            <w:t>η</w:t>
                          </w:r>
                          <w:r>
                            <w:rPr>
                              <w:i/>
                              <w:szCs w:val="24"/>
                              <w:vertAlign w:val="subscript"/>
                              <w:lang w:eastAsia="lt-LT"/>
                            </w:rPr>
                            <w:t xml:space="preserve">hw.eq1(2)  </w:t>
                          </w:r>
                          <w:r>
                            <w:rPr>
                              <w:szCs w:val="24"/>
                              <w:lang w:eastAsia="lt-LT"/>
                            </w:rPr>
                            <w:t xml:space="preserve">– antrosios elektros energijos nevartojančios įrangos, nurodytos </w:t>
                          </w:r>
                          <w:r>
                            <w:rPr>
                              <w:bCs/>
                              <w:szCs w:val="24"/>
                              <w:lang w:eastAsia="lt-LT"/>
                            </w:rPr>
                            <w:t xml:space="preserve">2.21 lentelės 1-8 eilutėse, </w:t>
                          </w:r>
                          <w:r>
                            <w:rPr>
                              <w:i/>
                              <w:szCs w:val="24"/>
                              <w:lang w:eastAsia="lt-LT"/>
                            </w:rPr>
                            <w:t>η</w:t>
                          </w:r>
                          <w:r>
                            <w:rPr>
                              <w:i/>
                              <w:szCs w:val="24"/>
                              <w:vertAlign w:val="subscript"/>
                              <w:lang w:eastAsia="lt-LT"/>
                            </w:rPr>
                            <w:t xml:space="preserve">hw.eq1  </w:t>
                          </w:r>
                          <w:r>
                            <w:rPr>
                              <w:bCs/>
                              <w:szCs w:val="24"/>
                              <w:lang w:eastAsia="lt-LT"/>
                            </w:rPr>
                            <w:t>vertė.</w:t>
                          </w:r>
                        </w:p>
                        <w:p>
                          <w:pPr>
                            <w:tabs>
                              <w:tab w:val="left" w:pos="567"/>
                            </w:tabs>
                            <w:suppressAutoHyphens/>
                            <w:ind w:firstLine="567"/>
                            <w:jc w:val="both"/>
                            <w:rPr>
                              <w:lang w:eastAsia="lt-LT"/>
                            </w:rPr>
                          </w:pPr>
                          <w:r>
                            <w:rPr>
                              <w:lang w:eastAsia="lt-LT"/>
                            </w:rPr>
                            <w:t>Skaičiavimams pagal (2.134) - (2.136-2) formules turi būti taikomos šios ribinės sąlygos:</w:t>
                          </w:r>
                        </w:p>
                        <w:p>
                          <w:pPr>
                            <w:tabs>
                              <w:tab w:val="left" w:pos="567"/>
                            </w:tabs>
                            <w:suppressAutoHyphens/>
                            <w:ind w:firstLine="567"/>
                            <w:rPr>
                              <w:szCs w:val="24"/>
                              <w:lang w:eastAsia="lt-LT"/>
                            </w:rPr>
                          </w:pPr>
                          <w:r>
                            <w:rPr>
                              <w:szCs w:val="24"/>
                              <w:lang w:eastAsia="lt-LT"/>
                            </w:rPr>
                            <w:t xml:space="preserve">jei, </w:t>
                            <w:object w:dxaOrig="3080" w:dyaOrig="400">
                              <v:shape id="_x0000_i1175" type="#_x0000_t75" style="width:153.7pt;height:21.85pt" o:ole="">
                                <v:imagedata r:id="rId583" o:title=""/>
                              </v:shape>
                              <o:OLEObject Type="Embed" ProgID="Equation.3" ShapeID="_x0000_i1175" DrawAspect="Content" ObjectID="_0000000001" r:id="rId584"/>
                            </w:object>
                            <w:t>,</w:t>
                          </w:r>
                        </w:p>
                        <w:p>
                          <w:pPr>
                            <w:tabs>
                              <w:tab w:val="left" w:pos="567"/>
                            </w:tabs>
                            <w:suppressAutoHyphens/>
                            <w:ind w:firstLine="567"/>
                            <w:rPr>
                              <w:szCs w:val="24"/>
                              <w:lang w:val="en-US" w:eastAsia="lt-LT"/>
                            </w:rPr>
                          </w:pPr>
                          <w:r>
                            <w:rPr>
                              <w:szCs w:val="24"/>
                              <w:lang w:eastAsia="lt-LT"/>
                            </w:rPr>
                            <w:t xml:space="preserve">imama </w:t>
                            <w:object w:dxaOrig="3100" w:dyaOrig="400">
                              <v:shape id="_x0000_i1176" type="#_x0000_t75" style="width:173.95pt;height:21.85pt" o:ole="">
                                <v:imagedata r:id="rId585" o:title=""/>
                              </v:shape>
                              <o:OLEObject Type="Embed" ProgID="Equation.3" ShapeID="_x0000_i1176" DrawAspect="Content" ObjectID="_0000000001" r:id="rId586"/>
                            </w:object>
                            <w:t>;</w:t>
                          </w:r>
                        </w:p>
                        <w:p>
                          <w:pPr>
                            <w:tabs>
                              <w:tab w:val="left" w:pos="506"/>
                              <w:tab w:val="left" w:pos="567"/>
                            </w:tabs>
                            <w:suppressAutoHyphens/>
                            <w:ind w:firstLine="567"/>
                            <w:rPr>
                              <w:szCs w:val="24"/>
                              <w:lang w:eastAsia="lt-LT"/>
                            </w:rPr>
                          </w:pPr>
                          <w:r>
                            <w:rPr>
                              <w:szCs w:val="24"/>
                              <w:lang w:eastAsia="lt-LT"/>
                            </w:rPr>
                            <w:t xml:space="preserve">jei </w:t>
                            <w:object w:dxaOrig="3900" w:dyaOrig="400">
                              <v:shape id="_x0000_i1177" type="#_x0000_t75" style="width:3in;height:22.65pt" o:ole="">
                                <v:imagedata r:id="rId587" o:title=""/>
                              </v:shape>
                              <o:OLEObject Type="Embed" ProgID="Equation.3" ShapeID="_x0000_i1177" DrawAspect="Content" ObjectID="_0000000001" r:id="rId588"/>
                            </w:object>
                            <w:t>,</w:t>
                          </w:r>
                        </w:p>
                        <w:p>
                          <w:pPr>
                            <w:tabs>
                              <w:tab w:val="left" w:pos="506"/>
                              <w:tab w:val="left" w:pos="567"/>
                            </w:tabs>
                            <w:suppressAutoHyphens/>
                            <w:ind w:firstLine="567"/>
                            <w:rPr>
                              <w:szCs w:val="24"/>
                              <w:lang w:eastAsia="lt-LT"/>
                            </w:rPr>
                          </w:pPr>
                          <w:r>
                            <w:rPr>
                              <w:szCs w:val="24"/>
                              <w:lang w:eastAsia="lt-LT"/>
                            </w:rPr>
                            <w:t xml:space="preserve">imama </w:t>
                            <w:object w:dxaOrig="3860" w:dyaOrig="400">
                              <v:shape id="_x0000_i1178" type="#_x0000_t75" style="width:226.5pt;height:22.65pt" o:ole="">
                                <v:imagedata r:id="rId589" o:title=""/>
                              </v:shape>
                              <o:OLEObject Type="Embed" ProgID="Equation.3" ShapeID="_x0000_i1178" DrawAspect="Content" ObjectID="_0000000001" r:id="rId590"/>
                            </w:object>
                            <w:t>;</w:t>
                          </w:r>
                        </w:p>
                        <w:p>
                          <w:pPr>
                            <w:tabs>
                              <w:tab w:val="left" w:pos="506"/>
                              <w:tab w:val="left" w:pos="567"/>
                            </w:tabs>
                            <w:suppressAutoHyphens/>
                            <w:ind w:firstLine="567"/>
                            <w:rPr>
                              <w:szCs w:val="24"/>
                              <w:lang w:eastAsia="lt-LT"/>
                            </w:rPr>
                          </w:pPr>
                          <w:r>
                            <w:rPr>
                              <w:szCs w:val="24"/>
                              <w:lang w:eastAsia="lt-LT"/>
                            </w:rPr>
                            <w:t>jei</w:t>
                          </w:r>
                          <w:r>
                            <w:rPr>
                              <w:lang w:eastAsia="lt-LT"/>
                            </w:rPr>
                            <w:t xml:space="preserve"> </w:t>
                            <w:object w:dxaOrig="7520" w:dyaOrig="400">
                              <v:shape id="_x0000_i1179" type="#_x0000_t75" style="width:377pt;height:21.85pt" o:ole="">
                                <v:imagedata r:id="rId591" o:title=""/>
                              </v:shape>
                              <o:OLEObject Type="Embed" ProgID="Equation.3" ShapeID="_x0000_i1179" DrawAspect="Content" ObjectID="_0000000001" r:id="rId592"/>
                            </w:object>
                            <w:t>,</w:t>
                          </w:r>
                        </w:p>
                        <w:p>
                          <w:pPr>
                            <w:tabs>
                              <w:tab w:val="left" w:pos="567"/>
                            </w:tabs>
                            <w:suppressAutoHyphens/>
                            <w:ind w:firstLine="567"/>
                            <w:jc w:val="both"/>
                            <w:rPr>
                              <w:bCs/>
                              <w:szCs w:val="24"/>
                              <w:lang w:eastAsia="lt-LT"/>
                            </w:rPr>
                          </w:pPr>
                          <w:r>
                            <w:rPr>
                              <w:szCs w:val="24"/>
                              <w:lang w:eastAsia="lt-LT"/>
                            </w:rPr>
                            <w:t>imama</w:t>
                          </w:r>
                          <w:r>
                            <w:rPr>
                              <w:lang w:eastAsia="lt-LT"/>
                            </w:rPr>
                            <w:t xml:space="preserve"> </w:t>
                            <w:object w:dxaOrig="7520" w:dyaOrig="400">
                              <v:shape id="_x0000_i1180" type="#_x0000_t75" style="width:377pt;height:21.85pt" o:ole="">
                                <v:imagedata r:id="rId593" o:title=""/>
                              </v:shape>
                              <o:OLEObject Type="Embed" ProgID="Equation.3" ShapeID="_x0000_i1180" DrawAspect="Content" ObjectID="_0000000001" r:id="rId594"/>
                            </w:object>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39.3.6 pp."/>
                        <w:tag w:val="part_70b17db5075942229c304242f26601d4"/>
                        <w:lock w:val="sdtLocked"/>
                        <w:richText/>
                      </w:sdtPr>
                      <w:sdtContent>
                        <w:p>
                          <w:pPr>
                            <w:suppressAutoHyphens/>
                            <w:ind w:firstLine="567"/>
                            <w:jc w:val="both"/>
                            <w:rPr>
                              <w:szCs w:val="24"/>
                              <w:lang w:eastAsia="lt-LT"/>
                            </w:rPr>
                          </w:pPr>
                          <w:sdt>
                            <w:sdtPr>
                              <w:alias w:val="Numeris"/>
                              <w:tag w:val="nr_70b17db5075942229c304242f26601d4"/>
                              <w:lock w:val="sdtLocked"/>
                              <w:richText/>
                            </w:sdtPr>
                            <w:sdtContent>
                              <w:r>
                                <w:rPr>
                                  <w:bCs/>
                                  <w:szCs w:val="24"/>
                                  <w:lang w:eastAsia="lt-LT"/>
                                </w:rPr>
                                <w:t>39.3.6</w:t>
                              </w:r>
                            </w:sdtContent>
                          </w:sdt>
                          <w:r>
                            <w:rPr>
                              <w:bCs/>
                              <w:szCs w:val="24"/>
                              <w:lang w:eastAsia="lt-LT"/>
                            </w:rPr>
                            <w:t>. jei karšto vandens ruošimo sistemoje, kurioje panaudota 2.21 lentelės 1–3, 5–8 arba 12, 13 eilutėse nurodyta įranga, įrengtas ir kombinuotas tūrinis šildytuvas, tai 1–3 ir 9–12 metų mėnesiais tūrinio šildytuvo energijos sąnaudos neskaičiuojamos, o 4–8 metų mėnesiais turi būti skaičiuojamos tik tūrinio šildytuvo energijos sąnaudos, t. y. šiais mėnesiais skaičiavimams turi būti naudojami tik kombinuoto tūrinio šildytuvo duomenys, nurodyti 2.21 lentelės 11 eilutėje;</w:t>
                          </w:r>
                        </w:p>
                      </w:sdtContent>
                    </w:sdt>
                    <w:sdt>
                      <w:sdtPr>
                        <w:alias w:val="2 pr. 39.3.7 pp."/>
                        <w:tag w:val="part_b038ba8e0d1c407b897501f438ed822a"/>
                        <w:lock w:val="sdtLocked"/>
                        <w:richText/>
                      </w:sdtPr>
                      <w:sdtContent>
                        <w:p>
                          <w:pPr>
                            <w:suppressAutoHyphens/>
                            <w:ind w:firstLine="567"/>
                            <w:jc w:val="both"/>
                            <w:rPr>
                              <w:bCs/>
                              <w:lang w:eastAsia="lt-LT"/>
                            </w:rPr>
                          </w:pPr>
                          <w:sdt>
                            <w:sdtPr>
                              <w:alias w:val="Numeris"/>
                              <w:tag w:val="nr_b038ba8e0d1c407b897501f438ed822a"/>
                              <w:lock w:val="sdtLocked"/>
                              <w:richText/>
                            </w:sdtPr>
                            <w:sdtContent>
                              <w:r>
                                <w:rPr>
                                  <w:bCs/>
                                  <w:lang w:eastAsia="lt-LT"/>
                                </w:rPr>
                                <w:t>39.3.7</w:t>
                              </w:r>
                            </w:sdtContent>
                          </w:sdt>
                          <w:r>
                            <w:rPr>
                              <w:bCs/>
                              <w:lang w:eastAsia="lt-LT"/>
                            </w:rPr>
                            <w:t>. skirtingų karšto vandens ruošimo įrangų vidutinis naudingumo koeficientas apskaičiuojamas taip:</w:t>
                          </w:r>
                        </w:p>
                        <w:tbl>
                          <w:tblPr>
                            <w:tblW w:w="5000" w:type="pct"/>
                            <w:tblLook w:val="01E0" w:firstRow="1" w:lastRow="1" w:firstColumn="1" w:lastColumn="1" w:noHBand="0" w:noVBand="0"/>
                          </w:tblPr>
                          <w:tblGrid>
                            <w:gridCol w:w="8508"/>
                            <w:gridCol w:w="182"/>
                            <w:gridCol w:w="1016"/>
                            <w:gridCol w:w="290"/>
                          </w:tblGrid>
                          <w:tr>
                            <w:tc>
                              <w:tcPr>
                                <w:tcW w:w="4256" w:type="pct"/>
                                <w:vAlign w:val="center"/>
                                <w:hideMark/>
                              </w:tcPr>
                              <w:p>
                                <w:pPr>
                                  <w:suppressAutoHyphens/>
                                  <w:spacing w:line="276" w:lineRule="auto"/>
                                  <w:jc w:val="center"/>
                                  <w:rPr>
                                    <w:rFonts w:eastAsia="Calibri"/>
                                    <w:bCs/>
                                    <w:color w:val="000000"/>
                                    <w:szCs w:val="22"/>
                                  </w:rPr>
                                </w:pPr>
                                <w:r>
                                  <w:rPr>
                                    <w:rFonts w:eastAsia="Calibri"/>
                                    <w:color w:val="000000"/>
                                    <w:position w:val="-32"/>
                                    <w:szCs w:val="22"/>
                                  </w:rPr>
                                  <w:object w:dxaOrig="1850" w:dyaOrig="1060">
                                    <v:shape id="_x0000_i1181" type="#_x0000_t75" style="width:92.2pt;height:54.2pt" o:ole="">
                                      <v:imagedata r:id="rId595" o:title=""/>
                                    </v:shape>
                                    <o:OLEObject Type="Embed" ProgID="Equation.3" ShapeID="_x0000_i1181" DrawAspect="Content" ObjectID="_0000000001" r:id="rId596"/>
                                  </w:object>
                                </w:r>
                                <w:r>
                                  <w:rPr>
                                    <w:color w:val="000000"/>
                                    <w:lang w:eastAsia="lt-LT"/>
                                  </w:rPr>
                                  <w:t xml:space="preserve">  ,  </w:t>
                                </w:r>
                                <w:r>
                                  <w:rPr>
                                    <w:rFonts w:eastAsia="Calibri"/>
                                    <w:color w:val="000000"/>
                                    <w:position w:val="-32"/>
                                    <w:szCs w:val="22"/>
                                  </w:rPr>
                                  <w:object w:dxaOrig="1960" w:dyaOrig="1060">
                                    <v:shape id="_x0000_i1182" type="#_x0000_t75" style="width:98.7pt;height:54.2pt" o:ole="">
                                      <v:imagedata r:id="rId597" o:title=""/>
                                    </v:shape>
                                    <o:OLEObject Type="Embed" ProgID="Equation.3" ShapeID="_x0000_i1182" DrawAspect="Content" ObjectID="_0000000001" r:id="rId598"/>
                                  </w:object>
                                </w:r>
                                <w:r>
                                  <w:rPr>
                                    <w:color w:val="000000"/>
                                    <w:lang w:eastAsia="lt-LT"/>
                                  </w:rPr>
                                  <w:t xml:space="preserve">  ;</w:t>
                                </w:r>
                              </w:p>
                            </w:tc>
                            <w:tc>
                              <w:tcPr>
                                <w:tcW w:w="744" w:type="pct"/>
                                <w:gridSpan w:val="3"/>
                                <w:vAlign w:val="center"/>
                                <w:hideMark/>
                              </w:tcPr>
                              <w:p>
                                <w:pPr>
                                  <w:suppressAutoHyphens/>
                                  <w:spacing w:line="276" w:lineRule="auto"/>
                                  <w:jc w:val="right"/>
                                  <w:rPr>
                                    <w:rFonts w:eastAsia="Calibri"/>
                                    <w:bCs/>
                                    <w:color w:val="000000"/>
                                    <w:szCs w:val="22"/>
                                  </w:rPr>
                                </w:pPr>
                                <w:r>
                                  <w:rPr>
                                    <w:bCs/>
                                    <w:color w:val="000000"/>
                                    <w:lang w:eastAsia="lt-LT"/>
                                  </w:rPr>
                                  <w:t>(2.137)</w:t>
                                </w:r>
                              </w:p>
                            </w:tc>
                          </w:tr>
                          <w:tr>
                            <w:trPr>
                              <w:gridAfter w:val="1"/>
                              <w:wAfter w:w="145" w:type="pct"/>
                            </w:trPr>
                            <w:tc>
                              <w:tcPr>
                                <w:tcW w:w="4347" w:type="pct"/>
                                <w:gridSpan w:val="2"/>
                              </w:tcPr>
                              <w:p>
                                <w:pPr>
                                  <w:suppressAutoHyphens/>
                                  <w:spacing w:line="276" w:lineRule="auto"/>
                                  <w:jc w:val="center"/>
                                  <w:rPr>
                                    <w:rFonts w:eastAsia="Calibri"/>
                                    <w:bCs/>
                                    <w:color w:val="000000"/>
                                    <w:szCs w:val="22"/>
                                  </w:rPr>
                                </w:pPr>
                              </w:p>
                            </w:tc>
                            <w:tc>
                              <w:tcPr>
                                <w:tcW w:w="508" w:type="pct"/>
                                <w:vAlign w:val="center"/>
                              </w:tcPr>
                              <w:p>
                                <w:pPr>
                                  <w:suppressAutoHyphens/>
                                  <w:spacing w:line="276" w:lineRule="auto"/>
                                  <w:jc w:val="right"/>
                                  <w:rPr>
                                    <w:rFonts w:eastAsia="Calibri"/>
                                    <w:bCs/>
                                    <w:color w:val="000000"/>
                                    <w:szCs w:val="22"/>
                                  </w:rPr>
                                </w:pPr>
                              </w:p>
                            </w:tc>
                          </w:tr>
                        </w:tbl>
                        <w:p>
                          <w:pPr>
                            <w:tabs>
                              <w:tab w:val="left" w:pos="567"/>
                            </w:tabs>
                            <w:suppressAutoHyphens/>
                            <w:jc w:val="both"/>
                            <w:rPr>
                              <w:rFonts w:eastAsia="Calibri"/>
                              <w:szCs w:val="24"/>
                              <w:lang w:eastAsia="lt-LT"/>
                            </w:rPr>
                          </w:pPr>
                          <w:r>
                            <w:rPr>
                              <w:bCs/>
                              <w:szCs w:val="24"/>
                              <w:lang w:eastAsia="lt-LT"/>
                            </w:rPr>
                            <w:t>čia:</w:t>
                            <w:tab/>
                          </w:r>
                          <w:r>
                            <w:rPr>
                              <w:i/>
                              <w:szCs w:val="24"/>
                              <w:lang w:eastAsia="lt-LT"/>
                            </w:rPr>
                            <w:t>η</w:t>
                          </w:r>
                          <w:r>
                            <w:rPr>
                              <w:i/>
                              <w:szCs w:val="24"/>
                              <w:vertAlign w:val="subscript"/>
                              <w:lang w:eastAsia="lt-LT"/>
                            </w:rPr>
                            <w:t xml:space="preserve">hw.eq1,x </w:t>
                          </w:r>
                          <w:r>
                            <w:rPr>
                              <w:szCs w:val="24"/>
                              <w:lang w:eastAsia="lt-LT"/>
                            </w:rPr>
                            <w:t>– karšto buitinio vandens ruošimo atitinkamos „</w:t>
                          </w:r>
                          <w:r>
                            <w:rPr>
                              <w:i/>
                              <w:szCs w:val="24"/>
                              <w:lang w:eastAsia="lt-LT"/>
                            </w:rPr>
                            <w:t>x</w:t>
                          </w:r>
                          <w:r>
                            <w:rPr>
                              <w:szCs w:val="24"/>
                              <w:lang w:eastAsia="lt-LT"/>
                            </w:rPr>
                            <w:t xml:space="preserve">“ įrangos, kuri nevartoja elektros energijos (žr. </w:t>
                          </w:r>
                          <w:r>
                            <w:rPr>
                              <w:bCs/>
                              <w:szCs w:val="24"/>
                              <w:lang w:eastAsia="lt-LT"/>
                            </w:rPr>
                            <w:t>2.21 lentelės 1–8 eilutes),</w:t>
                          </w:r>
                          <w:r>
                            <w:rPr>
                              <w:szCs w:val="24"/>
                              <w:lang w:eastAsia="lt-LT"/>
                            </w:rPr>
                            <w:t xml:space="preserve"> naudingumo koeficientas;</w:t>
                          </w:r>
                        </w:p>
                        <w:p>
                          <w:pPr>
                            <w:tabs>
                              <w:tab w:val="left" w:pos="567"/>
                            </w:tabs>
                            <w:suppressAutoHyphens/>
                            <w:ind w:firstLine="567"/>
                            <w:jc w:val="both"/>
                            <w:rPr>
                              <w:bCs/>
                              <w:szCs w:val="24"/>
                              <w:lang w:eastAsia="lt-LT"/>
                            </w:rPr>
                          </w:pPr>
                          <w:r>
                            <w:rPr>
                              <w:i/>
                              <w:szCs w:val="24"/>
                              <w:lang w:eastAsia="lt-LT"/>
                            </w:rPr>
                            <w:t>n</w:t>
                          </w:r>
                          <w:r>
                            <w:rPr>
                              <w:i/>
                              <w:szCs w:val="24"/>
                              <w:vertAlign w:val="subscript"/>
                              <w:lang w:eastAsia="lt-LT"/>
                            </w:rPr>
                            <w:t xml:space="preserve">eq1 </w:t>
                          </w:r>
                          <w:r>
                            <w:rPr>
                              <w:szCs w:val="24"/>
                              <w:lang w:eastAsia="lt-LT"/>
                            </w:rPr>
                            <w:t xml:space="preserve">–karštam buitiniam vandeniui ruošti naudojamų </w:t>
                          </w:r>
                          <w:r>
                            <w:rPr>
                              <w:bCs/>
                              <w:szCs w:val="24"/>
                              <w:lang w:eastAsia="lt-LT"/>
                            </w:rPr>
                            <w:t>2.21 lentelės 1–8 eilutėse išvardintų įrangų tipų kiekis;</w:t>
                          </w:r>
                        </w:p>
                        <w:p>
                          <w:pPr>
                            <w:tabs>
                              <w:tab w:val="left" w:pos="567"/>
                            </w:tabs>
                            <w:suppressAutoHyphens/>
                            <w:ind w:firstLine="567"/>
                            <w:jc w:val="both"/>
                            <w:rPr>
                              <w:szCs w:val="24"/>
                              <w:lang w:eastAsia="lt-LT"/>
                            </w:rPr>
                          </w:pPr>
                          <w:r>
                            <w:rPr>
                              <w:i/>
                              <w:szCs w:val="24"/>
                              <w:lang w:eastAsia="lt-LT"/>
                            </w:rPr>
                            <w:t>η</w:t>
                          </w:r>
                          <w:r>
                            <w:rPr>
                              <w:i/>
                              <w:szCs w:val="24"/>
                              <w:vertAlign w:val="subscript"/>
                              <w:lang w:eastAsia="lt-LT"/>
                            </w:rPr>
                            <w:t xml:space="preserve">hw.eq2,x </w:t>
                          </w:r>
                          <w:r>
                            <w:rPr>
                              <w:szCs w:val="24"/>
                              <w:lang w:eastAsia="lt-LT"/>
                            </w:rPr>
                            <w:t>– karšto buitinio vandens ruošimo atitinkamos „</w:t>
                          </w:r>
                          <w:r>
                            <w:rPr>
                              <w:i/>
                              <w:szCs w:val="24"/>
                              <w:lang w:eastAsia="lt-LT"/>
                            </w:rPr>
                            <w:t>x</w:t>
                          </w:r>
                          <w:r>
                            <w:rPr>
                              <w:szCs w:val="24"/>
                              <w:lang w:eastAsia="lt-LT"/>
                            </w:rPr>
                            <w:t xml:space="preserve">“ įrangos, kuri vartoja elektros energiją (žr. </w:t>
                          </w:r>
                          <w:r>
                            <w:rPr>
                              <w:bCs/>
                              <w:szCs w:val="24"/>
                              <w:lang w:eastAsia="lt-LT"/>
                            </w:rPr>
                            <w:t>2.21 lentelės 9–12 eilutes),</w:t>
                          </w:r>
                          <w:r>
                            <w:rPr>
                              <w:szCs w:val="24"/>
                              <w:lang w:eastAsia="lt-LT"/>
                            </w:rPr>
                            <w:t xml:space="preserve"> naudingumo koeficientas;</w:t>
                          </w:r>
                        </w:p>
                        <w:p>
                          <w:pPr>
                            <w:tabs>
                              <w:tab w:val="left" w:pos="567"/>
                            </w:tabs>
                            <w:suppressAutoHyphens/>
                            <w:ind w:firstLine="567"/>
                            <w:jc w:val="both"/>
                            <w:rPr>
                              <w:szCs w:val="24"/>
                              <w:lang w:eastAsia="lt-LT"/>
                            </w:rPr>
                          </w:pPr>
                          <w:r>
                            <w:rPr>
                              <w:i/>
                              <w:szCs w:val="24"/>
                              <w:lang w:eastAsia="lt-LT"/>
                            </w:rPr>
                            <w:t>n</w:t>
                          </w:r>
                          <w:r>
                            <w:rPr>
                              <w:i/>
                              <w:szCs w:val="24"/>
                              <w:vertAlign w:val="subscript"/>
                              <w:lang w:eastAsia="lt-LT"/>
                            </w:rPr>
                            <w:t xml:space="preserve">eq2 </w:t>
                          </w:r>
                          <w:r>
                            <w:rPr>
                              <w:szCs w:val="24"/>
                              <w:lang w:eastAsia="lt-LT"/>
                            </w:rPr>
                            <w:t xml:space="preserve">– karštam buitiniam vandeniui ruošti naudojamų </w:t>
                          </w:r>
                          <w:r>
                            <w:rPr>
                              <w:bCs/>
                              <w:szCs w:val="24"/>
                              <w:lang w:eastAsia="lt-LT"/>
                            </w:rPr>
                            <w:t>2.21 lentelės 9–12 eilutėse išvardintų įrangų tipų skaičius kiekis;</w:t>
                          </w:r>
                        </w:p>
                      </w:sdtContent>
                    </w:sdt>
                    <w:sdt>
                      <w:sdtPr>
                        <w:alias w:val="2 pr. 39.3.8 pp."/>
                        <w:tag w:val="part_de41c9209e8d4e218ac5a17feaee0911"/>
                        <w:lock w:val="sdtLocked"/>
                        <w:richText/>
                      </w:sdtPr>
                      <w:sdtContent>
                        <w:p>
                          <w:pPr>
                            <w:tabs>
                              <w:tab w:val="left" w:pos="426"/>
                              <w:tab w:val="left" w:pos="567"/>
                            </w:tabs>
                            <w:suppressAutoHyphens/>
                            <w:ind w:firstLine="567"/>
                            <w:jc w:val="both"/>
                            <w:rPr>
                              <w:rFonts w:eastAsia="Calibri"/>
                              <w:color w:val="000000"/>
                              <w:szCs w:val="22"/>
                              <w:lang w:eastAsia="lt-LT"/>
                            </w:rPr>
                          </w:pPr>
                          <w:sdt>
                            <w:sdtPr>
                              <w:alias w:val="Numeris"/>
                              <w:tag w:val="nr_de41c9209e8d4e218ac5a17feaee0911"/>
                              <w:lock w:val="sdtLocked"/>
                              <w:richText/>
                            </w:sdtPr>
                            <w:sdtContent>
                              <w:r>
                                <w:rPr>
                                  <w:szCs w:val="24"/>
                                  <w:lang w:eastAsia="lt-LT"/>
                                </w:rPr>
                                <w:t>39.3.8</w:t>
                              </w:r>
                            </w:sdtContent>
                          </w:sdt>
                          <w:r>
                            <w:rPr>
                              <w:szCs w:val="24"/>
                              <w:lang w:eastAsia="lt-LT"/>
                            </w:rPr>
                            <w:t>. jei atskirose pastato zonose naudojamos skirtingos karšto vandens ruošimo sistemos arba atskirose pastato zonose karštam vandeniui ruošti naudojama skirtinga karšto vandens ruošimo įranga, arba pastato atskirose zonose karštam vandeniui ruošti naudojami skirtingi energijos kiekiai iš Saulės kolektorių ir vėjo elektrinių, (2.134)–</w:t>
                          </w:r>
                          <w:r>
                            <w:rPr>
                              <w:bCs/>
                              <w:szCs w:val="24"/>
                              <w:lang w:eastAsia="lt-LT"/>
                            </w:rPr>
                            <w:t>(2.136)</w:t>
                          </w:r>
                          <w:r>
                            <w:rPr>
                              <w:szCs w:val="24"/>
                              <w:lang w:eastAsia="lt-LT"/>
                            </w:rPr>
                            <w:t xml:space="preserve"> formulių dešinėje pusėje esančių dedamųjų skaičiavimai turi būti atlikti ne pastato šildomo ploto </w:t>
                          </w:r>
                          <w:r>
                            <w:rPr>
                              <w:i/>
                              <w:szCs w:val="24"/>
                              <w:lang w:eastAsia="lt-LT"/>
                            </w:rPr>
                            <w:t>A</w:t>
                          </w:r>
                          <w:r>
                            <w:rPr>
                              <w:i/>
                              <w:szCs w:val="24"/>
                              <w:vertAlign w:val="subscript"/>
                              <w:lang w:eastAsia="lt-LT"/>
                            </w:rPr>
                            <w:t>p</w:t>
                          </w:r>
                          <w:r>
                            <w:rPr>
                              <w:szCs w:val="24"/>
                              <w:lang w:eastAsia="lt-LT"/>
                            </w:rPr>
                            <w:t xml:space="preserve">(m²) vienetui, bet kiekvienos zonos </w:t>
                          </w:r>
                          <w:r>
                            <w:rPr>
                              <w:i/>
                              <w:szCs w:val="24"/>
                              <w:lang w:eastAsia="lt-LT"/>
                            </w:rPr>
                            <w:t xml:space="preserve">„z“ </w:t>
                          </w:r>
                          <w:r>
                            <w:rPr>
                              <w:szCs w:val="24"/>
                              <w:lang w:eastAsia="lt-LT"/>
                            </w:rPr>
                            <w:t xml:space="preserve">ploto </w:t>
                          </w:r>
                          <w:r>
                            <w:rPr>
                              <w:i/>
                              <w:szCs w:val="24"/>
                              <w:lang w:eastAsia="lt-LT"/>
                            </w:rPr>
                            <w:t>A</w:t>
                          </w:r>
                          <w:r>
                            <w:rPr>
                              <w:i/>
                              <w:szCs w:val="24"/>
                              <w:vertAlign w:val="subscript"/>
                              <w:lang w:eastAsia="lt-LT"/>
                            </w:rPr>
                            <w:t>hw,z</w:t>
                          </w:r>
                          <w:r>
                            <w:rPr>
                              <w:szCs w:val="24"/>
                              <w:lang w:eastAsia="lt-LT"/>
                            </w:rPr>
                            <w:t xml:space="preserve">(m²) vienetui. Kiekvienoje pastato zonoje „z“ turi būti apskaičiuotos kiekvieno mėnesio „m“ skaičiuojamosios neatsinaujinančios pirminės energijos sąnaudos karštam vandeniui ruošti </w:t>
                          </w:r>
                          <w:r>
                            <w:rPr>
                              <w:i/>
                              <w:szCs w:val="24"/>
                              <w:lang w:eastAsia="lt-LT"/>
                            </w:rPr>
                            <w:t>Q</w:t>
                          </w:r>
                          <w:r>
                            <w:rPr>
                              <w:i/>
                              <w:szCs w:val="24"/>
                              <w:vertAlign w:val="subscript"/>
                              <w:lang w:eastAsia="lt-LT"/>
                            </w:rPr>
                            <w:t>PRn.hw,m,z</w:t>
                          </w:r>
                          <w:r>
                            <w:rPr>
                              <w:szCs w:val="24"/>
                              <w:lang w:eastAsia="lt-LT"/>
                            </w:rPr>
                            <w:t xml:space="preserve"> (kWh/(m²·mėn.)), o viso pastato skaičiuojamosios neatsinaujinančios pirminės energijos sąnaudos karštam vandeniui ruošti </w:t>
                          </w:r>
                          <w:r>
                            <w:rPr>
                              <w:i/>
                              <w:szCs w:val="24"/>
                              <w:lang w:eastAsia="lt-LT"/>
                            </w:rPr>
                            <w:t>Q</w:t>
                          </w:r>
                          <w:r>
                            <w:rPr>
                              <w:i/>
                              <w:szCs w:val="24"/>
                              <w:vertAlign w:val="subscript"/>
                              <w:lang w:eastAsia="lt-LT"/>
                            </w:rPr>
                            <w:t>PRn.hw,m</w:t>
                          </w:r>
                          <w:r>
                            <w:rPr>
                              <w:szCs w:val="24"/>
                              <w:lang w:eastAsia="lt-LT"/>
                            </w:rPr>
                            <w:t xml:space="preserve"> (kWh/(m²·mėn.)) turi būti apskaičiuotos taip:</w:t>
                          </w: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2"/>
                                    <w:lang w:eastAsia="lt-LT"/>
                                  </w:rPr>
                                </w:pPr>
                                <w:r>
                                  <w:rPr>
                                    <w:color w:val="000000"/>
                                    <w:lang w:eastAsia="lt-LT"/>
                                  </w:rPr>
                                  <w:object w:dxaOrig="3555" w:dyaOrig="675">
                                    <v:shape id="_x0000_i1183" type="#_x0000_t75" style="width:179.6pt;height:34pt" o:ole="">
                                      <v:imagedata r:id="rId599" o:title=""/>
                                    </v:shape>
                                    <o:OLEObject Type="Embed" ProgID="Equation.3" ShapeID="_x0000_i1183" DrawAspect="Content" ObjectID="_0000000001" r:id="rId600"/>
                                  </w:object>
                                  <w:t xml:space="preserve">.                                     </w:t>
                                </w:r>
                              </w:p>
                            </w:tc>
                            <w:tc>
                              <w:tcPr>
                                <w:tcW w:w="1002" w:type="dxa"/>
                                <w:vAlign w:val="center"/>
                                <w:hideMark/>
                              </w:tcPr>
                              <w:p>
                                <w:pPr>
                                  <w:tabs>
                                    <w:tab w:val="left" w:pos="567"/>
                                  </w:tabs>
                                  <w:suppressAutoHyphens/>
                                  <w:spacing w:line="276" w:lineRule="auto"/>
                                  <w:jc w:val="right"/>
                                  <w:rPr>
                                    <w:rFonts w:eastAsia="Calibri"/>
                                    <w:bCs/>
                                    <w:color w:val="000000"/>
                                    <w:szCs w:val="22"/>
                                    <w:lang w:eastAsia="lt-LT"/>
                                  </w:rPr>
                                </w:pPr>
                                <w:r>
                                  <w:rPr>
                                    <w:color w:val="000000"/>
                                    <w:lang w:eastAsia="lt-LT"/>
                                  </w:rPr>
                                  <w:t>(2.138)</w:t>
                                </w:r>
                              </w:p>
                            </w:tc>
                          </w:tr>
                        </w:tbl>
                        <w:p>
                          <w:pPr>
                            <w:tabs>
                              <w:tab w:val="left" w:pos="567"/>
                            </w:tabs>
                            <w:suppressAutoHyphens/>
                            <w:ind w:firstLine="567"/>
                            <w:jc w:val="both"/>
                            <w:rPr>
                              <w:color w:val="000000"/>
                              <w:lang w:eastAsia="lt-LT"/>
                            </w:rPr>
                          </w:pPr>
                          <w:r>
                            <w:rPr>
                              <w:color w:val="000000"/>
                              <w:lang w:eastAsia="lt-LT"/>
                            </w:rPr>
                            <w:t>Karšto buitinio vandens ruošimo sistemos mėnesinis šiluminės energijos poreikis</w:t>
                          </w:r>
                          <w:r>
                            <w:rPr>
                              <w:i/>
                              <w:color w:val="000000"/>
                              <w:lang w:eastAsia="lt-LT"/>
                            </w:rPr>
                            <w:t xml:space="preserve"> Q</w:t>
                          </w:r>
                          <w:r>
                            <w:rPr>
                              <w:i/>
                              <w:color w:val="000000"/>
                              <w:vertAlign w:val="subscript"/>
                              <w:lang w:eastAsia="lt-LT"/>
                            </w:rPr>
                            <w:t>hw,m</w:t>
                          </w:r>
                          <w:r>
                            <w:rPr>
                              <w:color w:val="000000"/>
                              <w:lang w:eastAsia="lt-LT"/>
                            </w:rPr>
                            <w:t xml:space="preserve"> (kWh/(m</w:t>
                          </w:r>
                          <w:r>
                            <w:rPr>
                              <w:color w:val="000000"/>
                              <w:vertAlign w:val="superscript"/>
                              <w:lang w:eastAsia="lt-LT"/>
                            </w:rPr>
                            <w:t>2</w:t>
                          </w:r>
                          <w:r>
                            <w:rPr>
                              <w:color w:val="000000"/>
                              <w:lang w:eastAsia="lt-LT"/>
                            </w:rPr>
                            <w:t>·mėn.)) apskaičiuojamas taip:</w:t>
                          </w:r>
                        </w:p>
                        <w:p>
                          <w:pPr>
                            <w:tabs>
                              <w:tab w:val="left" w:pos="567"/>
                            </w:tabs>
                            <w:suppressAutoHyphens/>
                            <w:jc w:val="both"/>
                            <w:rPr>
                              <w:color w:val="000000"/>
                              <w:lang w:eastAsia="lt-LT"/>
                            </w:rPr>
                          </w:pPr>
                        </w:p>
                        <w:tbl>
                          <w:tblPr>
                            <w:tblW w:w="5000" w:type="pct"/>
                            <w:tblLook w:val="01E0" w:firstRow="1" w:lastRow="1" w:firstColumn="1" w:lastColumn="1" w:noHBand="0" w:noVBand="0"/>
                          </w:tblPr>
                          <w:tblGrid>
                            <w:gridCol w:w="7923"/>
                            <w:gridCol w:w="2073"/>
                          </w:tblGrid>
                          <w:tr>
                            <w:tc>
                              <w:tcPr>
                                <w:tcW w:w="3963" w:type="pct"/>
                                <w:hideMark/>
                              </w:tcPr>
                              <w:p>
                                <w:pPr>
                                  <w:tabs>
                                    <w:tab w:val="left" w:pos="567"/>
                                  </w:tabs>
                                  <w:suppressAutoHyphens/>
                                  <w:spacing w:line="276" w:lineRule="auto"/>
                                  <w:ind w:firstLine="434"/>
                                  <w:jc w:val="center"/>
                                  <w:rPr>
                                    <w:rFonts w:eastAsia="Calibri"/>
                                    <w:bCs/>
                                    <w:color w:val="000000"/>
                                    <w:szCs w:val="22"/>
                                    <w:lang w:eastAsia="lt-LT"/>
                                  </w:rPr>
                                </w:pPr>
                                <w:r>
                                  <w:rPr>
                                    <w:rFonts w:eastAsia="Calibri"/>
                                    <w:color w:val="000000"/>
                                    <w:szCs w:val="22"/>
                                    <w:lang w:eastAsia="lt-LT"/>
                                  </w:rPr>
                                  <w:object w:dxaOrig="3270" w:dyaOrig="615">
                                    <v:shape id="_x0000_i1184" type="#_x0000_t75" style="width:164.2pt;height:28.3pt" o:ole="">
                                      <v:imagedata r:id="rId601" o:title=""/>
                                    </v:shape>
                                    <o:OLEObject Type="Embed" ProgID="Equation.3" ShapeID="_x0000_i1184" DrawAspect="Content" ObjectID="_0000000001" r:id="rId602"/>
                                  </w:object>
                                </w:r>
                                <w:r>
                                  <w:rPr>
                                    <w:color w:val="000000"/>
                                    <w:lang w:eastAsia="lt-LT"/>
                                  </w:rPr>
                                  <w:t>;</w:t>
                                </w:r>
                              </w:p>
                            </w:tc>
                            <w:tc>
                              <w:tcPr>
                                <w:tcW w:w="1037" w:type="pct"/>
                                <w:vAlign w:val="center"/>
                                <w:hideMark/>
                              </w:tcPr>
                              <w:p>
                                <w:pPr>
                                  <w:tabs>
                                    <w:tab w:val="left" w:pos="567"/>
                                  </w:tabs>
                                  <w:suppressAutoHyphens/>
                                  <w:spacing w:line="276" w:lineRule="auto"/>
                                  <w:ind w:firstLine="868"/>
                                  <w:jc w:val="center"/>
                                  <w:rPr>
                                    <w:rFonts w:eastAsia="Calibri"/>
                                    <w:bCs/>
                                    <w:color w:val="000000"/>
                                    <w:szCs w:val="22"/>
                                    <w:lang w:eastAsia="lt-LT"/>
                                  </w:rPr>
                                </w:pPr>
                                <w:r>
                                  <w:rPr>
                                    <w:color w:val="000000"/>
                                    <w:lang w:eastAsia="lt-LT"/>
                                  </w:rPr>
                                  <w:t>(2.139)</w:t>
                                </w:r>
                              </w:p>
                            </w:tc>
                          </w:tr>
                        </w:tbl>
                        <w:p>
                          <w:pPr>
                            <w:tabs>
                              <w:tab w:val="left" w:pos="567"/>
                            </w:tabs>
                            <w:suppressAutoHyphens/>
                            <w:rPr>
                              <w:color w:val="000000"/>
                              <w:lang w:eastAsia="lt-LT"/>
                            </w:rPr>
                          </w:pPr>
                        </w:p>
                        <w:p>
                          <w:pPr>
                            <w:tabs>
                              <w:tab w:val="left" w:pos="567"/>
                            </w:tabs>
                            <w:suppressAutoHyphens/>
                            <w:rPr>
                              <w:rFonts w:eastAsia="Calibri"/>
                              <w:color w:val="000000"/>
                              <w:szCs w:val="22"/>
                              <w:lang w:eastAsia="lt-LT"/>
                            </w:rPr>
                          </w:pPr>
                          <w:r>
                            <w:rPr>
                              <w:color w:val="000000"/>
                              <w:lang w:eastAsia="lt-LT"/>
                            </w:rPr>
                            <w:t xml:space="preserve">čia (2.138) ir (2.139) formulėse: </w:t>
                          </w:r>
                        </w:p>
                        <w:p>
                          <w:pPr>
                            <w:tabs>
                              <w:tab w:val="left" w:pos="567"/>
                            </w:tabs>
                            <w:suppressAutoHyphens/>
                            <w:ind w:firstLine="567"/>
                            <w:jc w:val="both"/>
                            <w:rPr>
                              <w:i/>
                              <w:lang w:eastAsia="lt-LT"/>
                            </w:rPr>
                          </w:pPr>
                          <w:r>
                            <w:rPr>
                              <w:bCs/>
                              <w:i/>
                              <w:color w:val="000000"/>
                              <w:lang w:eastAsia="lt-LT"/>
                            </w:rPr>
                            <w:t>ψ</w:t>
                          </w:r>
                          <w:r>
                            <w:rPr>
                              <w:bCs/>
                              <w:i/>
                              <w:color w:val="000000"/>
                              <w:vertAlign w:val="subscript"/>
                              <w:lang w:eastAsia="lt-LT"/>
                            </w:rPr>
                            <w:t>hw</w:t>
                          </w:r>
                          <w:r>
                            <w:rPr>
                              <w:bCs/>
                              <w:color w:val="000000"/>
                              <w:vertAlign w:val="subscript"/>
                              <w:lang w:eastAsia="lt-LT"/>
                            </w:rPr>
                            <w:t xml:space="preserve"> </w:t>
                          </w:r>
                          <w:r>
                            <w:rPr>
                              <w:bCs/>
                              <w:color w:val="000000"/>
                              <w:lang w:eastAsia="lt-LT"/>
                            </w:rPr>
                            <w:t>– metinis energijos poreikis karštam vandeniui ruošti (kWh/(m</w:t>
                          </w:r>
                          <w:r>
                            <w:rPr>
                              <w:bCs/>
                              <w:color w:val="000000"/>
                              <w:vertAlign w:val="superscript"/>
                              <w:lang w:eastAsia="lt-LT"/>
                            </w:rPr>
                            <w:t>2</w:t>
                          </w:r>
                          <w:r>
                            <w:rPr>
                              <w:bCs/>
                              <w:color w:val="000000"/>
                              <w:lang w:eastAsia="lt-LT"/>
                            </w:rPr>
                            <w:t xml:space="preserve">·metai)). </w:t>
                          </w:r>
                          <w:r>
                            <w:rPr>
                              <w:bCs/>
                              <w:lang w:eastAsia="lt-LT"/>
                            </w:rPr>
                            <w:t>Imamas iš 2.4 lentelės.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hw.dis,m</w:t>
                          </w:r>
                          <w:r>
                            <w:rPr>
                              <w:color w:val="000000"/>
                              <w:vertAlign w:val="subscript"/>
                              <w:lang w:eastAsia="lt-LT"/>
                            </w:rPr>
                            <w:t xml:space="preserve"> </w:t>
                          </w:r>
                          <w:r>
                            <w:rPr>
                              <w:color w:val="000000"/>
                              <w:lang w:eastAsia="lt-LT"/>
                            </w:rPr>
                            <w:t>– mėnesiniai skaičiuojamieji šilumos nuostoliai karšto vandens ruošimo sistemos vamzdynuose (kWh/(m</w:t>
                          </w:r>
                          <w:r>
                            <w:rPr>
                              <w:color w:val="000000"/>
                              <w:vertAlign w:val="superscript"/>
                              <w:lang w:eastAsia="lt-LT"/>
                            </w:rPr>
                            <w:t>2</w:t>
                          </w:r>
                          <w:r>
                            <w:rPr>
                              <w:color w:val="000000"/>
                              <w:lang w:eastAsia="lt-LT"/>
                            </w:rPr>
                            <w:t>·mėn.)). Nustatomi pagal 41 punkto reikalavimus;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hwSW,m</w:t>
                          </w:r>
                          <w:r>
                            <w:rPr>
                              <w:color w:val="000000"/>
                              <w:vertAlign w:val="subscript"/>
                              <w:lang w:eastAsia="lt-LT"/>
                            </w:rPr>
                            <w:t xml:space="preserve"> </w:t>
                          </w:r>
                          <w:r>
                            <w:rPr>
                              <w:color w:val="000000"/>
                              <w:lang w:eastAsia="lt-LT"/>
                            </w:rPr>
                            <w:t>– mėnesiniai skaičiuojamieji šilumos nuostoliai karšto vandens talpose, esančiose karšto vandens ruošimo sistemoje (kWh/(m</w:t>
                          </w:r>
                          <w:r>
                            <w:rPr>
                              <w:color w:val="000000"/>
                              <w:vertAlign w:val="superscript"/>
                              <w:lang w:eastAsia="lt-LT"/>
                            </w:rPr>
                            <w:t>2</w:t>
                          </w:r>
                          <w:r>
                            <w:rPr>
                              <w:color w:val="000000"/>
                              <w:lang w:eastAsia="lt-LT"/>
                            </w:rPr>
                            <w:t>·mėn.)). Nustatomi pagal 42 punkto reikalavimus;</w:t>
                          </w:r>
                        </w:p>
                        <w:p>
                          <w:pPr>
                            <w:tabs>
                              <w:tab w:val="left" w:pos="567"/>
                            </w:tabs>
                            <w:suppressAutoHyphens/>
                            <w:ind w:firstLine="567"/>
                            <w:jc w:val="both"/>
                            <w:rPr>
                              <w:bCs/>
                              <w:color w:val="000000"/>
                              <w:lang w:eastAsia="lt-LT"/>
                            </w:rPr>
                          </w:pPr>
                          <w:r>
                            <w:rPr>
                              <w:i/>
                              <w:color w:val="000000"/>
                              <w:lang w:eastAsia="lt-LT"/>
                            </w:rPr>
                            <w:t>A</w:t>
                          </w:r>
                          <w:r>
                            <w:rPr>
                              <w:i/>
                              <w:color w:val="000000"/>
                              <w:vertAlign w:val="subscript"/>
                              <w:lang w:eastAsia="lt-LT"/>
                            </w:rPr>
                            <w:t>hw,z</w:t>
                          </w:r>
                          <w:r>
                            <w:rPr>
                              <w:color w:val="000000"/>
                              <w:lang w:eastAsia="lt-LT"/>
                            </w:rPr>
                            <w:t xml:space="preserve"> – pastato plotas, kuriame naudojama atitinkama karšto vandens ruošimo sistema (m</w:t>
                          </w:r>
                          <w:r>
                            <w:rPr>
                              <w:color w:val="000000"/>
                              <w:vertAlign w:val="superscript"/>
                              <w:lang w:eastAsia="lt-LT"/>
                            </w:rPr>
                            <w:t>2</w:t>
                          </w:r>
                          <w:r>
                            <w:rPr>
                              <w:color w:val="000000"/>
                              <w:lang w:eastAsia="lt-LT"/>
                            </w:rPr>
                            <w:t>)</w:t>
                          </w:r>
                          <w:r>
                            <w:rPr>
                              <w:bCs/>
                              <w:color w:val="000000"/>
                              <w:lang w:eastAsia="lt-LT"/>
                            </w:rPr>
                            <w:t xml:space="preserve">. Jei skirtingose pastato dalyse įrengtos skirtingos karšto vandens ruošimo sistemos, šių pastato dalių plotai turi būti įvertinti taip, kad jų suma atitiktų pastato naudingąjį plotą, t. y. turi būti: </w:t>
                          </w:r>
                        </w:p>
                        <w:tbl>
                          <w:tblPr>
                            <w:tblW w:w="5000" w:type="pct"/>
                            <w:tblLook w:val="01E0" w:firstRow="1" w:lastRow="1" w:firstColumn="1" w:lastColumn="1" w:noHBand="0" w:noVBand="0"/>
                          </w:tblPr>
                          <w:tblGrid>
                            <w:gridCol w:w="8677"/>
                            <w:gridCol w:w="1319"/>
                          </w:tblGrid>
                          <w:tr>
                            <w:tc>
                              <w:tcPr>
                                <w:tcW w:w="4340" w:type="pct"/>
                                <w:vAlign w:val="center"/>
                              </w:tcPr>
                              <w:p>
                                <w:pPr>
                                  <w:tabs>
                                    <w:tab w:val="left" w:pos="567"/>
                                  </w:tabs>
                                  <w:suppressAutoHyphens/>
                                  <w:rPr>
                                    <w:color w:val="000000"/>
                                    <w:sz w:val="10"/>
                                    <w:szCs w:val="10"/>
                                    <w:lang w:eastAsia="lt-LT"/>
                                  </w:rPr>
                                </w:pPr>
                              </w:p>
                              <w:p>
                                <w:pPr>
                                  <w:tabs>
                                    <w:tab w:val="left" w:pos="567"/>
                                  </w:tabs>
                                  <w:suppressAutoHyphens/>
                                  <w:spacing w:line="360" w:lineRule="auto"/>
                                  <w:ind w:left="850" w:hanging="850"/>
                                  <w:jc w:val="center"/>
                                  <w:rPr>
                                    <w:rFonts w:eastAsia="Calibri"/>
                                    <w:bCs/>
                                    <w:color w:val="000000"/>
                                    <w:szCs w:val="22"/>
                                    <w:lang w:eastAsia="lt-LT"/>
                                  </w:rPr>
                                </w:pPr>
                                <w:r>
                                  <w:rPr>
                                    <w:rFonts w:eastAsia="Calibri"/>
                                    <w:bCs/>
                                    <w:color w:val="000000"/>
                                    <w:position w:val="-24"/>
                                    <w:szCs w:val="22"/>
                                    <w:lang w:eastAsia="lt-LT"/>
                                  </w:rPr>
                                  <w:object w:dxaOrig="1230" w:dyaOrig="615">
                                    <v:shape id="_x0000_i1185" type="#_x0000_t75" style="width:62.3pt;height:28.3pt" o:ole="">
                                      <v:imagedata r:id="rId603" o:title=""/>
                                    </v:shape>
                                    <o:OLEObject Type="Embed" ProgID="Equation.3" ShapeID="_x0000_i1185" DrawAspect="Content" ObjectID="_0000000001" r:id="rId604"/>
                                  </w:object>
                                </w:r>
                                <w:r>
                                  <w:rPr>
                                    <w:color w:val="000000"/>
                                    <w:lang w:eastAsia="lt-LT"/>
                                  </w:rPr>
                                  <w:t>.</w:t>
                                </w:r>
                              </w:p>
                            </w:tc>
                            <w:tc>
                              <w:tcPr>
                                <w:tcW w:w="660" w:type="pct"/>
                                <w:vAlign w:val="center"/>
                              </w:tcPr>
                              <w:p>
                                <w:pPr>
                                  <w:tabs>
                                    <w:tab w:val="left" w:pos="567"/>
                                  </w:tabs>
                                  <w:suppressAutoHyphens/>
                                  <w:rPr>
                                    <w:color w:val="000000"/>
                                    <w:sz w:val="10"/>
                                    <w:szCs w:val="10"/>
                                    <w:lang w:eastAsia="lt-LT"/>
                                  </w:rPr>
                                </w:pPr>
                              </w:p>
                              <w:p>
                                <w:pPr>
                                  <w:tabs>
                                    <w:tab w:val="left" w:pos="567"/>
                                  </w:tabs>
                                  <w:suppressAutoHyphens/>
                                  <w:spacing w:line="360" w:lineRule="auto"/>
                                  <w:ind w:left="850" w:hanging="850"/>
                                  <w:jc w:val="right"/>
                                  <w:rPr>
                                    <w:rFonts w:eastAsia="Calibri"/>
                                    <w:bCs/>
                                    <w:color w:val="000000"/>
                                    <w:szCs w:val="22"/>
                                    <w:lang w:eastAsia="lt-LT"/>
                                  </w:rPr>
                                </w:pPr>
                                <w:r>
                                  <w:rPr>
                                    <w:bCs/>
                                    <w:color w:val="000000"/>
                                    <w:lang w:eastAsia="lt-LT"/>
                                  </w:rPr>
                                  <w:t>(2.140)</w:t>
                                </w:r>
                              </w:p>
                            </w:tc>
                          </w:tr>
                        </w:tbl>
                        <w:p>
                          <w:pPr>
                            <w:rPr>
                              <w:rFonts w:eastAsia="MS Mincho"/>
                              <w:i/>
                              <w:iCs/>
                              <w:sz w:val="20"/>
                            </w:rPr>
                          </w:pPr>
                        </w:p>
                        <w:p>
                          <w:pPr>
                            <w:rPr>
                              <w:rFonts w:eastAsia="MS Mincho"/>
                              <w:i/>
                              <w:iCs/>
                              <w:sz w:val="20"/>
                            </w:rPr>
                          </w:pPr>
                          <w:r>
                            <w:rPr>
                              <w:rFonts w:eastAsia="MS Mincho"/>
                              <w:i/>
                              <w:iCs/>
                              <w:sz w:val="20"/>
                            </w:rPr>
                            <w:t>Papunkčio pakeitimai:</w:t>
                          </w:r>
                        </w:p>
                        <w:p>
                          <w:pPr>
                            <w:rPr>
                              <w:rFonts w:eastAsia="MS Mincho"/>
                              <w:i/>
                              <w:iCs/>
                              <w:sz w:val="20"/>
                            </w:rPr>
                          </w:pPr>
                          <w:r>
                            <w:rPr>
                              <w:rFonts w:eastAsia="MS Mincho"/>
                              <w:i/>
                              <w:iCs/>
                              <w:sz w:val="20"/>
                            </w:rPr>
                            <w:t xml:space="preserve">Nr. </w:t>
                          </w:r>
                          <w:hyperlink r:id="rId605" w:history="1">
                            <w:r>
                              <w:rPr>
                                <w:rFonts w:eastAsia="MS Mincho"/>
                                <w:i/>
                                <w:iCs/>
                                <w:color w:val="0000FF"/>
                                <w:sz w:val="20"/>
                                <w:u w:val="single"/>
                              </w:rPr>
                              <w:t>D1-23</w:t>
                            </w:r>
                          </w:hyperlink>
                          <w:r>
                            <w:rPr>
                              <w:rFonts w:eastAsia="MS Mincho"/>
                              <w:i/>
                              <w:iCs/>
                              <w:sz w:val="20"/>
                            </w:rPr>
                            <w:t>, 2019-01-11, paskelbta TAR 2019-01-14, i. k. 2019-00444</w:t>
                          </w:r>
                        </w:p>
                        <w:p>
                          <w:pPr>
                            <w:rPr>
                              <w:rFonts w:eastAsia="MS Mincho"/>
                              <w:i/>
                              <w:iCs/>
                              <w:sz w:val="20"/>
                            </w:rPr>
                          </w:pPr>
                          <w:r>
                            <w:rPr>
                              <w:rFonts w:eastAsia="MS Mincho"/>
                              <w:i/>
                              <w:iCs/>
                              <w:sz w:val="20"/>
                            </w:rPr>
                            <w:t xml:space="preserve">Nr. </w:t>
                          </w:r>
                          <w:hyperlink r:id="rId606" w:history="1">
                            <w:r>
                              <w:rPr>
                                <w:rFonts w:eastAsia="MS Mincho"/>
                                <w:i/>
                                <w:iCs/>
                                <w:color w:val="0000FF"/>
                                <w:sz w:val="20"/>
                                <w:u w:val="single"/>
                              </w:rPr>
                              <w:t>D1-576</w:t>
                            </w:r>
                          </w:hyperlink>
                          <w:r>
                            <w:rPr>
                              <w:rFonts w:eastAsia="MS Mincho"/>
                              <w:i/>
                              <w:iCs/>
                              <w:sz w:val="20"/>
                            </w:rPr>
                            <w:t>, 2020-09-28, paskelbta TAR 2020-09-28, i. k. 2020-20131</w:t>
                          </w:r>
                        </w:p>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39.4 pp."/>
                    <w:tag w:val="part_98628ce67d2b47e9b7d1d5be3c8a0e40"/>
                    <w:lock w:val="sdtLocked"/>
                    <w:richText/>
                  </w:sdtPr>
                  <w:sdtContent>
                    <w:p>
                      <w:pPr>
                        <w:ind w:firstLine="600"/>
                        <w:jc w:val="both"/>
                        <w:rPr>
                          <w:rFonts w:eastAsia="Calibri"/>
                          <w:bCs/>
                          <w:color w:val="000000"/>
                          <w:szCs w:val="22"/>
                        </w:rPr>
                      </w:pPr>
                      <w:sdt>
                        <w:sdtPr>
                          <w:alias w:val="Numeris"/>
                          <w:tag w:val="nr_98628ce67d2b47e9b7d1d5be3c8a0e40"/>
                          <w:lock w:val="sdtLocked"/>
                          <w:richText/>
                        </w:sdtPr>
                        <w:sdtContent>
                          <w:r>
                            <w:rPr>
                              <w:bCs/>
                              <w:color w:val="000000"/>
                            </w:rPr>
                            <w:t>39.4</w:t>
                          </w:r>
                        </w:sdtContent>
                      </w:sdt>
                      <w:r>
                        <w:rPr>
                          <w:bCs/>
                          <w:color w:val="000000"/>
                        </w:rPr>
                        <w:t xml:space="preserve">. jei atitinkamai karšto vandens ruošimo sistemai priskiriamas plotas </w:t>
                      </w:r>
                      <w:r>
                        <w:rPr>
                          <w:i/>
                          <w:color w:val="000000"/>
                        </w:rPr>
                        <w:t>A</w:t>
                      </w:r>
                      <w:r>
                        <w:rPr>
                          <w:i/>
                          <w:color w:val="000000"/>
                          <w:vertAlign w:val="subscript"/>
                        </w:rPr>
                        <w:t>hw,z</w:t>
                      </w:r>
                      <w:r>
                        <w:rPr>
                          <w:color w:val="000000"/>
                        </w:rPr>
                        <w:t xml:space="preserve"> nežinomas arba jo nustatyti nėra galimybių, šis plotas apskaičiuojamas </w:t>
                      </w:r>
                      <w:r>
                        <w:rPr>
                          <w:bCs/>
                          <w:color w:val="000000"/>
                        </w:rPr>
                        <w:t>proporcingai prie šios įrangos prijungtų karšto vandens tiekimo taškų kiekiui pagal (2.141) formulę:</w:t>
                      </w:r>
                    </w:p>
                    <w:tbl>
                      <w:tblPr>
                        <w:tblW w:w="5000" w:type="pct"/>
                        <w:tblLook w:val="01E0" w:firstRow="1" w:lastRow="1" w:firstColumn="1" w:lastColumn="1" w:noHBand="0" w:noVBand="0"/>
                      </w:tblPr>
                      <w:tblGrid>
                        <w:gridCol w:w="8677"/>
                        <w:gridCol w:w="1319"/>
                      </w:tblGrid>
                      <w:tr>
                        <w:tc>
                          <w:tcPr>
                            <w:tcW w:w="4340" w:type="pct"/>
                            <w:vAlign w:val="center"/>
                            <w:hideMark/>
                          </w:tcPr>
                          <w:p>
                            <w:pPr>
                              <w:spacing w:line="360" w:lineRule="auto"/>
                              <w:ind w:left="850" w:hanging="850"/>
                              <w:jc w:val="center"/>
                              <w:rPr>
                                <w:rFonts w:eastAsia="Calibri"/>
                                <w:bCs/>
                                <w:color w:val="000000"/>
                                <w:szCs w:val="22"/>
                              </w:rPr>
                            </w:pPr>
                            <w:r>
                              <w:rPr>
                                <w:color w:val="000000"/>
                              </w:rPr>
                              <w:object w:dxaOrig="2090" w:dyaOrig="650">
                                <v:shape id="_x0000_i1186" type="#_x0000_t75" style="width:104.35pt;height:32.35pt" o:ole="">
                                  <v:imagedata r:id="rId607" o:title=""/>
                                </v:shape>
                                <o:OLEObject Type="Embed" ProgID="Equation.3" ShapeID="_x0000_i1186" DrawAspect="Content" ObjectID="_0000000001" r:id="rId608"/>
                              </w:object>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(2.141)</w:t>
                            </w:r>
                          </w:p>
                        </w:tc>
                      </w:tr>
                    </w:tbl>
                    <w:p>
                      <w:pPr>
                        <w:tabs>
                          <w:tab w:val="left" w:pos="567"/>
                        </w:tabs>
                        <w:jc w:val="both"/>
                        <w:rPr>
                          <w:rFonts w:eastAsia="Calibri"/>
                          <w:bCs/>
                          <w:color w:val="000000"/>
                          <w:szCs w:val="22"/>
                        </w:rPr>
                      </w:pPr>
                      <w:r>
                        <w:rPr>
                          <w:bCs/>
                          <w:color w:val="000000"/>
                        </w:rPr>
                        <w:t>čia:</w:t>
                        <w:tab/>
                        <w:t xml:space="preserve"> </w:t>
                      </w:r>
                      <w:r>
                        <w:rPr>
                          <w:bCs/>
                          <w:i/>
                          <w:color w:val="000000"/>
                        </w:rPr>
                        <w:t>k</w:t>
                      </w:r>
                      <w:r>
                        <w:rPr>
                          <w:bCs/>
                          <w:i/>
                          <w:color w:val="000000"/>
                          <w:vertAlign w:val="subscript"/>
                        </w:rPr>
                        <w:t>hw.out,z</w:t>
                      </w:r>
                      <w:r>
                        <w:rPr>
                          <w:bCs/>
                          <w:color w:val="000000"/>
                        </w:rPr>
                        <w:t xml:space="preserve"> – prie atitinkamos karšto vandens ruošimo sistemos prijungtų karšto vandens tiekimo taškų kiekis (vnt.); </w:t>
                      </w:r>
                    </w:p>
                    <w:p>
                      <w:pPr>
                        <w:ind w:firstLine="567"/>
                        <w:rPr>
                          <w:bCs/>
                          <w:color w:val="000000"/>
                        </w:rPr>
                      </w:pPr>
                      <w:r>
                        <w:rPr>
                          <w:bCs/>
                          <w:i/>
                          <w:color w:val="000000"/>
                        </w:rPr>
                        <w:t>k</w:t>
                      </w:r>
                      <w:r>
                        <w:rPr>
                          <w:bCs/>
                          <w:i/>
                          <w:color w:val="000000"/>
                          <w:vertAlign w:val="subscript"/>
                        </w:rPr>
                        <w:t>hw.out.sum</w:t>
                      </w:r>
                      <w:r>
                        <w:rPr>
                          <w:bCs/>
                          <w:color w:val="000000"/>
                        </w:rPr>
                        <w:t xml:space="preserve"> – suminis karšto vandens tiekimo taškų kiekis pastate (vnt.).</w:t>
                      </w:r>
                      <w:r>
                        <w:rPr>
                          <w:color w:val="000000"/>
                        </w:rPr>
                        <w:tab/>
                      </w:r>
                    </w:p>
                    <w:p>
                      <w:pPr>
                        <w:rPr>
                          <w:color w:val="000000"/>
                        </w:rPr>
                      </w:pPr>
                    </w:p>
                    <w:p>
                      <w:pPr>
                        <w:rPr>
                          <w:color w:val="000000"/>
                        </w:rPr>
                        <w:sectPr>
                          <w:pgSz w:w="11906" w:h="16838"/>
                          <w:pgMar w:top="851" w:right="567" w:bottom="851" w:left="1559" w:header="567" w:footer="567" w:gutter="0"/>
                          <w:cols w:space="1296"/>
                        </w:sectPr>
                      </w:pPr>
                    </w:p>
                    <w:p>
                      <w:pPr>
                        <w:jc w:val="center"/>
                        <w:rPr>
                          <w:b/>
                        </w:rPr>
                      </w:pPr>
                      <w:r>
                        <w:rPr>
                          <w:b/>
                        </w:rPr>
                        <w:t>Įvairios paskirties pastatų karšto vandens ruošimo sistemų dedamųjų norminės ir atskaitinės rodiklių vertės pastatų energinio naudingumo skaičiavimams</w:t>
                      </w:r>
                    </w:p>
                    <w:p>
                      <w:pPr>
                        <w:jc w:val="right"/>
                      </w:pPr>
                      <w:r>
                        <w:t>2.20 lentelė</w:t>
                      </w:r>
                    </w:p>
                    <w:tbl>
                      <w:tblPr>
                        <w:tblW w:w="5000" w:type="pct"/>
                        <w:tblLook w:val="04A0" w:firstRow="1" w:lastRow="0" w:firstColumn="1" w:lastColumn="0" w:noHBand="0" w:noVBand="1"/>
                      </w:tblPr>
                      <w:tblGrid>
                        <w:gridCol w:w="1061"/>
                        <w:gridCol w:w="4626"/>
                        <w:gridCol w:w="1075"/>
                        <w:gridCol w:w="1075"/>
                        <w:gridCol w:w="1075"/>
                        <w:gridCol w:w="1075"/>
                        <w:gridCol w:w="1075"/>
                        <w:gridCol w:w="1075"/>
                        <w:gridCol w:w="1075"/>
                        <w:gridCol w:w="1075"/>
                        <w:gridCol w:w="1065"/>
                      </w:tblGrid>
                      <w:tr>
                        <w:trPr>
                          <w:trHeight w:val="1403"/>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Eil. Nr. </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Pastato paskirtis [3.6]</w:t>
                            </w:r>
                            <w:r>
                              <w:rPr>
                                <w:b/>
                              </w:rPr>
                              <w:t> </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i/>
                              </w:rPr>
                            </w:pPr>
                            <w:r>
                              <w:rPr>
                                <w:i/>
                              </w:rPr>
                              <w:t>η</w:t>
                            </w:r>
                            <w:r>
                              <w:rPr>
                                <w:i/>
                                <w:vertAlign w:val="subscript"/>
                              </w:rPr>
                              <w:t>N.hw.eq</w:t>
                            </w:r>
                            <w:r>
                              <w:rPr>
                                <w:i/>
                              </w:rPr>
                              <w:t>,</w:t>
                            </w:r>
                          </w:p>
                          <w:p>
                            <w:pPr>
                              <w:spacing w:line="276" w:lineRule="auto"/>
                              <w:ind w:left="-57" w:right="-57"/>
                              <w:jc w:val="center"/>
                              <w:rPr>
                                <w:rFonts w:eastAsia="Calibri"/>
                                <w:szCs w:val="22"/>
                              </w:rPr>
                            </w:pPr>
                            <w:r>
                              <w:t>vnt.</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i/>
                              </w:rPr>
                            </w:pPr>
                            <w:r>
                              <w:rPr>
                                <w:i/>
                              </w:rPr>
                              <w:t>η</w:t>
                            </w:r>
                            <w:r>
                              <w:rPr>
                                <w:i/>
                                <w:vertAlign w:val="subscript"/>
                              </w:rPr>
                              <w:t>R.hw.eq</w:t>
                            </w:r>
                            <w:r>
                              <w:rPr>
                                <w:i/>
                              </w:rPr>
                              <w:t>,</w:t>
                            </w:r>
                          </w:p>
                          <w:p>
                            <w:pPr>
                              <w:spacing w:line="276" w:lineRule="auto"/>
                              <w:ind w:left="-57" w:right="-57"/>
                              <w:jc w:val="center"/>
                              <w:rPr>
                                <w:rFonts w:eastAsia="Calibri"/>
                                <w:szCs w:val="22"/>
                              </w:rPr>
                            </w:pPr>
                            <w:r>
                              <w:t>vnt.</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i/>
                              </w:rPr>
                            </w:pPr>
                            <w:r>
                              <w:rPr>
                                <w:i/>
                              </w:rPr>
                              <w:t>f</w:t>
                            </w:r>
                            <w:r>
                              <w:rPr>
                                <w:i/>
                                <w:vertAlign w:val="subscript"/>
                              </w:rPr>
                              <w:t>R.PRn</w:t>
                            </w:r>
                            <w:r>
                              <w:rPr>
                                <w:i/>
                              </w:rPr>
                              <w:t>,</w:t>
                            </w:r>
                          </w:p>
                          <w:p>
                            <w:pPr>
                              <w:spacing w:line="276" w:lineRule="auto"/>
                              <w:ind w:left="-57" w:right="-57"/>
                              <w:jc w:val="center"/>
                              <w:rPr>
                                <w:rFonts w:eastAsia="Calibri"/>
                                <w:szCs w:val="22"/>
                              </w:rPr>
                            </w:pPr>
                            <w:r>
                              <w:t>vnt.</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113" w:right="-113"/>
                              <w:jc w:val="center"/>
                              <w:rPr>
                                <w:rFonts w:eastAsia="Calibri"/>
                                <w:i/>
                              </w:rPr>
                            </w:pPr>
                            <w:r>
                              <w:rPr>
                                <w:i/>
                              </w:rPr>
                              <w:t>U</w:t>
                            </w:r>
                            <w:r>
                              <w:rPr>
                                <w:i/>
                                <w:vertAlign w:val="superscript"/>
                              </w:rPr>
                              <w:t>‘</w:t>
                            </w:r>
                            <w:r>
                              <w:rPr>
                                <w:i/>
                                <w:vertAlign w:val="subscript"/>
                              </w:rPr>
                              <w:t>N.hw.Lv</w:t>
                            </w:r>
                            <w:r>
                              <w:rPr>
                                <w:i/>
                              </w:rPr>
                              <w:t>,</w:t>
                            </w:r>
                          </w:p>
                          <w:p>
                            <w:pPr>
                              <w:spacing w:line="276" w:lineRule="auto"/>
                              <w:ind w:left="-113" w:right="-113"/>
                              <w:jc w:val="center"/>
                              <w:rPr>
                                <w:rFonts w:eastAsia="Calibri"/>
                                <w:szCs w:val="22"/>
                              </w:rPr>
                            </w:pPr>
                            <w:r>
                              <w:t>W/(m·K)</w:t>
                            </w: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i/>
                              </w:rPr>
                            </w:pPr>
                            <w:r>
                              <w:rPr>
                                <w:i/>
                              </w:rPr>
                              <w:t>U</w:t>
                            </w:r>
                            <w:r>
                              <w:rPr>
                                <w:i/>
                                <w:vertAlign w:val="superscript"/>
                              </w:rPr>
                              <w:t>‘</w:t>
                            </w:r>
                            <w:r>
                              <w:rPr>
                                <w:i/>
                                <w:vertAlign w:val="subscript"/>
                              </w:rPr>
                              <w:t>R.hw.Lv</w:t>
                            </w:r>
                            <w:r>
                              <w:rPr>
                                <w:i/>
                              </w:rPr>
                              <w:t>,</w:t>
                            </w:r>
                          </w:p>
                          <w:p>
                            <w:pPr>
                              <w:spacing w:line="276" w:lineRule="auto"/>
                              <w:ind w:left="-113" w:right="-113"/>
                              <w:jc w:val="center"/>
                              <w:rPr>
                                <w:rFonts w:eastAsia="Calibri"/>
                                <w:szCs w:val="22"/>
                              </w:rPr>
                            </w:pPr>
                            <w:r>
                              <w:t>W/(m·K)</w:t>
                            </w: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i/>
                              </w:rPr>
                            </w:pPr>
                            <w:r>
                              <w:rPr>
                                <w:i/>
                              </w:rPr>
                              <w:t>U</w:t>
                            </w:r>
                            <w:r>
                              <w:rPr>
                                <w:i/>
                                <w:vertAlign w:val="superscript"/>
                              </w:rPr>
                              <w:t>‘</w:t>
                            </w:r>
                            <w:r>
                              <w:rPr>
                                <w:i/>
                                <w:vertAlign w:val="subscript"/>
                              </w:rPr>
                              <w:t>N.hw.Ls</w:t>
                            </w:r>
                            <w:r>
                              <w:rPr>
                                <w:i/>
                              </w:rPr>
                              <w:t>,</w:t>
                            </w:r>
                          </w:p>
                          <w:p>
                            <w:pPr>
                              <w:spacing w:line="276" w:lineRule="auto"/>
                              <w:ind w:left="-113" w:right="-113"/>
                              <w:jc w:val="center"/>
                              <w:rPr>
                                <w:rFonts w:eastAsia="Calibri"/>
                                <w:szCs w:val="22"/>
                              </w:rPr>
                            </w:pPr>
                            <w:r>
                              <w:t>W/(m·K)</w:t>
                            </w: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57" w:right="-57"/>
                              <w:jc w:val="center"/>
                              <w:rPr>
                                <w:rFonts w:eastAsia="Calibri"/>
                                <w:i/>
                              </w:rPr>
                            </w:pPr>
                            <w:r>
                              <w:rPr>
                                <w:i/>
                              </w:rPr>
                              <w:t>U</w:t>
                            </w:r>
                            <w:r>
                              <w:rPr>
                                <w:i/>
                                <w:vertAlign w:val="superscript"/>
                              </w:rPr>
                              <w:t>‘</w:t>
                            </w:r>
                            <w:r>
                              <w:rPr>
                                <w:i/>
                                <w:vertAlign w:val="subscript"/>
                              </w:rPr>
                              <w:t>R.hw.Ls</w:t>
                            </w:r>
                            <w:r>
                              <w:rPr>
                                <w:i/>
                              </w:rPr>
                              <w:t>,</w:t>
                            </w:r>
                          </w:p>
                          <w:p>
                            <w:pPr>
                              <w:spacing w:line="276" w:lineRule="auto"/>
                              <w:ind w:left="-57" w:right="-57"/>
                              <w:jc w:val="center"/>
                              <w:rPr>
                                <w:rFonts w:eastAsia="Calibri"/>
                                <w:szCs w:val="22"/>
                              </w:rPr>
                            </w:pPr>
                            <w:r>
                              <w:t>W/(m·K)</w:t>
                            </w: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i/>
                                <w:position w:val="-6"/>
                              </w:rPr>
                            </w:pPr>
                            <w:r>
                              <w:rPr>
                                <w:i/>
                              </w:rPr>
                              <w:t>U‘</w:t>
                            </w:r>
                            <w:r>
                              <w:rPr>
                                <w:i/>
                                <w:vertAlign w:val="subscript"/>
                              </w:rPr>
                              <w:t>N.hw.L</w:t>
                            </w:r>
                            <w:r>
                              <w:rPr>
                                <w:i/>
                                <w:position w:val="-6"/>
                                <w:vertAlign w:val="subscript"/>
                              </w:rPr>
                              <w:t>SL</w:t>
                            </w:r>
                            <w:r>
                              <w:rPr>
                                <w:i/>
                                <w:position w:val="-6"/>
                              </w:rPr>
                              <w:t>,</w:t>
                            </w:r>
                          </w:p>
                          <w:p>
                            <w:pPr>
                              <w:spacing w:line="276" w:lineRule="auto"/>
                              <w:ind w:left="-113" w:right="-113"/>
                              <w:jc w:val="center"/>
                              <w:rPr>
                                <w:rFonts w:eastAsia="Calibri"/>
                                <w:szCs w:val="22"/>
                              </w:rPr>
                            </w:pPr>
                            <w:r>
                              <w:t>W/(m·K)</w:t>
                            </w: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113"/>
                              <w:jc w:val="center"/>
                              <w:rPr>
                                <w:rFonts w:eastAsia="Calibri"/>
                                <w:i/>
                                <w:position w:val="-6"/>
                              </w:rPr>
                            </w:pPr>
                            <w:r>
                              <w:rPr>
                                <w:i/>
                              </w:rPr>
                              <w:t>U‘</w:t>
                            </w:r>
                            <w:r>
                              <w:rPr>
                                <w:i/>
                                <w:vertAlign w:val="subscript"/>
                              </w:rPr>
                              <w:t>R.hw.L</w:t>
                            </w:r>
                            <w:r>
                              <w:rPr>
                                <w:i/>
                                <w:position w:val="-6"/>
                                <w:vertAlign w:val="subscript"/>
                              </w:rPr>
                              <w:t>SL</w:t>
                            </w:r>
                            <w:r>
                              <w:rPr>
                                <w:i/>
                                <w:position w:val="-6"/>
                              </w:rPr>
                              <w:t>,</w:t>
                            </w:r>
                          </w:p>
                          <w:p>
                            <w:pPr>
                              <w:spacing w:line="276" w:lineRule="auto"/>
                              <w:ind w:left="-113" w:right="-113"/>
                              <w:jc w:val="center"/>
                              <w:rPr>
                                <w:rFonts w:eastAsia="Calibri"/>
                                <w:szCs w:val="22"/>
                              </w:rPr>
                            </w:pPr>
                            <w:r>
                              <w:t>W/(m·K)</w:t>
                            </w:r>
                          </w:p>
                        </w:tc>
                      </w:tr>
                      <w:tr>
                        <w:trPr>
                          <w:trHeight w:val="315"/>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Gyvenamosios paskirties vieno ir dviejų butų pastatai (namai)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0,90</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0,77</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1,53</w:t>
                            </w:r>
                          </w:p>
                        </w:tc>
                        <w:tc>
                          <w:tcPr>
                            <w:tcW w:w="350" w:type="pct"/>
                            <w:vMerge w:val="restar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0,34</w:t>
                            </w: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350"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0,35</w:t>
                            </w: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350" w:type="pct"/>
                            <w:vMerge w:val="restar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0,28</w:t>
                            </w: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0,47</w:t>
                            </w:r>
                          </w:p>
                        </w:tc>
                      </w:tr>
                      <w:tr>
                        <w:trPr>
                          <w:trHeight w:val="315"/>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Kiti gyvenamieji pastatai (namai)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r>
                      <w:tr>
                        <w:trPr>
                          <w:trHeight w:val="315"/>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3</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Administracinės paskirties pastatai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0,81</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0,56</w:t>
                            </w:r>
                          </w:p>
                        </w:tc>
                      </w:tr>
                      <w:tr>
                        <w:trPr>
                          <w:trHeight w:val="187"/>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4</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Mokslo paskirties pastatai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r>
                      <w:tr>
                        <w:trPr>
                          <w:trHeight w:val="263"/>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5</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Gydymo paskirties pastatai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1,55</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0,59</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0,56</w:t>
                            </w:r>
                          </w:p>
                        </w:tc>
                      </w:tr>
                      <w:tr>
                        <w:trPr>
                          <w:trHeight w:val="240"/>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6</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Maitinimo paskirties pastatai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0,88</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1,51</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0,33</w:t>
                            </w:r>
                          </w:p>
                        </w:tc>
                      </w:tr>
                      <w:tr>
                        <w:trPr>
                          <w:trHeight w:val="277"/>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7</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Prekybos paskirties pastatai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0,90</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0,88</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1,51</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0,33</w:t>
                            </w:r>
                          </w:p>
                        </w:tc>
                      </w:tr>
                      <w:tr>
                        <w:trPr>
                          <w:trHeight w:val="630"/>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8</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Sporto paskirties pastatai, išskyrus baseinus</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r>
                      <w:tr>
                        <w:trPr>
                          <w:trHeight w:val="282"/>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9</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Baseinai</w:t>
                            </w:r>
                          </w:p>
                        </w:tc>
                        <w:tc>
                          <w:tcPr>
                            <w:tcW w:w="350" w:type="pct"/>
                            <w:tcBorders>
                              <w:top w:val="nil"/>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0,83</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r>
                      <w:tr>
                        <w:trPr>
                          <w:trHeight w:val="194"/>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10</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Kultūros paskirties pastatai</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0,90</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0,55</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r>
                      <w:tr>
                        <w:trPr>
                          <w:trHeight w:val="284"/>
                        </w:trPr>
                        <w:tc>
                          <w:tcPr>
                            <w:tcW w:w="346" w:type="pct"/>
                            <w:tcBorders>
                              <w:top w:val="nil"/>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11</w:t>
                            </w:r>
                          </w:p>
                        </w:tc>
                        <w:tc>
                          <w:tcPr>
                            <w:tcW w:w="1507"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Garažų, gamybos ir pramonės paskirties pastatai</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0,95</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nil"/>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r>
                        <w:trPr>
                          <w:trHeight w:val="315"/>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12</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Sandėliavimo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0,95</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r>
                        <w:trPr>
                          <w:trHeight w:val="315"/>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13</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Viešbučių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0,88</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1,51</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0,33</w:t>
                            </w:r>
                          </w:p>
                        </w:tc>
                      </w:tr>
                      <w:tr>
                        <w:trPr>
                          <w:trHeight w:val="315"/>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14</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Paslaugų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0,88</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1,51</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0,33</w:t>
                            </w:r>
                          </w:p>
                        </w:tc>
                      </w:tr>
                      <w:tr>
                        <w:trPr>
                          <w:trHeight w:val="315"/>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15</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Transporto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0,95</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0,82</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1,54</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0,52</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r>
                        <w:trPr>
                          <w:trHeight w:val="272"/>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16</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Poilsio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0,95</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0,88</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1,51</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0,34</w:t>
                            </w:r>
                          </w:p>
                        </w:tc>
                      </w:tr>
                      <w:tr>
                        <w:trPr>
                          <w:trHeight w:val="158"/>
                        </w:trPr>
                        <w:tc>
                          <w:tcPr>
                            <w:tcW w:w="34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17</w:t>
                            </w:r>
                          </w:p>
                        </w:tc>
                        <w:tc>
                          <w:tcPr>
                            <w:tcW w:w="150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Specialiosios paskirties pastatai</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ind w:left="-57" w:right="-57"/>
                              <w:jc w:val="center"/>
                              <w:rPr>
                                <w:rFonts w:eastAsia="Calibri"/>
                                <w:szCs w:val="22"/>
                              </w:rPr>
                            </w:pPr>
                            <w:r>
                              <w:t>0,93</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0,80</w:t>
                            </w:r>
                          </w:p>
                        </w:tc>
                        <w:tc>
                          <w:tcPr>
                            <w:tcW w:w="3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1,56</w:t>
                            </w:r>
                          </w:p>
                        </w:tc>
                        <w:tc>
                          <w:tcPr>
                            <w:tcW w:w="0" w:type="auto"/>
                            <w:vMerge/>
                            <w:tcBorders>
                              <w:top w:val="single" w:sz="4" w:space="0" w:color="auto"/>
                              <w:left w:val="nil"/>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0,68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35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0,68</w:t>
                            </w:r>
                          </w:p>
                        </w:tc>
                        <w:tc>
                          <w:tcPr>
                            <w:tcW w:w="0" w:type="auto"/>
                            <w:vMerge/>
                            <w:tcBorders>
                              <w:top w:val="nil"/>
                              <w:left w:val="single" w:sz="4" w:space="0" w:color="auto"/>
                              <w:bottom w:val="single" w:sz="4" w:space="0" w:color="auto"/>
                              <w:right w:val="single" w:sz="4" w:space="0" w:color="auto"/>
                            </w:tcBorders>
                            <w:vAlign w:val="center"/>
                            <w:hideMark/>
                          </w:tcPr>
                          <w:p>
                            <w:pPr>
                              <w:rPr>
                                <w:rFonts w:eastAsia="Calibri"/>
                                <w:szCs w:val="22"/>
                              </w:rPr>
                            </w:pPr>
                          </w:p>
                        </w:tc>
                        <w:tc>
                          <w:tcPr>
                            <w:tcW w:w="34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0,64</w:t>
                            </w:r>
                          </w:p>
                        </w:tc>
                      </w:tr>
                    </w:tbl>
                    <w:p>
                      <w:pPr>
                        <w:sectPr>
                          <w:pgSz w:w="16838" w:h="11906" w:orient="landscape"/>
                          <w:pgMar w:top="1701" w:right="851" w:bottom="851" w:left="851" w:header="567" w:footer="567" w:gutter="0"/>
                          <w:cols w:space="1296"/>
                        </w:sectPr>
                      </w:pPr>
                    </w:p>
                  </w:sdtContent>
                </w:sdt>
              </w:sdtContent>
            </w:sdt>
            <w:sdt>
              <w:sdtPr>
                <w:alias w:val="2 pr. 40 p."/>
                <w:tag w:val="part_1991a0986f604201a21f753532de5b01"/>
                <w:lock w:val="sdtLocked"/>
                <w:richText/>
              </w:sdtPr>
              <w:sdtContent>
                <w:p>
                  <w:pPr>
                    <w:tabs>
                      <w:tab w:val="left" w:pos="567"/>
                      <w:tab w:val="left" w:pos="709"/>
                      <w:tab w:val="left" w:pos="993"/>
                    </w:tabs>
                    <w:suppressAutoHyphens/>
                    <w:ind w:firstLine="567"/>
                    <w:jc w:val="both"/>
                    <w:rPr>
                      <w:rFonts w:eastAsia="Calibri"/>
                      <w:color w:val="000000"/>
                      <w:szCs w:val="22"/>
                      <w:lang w:eastAsia="lt-LT"/>
                    </w:rPr>
                  </w:pPr>
                  <w:sdt>
                    <w:sdtPr>
                      <w:alias w:val="Numeris"/>
                      <w:tag w:val="nr_1991a0986f604201a21f753532de5b01"/>
                      <w:lock w:val="sdtLocked"/>
                      <w:richText/>
                    </w:sdtPr>
                    <w:sdtContent>
                      <w:r>
                        <w:rPr>
                          <w:szCs w:val="24"/>
                          <w:lang w:eastAsia="lt-LT"/>
                        </w:rPr>
                        <w:t>40</w:t>
                      </w:r>
                    </w:sdtContent>
                  </w:sdt>
                  <w:r>
                    <w:rPr>
                      <w:szCs w:val="24"/>
                      <w:lang w:eastAsia="lt-LT"/>
                    </w:rPr>
                    <w:t xml:space="preserve">. </w:t>
                  </w:r>
                  <w:r>
                    <w:rPr>
                      <w:color w:val="000000"/>
                      <w:lang w:eastAsia="lt-LT"/>
                    </w:rPr>
                    <w:t xml:space="preserve">Kiekvieno mėnesio „m“ norminės </w:t>
                  </w:r>
                  <w:r>
                    <w:rPr>
                      <w:i/>
                      <w:iCs/>
                      <w:color w:val="000000"/>
                      <w:lang w:eastAsia="lt-LT"/>
                    </w:rPr>
                    <w:t>Q</w:t>
                  </w:r>
                  <w:r>
                    <w:rPr>
                      <w:i/>
                      <w:iCs/>
                      <w:color w:val="000000"/>
                      <w:vertAlign w:val="subscript"/>
                      <w:lang w:eastAsia="lt-LT"/>
                    </w:rPr>
                    <w:t>N.hw.eq,m</w:t>
                  </w:r>
                  <w:r>
                    <w:rPr>
                      <w:color w:val="000000"/>
                      <w:lang w:eastAsia="lt-LT"/>
                    </w:rPr>
                    <w:t xml:space="preserve"> (kWh/(m2·mėn.)) ir atskaitinės </w:t>
                  </w:r>
                  <w:r>
                    <w:rPr>
                      <w:i/>
                      <w:iCs/>
                      <w:color w:val="000000"/>
                      <w:lang w:eastAsia="lt-LT"/>
                    </w:rPr>
                    <w:t>Q</w:t>
                  </w:r>
                  <w:r>
                    <w:rPr>
                      <w:i/>
                      <w:iCs/>
                      <w:color w:val="000000"/>
                      <w:vertAlign w:val="subscript"/>
                      <w:lang w:eastAsia="lt-LT"/>
                    </w:rPr>
                    <w:t>R.hw.eq,m</w:t>
                  </w:r>
                  <w:r>
                    <w:rPr>
                      <w:color w:val="000000"/>
                      <w:lang w:eastAsia="lt-LT"/>
                    </w:rPr>
                    <w:t xml:space="preserve"> (kWh/(m2·mėn.)) karšto vandens ruošimo įrangos energijos sąnaudos apskaičiuojamos taip [3.22], [3.23]:</w:t>
                  </w:r>
                </w:p>
                <w:tbl>
                  <w:tblPr>
                    <w:tblW w:w="5000" w:type="pct"/>
                    <w:tblLook w:val="01E0" w:firstRow="1" w:lastRow="1" w:firstColumn="1" w:lastColumn="1" w:noHBand="0" w:noVBand="0"/>
                  </w:tblPr>
                  <w:tblGrid>
                    <w:gridCol w:w="8553"/>
                    <w:gridCol w:w="1301"/>
                  </w:tblGrid>
                  <w:tr>
                    <w:tc>
                      <w:tcPr>
                        <w:tcW w:w="4340" w:type="pct"/>
                        <w:hideMark/>
                      </w:tcPr>
                      <w:p>
                        <w:pPr>
                          <w:tabs>
                            <w:tab w:val="left" w:pos="567"/>
                          </w:tabs>
                          <w:suppressAutoHyphens/>
                          <w:spacing w:line="276" w:lineRule="auto"/>
                          <w:jc w:val="center"/>
                          <w:rPr>
                            <w:rFonts w:eastAsia="Calibri"/>
                            <w:bCs/>
                            <w:color w:val="000000"/>
                            <w:szCs w:val="22"/>
                            <w:lang w:eastAsia="lt-LT"/>
                          </w:rPr>
                        </w:pPr>
                        <w:r>
                          <w:rPr>
                            <w:rFonts w:eastAsia="Calibri"/>
                            <w:color w:val="000000"/>
                            <w:szCs w:val="22"/>
                            <w:lang w:eastAsia="lt-LT"/>
                          </w:rPr>
                          <w:object w:dxaOrig="2352" w:dyaOrig="636">
                            <v:shape id="_x0000_i1187" type="#_x0000_t75" style="width:117.3pt;height:33.15pt" o:ole="">
                              <v:imagedata r:id="rId609" o:title=""/>
                            </v:shape>
                            <o:OLEObject Type="Embed" ProgID="Equation.3" ShapeID="_x0000_i1187" DrawAspect="Content" ObjectID="_0000000001" r:id="rId610"/>
                          </w:object>
                        </w:r>
                        <w:r>
                          <w:rPr>
                            <w:color w:val="000000"/>
                            <w:lang w:eastAsia="lt-LT"/>
                          </w:rPr>
                          <w:t>;</w:t>
                        </w:r>
                      </w:p>
                    </w:tc>
                    <w:tc>
                      <w:tcPr>
                        <w:tcW w:w="660" w:type="pct"/>
                        <w:vAlign w:val="center"/>
                        <w:hideMark/>
                      </w:tcPr>
                      <w:p>
                        <w:pPr>
                          <w:tabs>
                            <w:tab w:val="left" w:pos="567"/>
                          </w:tabs>
                          <w:suppressAutoHyphens/>
                          <w:spacing w:line="276" w:lineRule="auto"/>
                          <w:jc w:val="right"/>
                          <w:rPr>
                            <w:rFonts w:eastAsia="Calibri"/>
                            <w:bCs/>
                            <w:color w:val="000000"/>
                            <w:szCs w:val="22"/>
                            <w:lang w:eastAsia="lt-LT"/>
                          </w:rPr>
                        </w:pPr>
                        <w:r>
                          <w:rPr>
                            <w:bCs/>
                            <w:color w:val="000000"/>
                            <w:lang w:eastAsia="lt-LT"/>
                          </w:rPr>
                          <w:t>(2.142)</w:t>
                        </w:r>
                      </w:p>
                    </w:tc>
                  </w:tr>
                </w:tbl>
                <w:p>
                  <w:pPr>
                    <w:tabs>
                      <w:tab w:val="left" w:pos="567"/>
                    </w:tabs>
                    <w:suppressAutoHyphens/>
                    <w:rPr>
                      <w:rFonts w:eastAsia="Calibri"/>
                      <w:color w:val="000000"/>
                      <w:szCs w:val="22"/>
                      <w:lang w:eastAsia="lt-LT"/>
                    </w:rPr>
                  </w:pPr>
                </w:p>
                <w:tbl>
                  <w:tblPr>
                    <w:tblW w:w="5000" w:type="pct"/>
                    <w:tblLook w:val="01E0" w:firstRow="1" w:lastRow="1" w:firstColumn="1" w:lastColumn="1" w:noHBand="0" w:noVBand="0"/>
                  </w:tblPr>
                  <w:tblGrid>
                    <w:gridCol w:w="8553"/>
                    <w:gridCol w:w="1301"/>
                  </w:tblGrid>
                  <w:tr>
                    <w:tc>
                      <w:tcPr>
                        <w:tcW w:w="4340" w:type="pct"/>
                        <w:hideMark/>
                      </w:tcPr>
                      <w:p>
                        <w:pPr>
                          <w:tabs>
                            <w:tab w:val="left" w:pos="567"/>
                          </w:tabs>
                          <w:suppressAutoHyphens/>
                          <w:spacing w:line="276" w:lineRule="auto"/>
                          <w:jc w:val="center"/>
                          <w:rPr>
                            <w:rFonts w:eastAsia="Calibri"/>
                            <w:bCs/>
                            <w:color w:val="000000"/>
                            <w:szCs w:val="22"/>
                            <w:lang w:eastAsia="lt-LT"/>
                          </w:rPr>
                        </w:pPr>
                        <w:r>
                          <w:rPr>
                            <w:rFonts w:eastAsia="Calibri"/>
                            <w:color w:val="000000"/>
                            <w:szCs w:val="22"/>
                            <w:lang w:eastAsia="lt-LT"/>
                          </w:rPr>
                          <w:object w:dxaOrig="2280" w:dyaOrig="636">
                            <v:shape id="_x0000_i1188" type="#_x0000_t75" style="width:114.05pt;height:33.15pt" o:ole="">
                              <v:imagedata r:id="rId611" o:title=""/>
                            </v:shape>
                            <o:OLEObject Type="Embed" ProgID="Equation.3" ShapeID="_x0000_i1188" DrawAspect="Content" ObjectID="_0000000001" r:id="rId612"/>
                          </w:object>
                        </w:r>
                        <w:r>
                          <w:rPr>
                            <w:color w:val="000000"/>
                            <w:lang w:eastAsia="lt-LT"/>
                          </w:rPr>
                          <w:t>;</w:t>
                        </w:r>
                      </w:p>
                    </w:tc>
                    <w:tc>
                      <w:tcPr>
                        <w:tcW w:w="660" w:type="pct"/>
                        <w:vAlign w:val="center"/>
                        <w:hideMark/>
                      </w:tcPr>
                      <w:p>
                        <w:pPr>
                          <w:tabs>
                            <w:tab w:val="left" w:pos="567"/>
                          </w:tabs>
                          <w:suppressAutoHyphens/>
                          <w:spacing w:line="276" w:lineRule="auto"/>
                          <w:jc w:val="right"/>
                          <w:rPr>
                            <w:rFonts w:eastAsia="Calibri"/>
                            <w:bCs/>
                            <w:color w:val="000000"/>
                            <w:szCs w:val="22"/>
                            <w:lang w:eastAsia="lt-LT"/>
                          </w:rPr>
                        </w:pPr>
                        <w:r>
                          <w:rPr>
                            <w:bCs/>
                            <w:color w:val="000000"/>
                            <w:lang w:eastAsia="lt-LT"/>
                          </w:rPr>
                          <w:t>(2.143)</w:t>
                        </w:r>
                      </w:p>
                    </w:tc>
                  </w:tr>
                </w:tbl>
                <w:p>
                  <w:pPr>
                    <w:tabs>
                      <w:tab w:val="left" w:pos="567"/>
                    </w:tabs>
                    <w:suppressAutoHyphens/>
                    <w:jc w:val="both"/>
                    <w:rPr>
                      <w:rFonts w:eastAsia="Calibri"/>
                      <w:i/>
                      <w:color w:val="FF0000"/>
                      <w:szCs w:val="22"/>
                      <w:lang w:eastAsia="lt-LT"/>
                    </w:rPr>
                  </w:pPr>
                  <w:r>
                    <w:rPr>
                      <w:color w:val="000000"/>
                      <w:lang w:eastAsia="lt-LT"/>
                    </w:rPr>
                    <w:t>čia:</w:t>
                    <w:tab/>
                  </w:r>
                  <w:r>
                    <w:rPr>
                      <w:i/>
                      <w:color w:val="000000"/>
                      <w:lang w:eastAsia="lt-LT"/>
                    </w:rPr>
                    <w:t>η</w:t>
                  </w:r>
                  <w:r>
                    <w:rPr>
                      <w:i/>
                      <w:color w:val="000000"/>
                      <w:vertAlign w:val="subscript"/>
                      <w:lang w:eastAsia="lt-LT"/>
                    </w:rPr>
                    <w:t>N.hw.eq</w:t>
                  </w:r>
                  <w:r>
                    <w:rPr>
                      <w:color w:val="000000"/>
                      <w:lang w:eastAsia="lt-LT"/>
                    </w:rPr>
                    <w:t xml:space="preserve">, </w:t>
                  </w:r>
                  <w:r>
                    <w:rPr>
                      <w:i/>
                      <w:color w:val="000000"/>
                      <w:lang w:eastAsia="lt-LT"/>
                    </w:rPr>
                    <w:t>η</w:t>
                  </w:r>
                  <w:r>
                    <w:rPr>
                      <w:i/>
                      <w:color w:val="000000"/>
                      <w:vertAlign w:val="subscript"/>
                      <w:lang w:eastAsia="lt-LT"/>
                    </w:rPr>
                    <w:t>R.hw.eq</w:t>
                  </w:r>
                  <w:r>
                    <w:rPr>
                      <w:color w:val="000000"/>
                      <w:lang w:eastAsia="lt-LT"/>
                    </w:rPr>
                    <w:t xml:space="preserve"> – karšto vandens ruošimo sistemos įrangos norminis ir atskaitinis naudingumo koeficientai</w:t>
                  </w:r>
                  <w:r>
                    <w:rPr>
                      <w:lang w:eastAsia="lt-LT"/>
                    </w:rPr>
                    <w:t>.</w:t>
                  </w:r>
                  <w:r>
                    <w:rPr>
                      <w:bCs/>
                      <w:lang w:eastAsia="lt-LT"/>
                    </w:rPr>
                    <w:t xml:space="preserve"> Imami iš 2.20 lentelės.</w:t>
                  </w:r>
                  <w:r>
                    <w:rPr>
                      <w:i/>
                      <w:lang w:eastAsia="lt-LT"/>
                    </w:rPr>
                    <w:t xml:space="preserve"> </w:t>
                  </w:r>
                </w:p>
                <w:p>
                  <w:pPr>
                    <w:tabs>
                      <w:tab w:val="left" w:pos="567"/>
                    </w:tabs>
                    <w:suppressAutoHyphens/>
                    <w:ind w:firstLine="540"/>
                    <w:rPr>
                      <w:bCs/>
                      <w:color w:val="FF0000"/>
                      <w:lang w:eastAsia="lt-LT"/>
                    </w:rPr>
                  </w:pPr>
                </w:p>
                <w:p>
                  <w:pPr>
                    <w:tabs>
                      <w:tab w:val="left" w:pos="567"/>
                    </w:tabs>
                    <w:suppressAutoHyphens/>
                    <w:jc w:val="center"/>
                    <w:rPr>
                      <w:b/>
                      <w:bCs/>
                      <w:lang w:eastAsia="lt-LT"/>
                    </w:rPr>
                  </w:pPr>
                  <w:r>
                    <w:rPr>
                      <w:b/>
                      <w:bCs/>
                      <w:lang w:eastAsia="lt-LT"/>
                    </w:rPr>
                    <w:t>Karšto buitinio vandens ruošimo sistemos įrangos naudingumo koeficientas ηhw.eq</w:t>
                  </w:r>
                </w:p>
                <w:p>
                  <w:pPr>
                    <w:tabs>
                      <w:tab w:val="left" w:pos="567"/>
                    </w:tabs>
                    <w:suppressAutoHyphens/>
                    <w:jc w:val="center"/>
                    <w:rPr>
                      <w:b/>
                      <w:bCs/>
                      <w:lang w:eastAsia="lt-LT"/>
                    </w:rPr>
                  </w:pPr>
                  <w:r>
                    <w:rPr>
                      <w:b/>
                      <w:bCs/>
                      <w:lang w:eastAsia="lt-LT"/>
                    </w:rPr>
                    <w:t>Karšto buitinio vandens ruošimo sistemos įrangos naudingumo koeficientai ηhw.eq1 ir ηhw.eq2</w:t>
                  </w:r>
                </w:p>
                <w:p>
                  <w:pPr>
                    <w:tabs>
                      <w:tab w:val="left" w:pos="567"/>
                    </w:tabs>
                    <w:suppressAutoHyphens/>
                    <w:jc w:val="right"/>
                    <w:rPr>
                      <w:color w:val="000000"/>
                      <w:lang w:eastAsia="lt-LT"/>
                    </w:rPr>
                  </w:pPr>
                  <w:r>
                    <w:rPr>
                      <w:color w:val="000000"/>
                      <w:lang w:eastAsia="lt-LT"/>
                    </w:rPr>
                    <w:t>2.21 lentelė</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688"/>
                    <w:gridCol w:w="4011"/>
                    <w:gridCol w:w="1496"/>
                  </w:tblGrid>
                  <w:tr>
                    <w:trPr>
                      <w:trHeight w:val="630"/>
                    </w:trPr>
                    <w:tc>
                      <w:tcPr>
                        <w:tcW w:w="0" w:type="auto"/>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color w:val="000000"/>
                            <w:lang w:eastAsia="lt-LT"/>
                          </w:rPr>
                        </w:pPr>
                        <w:r>
                          <w:rPr>
                            <w:bCs/>
                            <w:color w:val="000000"/>
                            <w:lang w:eastAsia="lt-LT"/>
                          </w:rPr>
                          <w:t>Eil.</w:t>
                        </w:r>
                      </w:p>
                      <w:p>
                        <w:pPr>
                          <w:tabs>
                            <w:tab w:val="left" w:pos="567"/>
                          </w:tabs>
                          <w:suppressAutoHyphens/>
                          <w:spacing w:line="276" w:lineRule="auto"/>
                          <w:jc w:val="center"/>
                          <w:rPr>
                            <w:rFonts w:eastAsia="Calibri"/>
                            <w:bCs/>
                            <w:color w:val="000000"/>
                            <w:szCs w:val="22"/>
                            <w:lang w:eastAsia="lt-LT"/>
                          </w:rPr>
                        </w:pPr>
                        <w:r>
                          <w:rPr>
                            <w:bCs/>
                            <w:color w:val="000000"/>
                            <w:lang w:eastAsia="lt-LT"/>
                          </w:rPr>
                          <w:t>Nr.</w:t>
                        </w:r>
                      </w:p>
                    </w:tc>
                    <w:tc>
                      <w:tcPr>
                        <w:tcW w:w="0" w:type="auto"/>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bCs/>
                            <w:color w:val="000000"/>
                            <w:szCs w:val="22"/>
                            <w:lang w:eastAsia="lt-LT"/>
                          </w:rPr>
                        </w:pPr>
                        <w:r>
                          <w:rPr>
                            <w:bCs/>
                            <w:color w:val="000000"/>
                            <w:lang w:eastAsia="lt-LT"/>
                          </w:rPr>
                          <w:t>Karšto buitinio vandens ruošimo sistemos įrangos tipo apibūdinimas</w:t>
                        </w: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ascii="UniversalMath1 BT" w:eastAsia="Calibri" w:hAnsi="UniversalMath1 BT"/>
                            <w:bCs/>
                            <w:i/>
                            <w:iCs/>
                            <w:color w:val="000000"/>
                            <w:szCs w:val="22"/>
                            <w:lang w:eastAsia="lt-LT"/>
                          </w:rPr>
                        </w:pPr>
                        <w:r>
                          <w:rPr>
                            <w:bCs/>
                            <w:color w:val="000000"/>
                            <w:lang w:eastAsia="lt-LT"/>
                          </w:rPr>
                          <w:t>Karšto buitinio vandens ruošimo sistemos įrangos reguliavimo apibūdinimas</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ascii="UniversalMath1 BT" w:eastAsia="Calibri" w:hAnsi="UniversalMath1 BT"/>
                            <w:bCs/>
                            <w:i/>
                            <w:iCs/>
                            <w:strike/>
                            <w:color w:val="000000"/>
                            <w:szCs w:val="22"/>
                            <w:lang w:eastAsia="lt-LT"/>
                          </w:rPr>
                        </w:pPr>
                        <w:r>
                          <w:rPr>
                            <w:i/>
                            <w:color w:val="000000"/>
                            <w:lang w:eastAsia="lt-LT"/>
                          </w:rPr>
                          <w:t>η</w:t>
                        </w:r>
                        <w:r>
                          <w:rPr>
                            <w:i/>
                            <w:color w:val="000000"/>
                            <w:vertAlign w:val="subscript"/>
                            <w:lang w:eastAsia="lt-LT"/>
                          </w:rPr>
                          <w:t>hw.eq1</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1.</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Šilumos tinklai + centrinis šilumos punktas</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0,77</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0,81</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2.</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Šilumos tinklai + pastato šilumos punktas</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0,88</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0,93</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įvertinantis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1,03</w:t>
                        </w:r>
                      </w:p>
                    </w:tc>
                  </w:tr>
                  <w:tr>
                    <w:trPr>
                      <w:trHeight w:val="315"/>
                    </w:trPr>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3.</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Šilumos tinklai + autonominis greitaeigis šildytuvas</w:t>
                        </w: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0,95</w:t>
                        </w:r>
                      </w:p>
                    </w:tc>
                  </w:tr>
                  <w:tr>
                    <w:trPr>
                      <w:trHeight w:val="315"/>
                    </w:trPr>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4.</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Dujinis greitaeigis šildytuvas </w:t>
                        </w: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0,90</w:t>
                        </w:r>
                      </w:p>
                    </w:tc>
                  </w:tr>
                  <w:tr>
                    <w:trPr>
                      <w:trHeight w:val="315"/>
                    </w:trPr>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5.</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Dujinis katilas su greitaeigiu vandens šildymu </w:t>
                        </w: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0,90</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6.</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Dujinis katilas be greitaeigio vandens šildymo, </w:t>
                        </w:r>
                        <w:r>
                          <w:rPr>
                            <w:lang w:eastAsia="lt-LT"/>
                          </w:rPr>
                          <w:t xml:space="preserve">išskyrus dujinius katilus su absorbciniais šilumos siurbliais </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0,81</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0,95</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temperatūros pagal užduotą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1,03</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1,08</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7.</w:t>
                        </w:r>
                      </w:p>
                    </w:tc>
                    <w:tc>
                      <w:tcPr>
                        <w:tcW w:w="0" w:type="auto"/>
                        <w:vMerge w:val="restar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rPr>
                            <w:rFonts w:eastAsia="Calibri"/>
                            <w:color w:val="000000"/>
                            <w:lang w:eastAsia="lt-LT"/>
                          </w:rPr>
                        </w:pPr>
                        <w:r>
                          <w:rPr>
                            <w:color w:val="000000"/>
                            <w:lang w:eastAsia="lt-LT"/>
                          </w:rPr>
                          <w:t xml:space="preserve">Skystojo kuro katilas </w:t>
                        </w:r>
                      </w:p>
                      <w:p>
                        <w:pPr>
                          <w:tabs>
                            <w:tab w:val="left" w:pos="567"/>
                          </w:tabs>
                          <w:suppressAutoHyphens/>
                          <w:spacing w:line="276" w:lineRule="auto"/>
                          <w:jc w:val="both"/>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Rankinis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0,72</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trike/>
                            <w:color w:val="000000"/>
                            <w:szCs w:val="22"/>
                            <w:lang w:eastAsia="lt-LT"/>
                          </w:rPr>
                        </w:pPr>
                        <w:r>
                          <w:rPr>
                            <w:color w:val="000000"/>
                            <w:lang w:eastAsia="lt-LT"/>
                          </w:rPr>
                          <w:t>Automatinis, su karšto vandens pastovios temperatūros palaikymu</w:t>
                        </w:r>
                        <w:r>
                          <w:rPr>
                            <w:strike/>
                            <w:color w:val="000000"/>
                            <w:lang w:eastAsia="lt-LT"/>
                          </w:rPr>
                          <w:t xml:space="preserve">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0,76</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0,92</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0,96</w:t>
                        </w:r>
                      </w:p>
                    </w:tc>
                  </w:tr>
                  <w:tr>
                    <w:trPr>
                      <w:trHeight w:val="315"/>
                    </w:trPr>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8.</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Kietojo kuro katilas </w:t>
                        </w:r>
                      </w:p>
                    </w:tc>
                    <w:tc>
                      <w:tcPr>
                        <w:tcW w:w="4011"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0,68</w:t>
                        </w:r>
                      </w:p>
                    </w:tc>
                  </w:tr>
                  <w:tr>
                    <w:trPr>
                      <w:trHeight w:val="315"/>
                    </w:trPr>
                    <w:tc>
                      <w:tcPr>
                        <w:tcW w:w="0" w:type="auto"/>
                        <w:tcBorders>
                          <w:top w:val="single" w:sz="4" w:space="0" w:color="auto"/>
                          <w:left w:val="nil"/>
                          <w:bottom w:val="single" w:sz="4" w:space="0" w:color="auto"/>
                          <w:right w:val="nil"/>
                        </w:tcBorders>
                      </w:tcPr>
                      <w:p>
                        <w:pPr>
                          <w:tabs>
                            <w:tab w:val="left" w:pos="567"/>
                          </w:tabs>
                          <w:suppressAutoHyphens/>
                          <w:spacing w:line="276" w:lineRule="auto"/>
                          <w:jc w:val="center"/>
                          <w:rPr>
                            <w:rFonts w:eastAsia="Calibri"/>
                            <w:color w:val="000000"/>
                            <w:szCs w:val="22"/>
                            <w:lang w:eastAsia="lt-LT"/>
                          </w:rPr>
                        </w:pPr>
                      </w:p>
                    </w:tc>
                    <w:tc>
                      <w:tcPr>
                        <w:tcW w:w="0" w:type="auto"/>
                        <w:tcBorders>
                          <w:top w:val="single" w:sz="4" w:space="0" w:color="auto"/>
                          <w:left w:val="nil"/>
                          <w:bottom w:val="single" w:sz="4" w:space="0" w:color="auto"/>
                          <w:right w:val="nil"/>
                        </w:tcBorders>
                      </w:tcPr>
                      <w:p>
                        <w:pPr>
                          <w:tabs>
                            <w:tab w:val="left" w:pos="567"/>
                          </w:tabs>
                          <w:suppressAutoHyphens/>
                          <w:spacing w:line="276" w:lineRule="auto"/>
                          <w:jc w:val="both"/>
                          <w:rPr>
                            <w:rFonts w:eastAsia="Calibri"/>
                            <w:color w:val="000000"/>
                            <w:szCs w:val="22"/>
                            <w:lang w:eastAsia="lt-LT"/>
                          </w:rPr>
                        </w:pPr>
                      </w:p>
                    </w:tc>
                    <w:tc>
                      <w:tcPr>
                        <w:tcW w:w="4011" w:type="dxa"/>
                        <w:tcBorders>
                          <w:top w:val="single" w:sz="4" w:space="0" w:color="auto"/>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Cs w:val="22"/>
                            <w:lang w:eastAsia="lt-LT"/>
                          </w:rPr>
                        </w:pP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trike/>
                            <w:color w:val="000000"/>
                            <w:szCs w:val="22"/>
                            <w:lang w:eastAsia="lt-LT"/>
                          </w:rPr>
                        </w:pPr>
                        <w:r>
                          <w:rPr>
                            <w:i/>
                            <w:color w:val="000000"/>
                            <w:lang w:eastAsia="lt-LT"/>
                          </w:rPr>
                          <w:t>η</w:t>
                        </w:r>
                        <w:r>
                          <w:rPr>
                            <w:i/>
                            <w:color w:val="000000"/>
                            <w:vertAlign w:val="subscript"/>
                            <w:lang w:eastAsia="lt-LT"/>
                          </w:rPr>
                          <w:t>hw.eq2</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9.</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Elektrinis tūrinis šildytuvas </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trike/>
                            <w:color w:val="000000"/>
                            <w:szCs w:val="22"/>
                            <w:lang w:eastAsia="lt-LT"/>
                          </w:rPr>
                        </w:pPr>
                        <w:r>
                          <w:rPr>
                            <w:color w:val="000000"/>
                            <w:lang w:eastAsia="lt-LT"/>
                          </w:rPr>
                          <w:t>Automatinis, su karšto vandens pastovios temperatūros palaikymu</w:t>
                        </w:r>
                        <w:r>
                          <w:rPr>
                            <w:strike/>
                            <w:color w:val="000000"/>
                            <w:lang w:eastAsia="lt-LT"/>
                          </w:rPr>
                          <w:t xml:space="preserve"> </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0,95</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1,15</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1,20</w:t>
                        </w:r>
                      </w:p>
                    </w:tc>
                  </w:tr>
                  <w:tr>
                    <w:trPr>
                      <w:trHeight w:val="315"/>
                    </w:trPr>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10.</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 xml:space="preserve">Elektrinis greitaeigis šildytuvas </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11.</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rPr>
                            <w:rFonts w:eastAsia="Calibri"/>
                            <w:color w:val="000000"/>
                            <w:lang w:eastAsia="lt-LT"/>
                          </w:rPr>
                        </w:pPr>
                        <w:r>
                          <w:rPr>
                            <w:color w:val="000000"/>
                            <w:lang w:eastAsia="lt-LT"/>
                          </w:rPr>
                          <w:t xml:space="preserve">Kombinuoto tūrinio </w:t>
                        </w:r>
                      </w:p>
                      <w:p>
                        <w:pPr>
                          <w:tabs>
                            <w:tab w:val="left" w:pos="567"/>
                          </w:tabs>
                          <w:suppressAutoHyphens/>
                          <w:spacing w:line="276" w:lineRule="auto"/>
                          <w:jc w:val="both"/>
                          <w:rPr>
                            <w:rFonts w:eastAsia="Calibri"/>
                            <w:color w:val="000000"/>
                            <w:szCs w:val="22"/>
                            <w:lang w:eastAsia="lt-LT"/>
                          </w:rPr>
                        </w:pPr>
                        <w:r>
                          <w:rPr>
                            <w:color w:val="000000"/>
                            <w:lang w:eastAsia="lt-LT"/>
                          </w:rPr>
                          <w:t>šildytuvo duomenys</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0,95</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1,15</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1,20</w:t>
                        </w:r>
                      </w:p>
                    </w:tc>
                  </w:tr>
                  <w:tr>
                    <w:trPr>
                      <w:trHeight w:val="315"/>
                    </w:trPr>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Cs w:val="22"/>
                            <w:lang w:eastAsia="lt-LT"/>
                          </w:rPr>
                        </w:pPr>
                        <w:r>
                          <w:rPr>
                            <w:color w:val="000000"/>
                            <w:lang w:eastAsia="lt-LT"/>
                          </w:rPr>
                          <w:t>12.</w:t>
                        </w:r>
                      </w:p>
                    </w:tc>
                    <w:tc>
                      <w:tcPr>
                        <w:tcW w:w="0" w:type="auto"/>
                        <w:vMerge w:val="restar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Šiluminis siurblys + akumuliacinė talpa</w:t>
                        </w: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vertAlign w:val="superscript"/>
                            <w:lang w:eastAsia="lt-LT"/>
                          </w:rPr>
                        </w:pPr>
                        <w:r>
                          <w:rPr>
                            <w:color w:val="000000"/>
                            <w:lang w:eastAsia="lt-LT"/>
                          </w:rPr>
                          <w:t>0,66·ηSPF</w:t>
                        </w:r>
                        <w:r>
                          <w:rPr>
                            <w:strike/>
                            <w:color w:val="000000"/>
                            <w:lang w:eastAsia="lt-LT"/>
                          </w:rPr>
                          <w:t>*</w:t>
                        </w:r>
                        <w:r>
                          <w:rPr>
                            <w:b/>
                            <w:color w:val="000000"/>
                            <w:vertAlign w:val="superscript"/>
                            <w:lang w:eastAsia="lt-LT"/>
                          </w:rPr>
                          <w:t>1)</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vertAlign w:val="superscript"/>
                            <w:lang w:eastAsia="lt-LT"/>
                          </w:rPr>
                        </w:pPr>
                        <w:r>
                          <w:rPr>
                            <w:color w:val="000000"/>
                            <w:lang w:eastAsia="lt-LT"/>
                          </w:rPr>
                          <w:t>0,8·ηSPF</w:t>
                        </w:r>
                        <w:r>
                          <w:rPr>
                            <w:strike/>
                            <w:color w:val="000000"/>
                            <w:lang w:eastAsia="lt-LT"/>
                          </w:rPr>
                          <w:t>*</w:t>
                        </w:r>
                        <w:r>
                          <w:rPr>
                            <w:b/>
                            <w:color w:val="000000"/>
                            <w:vertAlign w:val="superscript"/>
                            <w:lang w:eastAsia="lt-LT"/>
                          </w:rPr>
                          <w:t>1)</w:t>
                        </w:r>
                      </w:p>
                    </w:tc>
                  </w:tr>
                  <w:tr>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rPr>
                            <w:rFonts w:eastAsia="Calibri"/>
                            <w:color w:val="000000"/>
                            <w:szCs w:val="22"/>
                            <w:lang w:eastAsia="lt-LT"/>
                          </w:rPr>
                        </w:pPr>
                      </w:p>
                    </w:tc>
                    <w:tc>
                      <w:tcPr>
                        <w:tcW w:w="4011"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Cs w:val="22"/>
                            <w:lang w:eastAsia="lt-LT"/>
                          </w:rPr>
                        </w:pPr>
                        <w:r>
                          <w:rPr>
                            <w:color w:val="000000"/>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Cs w:val="22"/>
                            <w:vertAlign w:val="superscript"/>
                            <w:lang w:eastAsia="lt-LT"/>
                          </w:rPr>
                        </w:pPr>
                        <w:r>
                          <w:rPr>
                            <w:color w:val="000000"/>
                            <w:lang w:eastAsia="lt-LT"/>
                          </w:rPr>
                          <w:t>0,84·ηSPF</w:t>
                        </w:r>
                        <w:r>
                          <w:rPr>
                            <w:strike/>
                            <w:color w:val="000000"/>
                            <w:lang w:eastAsia="lt-LT"/>
                          </w:rPr>
                          <w:t>*</w:t>
                        </w:r>
                        <w:r>
                          <w:rPr>
                            <w:b/>
                            <w:color w:val="000000"/>
                            <w:vertAlign w:val="superscript"/>
                            <w:lang w:eastAsia="lt-LT"/>
                          </w:rPr>
                          <w:t>1)</w:t>
                        </w:r>
                      </w:p>
                    </w:tc>
                  </w:tr>
                  <w:tr>
                    <w:trPr>
                      <w:trHeight w:val="315"/>
                    </w:trPr>
                    <w:tc>
                      <w:tcPr>
                        <w:tcW w:w="8112" w:type="dxa"/>
                        <w:gridSpan w:val="3"/>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both"/>
                          <w:rPr>
                            <w:color w:val="000000"/>
                            <w:lang w:eastAsia="lt-LT"/>
                          </w:rPr>
                        </w:pPr>
                      </w:p>
                    </w:tc>
                    <w:tc>
                      <w:tcPr>
                        <w:tcW w:w="1496" w:type="dxa"/>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color w:val="000000"/>
                            <w:lang w:eastAsia="lt-LT"/>
                          </w:rPr>
                        </w:pPr>
                        <w:r>
                          <w:rPr>
                            <w:bCs/>
                            <w:i/>
                            <w:color w:val="000000"/>
                            <w:lang w:eastAsia="lt-LT"/>
                          </w:rPr>
                          <w:t>η</w:t>
                        </w:r>
                        <w:r>
                          <w:rPr>
                            <w:bCs/>
                            <w:i/>
                            <w:color w:val="000000"/>
                            <w:vertAlign w:val="subscript"/>
                            <w:lang w:eastAsia="lt-LT"/>
                          </w:rPr>
                          <w:t>hw.eq1</w:t>
                        </w:r>
                      </w:p>
                    </w:tc>
                  </w:tr>
                  <w:tr>
                    <w:trPr>
                      <w:trHeight w:val="315"/>
                    </w:trPr>
                    <w:tc>
                      <w:tcPr>
                        <w:tcW w:w="0" w:type="auto"/>
                        <w:vMerge w:val="restart"/>
                        <w:tcBorders>
                          <w:top w:val="single" w:sz="4" w:space="0" w:color="auto"/>
                          <w:left w:val="single" w:sz="4" w:space="0" w:color="auto"/>
                          <w:right w:val="single" w:sz="4" w:space="0" w:color="auto"/>
                        </w:tcBorders>
                        <w:vAlign w:val="center"/>
                      </w:tcPr>
                      <w:p>
                        <w:pPr>
                          <w:tabs>
                            <w:tab w:val="left" w:pos="567"/>
                          </w:tabs>
                          <w:suppressAutoHyphens/>
                          <w:rPr>
                            <w:rFonts w:eastAsia="Calibri"/>
                            <w:color w:val="000000"/>
                            <w:szCs w:val="22"/>
                            <w:lang w:eastAsia="lt-LT"/>
                          </w:rPr>
                        </w:pPr>
                        <w:r>
                          <w:rPr>
                            <w:rFonts w:eastAsia="Calibri"/>
                            <w:color w:val="000000"/>
                            <w:szCs w:val="22"/>
                            <w:lang w:eastAsia="lt-LT"/>
                          </w:rPr>
                          <w:t>13.</w:t>
                        </w:r>
                      </w:p>
                    </w:tc>
                    <w:tc>
                      <w:tcPr>
                        <w:tcW w:w="0" w:type="auto"/>
                        <w:vMerge w:val="restart"/>
                        <w:tcBorders>
                          <w:top w:val="single" w:sz="4" w:space="0" w:color="auto"/>
                          <w:left w:val="single" w:sz="4" w:space="0" w:color="auto"/>
                          <w:right w:val="single" w:sz="4" w:space="0" w:color="auto"/>
                        </w:tcBorders>
                      </w:tcPr>
                      <w:p>
                        <w:pPr>
                          <w:tabs>
                            <w:tab w:val="left" w:pos="567"/>
                          </w:tabs>
                          <w:suppressAutoHyphens/>
                          <w:jc w:val="both"/>
                          <w:rPr>
                            <w:lang w:eastAsia="lt-LT"/>
                          </w:rPr>
                        </w:pPr>
                        <w:r>
                          <w:rPr>
                            <w:lang w:eastAsia="lt-LT"/>
                          </w:rPr>
                          <w:t xml:space="preserve">Dujinis katilas su absorbciniu šilumos siurbliu </w:t>
                        </w:r>
                      </w:p>
                    </w:tc>
                    <w:tc>
                      <w:tcPr>
                        <w:tcW w:w="4011" w:type="dxa"/>
                        <w:tcBorders>
                          <w:top w:val="single" w:sz="4" w:space="0" w:color="auto"/>
                          <w:left w:val="single" w:sz="4" w:space="0" w:color="auto"/>
                          <w:bottom w:val="single" w:sz="4" w:space="0" w:color="auto"/>
                          <w:right w:val="single" w:sz="4" w:space="0" w:color="auto"/>
                        </w:tcBorders>
                      </w:tcPr>
                      <w:p>
                        <w:pPr>
                          <w:tabs>
                            <w:tab w:val="left" w:pos="567"/>
                          </w:tabs>
                          <w:suppressAutoHyphens/>
                          <w:jc w:val="both"/>
                          <w:rPr>
                            <w:lang w:eastAsia="lt-LT"/>
                          </w:rPr>
                        </w:pPr>
                        <w:r>
                          <w:rPr>
                            <w:lang w:eastAsia="lt-LT"/>
                          </w:rPr>
                          <w:t>Automatinis, su karšto vandens pastovios temperatūros palaikymu</w:t>
                        </w:r>
                      </w:p>
                    </w:tc>
                    <w:tc>
                      <w:tcPr>
                        <w:tcW w:w="1496" w:type="dxa"/>
                        <w:tcBorders>
                          <w:top w:val="single" w:sz="4" w:space="0" w:color="auto"/>
                          <w:left w:val="single" w:sz="4" w:space="0" w:color="auto"/>
                          <w:bottom w:val="single" w:sz="4" w:space="0" w:color="auto"/>
                          <w:right w:val="single" w:sz="4" w:space="0" w:color="auto"/>
                        </w:tcBorders>
                        <w:vAlign w:val="center"/>
                      </w:tcPr>
                      <w:p>
                        <w:pPr>
                          <w:tabs>
                            <w:tab w:val="left" w:pos="567"/>
                          </w:tabs>
                          <w:suppressAutoHyphens/>
                          <w:jc w:val="center"/>
                          <w:rPr>
                            <w:lang w:eastAsia="lt-LT"/>
                          </w:rPr>
                        </w:pPr>
                        <w:r>
                          <w:rPr>
                            <w:lang w:eastAsia="lt-LT"/>
                          </w:rPr>
                          <w:t>0,95·η</w:t>
                        </w:r>
                        <w:r>
                          <w:rPr>
                            <w:vertAlign w:val="subscript"/>
                            <w:lang w:eastAsia="lt-LT"/>
                          </w:rPr>
                          <w:t xml:space="preserve">GHP.H </w:t>
                        </w:r>
                        <w:r>
                          <w:rPr>
                            <w:vertAlign w:val="superscript"/>
                            <w:lang w:eastAsia="lt-LT"/>
                          </w:rPr>
                          <w:t>2)</w:t>
                        </w:r>
                      </w:p>
                    </w:tc>
                  </w:tr>
                  <w:tr>
                    <w:trPr>
                      <w:trHeight w:val="315"/>
                    </w:trPr>
                    <w:tc>
                      <w:tcPr>
                        <w:tcW w:w="0" w:type="auto"/>
                        <w:vMerge/>
                        <w:tcBorders>
                          <w:left w:val="single" w:sz="4" w:space="0" w:color="auto"/>
                          <w:right w:val="single" w:sz="4" w:space="0" w:color="auto"/>
                        </w:tcBorders>
                        <w:vAlign w:val="center"/>
                      </w:tcPr>
                      <w:p>
                        <w:pPr>
                          <w:tabs>
                            <w:tab w:val="left" w:pos="567"/>
                          </w:tabs>
                          <w:suppressAutoHyphens/>
                          <w:rPr>
                            <w:rFonts w:eastAsia="Calibri"/>
                            <w:color w:val="000000"/>
                            <w:szCs w:val="22"/>
                            <w:lang w:eastAsia="lt-LT"/>
                          </w:rPr>
                        </w:pPr>
                      </w:p>
                    </w:tc>
                    <w:tc>
                      <w:tcPr>
                        <w:tcW w:w="0" w:type="auto"/>
                        <w:vMerge/>
                        <w:tcBorders>
                          <w:left w:val="single" w:sz="4" w:space="0" w:color="auto"/>
                          <w:right w:val="single" w:sz="4" w:space="0" w:color="auto"/>
                        </w:tcBorders>
                      </w:tcPr>
                      <w:p>
                        <w:pPr>
                          <w:tabs>
                            <w:tab w:val="left" w:pos="567"/>
                          </w:tabs>
                          <w:suppressAutoHyphens/>
                          <w:rPr>
                            <w:rFonts w:eastAsia="Calibri"/>
                            <w:szCs w:val="22"/>
                            <w:lang w:eastAsia="lt-LT"/>
                          </w:rPr>
                        </w:pPr>
                      </w:p>
                    </w:tc>
                    <w:tc>
                      <w:tcPr>
                        <w:tcW w:w="4011" w:type="dxa"/>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jc w:val="both"/>
                          <w:rPr>
                            <w:lang w:eastAsia="lt-LT"/>
                          </w:rPr>
                        </w:pPr>
                        <w:r>
                          <w:rPr>
                            <w:lang w:eastAsia="lt-LT"/>
                          </w:rPr>
                          <w:t>Automatinis, su karšto vandens temperatūros pagal nustatytą režimą reguliavimu</w:t>
                        </w:r>
                      </w:p>
                    </w:tc>
                    <w:tc>
                      <w:tcPr>
                        <w:tcW w:w="1496" w:type="dxa"/>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bCs/>
                            <w:i/>
                            <w:lang w:eastAsia="lt-LT"/>
                          </w:rPr>
                        </w:pPr>
                        <w:r>
                          <w:rPr>
                            <w:lang w:eastAsia="lt-LT"/>
                          </w:rPr>
                          <w:t>1,05·η</w:t>
                        </w:r>
                        <w:r>
                          <w:rPr>
                            <w:vertAlign w:val="subscript"/>
                            <w:lang w:eastAsia="lt-LT"/>
                          </w:rPr>
                          <w:t xml:space="preserve">GHP.H </w:t>
                        </w:r>
                        <w:r>
                          <w:rPr>
                            <w:vertAlign w:val="superscript"/>
                            <w:lang w:eastAsia="lt-LT"/>
                          </w:rPr>
                          <w:t>2)</w:t>
                        </w:r>
                      </w:p>
                    </w:tc>
                  </w:tr>
                  <w:tr>
                    <w:trPr>
                      <w:trHeight w:val="315"/>
                    </w:trPr>
                    <w:tc>
                      <w:tcPr>
                        <w:tcW w:w="0" w:type="auto"/>
                        <w:vMerge/>
                        <w:tcBorders>
                          <w:left w:val="single" w:sz="4" w:space="0" w:color="auto"/>
                          <w:bottom w:val="single" w:sz="4" w:space="0" w:color="auto"/>
                          <w:right w:val="single" w:sz="4" w:space="0" w:color="auto"/>
                        </w:tcBorders>
                        <w:vAlign w:val="center"/>
                      </w:tcPr>
                      <w:p>
                        <w:pPr>
                          <w:tabs>
                            <w:tab w:val="left" w:pos="567"/>
                          </w:tabs>
                          <w:suppressAutoHyphens/>
                          <w:rPr>
                            <w:rFonts w:eastAsia="Calibri"/>
                            <w:color w:val="000000"/>
                            <w:szCs w:val="22"/>
                            <w:lang w:eastAsia="lt-LT"/>
                          </w:rPr>
                        </w:pPr>
                      </w:p>
                    </w:tc>
                    <w:tc>
                      <w:tcPr>
                        <w:tcW w:w="0" w:type="auto"/>
                        <w:vMerge/>
                        <w:tcBorders>
                          <w:left w:val="single" w:sz="4" w:space="0" w:color="auto"/>
                          <w:bottom w:val="single" w:sz="4" w:space="0" w:color="auto"/>
                          <w:right w:val="single" w:sz="4" w:space="0" w:color="auto"/>
                        </w:tcBorders>
                      </w:tcPr>
                      <w:p>
                        <w:pPr>
                          <w:tabs>
                            <w:tab w:val="left" w:pos="567"/>
                          </w:tabs>
                          <w:suppressAutoHyphens/>
                          <w:rPr>
                            <w:rFonts w:eastAsia="Calibri"/>
                            <w:szCs w:val="22"/>
                            <w:lang w:eastAsia="lt-LT"/>
                          </w:rPr>
                        </w:pPr>
                      </w:p>
                    </w:tc>
                    <w:tc>
                      <w:tcPr>
                        <w:tcW w:w="4011" w:type="dxa"/>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jc w:val="both"/>
                          <w:rPr>
                            <w:lang w:eastAsia="lt-LT"/>
                          </w:rPr>
                        </w:pPr>
                        <w:r>
                          <w:rPr>
                            <w:lang w:eastAsia="lt-LT"/>
                          </w:rPr>
                          <w:t>Automatinis, įvertinant vartotojo elgseną</w:t>
                        </w:r>
                      </w:p>
                    </w:tc>
                    <w:tc>
                      <w:tcPr>
                        <w:tcW w:w="1496" w:type="dxa"/>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bCs/>
                            <w:i/>
                            <w:lang w:eastAsia="lt-LT"/>
                          </w:rPr>
                        </w:pPr>
                        <w:r>
                          <w:rPr>
                            <w:lang w:eastAsia="lt-LT"/>
                          </w:rPr>
                          <w:t>1,1·η</w:t>
                        </w:r>
                        <w:r>
                          <w:rPr>
                            <w:vertAlign w:val="subscript"/>
                            <w:lang w:eastAsia="lt-LT"/>
                          </w:rPr>
                          <w:t xml:space="preserve">GHP.H </w:t>
                        </w:r>
                        <w:r>
                          <w:rPr>
                            <w:vertAlign w:val="superscript"/>
                            <w:lang w:eastAsia="lt-LT"/>
                          </w:rPr>
                          <w:t>2)</w:t>
                        </w:r>
                      </w:p>
                    </w:tc>
                  </w:tr>
                </w:tbl>
                <w:p/>
                <w:p>
                  <w:pPr>
                    <w:tabs>
                      <w:tab w:val="left" w:pos="567"/>
                    </w:tabs>
                    <w:suppressAutoHyphens/>
                    <w:jc w:val="both"/>
                    <w:rPr>
                      <w:lang w:eastAsia="lt-LT"/>
                    </w:rPr>
                  </w:pPr>
                  <w:r>
                    <w:rPr>
                      <w:vertAlign w:val="superscript"/>
                      <w:lang w:eastAsia="lt-LT"/>
                    </w:rPr>
                    <w:t>1)</w:t>
                  </w:r>
                  <w:r>
                    <w:rPr>
                      <w:lang w:eastAsia="lt-LT"/>
                    </w:rPr>
                    <w:t xml:space="preserve"> η</w:t>
                  </w:r>
                  <w:r>
                    <w:rPr>
                      <w:vertAlign w:val="subscript"/>
                      <w:lang w:eastAsia="lt-LT"/>
                    </w:rPr>
                    <w:t>SPF</w:t>
                  </w:r>
                  <w:r>
                    <w:rPr>
                      <w:lang w:eastAsia="lt-LT"/>
                    </w:rPr>
                    <w:t xml:space="preserve"> – sezoninis naudingumo koeficientas (SPF). Apskaičiuojamas dauginant COP, nustatytą pagal [3.35] arba [3.44] bandymų metodus prie standartinių bandymo sąlygų, dauginant iš 0,9. COP vertė prie standartinių bandymo sąlygų imama iš siurblio techninės</w:t>
                  </w:r>
                  <w:r>
                    <w:rPr>
                      <w:b/>
                      <w:lang w:eastAsia="lt-LT"/>
                    </w:rPr>
                    <w:t xml:space="preserve"> </w:t>
                  </w:r>
                  <w:r>
                    <w:rPr>
                      <w:lang w:eastAsia="lt-LT"/>
                    </w:rPr>
                    <w:t xml:space="preserve">dokumentacijos. </w:t>
                  </w:r>
                  <w:r>
                    <w:rPr>
                      <w:bCs/>
                      <w:szCs w:val="24"/>
                      <w:lang w:eastAsia="lt-LT"/>
                    </w:rPr>
                    <w:t>Jei nėra</w:t>
                  </w:r>
                  <w:r>
                    <w:rPr>
                      <w:lang w:eastAsia="lt-LT"/>
                    </w:rPr>
                    <w:t xml:space="preserve"> duomenų, </w:t>
                  </w:r>
                  <w:r>
                    <w:rPr>
                      <w:bCs/>
                      <w:i/>
                      <w:lang w:eastAsia="lt-LT"/>
                    </w:rPr>
                    <w:t>η</w:t>
                  </w:r>
                  <w:r>
                    <w:rPr>
                      <w:bCs/>
                      <w:i/>
                      <w:vertAlign w:val="subscript"/>
                      <w:lang w:eastAsia="lt-LT"/>
                    </w:rPr>
                    <w:t>SPF</w:t>
                  </w:r>
                  <w:r>
                    <w:rPr>
                      <w:bCs/>
                      <w:lang w:eastAsia="lt-LT"/>
                    </w:rPr>
                    <w:t xml:space="preserve"> </w:t>
                  </w:r>
                  <w:r>
                    <w:rPr>
                      <w:lang w:eastAsia="lt-LT"/>
                    </w:rPr>
                    <w:t>imamas iš 2.17 lentelės;</w:t>
                  </w:r>
                </w:p>
                <w:p>
                  <w:pPr>
                    <w:tabs>
                      <w:tab w:val="left" w:pos="567"/>
                    </w:tabs>
                    <w:suppressAutoHyphens/>
                    <w:jc w:val="both"/>
                    <w:rPr>
                      <w:color w:val="000000"/>
                    </w:rPr>
                  </w:pPr>
                  <w:r>
                    <w:rPr>
                      <w:vertAlign w:val="superscript"/>
                      <w:lang w:eastAsia="lt-LT"/>
                    </w:rPr>
                    <w:t>2)</w:t>
                  </w:r>
                  <w:r>
                    <w:rPr>
                      <w:lang w:eastAsia="lt-LT"/>
                    </w:rPr>
                    <w:t xml:space="preserve"> </w:t>
                  </w: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režime, vnt. Jei </w:t>
                  </w:r>
                  <w:r>
                    <w:rPr>
                      <w:i/>
                      <w:szCs w:val="24"/>
                      <w:lang w:eastAsia="lt-LT"/>
                    </w:rPr>
                    <w:t>η</w:t>
                  </w:r>
                  <w:r>
                    <w:rPr>
                      <w:i/>
                      <w:szCs w:val="24"/>
                      <w:vertAlign w:val="subscript"/>
                      <w:lang w:eastAsia="lt-LT"/>
                    </w:rPr>
                    <w:t>GHP.H</w:t>
                  </w:r>
                  <w:r>
                    <w:rPr>
                      <w:szCs w:val="24"/>
                      <w:lang w:eastAsia="lt-LT"/>
                    </w:rPr>
                    <w:t xml:space="preserve"> vertė nežinoma, ji imama iš 2.16 lentelės.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41 p."/>
                <w:tag w:val="part_97194ac3d12546ad83ed3cd74b410ae0"/>
                <w:lock w:val="sdtLocked"/>
                <w:richText/>
              </w:sdtPr>
              <w:sdtContent>
                <w:p>
                  <w:pPr>
                    <w:ind w:firstLine="570"/>
                    <w:jc w:val="both"/>
                    <w:rPr>
                      <w:color w:val="000000"/>
                    </w:rPr>
                  </w:pPr>
                  <w:sdt>
                    <w:sdtPr>
                      <w:alias w:val="Numeris"/>
                      <w:tag w:val="nr_97194ac3d12546ad83ed3cd74b410ae0"/>
                      <w:lock w:val="sdtLocked"/>
                      <w:richText/>
                    </w:sdtPr>
                    <w:sdtContent>
                      <w:r>
                        <w:rPr>
                          <w:color w:val="000000"/>
                        </w:rPr>
                        <w:t>41</w:t>
                      </w:r>
                    </w:sdtContent>
                  </w:sdt>
                  <w:r>
                    <w:rPr>
                      <w:color w:val="000000"/>
                    </w:rPr>
                    <w:t>. Šilumos nuostoliai karšto vandens ruošimo sistemos vamzdynuose turi būti apskaičiuoti taip:</w:t>
                  </w:r>
                </w:p>
                <w:sdt>
                  <w:sdtPr>
                    <w:alias w:val="2 pr. 41.1 pp."/>
                    <w:tag w:val="part_bd51b467ca1d49329ecea2b4875d11a3"/>
                    <w:lock w:val="sdtLocked"/>
                    <w:richText/>
                  </w:sdtPr>
                  <w:sdtContent>
                    <w:p>
                      <w:pPr>
                        <w:ind w:firstLine="570"/>
                        <w:jc w:val="both"/>
                        <w:rPr>
                          <w:color w:val="000000"/>
                        </w:rPr>
                      </w:pPr>
                      <w:sdt>
                        <w:sdtPr>
                          <w:alias w:val="Numeris"/>
                          <w:tag w:val="nr_bd51b467ca1d49329ecea2b4875d11a3"/>
                          <w:lock w:val="sdtLocked"/>
                          <w:richText/>
                        </w:sdtPr>
                        <w:sdtContent>
                          <w:r>
                            <w:rPr>
                              <w:color w:val="000000"/>
                            </w:rPr>
                            <w:t>41.1</w:t>
                          </w:r>
                        </w:sdtContent>
                      </w:sdt>
                      <w:r>
                        <w:rPr>
                          <w:color w:val="000000"/>
                        </w:rPr>
                        <w:t xml:space="preserve">. mėnesiniai skaičiuojamieji šilumos nuostoliai karšto vandens ruošimo sistemos vamzdynuose </w:t>
                      </w:r>
                      <w:r>
                        <w:rPr>
                          <w:i/>
                          <w:color w:val="000000"/>
                        </w:rPr>
                        <w:t>Q</w:t>
                      </w:r>
                      <w:r>
                        <w:rPr>
                          <w:i/>
                          <w:color w:val="000000"/>
                          <w:vertAlign w:val="subscript"/>
                        </w:rPr>
                        <w:t>PR.hw.dis,m</w:t>
                      </w:r>
                      <w:r>
                        <w:rPr>
                          <w:color w:val="000000"/>
                        </w:rPr>
                        <w:t xml:space="preserve"> (kWh/(m</w:t>
                      </w:r>
                      <w:r>
                        <w:rPr>
                          <w:color w:val="000000"/>
                          <w:vertAlign w:val="superscript"/>
                        </w:rPr>
                        <w:t>2</w:t>
                      </w:r>
                      <w:r>
                        <w:rPr>
                          <w:color w:val="000000"/>
                        </w:rPr>
                        <w:t>·mėn.)) apskaičiuojami taip [3.22], [3.23]:</w:t>
                      </w:r>
                    </w:p>
                    <w:tbl>
                      <w:tblPr>
                        <w:tblW w:w="5000" w:type="pct"/>
                        <w:tblLook w:val="01E0" w:firstRow="1" w:lastRow="1" w:firstColumn="1" w:lastColumn="1" w:noHBand="0" w:noVBand="0"/>
                      </w:tblPr>
                      <w:tblGrid>
                        <w:gridCol w:w="8553"/>
                        <w:gridCol w:w="1301"/>
                      </w:tblGrid>
                      <w:tr>
                        <w:tc>
                          <w:tcPr>
                            <w:tcW w:w="4340" w:type="pct"/>
                            <w:vAlign w:val="center"/>
                            <w:hideMark/>
                          </w:tcPr>
                          <w:p>
                            <w:pPr>
                              <w:spacing w:line="276" w:lineRule="auto"/>
                              <w:jc w:val="center"/>
                              <w:rPr>
                                <w:rFonts w:eastAsia="Calibri"/>
                                <w:bCs/>
                                <w:color w:val="000000"/>
                                <w:szCs w:val="22"/>
                              </w:rPr>
                            </w:pPr>
                            <w:r>
                              <w:rPr>
                                <w:color w:val="000000"/>
                              </w:rPr>
                              <w:object w:dxaOrig="3720" w:dyaOrig="400">
                                <v:shape id="_x0000_i1189" type="#_x0000_t75" style="width:186.05pt;height:20.2pt" o:ole="">
                                  <v:imagedata r:id="rId613" o:title=""/>
                                </v:shape>
                                <o:OLEObject Type="Embed" ProgID="Equation.3" ShapeID="_x0000_i1189" DrawAspect="Content" ObjectID="_0000000001" r:id="rId614"/>
                              </w:object>
                              <w:t>;</w:t>
                            </w:r>
                          </w:p>
                        </w:tc>
                        <w:tc>
                          <w:tcPr>
                            <w:tcW w:w="660" w:type="pct"/>
                            <w:vAlign w:val="center"/>
                            <w:hideMark/>
                          </w:tcPr>
                          <w:p>
                            <w:pPr>
                              <w:spacing w:line="276" w:lineRule="auto"/>
                              <w:jc w:val="right"/>
                              <w:rPr>
                                <w:rFonts w:eastAsia="Calibri"/>
                                <w:bCs/>
                                <w:color w:val="000000"/>
                                <w:szCs w:val="22"/>
                              </w:rPr>
                            </w:pPr>
                            <w:r>
                              <w:rPr>
                                <w:bCs/>
                                <w:color w:val="000000"/>
                              </w:rPr>
                              <w:t>(2.144)</w:t>
                            </w:r>
                          </w:p>
                        </w:tc>
                      </w:tr>
                    </w:tbl>
                    <w:p>
                      <w:pPr>
                        <w:tabs>
                          <w:tab w:val="left" w:pos="567"/>
                        </w:tabs>
                        <w:jc w:val="both"/>
                        <w:rPr>
                          <w:rFonts w:eastAsia="Calibri"/>
                          <w:color w:val="000000"/>
                          <w:szCs w:val="22"/>
                        </w:rPr>
                      </w:pPr>
                      <w:r>
                        <w:rPr>
                          <w:color w:val="000000"/>
                        </w:rPr>
                        <w:t>čia:</w:t>
                        <w:tab/>
                      </w:r>
                      <w:r>
                        <w:rPr>
                          <w:i/>
                          <w:color w:val="000000"/>
                        </w:rPr>
                        <w:t>Q</w:t>
                      </w:r>
                      <w:r>
                        <w:rPr>
                          <w:i/>
                          <w:color w:val="000000"/>
                          <w:vertAlign w:val="subscript"/>
                        </w:rPr>
                        <w:t>hw.Lv,m</w:t>
                      </w:r>
                      <w:r>
                        <w:rPr>
                          <w:color w:val="000000"/>
                        </w:rPr>
                        <w:t xml:space="preserve"> – mėnesiniai skaičiuojamieji šilumos nuostoliai vamzdynuose, esančiuose tarp karšto vandens ruošimo įrangos ir paskirstymo stovų (kWh/(m</w:t>
                      </w:r>
                      <w:r>
                        <w:rPr>
                          <w:color w:val="000000"/>
                          <w:vertAlign w:val="superscript"/>
                        </w:rPr>
                        <w:t>2</w:t>
                      </w:r>
                      <w:r>
                        <w:rPr>
                          <w:color w:val="000000"/>
                        </w:rPr>
                        <w:t xml:space="preserve">·mėn.)). Karšto vandens ruošimo sistemose, kuriose nėra  cirkuliacinio kontūro, </w:t>
                      </w:r>
                      <w:r>
                        <w:rPr>
                          <w:i/>
                          <w:color w:val="000000"/>
                        </w:rPr>
                        <w:t>Q</w:t>
                      </w:r>
                      <w:r>
                        <w:rPr>
                          <w:i/>
                          <w:color w:val="000000"/>
                          <w:vertAlign w:val="subscript"/>
                        </w:rPr>
                        <w:t>hw.Lv,m</w:t>
                      </w:r>
                      <w:r>
                        <w:rPr>
                          <w:bCs/>
                          <w:i/>
                          <w:color w:val="000000"/>
                        </w:rPr>
                        <w:t>=</w:t>
                      </w:r>
                      <w:r>
                        <w:rPr>
                          <w:bCs/>
                          <w:color w:val="000000"/>
                        </w:rPr>
                        <w:t>0.</w:t>
                      </w:r>
                      <w:r>
                        <w:rPr>
                          <w:color w:val="000000"/>
                        </w:rPr>
                        <w:t xml:space="preserve"> Karšto vandens ruošimo sistemų su cirkuliaciniu kontūru </w:t>
                      </w:r>
                      <w:r>
                        <w:rPr>
                          <w:i/>
                          <w:color w:val="000000"/>
                        </w:rPr>
                        <w:t>Q</w:t>
                      </w:r>
                      <w:r>
                        <w:rPr>
                          <w:i/>
                          <w:color w:val="000000"/>
                          <w:vertAlign w:val="subscript"/>
                        </w:rPr>
                        <w:t>hw.Lv,m</w:t>
                      </w:r>
                      <w:r>
                        <w:rPr>
                          <w:color w:val="000000"/>
                        </w:rPr>
                        <w:t xml:space="preserve"> vertė nustatoma pagal 41.2 papunkčio reikalavimus;</w:t>
                      </w:r>
                    </w:p>
                    <w:p>
                      <w:pPr>
                        <w:ind w:firstLine="567"/>
                        <w:jc w:val="both"/>
                        <w:rPr>
                          <w:color w:val="000000"/>
                        </w:rPr>
                      </w:pPr>
                      <w:r>
                        <w:rPr>
                          <w:i/>
                          <w:color w:val="000000"/>
                        </w:rPr>
                        <w:t>Q</w:t>
                      </w:r>
                      <w:r>
                        <w:rPr>
                          <w:i/>
                          <w:color w:val="000000"/>
                          <w:vertAlign w:val="subscript"/>
                        </w:rPr>
                        <w:t>hw.Ls,m</w:t>
                      </w:r>
                      <w:r>
                        <w:rPr>
                          <w:color w:val="000000"/>
                        </w:rPr>
                        <w:t xml:space="preserve"> – mėnesiniai skaičiuojamieji šilumos nuostoliai karšto vandens paskirstymo stovų vamzdynuose (kWh/(m</w:t>
                      </w:r>
                      <w:r>
                        <w:rPr>
                          <w:color w:val="000000"/>
                          <w:vertAlign w:val="superscript"/>
                        </w:rPr>
                        <w:t>2</w:t>
                      </w:r>
                      <w:r>
                        <w:rPr>
                          <w:color w:val="000000"/>
                        </w:rPr>
                        <w:t xml:space="preserve">·mėn.)). Karšto vandens ruošimo sistemose, kuriose nėra cirkuliacinio kontūro, </w:t>
                      </w:r>
                      <w:r>
                        <w:rPr>
                          <w:i/>
                          <w:color w:val="000000"/>
                        </w:rPr>
                        <w:t>Q</w:t>
                      </w:r>
                      <w:r>
                        <w:rPr>
                          <w:i/>
                          <w:color w:val="000000"/>
                          <w:vertAlign w:val="subscript"/>
                        </w:rPr>
                        <w:t>hw.Ls,m</w:t>
                      </w:r>
                      <w:r>
                        <w:rPr>
                          <w:bCs/>
                          <w:i/>
                          <w:color w:val="000000"/>
                        </w:rPr>
                        <w:t xml:space="preserve">= </w:t>
                      </w:r>
                      <w:r>
                        <w:rPr>
                          <w:bCs/>
                          <w:color w:val="000000"/>
                        </w:rPr>
                        <w:t>0.</w:t>
                      </w:r>
                      <w:r>
                        <w:rPr>
                          <w:color w:val="000000"/>
                        </w:rPr>
                        <w:t xml:space="preserve"> Karšto vandens ruošimo sistemų su cirkuliaciniu kontūru </w:t>
                      </w:r>
                      <w:r>
                        <w:rPr>
                          <w:i/>
                          <w:color w:val="000000"/>
                        </w:rPr>
                        <w:t>Q</w:t>
                      </w:r>
                      <w:r>
                        <w:rPr>
                          <w:i/>
                          <w:color w:val="000000"/>
                          <w:vertAlign w:val="subscript"/>
                        </w:rPr>
                        <w:t>hw.Ls,m</w:t>
                      </w:r>
                      <w:r>
                        <w:rPr>
                          <w:color w:val="000000"/>
                        </w:rPr>
                        <w:t xml:space="preserve"> vertė nustatoma pagal 41.3 papunkčio reikalavimus;</w:t>
                      </w:r>
                    </w:p>
                    <w:p>
                      <w:pPr>
                        <w:ind w:firstLine="567"/>
                        <w:jc w:val="both"/>
                        <w:rPr>
                          <w:color w:val="000000"/>
                        </w:rPr>
                      </w:pPr>
                      <w:r>
                        <w:rPr>
                          <w:i/>
                          <w:color w:val="000000"/>
                        </w:rPr>
                        <w:t>Q</w:t>
                      </w:r>
                      <w:r>
                        <w:rPr>
                          <w:i/>
                          <w:color w:val="000000"/>
                          <w:vertAlign w:val="subscript"/>
                        </w:rPr>
                        <w:t>hw.L</w:t>
                      </w:r>
                      <w:r>
                        <w:rPr>
                          <w:i/>
                          <w:color w:val="000000"/>
                          <w:position w:val="-6"/>
                          <w:sz w:val="20"/>
                          <w:vertAlign w:val="subscript"/>
                        </w:rPr>
                        <w:t>SL</w:t>
                      </w:r>
                      <w:r>
                        <w:rPr>
                          <w:i/>
                          <w:color w:val="000000"/>
                          <w:vertAlign w:val="subscript"/>
                        </w:rPr>
                        <w:t>,m</w:t>
                      </w:r>
                      <w:r>
                        <w:rPr>
                          <w:color w:val="000000"/>
                        </w:rPr>
                        <w:t xml:space="preserve"> – mėnesiniai skaičiuojamieji šilumos nuostoliai patalpų skirstomuosiuose vamzdynuose (kWh/(m</w:t>
                      </w:r>
                      <w:r>
                        <w:rPr>
                          <w:color w:val="000000"/>
                          <w:vertAlign w:val="superscript"/>
                        </w:rPr>
                        <w:t>2</w:t>
                      </w:r>
                      <w:r>
                        <w:rPr>
                          <w:color w:val="000000"/>
                        </w:rPr>
                        <w:t xml:space="preserve">·mėn.)). </w:t>
                      </w:r>
                      <w:r>
                        <w:rPr>
                          <w:i/>
                          <w:color w:val="000000"/>
                        </w:rPr>
                        <w:t>Q</w:t>
                      </w:r>
                      <w:r>
                        <w:rPr>
                          <w:i/>
                          <w:color w:val="000000"/>
                          <w:vertAlign w:val="subscript"/>
                        </w:rPr>
                        <w:t>hw.L</w:t>
                      </w:r>
                      <w:r>
                        <w:rPr>
                          <w:i/>
                          <w:color w:val="000000"/>
                          <w:position w:val="-6"/>
                          <w:sz w:val="20"/>
                          <w:vertAlign w:val="subscript"/>
                        </w:rPr>
                        <w:t>SL</w:t>
                      </w:r>
                      <w:r>
                        <w:rPr>
                          <w:i/>
                          <w:color w:val="000000"/>
                          <w:vertAlign w:val="subscript"/>
                        </w:rPr>
                        <w:t>,m</w:t>
                      </w:r>
                      <w:r>
                        <w:rPr>
                          <w:color w:val="000000"/>
                        </w:rPr>
                        <w:t xml:space="preserve"> vertė nustatoma pagal 41.4 papunkčio reikalavimus;</w:t>
                      </w:r>
                    </w:p>
                    <w:p>
                      <w:pPr>
                        <w:rPr>
                          <w:color w:val="000000"/>
                        </w:rPr>
                      </w:pPr>
                    </w:p>
                  </w:sdtContent>
                </w:sdt>
                <w:sdt>
                  <w:sdtPr>
                    <w:alias w:val="2 pr. 41.2 pp."/>
                    <w:tag w:val="part_3dc7eeae64654471a33fc11f6b9757fc"/>
                    <w:lock w:val="sdtLocked"/>
                    <w:richText/>
                  </w:sdtPr>
                  <w:sdtContent>
                    <w:p>
                      <w:pPr>
                        <w:ind w:firstLine="570"/>
                        <w:jc w:val="both"/>
                        <w:rPr>
                          <w:color w:val="000000"/>
                        </w:rPr>
                      </w:pPr>
                      <w:sdt>
                        <w:sdtPr>
                          <w:alias w:val="Numeris"/>
                          <w:tag w:val="nr_3dc7eeae64654471a33fc11f6b9757fc"/>
                          <w:lock w:val="sdtLocked"/>
                          <w:richText/>
                        </w:sdtPr>
                        <w:sdtContent>
                          <w:r>
                            <w:rPr>
                              <w:color w:val="000000"/>
                            </w:rPr>
                            <w:t>41.2</w:t>
                          </w:r>
                        </w:sdtContent>
                      </w:sdt>
                      <w:r>
                        <w:rPr>
                          <w:color w:val="000000"/>
                        </w:rPr>
                        <w:t xml:space="preserve">. mėnesiniai skaičiuojamieji šilumos nuostoliai karšto vandens ruošimo sistemos vamzdynuose tarp vandens ruošimo įrangos ir paskirstymo stovų </w:t>
                      </w:r>
                      <w:r>
                        <w:rPr>
                          <w:i/>
                          <w:color w:val="000000"/>
                        </w:rPr>
                        <w:t>Q</w:t>
                      </w:r>
                      <w:r>
                        <w:rPr>
                          <w:i/>
                          <w:color w:val="000000"/>
                          <w:vertAlign w:val="subscript"/>
                        </w:rPr>
                        <w:t>hw.Lv,m</w:t>
                      </w:r>
                      <w:r>
                        <w:rPr>
                          <w:color w:val="000000"/>
                        </w:rPr>
                        <w:t xml:space="preserve"> (kWh/(m</w:t>
                      </w:r>
                      <w:r>
                        <w:rPr>
                          <w:color w:val="000000"/>
                          <w:vertAlign w:val="superscript"/>
                        </w:rPr>
                        <w:t>2</w:t>
                      </w:r>
                      <w:r>
                        <w:rPr>
                          <w:color w:val="000000"/>
                        </w:rPr>
                        <w:t>·mėn.)) apskaičiuojami taip [3.22], [3.23]:</w:t>
                      </w:r>
                    </w:p>
                    <w:tbl>
                      <w:tblPr>
                        <w:tblW w:w="5000" w:type="pct"/>
                        <w:tblLook w:val="01E0" w:firstRow="1" w:lastRow="1" w:firstColumn="1" w:lastColumn="1" w:noHBand="0" w:noVBand="0"/>
                      </w:tblPr>
                      <w:tblGrid>
                        <w:gridCol w:w="8553"/>
                        <w:gridCol w:w="1301"/>
                      </w:tblGrid>
                      <w:tr>
                        <w:tc>
                          <w:tcPr>
                            <w:tcW w:w="4340" w:type="pct"/>
                            <w:vAlign w:val="center"/>
                            <w:hideMark/>
                          </w:tcPr>
                          <w:p>
                            <w:pPr>
                              <w:spacing w:line="276" w:lineRule="auto"/>
                              <w:jc w:val="center"/>
                              <w:rPr>
                                <w:rFonts w:eastAsia="Calibri"/>
                                <w:bCs/>
                                <w:color w:val="000000"/>
                                <w:szCs w:val="22"/>
                              </w:rPr>
                            </w:pPr>
                            <w:r>
                              <w:rPr>
                                <w:rFonts w:eastAsia="Calibri"/>
                                <w:color w:val="000000"/>
                                <w:position w:val="-32"/>
                                <w:szCs w:val="22"/>
                              </w:rPr>
                              <w:object w:dxaOrig="5050" w:dyaOrig="680">
                                <v:shape id="_x0000_i1190" type="#_x0000_t75" style="width:253.2pt;height:34pt" o:ole="">
                                  <v:imagedata r:id="rId615" o:title=""/>
                                </v:shape>
                                <o:OLEObject Type="Embed" ProgID="Equation.3" ShapeID="_x0000_i1190" DrawAspect="Content" ObjectID="_0000000001" r:id="rId616"/>
                              </w:object>
                            </w:r>
                            <w:r>
                              <w:rPr>
                                <w:color w:val="000000"/>
                              </w:rPr>
                              <w:t>,</w:t>
                            </w:r>
                          </w:p>
                        </w:tc>
                        <w:tc>
                          <w:tcPr>
                            <w:tcW w:w="660" w:type="pct"/>
                            <w:vAlign w:val="center"/>
                            <w:hideMark/>
                          </w:tcPr>
                          <w:p>
                            <w:pPr>
                              <w:spacing w:line="276" w:lineRule="auto"/>
                              <w:jc w:val="right"/>
                              <w:rPr>
                                <w:rFonts w:eastAsia="Calibri"/>
                                <w:bCs/>
                                <w:color w:val="000000"/>
                                <w:szCs w:val="22"/>
                              </w:rPr>
                            </w:pPr>
                            <w:r>
                              <w:rPr>
                                <w:bCs/>
                                <w:color w:val="000000"/>
                              </w:rPr>
                              <w:t>(2.145)</w:t>
                            </w:r>
                          </w:p>
                        </w:tc>
                      </w:tr>
                    </w:tbl>
                    <w:p>
                      <w:pPr>
                        <w:rPr>
                          <w:rFonts w:eastAsia="Calibri"/>
                          <w:color w:val="000000"/>
                          <w:szCs w:val="22"/>
                        </w:rPr>
                      </w:pPr>
                    </w:p>
                    <w:p>
                      <w:pPr>
                        <w:tabs>
                          <w:tab w:val="left" w:pos="567"/>
                        </w:tabs>
                        <w:jc w:val="both"/>
                        <w:rPr>
                          <w:color w:val="000000"/>
                        </w:rPr>
                      </w:pPr>
                      <w:r>
                        <w:rPr>
                          <w:color w:val="000000"/>
                        </w:rPr>
                        <w:t>čia:</w:t>
                        <w:tab/>
                      </w:r>
                      <w:r>
                        <w:rPr>
                          <w:i/>
                          <w:color w:val="000000"/>
                        </w:rPr>
                        <w:t>k</w:t>
                      </w:r>
                      <w:r>
                        <w:rPr>
                          <w:i/>
                          <w:color w:val="000000"/>
                          <w:vertAlign w:val="subscript"/>
                        </w:rPr>
                        <w:t>V</w:t>
                      </w:r>
                      <w:r>
                        <w:rPr>
                          <w:color w:val="000000"/>
                        </w:rPr>
                        <w:t xml:space="preserve"> – pataisos koeficientas šilumos nuostoliams vamzdynuose (vnt.). Kaitie patys vamzdynai naudojami KV ir šildymo sistemoms, šildymo laikotarpiu visi šilumos nuostoliai juose priskiriami šildymo sistemai, todėl 10–12 ir 1–3 mėnesiais imama </w:t>
                      </w:r>
                      <w:r>
                        <w:rPr>
                          <w:i/>
                          <w:color w:val="000000"/>
                        </w:rPr>
                        <w:t>k</w:t>
                      </w:r>
                      <w:r>
                        <w:rPr>
                          <w:i/>
                          <w:color w:val="000000"/>
                          <w:vertAlign w:val="subscript"/>
                        </w:rPr>
                        <w:t>V</w:t>
                      </w:r>
                      <w:r>
                        <w:rPr>
                          <w:color w:val="000000"/>
                        </w:rPr>
                        <w:t xml:space="preserve"> =0, kitą pusę metų vamzdynas naudojamas tik karšto vandens ruošimo sistemai, todėl 4–9 mėnesiais imama </w:t>
                      </w:r>
                      <w:r>
                        <w:rPr>
                          <w:i/>
                          <w:color w:val="000000"/>
                        </w:rPr>
                        <w:t>k</w:t>
                      </w:r>
                      <w:r>
                        <w:rPr>
                          <w:i/>
                          <w:color w:val="000000"/>
                          <w:vertAlign w:val="subscript"/>
                        </w:rPr>
                        <w:t>V</w:t>
                      </w:r>
                      <w:r>
                        <w:rPr>
                          <w:color w:val="000000"/>
                        </w:rPr>
                        <w:t xml:space="preserve"> = 1. Kai šilumai tiekti į karšto vandens ruošimo ir šildymo sistemas naudojami skirtingi vamzdynai, visų metų laikotarpiu imama </w:t>
                      </w:r>
                      <w:r>
                        <w:rPr>
                          <w:i/>
                          <w:color w:val="000000"/>
                        </w:rPr>
                        <w:t>k</w:t>
                      </w:r>
                      <w:r>
                        <w:rPr>
                          <w:i/>
                          <w:color w:val="000000"/>
                          <w:vertAlign w:val="subscript"/>
                        </w:rPr>
                        <w:t>V</w:t>
                      </w:r>
                      <w:r>
                        <w:rPr>
                          <w:color w:val="000000"/>
                        </w:rPr>
                        <w:t xml:space="preserve"> =1;</w:t>
                      </w:r>
                    </w:p>
                    <w:p>
                      <w:pPr>
                        <w:ind w:firstLine="567"/>
                        <w:jc w:val="both"/>
                        <w:rPr>
                          <w:color w:val="000000"/>
                        </w:rPr>
                      </w:pPr>
                      <w:r>
                        <w:rPr>
                          <w:i/>
                          <w:color w:val="000000"/>
                        </w:rPr>
                        <w:t>24</w:t>
                      </w:r>
                      <w:r>
                        <w:rPr>
                          <w:color w:val="000000"/>
                        </w:rPr>
                        <w:t xml:space="preserve"> – karšto vandens cirkuliacijos vamzdynuose trukmė per parą (h);</w:t>
                      </w:r>
                    </w:p>
                    <w:p>
                      <w:pPr>
                        <w:ind w:firstLine="567"/>
                        <w:jc w:val="both"/>
                        <w:rPr>
                          <w:color w:val="000000"/>
                        </w:rPr>
                      </w:pPr>
                      <w:r>
                        <w:rPr>
                          <w:i/>
                          <w:color w:val="000000"/>
                        </w:rPr>
                        <w:t>50</w:t>
                      </w:r>
                      <w:r>
                        <w:rPr>
                          <w:color w:val="000000"/>
                        </w:rPr>
                        <w:t xml:space="preserve"> – vidutinė paros karšto vandens temperatūra vamzdynuose (ºC);</w:t>
                      </w:r>
                    </w:p>
                    <w:p>
                      <w:pPr>
                        <w:ind w:firstLine="567"/>
                        <w:jc w:val="both"/>
                        <w:rPr>
                          <w:color w:val="000000"/>
                        </w:rPr>
                      </w:pPr>
                      <w:r>
                        <w:rPr>
                          <w:i/>
                          <w:color w:val="000000"/>
                        </w:rPr>
                        <w:t>θ</w:t>
                      </w:r>
                      <w:r>
                        <w:rPr>
                          <w:i/>
                          <w:color w:val="000000"/>
                          <w:vertAlign w:val="subscript"/>
                        </w:rPr>
                        <w:t>Lv</w:t>
                      </w:r>
                      <w:r>
                        <w:rPr>
                          <w:color w:val="000000"/>
                        </w:rPr>
                        <w:t xml:space="preserve"> – vidutinė paros temperatūra patalpose, kuriose įrengti vamzdynai (ºC). Jei vamzdynai įrengti šildomose patalpose </w:t>
                      </w:r>
                      <w:r>
                        <w:rPr>
                          <w:i/>
                          <w:color w:val="000000"/>
                        </w:rPr>
                        <w:t>θ</w:t>
                      </w:r>
                      <w:r>
                        <w:rPr>
                          <w:i/>
                          <w:color w:val="000000"/>
                          <w:vertAlign w:val="subscript"/>
                        </w:rPr>
                        <w:t>Lv</w:t>
                      </w:r>
                      <w:r>
                        <w:rPr>
                          <w:bCs/>
                          <w:i/>
                          <w:color w:val="000000"/>
                        </w:rPr>
                        <w:t>=</w:t>
                      </w:r>
                      <w:r>
                        <w:rPr>
                          <w:i/>
                          <w:color w:val="000000"/>
                        </w:rPr>
                        <w:t xml:space="preserve"> θ</w:t>
                      </w:r>
                      <w:r>
                        <w:rPr>
                          <w:i/>
                          <w:color w:val="000000"/>
                          <w:vertAlign w:val="subscript"/>
                        </w:rPr>
                        <w:t>iH</w:t>
                      </w:r>
                      <w:r>
                        <w:rPr>
                          <w:color w:val="000000"/>
                        </w:rPr>
                        <w:t xml:space="preserve">, jei nešildomose patalpose – </w:t>
                      </w:r>
                      <w:r>
                        <w:rPr>
                          <w:i/>
                          <w:color w:val="000000"/>
                        </w:rPr>
                        <w:t>θ</w:t>
                      </w:r>
                      <w:r>
                        <w:rPr>
                          <w:i/>
                          <w:color w:val="000000"/>
                          <w:vertAlign w:val="subscript"/>
                        </w:rPr>
                        <w:t>Lv</w:t>
                      </w:r>
                      <w:r>
                        <w:rPr>
                          <w:bCs/>
                          <w:i/>
                          <w:color w:val="000000"/>
                        </w:rPr>
                        <w:t>=</w:t>
                      </w:r>
                      <w:r>
                        <w:rPr>
                          <w:bCs/>
                          <w:color w:val="000000"/>
                        </w:rPr>
                        <w:t xml:space="preserve">13 </w:t>
                      </w:r>
                      <w:r>
                        <w:rPr>
                          <w:color w:val="000000"/>
                        </w:rPr>
                        <w:t xml:space="preserve">ºC [3.23]; </w:t>
                      </w:r>
                    </w:p>
                    <w:p>
                      <w:pPr>
                        <w:ind w:firstLine="567"/>
                        <w:jc w:val="both"/>
                        <w:rPr>
                          <w:color w:val="000000"/>
                        </w:rPr>
                      </w:pPr>
                      <w:r>
                        <w:rPr>
                          <w:i/>
                          <w:color w:val="000000"/>
                        </w:rPr>
                        <w:t>L</w:t>
                      </w:r>
                      <w:r>
                        <w:rPr>
                          <w:i/>
                          <w:color w:val="000000"/>
                          <w:vertAlign w:val="subscript"/>
                        </w:rPr>
                        <w:t>V</w:t>
                      </w:r>
                      <w:r>
                        <w:rPr>
                          <w:color w:val="000000"/>
                          <w:vertAlign w:val="subscript"/>
                        </w:rPr>
                        <w:t xml:space="preserve"> </w:t>
                      </w:r>
                      <w:r>
                        <w:rPr>
                          <w:color w:val="000000"/>
                        </w:rPr>
                        <w:t>– viso pastato vamzdynų tarp karšto vandens ruošimo įrenginio ir paskirstymo stovų ilgis (m). Jei šis ilgis nežinomas, jis apskaičiuojamas pagal formulę [3.23]:</w:t>
                      </w:r>
                    </w:p>
                    <w:tbl>
                      <w:tblPr>
                        <w:tblW w:w="5000" w:type="pct"/>
                        <w:tblLook w:val="01E0" w:firstRow="1" w:lastRow="1" w:firstColumn="1" w:lastColumn="1" w:noHBand="0" w:noVBand="0"/>
                      </w:tblPr>
                      <w:tblGrid>
                        <w:gridCol w:w="8553"/>
                        <w:gridCol w:w="1301"/>
                      </w:tblGrid>
                      <w:tr>
                        <w:tc>
                          <w:tcPr>
                            <w:tcW w:w="4340" w:type="pct"/>
                            <w:vAlign w:val="center"/>
                            <w:hideMark/>
                          </w:tcPr>
                          <w:p>
                            <w:pPr>
                              <w:spacing w:line="276" w:lineRule="auto"/>
                              <w:jc w:val="center"/>
                              <w:rPr>
                                <w:rFonts w:eastAsia="Calibri"/>
                                <w:bCs/>
                                <w:color w:val="000000"/>
                                <w:szCs w:val="22"/>
                              </w:rPr>
                            </w:pPr>
                            <w:r>
                              <w:rPr>
                                <w:rFonts w:eastAsia="Calibri"/>
                                <w:color w:val="000000"/>
                                <w:position w:val="-10"/>
                                <w:szCs w:val="22"/>
                              </w:rPr>
                              <w:object w:dxaOrig="2340" w:dyaOrig="330">
                                <v:shape id="_x0000_i1191" type="#_x0000_t75" style="width:117.3pt;height:16.2pt" o:ole="">
                                  <v:imagedata r:id="rId617" o:title=""/>
                                </v:shape>
                                <o:OLEObject Type="Embed" ProgID="Equation.3" ShapeID="_x0000_i1191" DrawAspect="Content" ObjectID="_0000000001" r:id="rId618"/>
                              </w:object>
                            </w:r>
                            <w:r>
                              <w:rPr>
                                <w:color w:val="000000"/>
                              </w:rPr>
                              <w:t>;</w:t>
                            </w:r>
                          </w:p>
                        </w:tc>
                        <w:tc>
                          <w:tcPr>
                            <w:tcW w:w="660" w:type="pct"/>
                            <w:vAlign w:val="center"/>
                            <w:hideMark/>
                          </w:tcPr>
                          <w:p>
                            <w:pPr>
                              <w:spacing w:line="276" w:lineRule="auto"/>
                              <w:jc w:val="right"/>
                              <w:rPr>
                                <w:rFonts w:eastAsia="Calibri"/>
                                <w:bCs/>
                                <w:color w:val="000000"/>
                                <w:szCs w:val="22"/>
                              </w:rPr>
                            </w:pPr>
                            <w:r>
                              <w:rPr>
                                <w:bCs/>
                                <w:color w:val="000000"/>
                              </w:rPr>
                              <w:t>(2.146)</w:t>
                            </w:r>
                          </w:p>
                        </w:tc>
                      </w:tr>
                    </w:tbl>
                    <w:p>
                      <w:pPr>
                        <w:tabs>
                          <w:tab w:val="left" w:pos="567"/>
                        </w:tabs>
                        <w:jc w:val="both"/>
                        <w:rPr>
                          <w:rFonts w:eastAsia="Calibri"/>
                          <w:color w:val="000000"/>
                          <w:szCs w:val="22"/>
                        </w:rPr>
                      </w:pPr>
                      <w:r>
                        <w:rPr>
                          <w:color w:val="000000"/>
                        </w:rPr>
                        <w:t xml:space="preserve">čia: </w:t>
                        <w:tab/>
                      </w:r>
                      <w:r>
                        <w:rPr>
                          <w:i/>
                          <w:color w:val="000000"/>
                        </w:rPr>
                        <w:t>L</w:t>
                      </w:r>
                      <w:r>
                        <w:rPr>
                          <w:i/>
                          <w:color w:val="000000"/>
                          <w:vertAlign w:val="subscript"/>
                        </w:rPr>
                        <w:t>B</w:t>
                      </w:r>
                      <w:r>
                        <w:rPr>
                          <w:color w:val="000000"/>
                        </w:rPr>
                        <w:t xml:space="preserve"> – didžiausias pastato ilgis pagal pastato išorinius matmenis (m);</w:t>
                      </w:r>
                    </w:p>
                    <w:p>
                      <w:pPr>
                        <w:ind w:firstLine="567"/>
                        <w:jc w:val="both"/>
                        <w:rPr>
                          <w:color w:val="000000"/>
                        </w:rPr>
                      </w:pPr>
                      <w:r>
                        <w:rPr>
                          <w:i/>
                          <w:color w:val="000000"/>
                        </w:rPr>
                        <w:t>B</w:t>
                      </w:r>
                      <w:r>
                        <w:rPr>
                          <w:i/>
                          <w:color w:val="000000"/>
                          <w:vertAlign w:val="subscript"/>
                        </w:rPr>
                        <w:t>B</w:t>
                      </w:r>
                      <w:r>
                        <w:rPr>
                          <w:color w:val="000000"/>
                        </w:rPr>
                        <w:t xml:space="preserve"> – didžiausias pastato plotis pagal pastato išorinius matmenis (m);</w:t>
                      </w:r>
                    </w:p>
                    <w:p>
                      <w:pPr>
                        <w:ind w:firstLine="567"/>
                        <w:jc w:val="both"/>
                        <w:rPr>
                          <w:color w:val="000000"/>
                        </w:rPr>
                      </w:pPr>
                      <w:r>
                        <w:rPr>
                          <w:i/>
                          <w:color w:val="000000"/>
                        </w:rPr>
                        <w:t>U</w:t>
                      </w:r>
                      <w:r>
                        <w:rPr>
                          <w:i/>
                          <w:color w:val="000000"/>
                          <w:vertAlign w:val="superscript"/>
                        </w:rPr>
                        <w:t>‘</w:t>
                      </w:r>
                      <w:r>
                        <w:rPr>
                          <w:i/>
                          <w:color w:val="000000"/>
                          <w:vertAlign w:val="subscript"/>
                        </w:rPr>
                        <w:t>hw.avg.Lv</w:t>
                      </w:r>
                      <w:r>
                        <w:rPr>
                          <w:color w:val="000000"/>
                          <w:vertAlign w:val="subscript"/>
                        </w:rPr>
                        <w:t xml:space="preserve"> </w:t>
                      </w:r>
                      <w:r>
                        <w:rPr>
                          <w:color w:val="000000"/>
                        </w:rPr>
                        <w:t>– vamzdynų tarp karšto vandens ruošimo įrenginio ir paskirstymo stovų vidutinis ilginis šilumos perdavimo koeficientas (W/(m·K)). Apskaičiuojama pagal Reglamento 8 priedo</w:t>
                      </w:r>
                      <w:r>
                        <w:rPr>
                          <w:color w:val="000000"/>
                          <w:sz w:val="36"/>
                        </w:rPr>
                        <w:t xml:space="preserve"> </w:t>
                      </w:r>
                      <w:r>
                        <w:rPr>
                          <w:color w:val="000000"/>
                        </w:rPr>
                        <w:t>reikalavimus; nesant pakankamai duomenų, imama iš 2.22 lentelės.</w:t>
                      </w:r>
                    </w:p>
                    <w:p>
                      <w:pPr>
                        <w:ind w:firstLine="720"/>
                        <w:rPr>
                          <w:color w:val="000000"/>
                        </w:rPr>
                      </w:pPr>
                    </w:p>
                    <w:p>
                      <w:pPr>
                        <w:jc w:val="center"/>
                        <w:rPr>
                          <w:b/>
                        </w:rPr>
                      </w:pPr>
                      <w:r>
                        <w:rPr>
                          <w:b/>
                        </w:rPr>
                        <w:t xml:space="preserve">Vamzdynų, esančių tarp karšto vandens ruošimo įrenginio ir paskirstymo stovų, ilginių šilumos perdavimo koeficientų </w:t>
                      </w:r>
                      <w:r>
                        <w:rPr>
                          <w:b/>
                          <w:i/>
                        </w:rPr>
                        <w:t>U</w:t>
                      </w:r>
                      <w:r>
                        <w:rPr>
                          <w:b/>
                          <w:i/>
                          <w:vertAlign w:val="superscript"/>
                        </w:rPr>
                        <w:t>‘</w:t>
                      </w:r>
                      <w:r>
                        <w:rPr>
                          <w:b/>
                          <w:i/>
                          <w:vertAlign w:val="subscript"/>
                        </w:rPr>
                        <w:t>hw.avg.Lv</w:t>
                      </w:r>
                      <w:r>
                        <w:rPr>
                          <w:b/>
                          <w:vertAlign w:val="subscript"/>
                        </w:rPr>
                        <w:t xml:space="preserve"> </w:t>
                      </w:r>
                      <w:r>
                        <w:rPr>
                          <w:b/>
                        </w:rPr>
                        <w:t xml:space="preserve"> </w:t>
                      </w:r>
                      <w:r>
                        <w:t xml:space="preserve">(W/(mK)) </w:t>
                      </w:r>
                      <w:r>
                        <w:rPr>
                          <w:b/>
                        </w:rPr>
                        <w:t xml:space="preserve">vertės </w:t>
                      </w:r>
                    </w:p>
                    <w:p>
                      <w:pPr>
                        <w:jc w:val="right"/>
                      </w:pPr>
                      <w:r>
                        <w:t>2.22 lentelė</w:t>
                      </w:r>
                    </w:p>
                    <w:tbl>
                      <w:tblPr>
                        <w:tblW w:w="5000" w:type="pct"/>
                        <w:tblLook w:val="04A0" w:firstRow="1" w:lastRow="0" w:firstColumn="1" w:lastColumn="0" w:noHBand="0" w:noVBand="1"/>
                      </w:tblPr>
                      <w:tblGrid>
                        <w:gridCol w:w="7964"/>
                        <w:gridCol w:w="1890"/>
                      </w:tblGrid>
                      <w:tr>
                        <w:trPr>
                          <w:trHeight w:val="245"/>
                        </w:trPr>
                        <w:tc>
                          <w:tcPr>
                            <w:tcW w:w="404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Vamzdynų apibūdinimas</w:t>
                            </w:r>
                          </w:p>
                        </w:tc>
                        <w:tc>
                          <w:tcPr>
                            <w:tcW w:w="95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i/>
                                <w:iCs/>
                              </w:rPr>
                            </w:pPr>
                            <w:r>
                              <w:rPr>
                                <w:i/>
                                <w:iCs/>
                              </w:rPr>
                              <w:t>U</w:t>
                            </w:r>
                            <w:r>
                              <w:rPr>
                                <w:i/>
                                <w:iCs/>
                                <w:vertAlign w:val="superscript"/>
                              </w:rPr>
                              <w:t>‘</w:t>
                            </w:r>
                            <w:r>
                              <w:rPr>
                                <w:i/>
                                <w:iCs/>
                                <w:vertAlign w:val="subscript"/>
                              </w:rPr>
                              <w:t>hw.avg.Lv</w:t>
                            </w:r>
                            <w:r>
                              <w:rPr>
                                <w:vertAlign w:val="subscript"/>
                              </w:rPr>
                              <w:t xml:space="preserve"> </w:t>
                            </w:r>
                            <w:r>
                              <w:t>,</w:t>
                            </w:r>
                          </w:p>
                          <w:p>
                            <w:pPr>
                              <w:spacing w:line="276" w:lineRule="auto"/>
                              <w:jc w:val="center"/>
                              <w:rPr>
                                <w:rFonts w:eastAsia="Calibri"/>
                                <w:i/>
                                <w:iCs/>
                                <w:szCs w:val="22"/>
                              </w:rPr>
                            </w:pPr>
                            <w:r>
                              <w:t>W/(m·K)</w:t>
                            </w:r>
                          </w:p>
                        </w:tc>
                      </w:tr>
                      <w:tr>
                        <w:trPr>
                          <w:trHeight w:val="312"/>
                        </w:trPr>
                        <w:tc>
                          <w:tcPr>
                            <w:tcW w:w="4041" w:type="pct"/>
                            <w:tcBorders>
                              <w:top w:val="nil"/>
                              <w:left w:val="single" w:sz="4" w:space="0" w:color="auto"/>
                              <w:bottom w:val="single" w:sz="4" w:space="0" w:color="auto"/>
                              <w:right w:val="single" w:sz="4" w:space="0" w:color="auto"/>
                            </w:tcBorders>
                            <w:vAlign w:val="bottom"/>
                            <w:hideMark/>
                          </w:tcPr>
                          <w:p>
                            <w:pPr>
                              <w:spacing w:line="276" w:lineRule="auto"/>
                              <w:jc w:val="both"/>
                              <w:rPr>
                                <w:rFonts w:eastAsia="Calibri"/>
                                <w:szCs w:val="22"/>
                              </w:rPr>
                            </w:pPr>
                            <w:r>
                              <w:t>Neapšiltinti vamzdynai</w:t>
                            </w:r>
                          </w:p>
                        </w:tc>
                        <w:tc>
                          <w:tcPr>
                            <w:tcW w:w="959"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1,67</w:t>
                            </w:r>
                          </w:p>
                        </w:tc>
                      </w:tr>
                      <w:tr>
                        <w:trPr>
                          <w:trHeight w:val="624"/>
                        </w:trPr>
                        <w:tc>
                          <w:tcPr>
                            <w:tcW w:w="4041" w:type="pct"/>
                            <w:tcBorders>
                              <w:top w:val="nil"/>
                              <w:left w:val="single" w:sz="4" w:space="0" w:color="auto"/>
                              <w:bottom w:val="single" w:sz="4" w:space="0" w:color="auto"/>
                              <w:right w:val="single" w:sz="4" w:space="0" w:color="auto"/>
                            </w:tcBorders>
                            <w:vAlign w:val="bottom"/>
                            <w:hideMark/>
                          </w:tcPr>
                          <w:p>
                            <w:pPr>
                              <w:spacing w:line="276" w:lineRule="auto"/>
                              <w:jc w:val="both"/>
                              <w:rPr>
                                <w:rFonts w:eastAsia="Calibri"/>
                                <w:szCs w:val="22"/>
                              </w:rPr>
                            </w:pPr>
                            <w:r>
                              <w:t>Iki 1993 metų apšiltinti vamzdynai. Apytikris šiluminės izoliacijos storis atitinka pusę vamzdyno skersmens</w:t>
                            </w:r>
                          </w:p>
                        </w:tc>
                        <w:tc>
                          <w:tcPr>
                            <w:tcW w:w="959"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0,66</w:t>
                            </w:r>
                          </w:p>
                        </w:tc>
                      </w:tr>
                      <w:tr>
                        <w:trPr>
                          <w:trHeight w:val="624"/>
                        </w:trPr>
                        <w:tc>
                          <w:tcPr>
                            <w:tcW w:w="4041" w:type="pct"/>
                            <w:tcBorders>
                              <w:top w:val="nil"/>
                              <w:left w:val="single" w:sz="4" w:space="0" w:color="auto"/>
                              <w:bottom w:val="single" w:sz="4" w:space="0" w:color="auto"/>
                              <w:right w:val="single" w:sz="4" w:space="0" w:color="auto"/>
                            </w:tcBorders>
                            <w:vAlign w:val="bottom"/>
                            <w:hideMark/>
                          </w:tcPr>
                          <w:p>
                            <w:pPr>
                              <w:spacing w:line="276" w:lineRule="auto"/>
                              <w:jc w:val="both"/>
                              <w:rPr>
                                <w:rFonts w:eastAsia="Calibri"/>
                                <w:szCs w:val="22"/>
                              </w:rPr>
                            </w:pPr>
                            <w:r>
                              <w:t>Iki 1993 metų apšiltinti vamzdynai. Apytikris šiluminės izoliacijos storis atitinka vamzdyno skersmenį</w:t>
                            </w:r>
                          </w:p>
                        </w:tc>
                        <w:tc>
                          <w:tcPr>
                            <w:tcW w:w="959"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0,53</w:t>
                            </w:r>
                          </w:p>
                        </w:tc>
                      </w:tr>
                      <w:tr>
                        <w:trPr>
                          <w:trHeight w:val="624"/>
                        </w:trPr>
                        <w:tc>
                          <w:tcPr>
                            <w:tcW w:w="4041" w:type="pct"/>
                            <w:tcBorders>
                              <w:top w:val="nil"/>
                              <w:left w:val="single" w:sz="4" w:space="0" w:color="auto"/>
                              <w:bottom w:val="single" w:sz="4" w:space="0" w:color="auto"/>
                              <w:right w:val="single" w:sz="4" w:space="0" w:color="auto"/>
                            </w:tcBorders>
                            <w:vAlign w:val="bottom"/>
                            <w:hideMark/>
                          </w:tcPr>
                          <w:p>
                            <w:pPr>
                              <w:spacing w:line="276" w:lineRule="auto"/>
                              <w:jc w:val="both"/>
                              <w:rPr>
                                <w:rFonts w:eastAsia="Calibri"/>
                                <w:szCs w:val="22"/>
                              </w:rPr>
                            </w:pPr>
                            <w:r>
                              <w:t>Po 1993 metų apšiltinti vamzdynai. Apytikris šiluminės izoliacijos storis atitinka pusę vamzdyno skersmens</w:t>
                            </w:r>
                          </w:p>
                        </w:tc>
                        <w:tc>
                          <w:tcPr>
                            <w:tcW w:w="959"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0,47</w:t>
                            </w:r>
                          </w:p>
                        </w:tc>
                      </w:tr>
                      <w:tr>
                        <w:trPr>
                          <w:trHeight w:val="624"/>
                        </w:trPr>
                        <w:tc>
                          <w:tcPr>
                            <w:tcW w:w="4041" w:type="pct"/>
                            <w:tcBorders>
                              <w:top w:val="nil"/>
                              <w:left w:val="single" w:sz="4" w:space="0" w:color="auto"/>
                              <w:bottom w:val="single" w:sz="4" w:space="0" w:color="auto"/>
                              <w:right w:val="single" w:sz="4" w:space="0" w:color="auto"/>
                            </w:tcBorders>
                            <w:vAlign w:val="bottom"/>
                            <w:hideMark/>
                          </w:tcPr>
                          <w:p>
                            <w:pPr>
                              <w:spacing w:line="276" w:lineRule="auto"/>
                              <w:jc w:val="both"/>
                              <w:rPr>
                                <w:rFonts w:eastAsia="Calibri"/>
                                <w:szCs w:val="22"/>
                              </w:rPr>
                            </w:pPr>
                            <w:r>
                              <w:t>Po 1993 metų apšiltinti vamzdynai. Apytikris šiluminės izoliacijos storis atitinka vamzdyno skersmenį</w:t>
                            </w:r>
                          </w:p>
                        </w:tc>
                        <w:tc>
                          <w:tcPr>
                            <w:tcW w:w="959"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0,34</w:t>
                            </w:r>
                          </w:p>
                        </w:tc>
                      </w:tr>
                    </w:tbl>
                    <w:p>
                      <w:pPr>
                        <w:ind w:firstLine="720"/>
                        <w:rPr>
                          <w:rFonts w:eastAsia="Calibri"/>
                          <w:szCs w:val="22"/>
                        </w:rPr>
                      </w:pPr>
                    </w:p>
                    <w:p>
                      <w:pPr>
                        <w:ind w:firstLine="720"/>
                      </w:pPr>
                    </w:p>
                  </w:sdtContent>
                </w:sdt>
                <w:sdt>
                  <w:sdtPr>
                    <w:alias w:val="2 pr. 41.3 pp."/>
                    <w:tag w:val="part_7aa7beaa59e846fdb29a8e6cfba9d6ad"/>
                    <w:lock w:val="sdtLocked"/>
                    <w:richText/>
                  </w:sdtPr>
                  <w:sdtContent>
                    <w:p>
                      <w:pPr>
                        <w:ind w:firstLine="570"/>
                        <w:jc w:val="both"/>
                        <w:rPr>
                          <w:color w:val="000000"/>
                        </w:rPr>
                      </w:pPr>
                      <w:sdt>
                        <w:sdtPr>
                          <w:alias w:val="Numeris"/>
                          <w:tag w:val="nr_7aa7beaa59e846fdb29a8e6cfba9d6ad"/>
                          <w:lock w:val="sdtLocked"/>
                          <w:richText/>
                        </w:sdtPr>
                        <w:sdtContent>
                          <w:r>
                            <w:rPr>
                              <w:color w:val="000000"/>
                            </w:rPr>
                            <w:t>41.3</w:t>
                          </w:r>
                        </w:sdtContent>
                      </w:sdt>
                      <w:r>
                        <w:rPr>
                          <w:color w:val="000000"/>
                        </w:rPr>
                        <w:t xml:space="preserve">. Mėnesiniai skaičiuojamieji šilumos nuostoliai prie karšto vandens ruošimo sistemos įrangos prijungtuose karšto vandens paskirstymo stovų vamzdynuose </w:t>
                      </w:r>
                      <w:r>
                        <w:rPr>
                          <w:i/>
                          <w:color w:val="000000"/>
                        </w:rPr>
                        <w:t>Q</w:t>
                      </w:r>
                      <w:r>
                        <w:rPr>
                          <w:i/>
                          <w:color w:val="000000"/>
                          <w:vertAlign w:val="subscript"/>
                        </w:rPr>
                        <w:t>hw.Ls,m</w:t>
                      </w:r>
                      <w:r>
                        <w:rPr>
                          <w:color w:val="000000"/>
                        </w:rPr>
                        <w:t xml:space="preserve"> (kWh/(m</w:t>
                      </w:r>
                      <w:r>
                        <w:rPr>
                          <w:color w:val="000000"/>
                          <w:vertAlign w:val="superscript"/>
                        </w:rPr>
                        <w:t>2</w:t>
                      </w:r>
                      <w:r>
                        <w:rPr>
                          <w:color w:val="000000"/>
                        </w:rPr>
                        <w:t>·mėn.)) apskaičiuojami taip [3.22], [3.23]:</w:t>
                      </w:r>
                    </w:p>
                    <w:tbl>
                      <w:tblPr>
                        <w:tblW w:w="5000" w:type="pct"/>
                        <w:tblLook w:val="01E0" w:firstRow="1" w:lastRow="1" w:firstColumn="1" w:lastColumn="1" w:noHBand="0" w:noVBand="0"/>
                      </w:tblPr>
                      <w:tblGrid>
                        <w:gridCol w:w="8553"/>
                        <w:gridCol w:w="1301"/>
                      </w:tblGrid>
                      <w:tr>
                        <w:tc>
                          <w:tcPr>
                            <w:tcW w:w="4340" w:type="pct"/>
                            <w:vAlign w:val="center"/>
                          </w:tcPr>
                          <w:p>
                            <w:pPr>
                              <w:spacing w:line="276" w:lineRule="auto"/>
                              <w:jc w:val="center"/>
                              <w:rPr>
                                <w:rFonts w:eastAsia="Calibri"/>
                                <w:bCs/>
                                <w:strike/>
                                <w:color w:val="000000"/>
                                <w:szCs w:val="22"/>
                              </w:rPr>
                            </w:pPr>
                          </w:p>
                        </w:tc>
                        <w:tc>
                          <w:tcPr>
                            <w:tcW w:w="660" w:type="pct"/>
                            <w:vAlign w:val="center"/>
                          </w:tcPr>
                          <w:p>
                            <w:pPr>
                              <w:spacing w:line="276" w:lineRule="auto"/>
                              <w:jc w:val="right"/>
                              <w:rPr>
                                <w:rFonts w:eastAsia="Calibri"/>
                                <w:bCs/>
                                <w:strike/>
                                <w:color w:val="000000"/>
                                <w:szCs w:val="22"/>
                              </w:rPr>
                            </w:pPr>
                          </w:p>
                        </w:tc>
                      </w:tr>
                      <w:tr>
                        <w:tc>
                          <w:tcPr>
                            <w:tcW w:w="4340" w:type="pct"/>
                            <w:vAlign w:val="center"/>
                            <w:hideMark/>
                          </w:tcPr>
                          <w:p>
                            <w:pPr>
                              <w:spacing w:line="276" w:lineRule="auto"/>
                              <w:jc w:val="center"/>
                              <w:rPr>
                                <w:rFonts w:eastAsia="Calibri"/>
                                <w:bCs/>
                                <w:color w:val="000000"/>
                                <w:szCs w:val="22"/>
                              </w:rPr>
                            </w:pPr>
                            <w:r>
                              <w:rPr>
                                <w:rFonts w:eastAsia="Calibri"/>
                                <w:color w:val="000000"/>
                                <w:szCs w:val="22"/>
                              </w:rPr>
                              <w:object w:dxaOrig="5050" w:dyaOrig="680">
                                <v:shape id="_x0000_i1194" type="#_x0000_t75" style="width:253.2pt;height:34pt" o:ole="">
                                  <v:imagedata r:id="rId619" o:title=""/>
                                </v:shape>
                                <o:OLEObject Type="Embed" ProgID="Equation.3" ShapeID="_x0000_i1194" DrawAspect="Content" ObjectID="_0000000001" r:id="rId620"/>
                              </w:object>
                            </w:r>
                            <w:r>
                              <w:rPr>
                                <w:color w:val="000000"/>
                              </w:rPr>
                              <w:t>,</w:t>
                            </w:r>
                          </w:p>
                        </w:tc>
                        <w:tc>
                          <w:tcPr>
                            <w:tcW w:w="660" w:type="pct"/>
                            <w:vAlign w:val="center"/>
                            <w:hideMark/>
                          </w:tcPr>
                          <w:p>
                            <w:pPr>
                              <w:spacing w:line="276" w:lineRule="auto"/>
                              <w:jc w:val="right"/>
                              <w:rPr>
                                <w:rFonts w:eastAsia="Calibri"/>
                                <w:bCs/>
                                <w:color w:val="000000"/>
                                <w:szCs w:val="22"/>
                              </w:rPr>
                            </w:pPr>
                            <w:r>
                              <w:rPr>
                                <w:bCs/>
                                <w:color w:val="000000"/>
                              </w:rPr>
                              <w:t>(2.147)</w:t>
                            </w:r>
                          </w:p>
                        </w:tc>
                      </w:tr>
                    </w:tbl>
                    <w:p>
                      <w:pPr>
                        <w:tabs>
                          <w:tab w:val="left" w:pos="567"/>
                        </w:tabs>
                        <w:jc w:val="both"/>
                        <w:rPr>
                          <w:rFonts w:eastAsia="Calibri"/>
                          <w:color w:val="000000"/>
                          <w:szCs w:val="22"/>
                        </w:rPr>
                      </w:pPr>
                      <w:r>
                        <w:rPr>
                          <w:color w:val="000000"/>
                        </w:rPr>
                        <w:t xml:space="preserve">čia: </w:t>
                        <w:tab/>
                      </w:r>
                      <w:r>
                        <w:rPr>
                          <w:i/>
                          <w:color w:val="000000"/>
                        </w:rPr>
                        <w:t>k</w:t>
                      </w:r>
                      <w:r>
                        <w:rPr>
                          <w:i/>
                          <w:color w:val="000000"/>
                          <w:vertAlign w:val="subscript"/>
                        </w:rPr>
                        <w:t>V</w:t>
                      </w:r>
                      <w:r>
                        <w:rPr>
                          <w:color w:val="000000"/>
                        </w:rPr>
                        <w:t xml:space="preserve"> – pataisos koeficientas, kurio išaiškinimas pateiktas prie (2.145) formulės;</w:t>
                      </w:r>
                    </w:p>
                    <w:p>
                      <w:pPr>
                        <w:ind w:firstLine="567"/>
                        <w:jc w:val="both"/>
                        <w:rPr>
                          <w:color w:val="000000"/>
                        </w:rPr>
                      </w:pPr>
                      <w:r>
                        <w:rPr>
                          <w:i/>
                          <w:color w:val="000000"/>
                        </w:rPr>
                        <w:t>L</w:t>
                      </w:r>
                      <w:r>
                        <w:rPr>
                          <w:i/>
                          <w:color w:val="000000"/>
                          <w:vertAlign w:val="subscript"/>
                        </w:rPr>
                        <w:t>s</w:t>
                      </w:r>
                      <w:r>
                        <w:rPr>
                          <w:color w:val="000000"/>
                          <w:vertAlign w:val="subscript"/>
                        </w:rPr>
                        <w:t xml:space="preserve"> </w:t>
                      </w:r>
                      <w:r>
                        <w:rPr>
                          <w:color w:val="000000"/>
                        </w:rPr>
                        <w:t>–viso pastato karšto vandens paskirstymo stovų vamzdynų ilgis (m). Jei šis ilgis nežinomas, jis apskaičiuojamas taip [3,22]:</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10"/>
                                <w:szCs w:val="22"/>
                              </w:rPr>
                              <w:object w:dxaOrig="1980" w:dyaOrig="330">
                                <v:shape id="_x0000_i1195" type="#_x0000_t75" style="width:98.7pt;height:16.2pt" o:ole="">
                                  <v:imagedata r:id="rId621" o:title=""/>
                                </v:shape>
                                <o:OLEObject Type="Embed" ProgID="Equation.3" ShapeID="_x0000_i1195" DrawAspect="Content" ObjectID="_0000000001" r:id="rId622"/>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(2.148)</w:t>
                            </w:r>
                          </w:p>
                        </w:tc>
                      </w:tr>
                    </w:tbl>
                    <w:p>
                      <w:pPr>
                        <w:tabs>
                          <w:tab w:val="left" w:pos="567"/>
                        </w:tabs>
                        <w:jc w:val="both"/>
                        <w:rPr>
                          <w:rFonts w:eastAsia="Calibri"/>
                          <w:color w:val="000000"/>
                          <w:szCs w:val="22"/>
                        </w:rPr>
                      </w:pPr>
                      <w:r>
                        <w:rPr>
                          <w:color w:val="000000"/>
                        </w:rPr>
                        <w:t>čia:</w:t>
                        <w:tab/>
                      </w:r>
                      <w:r>
                        <w:rPr>
                          <w:i/>
                          <w:color w:val="000000"/>
                        </w:rPr>
                        <w:t>L</w:t>
                      </w:r>
                      <w:r>
                        <w:rPr>
                          <w:i/>
                          <w:color w:val="000000"/>
                          <w:vertAlign w:val="subscript"/>
                        </w:rPr>
                        <w:t>B</w:t>
                      </w:r>
                      <w:r>
                        <w:rPr>
                          <w:color w:val="000000"/>
                        </w:rPr>
                        <w:t xml:space="preserve"> – didžiausias pastato ilgis pagal pastato išorinius matmenis (m);</w:t>
                      </w:r>
                    </w:p>
                    <w:p>
                      <w:pPr>
                        <w:ind w:firstLine="567"/>
                        <w:jc w:val="both"/>
                        <w:rPr>
                          <w:color w:val="000000"/>
                        </w:rPr>
                      </w:pPr>
                      <w:r>
                        <w:rPr>
                          <w:i/>
                          <w:color w:val="000000"/>
                        </w:rPr>
                        <w:t>B</w:t>
                      </w:r>
                      <w:r>
                        <w:rPr>
                          <w:i/>
                          <w:color w:val="000000"/>
                          <w:vertAlign w:val="subscript"/>
                        </w:rPr>
                        <w:t>B</w:t>
                      </w:r>
                      <w:r>
                        <w:rPr>
                          <w:color w:val="000000"/>
                        </w:rPr>
                        <w:t xml:space="preserve"> – didžiausias pastato plotis pagal pastato išorinius matmenis (m);</w:t>
                      </w:r>
                    </w:p>
                    <w:p>
                      <w:pPr>
                        <w:ind w:firstLine="567"/>
                        <w:jc w:val="both"/>
                        <w:rPr>
                          <w:color w:val="000000"/>
                        </w:rPr>
                      </w:pPr>
                      <w:r>
                        <w:rPr>
                          <w:bCs/>
                          <w:i/>
                          <w:color w:val="000000"/>
                        </w:rPr>
                        <w:t>h</w:t>
                      </w:r>
                      <w:r>
                        <w:rPr>
                          <w:color w:val="000000"/>
                        </w:rPr>
                        <w:t xml:space="preserve"> – pastato aukštis (m), t. y. atstumas nuo grunto paviršiaus iki aukščiausiai pastate esančių šildomų patalpų lubų aukščiausio taško;</w:t>
                      </w:r>
                    </w:p>
                    <w:p>
                      <w:pPr>
                        <w:ind w:firstLine="567"/>
                        <w:jc w:val="both"/>
                        <w:rPr>
                          <w:color w:val="000000"/>
                        </w:rPr>
                      </w:pPr>
                      <w:r>
                        <w:rPr>
                          <w:i/>
                          <w:color w:val="000000"/>
                        </w:rPr>
                        <w:t>U</w:t>
                      </w:r>
                      <w:r>
                        <w:rPr>
                          <w:i/>
                          <w:color w:val="000000"/>
                          <w:vertAlign w:val="superscript"/>
                        </w:rPr>
                        <w:t>‘</w:t>
                      </w:r>
                      <w:r>
                        <w:rPr>
                          <w:i/>
                          <w:color w:val="000000"/>
                          <w:vertAlign w:val="subscript"/>
                        </w:rPr>
                        <w:t>hw.avg.Ls</w:t>
                      </w:r>
                      <w:r>
                        <w:rPr>
                          <w:color w:val="000000"/>
                          <w:vertAlign w:val="subscript"/>
                        </w:rPr>
                        <w:t xml:space="preserve"> </w:t>
                      </w:r>
                      <w:r>
                        <w:rPr>
                          <w:color w:val="000000"/>
                        </w:rPr>
                        <w:t>– paskirstymo stovų vamzdynų vidutinis ilginis šilumos perdavimo koeficientas (W/(m·K)). Apskaičiuojama pagal 8 priedo reikalavimus; nesant pakankamai duomenų, imama iš 2.23 lentelės.</w:t>
                      </w:r>
                    </w:p>
                    <w:p>
                      <w:pPr>
                        <w:rPr>
                          <w:color w:val="000000"/>
                        </w:rPr>
                      </w:pPr>
                    </w:p>
                    <w:p>
                      <w:pPr>
                        <w:jc w:val="center"/>
                      </w:pPr>
                      <w:sdt>
                        <w:sdtPr>
                          <w:alias w:val="Pavadinimas"/>
                          <w:tag w:val="title_7aa7beaa59e846fdb29a8e6cfba9d6ad"/>
                          <w:lock w:val="sdtLocked"/>
                          <w:richText/>
                        </w:sdtPr>
                        <w:sdtContent>
                          <w:r>
                            <w:rPr>
                              <w:b/>
                              <w:szCs w:val="24"/>
                            </w:rPr>
                            <w:t xml:space="preserve">Karšto vandens paskirstymo stovų vamzdynų ilginių šilumos perdavimo koeficientų </w:t>
                          </w:r>
                          <w:r>
                            <w:rPr>
                              <w:b/>
                              <w:i/>
                              <w:szCs w:val="24"/>
                            </w:rPr>
                            <w:t>U</w:t>
                          </w:r>
                          <w:r>
                            <w:rPr>
                              <w:b/>
                              <w:i/>
                              <w:szCs w:val="24"/>
                              <w:vertAlign w:val="superscript"/>
                            </w:rPr>
                            <w:t>‘</w:t>
                          </w:r>
                          <w:r>
                            <w:rPr>
                              <w:b/>
                              <w:i/>
                              <w:szCs w:val="24"/>
                              <w:vertAlign w:val="subscript"/>
                            </w:rPr>
                            <w:t>hw.avg.Ls</w:t>
                          </w:r>
                          <w:r>
                            <w:rPr>
                              <w:b/>
                              <w:szCs w:val="24"/>
                              <w:vertAlign w:val="subscript"/>
                            </w:rPr>
                            <w:t xml:space="preserve"> </w:t>
                          </w:r>
                          <w:r>
                            <w:rPr>
                              <w:b/>
                              <w:szCs w:val="24"/>
                            </w:rPr>
                            <w:t xml:space="preserve"> </w:t>
                          </w:r>
                          <w:r>
                            <w:rPr>
                              <w:szCs w:val="24"/>
                            </w:rPr>
                            <w:t xml:space="preserve">(W/(mK)) </w:t>
                          </w:r>
                          <w:r>
                            <w:rPr>
                              <w:b/>
                              <w:szCs w:val="24"/>
                            </w:rPr>
                            <w:t>vertės</w:t>
                          </w:r>
                        </w:sdtContent>
                      </w:sdt>
                    </w:p>
                    <w:p>
                      <w:pPr>
                        <w:jc w:val="right"/>
                      </w:pPr>
                      <w:r>
                        <w:t>2.23 lentelė</w:t>
                      </w:r>
                    </w:p>
                    <w:tbl>
                      <w:tblPr>
                        <w:tblW w:w="500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8148"/>
                        <w:gridCol w:w="1152"/>
                      </w:tblGrid>
                      <w:tr>
                        <w:trPr>
                          <w:trHeight w:val="455"/>
                        </w:trPr>
                        <w:tc>
                          <w:tcPr>
                            <w:tcW w:w="282" w:type="pct"/>
                          </w:tcPr>
                          <w:p>
                            <w:pPr>
                              <w:jc w:val="center"/>
                              <w:rPr>
                                <w:szCs w:val="24"/>
                              </w:rPr>
                            </w:pPr>
                            <w:r>
                              <w:rPr>
                                <w:szCs w:val="24"/>
                              </w:rPr>
                              <w:t>Eil. Nr.</w:t>
                            </w:r>
                          </w:p>
                        </w:tc>
                        <w:tc>
                          <w:tcPr>
                            <w:tcW w:w="4134"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szCs w:val="24"/>
                              </w:rPr>
                              <w:t>Vamzdynų apibūdinimas</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i/>
                                <w:iCs/>
                                <w:szCs w:val="24"/>
                              </w:rPr>
                            </w:pPr>
                            <w:r>
                              <w:rPr>
                                <w:i/>
                                <w:iCs/>
                                <w:szCs w:val="24"/>
                              </w:rPr>
                              <w:t>U</w:t>
                            </w:r>
                            <w:r>
                              <w:rPr>
                                <w:i/>
                                <w:iCs/>
                                <w:szCs w:val="24"/>
                                <w:vertAlign w:val="superscript"/>
                              </w:rPr>
                              <w:t>‘</w:t>
                            </w:r>
                            <w:r>
                              <w:rPr>
                                <w:i/>
                                <w:iCs/>
                                <w:szCs w:val="24"/>
                                <w:vertAlign w:val="subscript"/>
                              </w:rPr>
                              <w:t>hw.avg.Ls</w:t>
                            </w:r>
                            <w:r>
                              <w:rPr>
                                <w:szCs w:val="24"/>
                              </w:rPr>
                              <w:t>, W/(m·K)</w:t>
                            </w:r>
                          </w:p>
                        </w:tc>
                      </w:tr>
                      <w:tr>
                        <w:trPr>
                          <w:trHeight w:val="135"/>
                        </w:trPr>
                        <w:tc>
                          <w:tcPr>
                            <w:tcW w:w="282" w:type="pct"/>
                          </w:tcPr>
                          <w:p>
                            <w:pPr>
                              <w:jc w:val="both"/>
                              <w:rPr>
                                <w:szCs w:val="24"/>
                              </w:rPr>
                            </w:pPr>
                            <w:r>
                              <w:rPr>
                                <w:szCs w:val="24"/>
                                <w:lang w:val="en-US"/>
                              </w:rPr>
                              <w:t>1.</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Neapšiltinti vamzdynai patalpose</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1,67</w:t>
                            </w:r>
                          </w:p>
                        </w:tc>
                      </w:tr>
                      <w:tr>
                        <w:trPr>
                          <w:trHeight w:val="145"/>
                        </w:trPr>
                        <w:tc>
                          <w:tcPr>
                            <w:tcW w:w="282" w:type="pct"/>
                          </w:tcPr>
                          <w:p>
                            <w:pPr>
                              <w:jc w:val="both"/>
                              <w:rPr>
                                <w:szCs w:val="24"/>
                              </w:rPr>
                            </w:pPr>
                            <w:r>
                              <w:rPr>
                                <w:szCs w:val="24"/>
                              </w:rPr>
                              <w:t>2.</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Neapšiltinti vamzdynai kanaluose sienose, grindyse ir (arba) lubose</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0,84</w:t>
                            </w:r>
                          </w:p>
                        </w:tc>
                      </w:tr>
                      <w:tr>
                        <w:trPr>
                          <w:trHeight w:val="169"/>
                        </w:trPr>
                        <w:tc>
                          <w:tcPr>
                            <w:tcW w:w="282" w:type="pct"/>
                          </w:tcPr>
                          <w:p>
                            <w:pPr>
                              <w:jc w:val="both"/>
                              <w:rPr>
                                <w:szCs w:val="24"/>
                              </w:rPr>
                            </w:pPr>
                            <w:r>
                              <w:rPr>
                                <w:szCs w:val="24"/>
                              </w:rPr>
                              <w:t>3.</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iki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0,45</w:t>
                            </w:r>
                          </w:p>
                        </w:tc>
                      </w:tr>
                      <w:tr>
                        <w:trPr>
                          <w:trHeight w:val="217"/>
                        </w:trPr>
                        <w:tc>
                          <w:tcPr>
                            <w:tcW w:w="282" w:type="pct"/>
                          </w:tcPr>
                          <w:p>
                            <w:pPr>
                              <w:jc w:val="both"/>
                              <w:rPr>
                                <w:szCs w:val="24"/>
                              </w:rPr>
                            </w:pPr>
                            <w:r>
                              <w:rPr>
                                <w:szCs w:val="24"/>
                              </w:rPr>
                              <w:t>4.</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iki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0,41</w:t>
                            </w:r>
                          </w:p>
                        </w:tc>
                      </w:tr>
                      <w:tr>
                        <w:trPr>
                          <w:trHeight w:val="293"/>
                        </w:trPr>
                        <w:tc>
                          <w:tcPr>
                            <w:tcW w:w="282" w:type="pct"/>
                          </w:tcPr>
                          <w:p>
                            <w:pPr>
                              <w:jc w:val="both"/>
                              <w:rPr>
                                <w:szCs w:val="24"/>
                              </w:rPr>
                            </w:pPr>
                            <w:r>
                              <w:rPr>
                                <w:szCs w:val="24"/>
                              </w:rPr>
                              <w:t>5.</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po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0,35</w:t>
                            </w:r>
                          </w:p>
                        </w:tc>
                      </w:tr>
                      <w:tr>
                        <w:trPr>
                          <w:trHeight w:val="175"/>
                        </w:trPr>
                        <w:tc>
                          <w:tcPr>
                            <w:tcW w:w="282" w:type="pct"/>
                          </w:tcPr>
                          <w:p>
                            <w:pPr>
                              <w:jc w:val="both"/>
                              <w:rPr>
                                <w:szCs w:val="24"/>
                              </w:rPr>
                            </w:pPr>
                            <w:r>
                              <w:rPr>
                                <w:szCs w:val="24"/>
                              </w:rPr>
                              <w:t>6.</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po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0,29</w:t>
                            </w:r>
                          </w:p>
                        </w:tc>
                      </w:tr>
                      <w:tr>
                        <w:trPr>
                          <w:trHeight w:val="237"/>
                        </w:trPr>
                        <w:tc>
                          <w:tcPr>
                            <w:tcW w:w="282" w:type="pct"/>
                          </w:tcPr>
                          <w:p>
                            <w:pPr>
                              <w:jc w:val="both"/>
                              <w:rPr>
                                <w:szCs w:val="24"/>
                              </w:rPr>
                            </w:pPr>
                            <w:r>
                              <w:rPr>
                                <w:szCs w:val="24"/>
                              </w:rPr>
                              <w:t>7.</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iki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0,66</w:t>
                            </w:r>
                          </w:p>
                        </w:tc>
                      </w:tr>
                      <w:tr>
                        <w:trPr>
                          <w:trHeight w:val="299"/>
                        </w:trPr>
                        <w:tc>
                          <w:tcPr>
                            <w:tcW w:w="282" w:type="pct"/>
                          </w:tcPr>
                          <w:p>
                            <w:pPr>
                              <w:jc w:val="both"/>
                              <w:rPr>
                                <w:szCs w:val="24"/>
                              </w:rPr>
                            </w:pPr>
                            <w:r>
                              <w:rPr>
                                <w:szCs w:val="24"/>
                              </w:rPr>
                              <w:t>8.</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iki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0,53</w:t>
                            </w:r>
                          </w:p>
                        </w:tc>
                      </w:tr>
                      <w:tr>
                        <w:trPr>
                          <w:trHeight w:val="256"/>
                        </w:trPr>
                        <w:tc>
                          <w:tcPr>
                            <w:tcW w:w="282" w:type="pct"/>
                          </w:tcPr>
                          <w:p>
                            <w:pPr>
                              <w:jc w:val="both"/>
                              <w:rPr>
                                <w:szCs w:val="24"/>
                              </w:rPr>
                            </w:pPr>
                            <w:r>
                              <w:rPr>
                                <w:szCs w:val="24"/>
                              </w:rPr>
                              <w:t>9.</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po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0,47</w:t>
                            </w:r>
                          </w:p>
                        </w:tc>
                      </w:tr>
                      <w:tr>
                        <w:trPr>
                          <w:trHeight w:val="151"/>
                        </w:trPr>
                        <w:tc>
                          <w:tcPr>
                            <w:tcW w:w="282" w:type="pct"/>
                          </w:tcPr>
                          <w:p>
                            <w:pPr>
                              <w:jc w:val="both"/>
                              <w:rPr>
                                <w:szCs w:val="24"/>
                              </w:rPr>
                            </w:pPr>
                            <w:r>
                              <w:rPr>
                                <w:szCs w:val="24"/>
                              </w:rPr>
                              <w:t>10.</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po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0,34</w:t>
                            </w:r>
                          </w:p>
                        </w:tc>
                      </w:tr>
                      <w:tr>
                        <w:trPr>
                          <w:trHeight w:val="213"/>
                        </w:trPr>
                        <w:tc>
                          <w:tcPr>
                            <w:tcW w:w="282" w:type="pct"/>
                          </w:tcPr>
                          <w:p>
                            <w:pPr>
                              <w:jc w:val="both"/>
                              <w:rPr>
                                <w:szCs w:val="24"/>
                              </w:rPr>
                            </w:pPr>
                            <w:r>
                              <w:rPr>
                                <w:szCs w:val="24"/>
                              </w:rPr>
                              <w:t>11.</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iki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1,16</w:t>
                            </w:r>
                          </w:p>
                        </w:tc>
                      </w:tr>
                      <w:tr>
                        <w:trPr>
                          <w:trHeight w:val="95"/>
                        </w:trPr>
                        <w:tc>
                          <w:tcPr>
                            <w:tcW w:w="282" w:type="pct"/>
                          </w:tcPr>
                          <w:p>
                            <w:pPr>
                              <w:jc w:val="both"/>
                              <w:rPr>
                                <w:szCs w:val="24"/>
                              </w:rPr>
                            </w:pPr>
                            <w:r>
                              <w:rPr>
                                <w:szCs w:val="24"/>
                              </w:rPr>
                              <w:t>12.</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po tinku, apšiltinti iki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0,70</w:t>
                            </w:r>
                          </w:p>
                        </w:tc>
                      </w:tr>
                      <w:tr>
                        <w:trPr>
                          <w:trHeight w:val="171"/>
                        </w:trPr>
                        <w:tc>
                          <w:tcPr>
                            <w:tcW w:w="282" w:type="pct"/>
                          </w:tcPr>
                          <w:p>
                            <w:pPr>
                              <w:jc w:val="both"/>
                              <w:rPr>
                                <w:szCs w:val="24"/>
                              </w:rPr>
                            </w:pPr>
                            <w:r>
                              <w:rPr>
                                <w:szCs w:val="24"/>
                              </w:rPr>
                              <w:t>13.</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po 1993 metų. Apytikris šiluminės izoliacijos storis atitinka pusę vamzdyno skersmens</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0,67</w:t>
                            </w:r>
                          </w:p>
                        </w:tc>
                      </w:tr>
                      <w:tr>
                        <w:trPr>
                          <w:trHeight w:val="399"/>
                        </w:trPr>
                        <w:tc>
                          <w:tcPr>
                            <w:tcW w:w="282" w:type="pct"/>
                          </w:tcPr>
                          <w:p>
                            <w:pPr>
                              <w:jc w:val="both"/>
                              <w:rPr>
                                <w:szCs w:val="24"/>
                              </w:rPr>
                            </w:pPr>
                            <w:r>
                              <w:rPr>
                                <w:szCs w:val="24"/>
                              </w:rPr>
                              <w:t>14.</w:t>
                            </w:r>
                          </w:p>
                        </w:tc>
                        <w:tc>
                          <w:tcPr>
                            <w:tcW w:w="4134" w:type="pct"/>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po 1993 metų. Apytikris šiluminės izoliacijos storis atitinka vamzdyno skersmenį</w:t>
                            </w:r>
                          </w:p>
                        </w:tc>
                        <w:tc>
                          <w:tcPr>
                            <w:tcW w:w="584" w:type="pct"/>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0,40</w:t>
                            </w:r>
                          </w:p>
                        </w:tc>
                      </w:tr>
                    </w:tbl>
                    <w:p>
                      <w:pPr>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2 pr. 41.4 pp."/>
                    <w:tag w:val="part_79d8ea86f81e4ba5a72673346107bb1a"/>
                    <w:lock w:val="sdtLocked"/>
                    <w:richText/>
                  </w:sdtPr>
                  <w:sdtContent>
                    <w:p>
                      <w:pPr>
                        <w:ind w:firstLine="570"/>
                        <w:jc w:val="both"/>
                        <w:rPr>
                          <w:color w:val="000000"/>
                        </w:rPr>
                      </w:pPr>
                      <w:sdt>
                        <w:sdtPr>
                          <w:alias w:val="Numeris"/>
                          <w:tag w:val="nr_79d8ea86f81e4ba5a72673346107bb1a"/>
                          <w:lock w:val="sdtLocked"/>
                          <w:richText/>
                        </w:sdtPr>
                        <w:sdtContent>
                          <w:r>
                            <w:rPr>
                              <w:color w:val="000000"/>
                            </w:rPr>
                            <w:t>41.4</w:t>
                          </w:r>
                        </w:sdtContent>
                      </w:sdt>
                      <w:r>
                        <w:rPr>
                          <w:color w:val="000000"/>
                        </w:rPr>
                        <w:t xml:space="preserve">. Mėnesiniai skaičiuojamieji šilumos nuostoliai karšto vandens ruošimo sistemos patalpų skirstomuosiuose vamzdynuose </w:t>
                      </w:r>
                      <w:r>
                        <w:rPr>
                          <w:i/>
                          <w:color w:val="000000"/>
                        </w:rPr>
                        <w:t>Q</w:t>
                      </w:r>
                      <w:r>
                        <w:rPr>
                          <w:i/>
                          <w:color w:val="000000"/>
                          <w:vertAlign w:val="subscript"/>
                        </w:rPr>
                        <w:t>hw.L</w:t>
                      </w:r>
                      <w:r>
                        <w:rPr>
                          <w:i/>
                          <w:color w:val="000000"/>
                          <w:position w:val="-6"/>
                          <w:sz w:val="20"/>
                          <w:vertAlign w:val="subscript"/>
                        </w:rPr>
                        <w:t>SL</w:t>
                      </w:r>
                      <w:r>
                        <w:rPr>
                          <w:i/>
                          <w:color w:val="000000"/>
                          <w:vertAlign w:val="subscript"/>
                        </w:rPr>
                        <w:t>,m</w:t>
                      </w:r>
                      <w:r>
                        <w:rPr>
                          <w:color w:val="000000"/>
                        </w:rPr>
                        <w:t xml:space="preserve"> (kWh/(m</w:t>
                      </w:r>
                      <w:r>
                        <w:rPr>
                          <w:color w:val="000000"/>
                          <w:vertAlign w:val="superscript"/>
                        </w:rPr>
                        <w:t>2</w:t>
                      </w:r>
                      <w:r>
                        <w:rPr>
                          <w:color w:val="000000"/>
                        </w:rPr>
                        <w:t>·mėn.)) apskaičiuojami taip [3.22], [3.23]:</w:t>
                      </w:r>
                    </w:p>
                    <w:tbl>
                      <w:tblPr>
                        <w:tblW w:w="5000" w:type="pct"/>
                        <w:tblLook w:val="01E0" w:firstRow="1" w:lastRow="1" w:firstColumn="1" w:lastColumn="1" w:noHBand="0" w:noVBand="0"/>
                      </w:tblPr>
                      <w:tblGrid>
                        <w:gridCol w:w="8553"/>
                        <w:gridCol w:w="1301"/>
                      </w:tblGrid>
                      <w:tr>
                        <w:tc>
                          <w:tcPr>
                            <w:tcW w:w="4340" w:type="pct"/>
                          </w:tcPr>
                          <w:p>
                            <w:pPr>
                              <w:rPr>
                                <w:color w:val="000000"/>
                                <w:sz w:val="10"/>
                                <w:szCs w:val="10"/>
                              </w:rPr>
                            </w:pPr>
                          </w:p>
                          <w:p>
                            <w:pPr>
                              <w:spacing w:line="360" w:lineRule="auto"/>
                              <w:ind w:left="850" w:hanging="850"/>
                              <w:jc w:val="center"/>
                              <w:rPr>
                                <w:rFonts w:eastAsia="Calibri"/>
                                <w:bCs/>
                                <w:color w:val="000000"/>
                                <w:szCs w:val="22"/>
                              </w:rPr>
                            </w:pPr>
                            <w:r>
                              <w:rPr>
                                <w:color w:val="000000"/>
                              </w:rPr>
                              <w:object w:dxaOrig="4720" w:dyaOrig="680">
                                <v:shape id="_x0000_i1198" type="#_x0000_t75" style="width:236.2pt;height:34pt" o:ole="">
                                  <v:imagedata r:id="rId623" o:title=""/>
                                </v:shape>
                                <o:OLEObject Type="Embed" ProgID="Equation.3" ShapeID="_x0000_i1198" DrawAspect="Content" ObjectID="_0000000001" r:id="rId624"/>
                              </w:object>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(2.149)</w:t>
                            </w:r>
                          </w:p>
                        </w:tc>
                      </w:tr>
                    </w:tbl>
                    <w:p>
                      <w:pPr>
                        <w:tabs>
                          <w:tab w:val="left" w:pos="567"/>
                        </w:tabs>
                        <w:jc w:val="both"/>
                        <w:rPr>
                          <w:rFonts w:eastAsia="Calibri"/>
                          <w:color w:val="000000"/>
                          <w:szCs w:val="22"/>
                        </w:rPr>
                      </w:pPr>
                      <w:r>
                        <w:rPr>
                          <w:color w:val="000000"/>
                        </w:rPr>
                        <w:t>čia:</w:t>
                        <w:tab/>
                        <w:t xml:space="preserve">6 – priimta, kad šilumos nuostoliai patalpų skirstomuosiuose vamzdynuose atitinka nuostolius, kurie susidarytų šiuose vamzdynuose </w:t>
                      </w:r>
                      <w:smartTag w:uri="urn:schemas-microsoft-com:office:smarttags" w:element="metricconverter">
                        <w:smartTagPr>
                          <w:attr w:name="ProductID" w:val="50 ﾰC"/>
                        </w:smartTagPr>
                        <w:r>
                          <w:rPr>
                            <w:color w:val="000000"/>
                          </w:rPr>
                          <w:t>50 °C</w:t>
                        </w:r>
                      </w:smartTag>
                      <w:r>
                        <w:rPr>
                          <w:color w:val="000000"/>
                        </w:rPr>
                        <w:t xml:space="preserve"> temperatūrai laikantis 6 valandas per parą (h);</w:t>
                      </w:r>
                    </w:p>
                    <w:p>
                      <w:pPr>
                        <w:ind w:firstLine="567"/>
                        <w:jc w:val="both"/>
                        <w:rPr>
                          <w:color w:val="000000"/>
                        </w:rPr>
                      </w:pPr>
                      <w:r>
                        <w:rPr>
                          <w:i/>
                          <w:color w:val="000000"/>
                        </w:rPr>
                        <w:t>L</w:t>
                      </w:r>
                      <w:r>
                        <w:rPr>
                          <w:i/>
                          <w:color w:val="000000"/>
                          <w:vertAlign w:val="subscript"/>
                        </w:rPr>
                        <w:t>SL</w:t>
                      </w:r>
                      <w:r>
                        <w:rPr>
                          <w:color w:val="000000"/>
                          <w:vertAlign w:val="subscript"/>
                        </w:rPr>
                        <w:t xml:space="preserve"> </w:t>
                      </w:r>
                      <w:r>
                        <w:rPr>
                          <w:color w:val="000000"/>
                        </w:rPr>
                        <w:t>– skaičiuojamasis viso pastato patalpų skirstomųjų vamzdynų ilgis (m). Apskaičiuojamas taip [3.23]:</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14"/>
                                <w:szCs w:val="22"/>
                              </w:rPr>
                              <w:object w:dxaOrig="2170" w:dyaOrig="400">
                                <v:shape id="_x0000_i1199" type="#_x0000_t75" style="width:108.4pt;height:20.2pt" o:ole="">
                                  <v:imagedata r:id="rId625" o:title=""/>
                                </v:shape>
                                <o:OLEObject Type="Embed" ProgID="Equation.3" ShapeID="_x0000_i1199" DrawAspect="Content" ObjectID="_0000000001" r:id="rId626"/>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(2.150)</w:t>
                            </w:r>
                          </w:p>
                        </w:tc>
                      </w:tr>
                    </w:tbl>
                    <w:p>
                      <w:pPr>
                        <w:tabs>
                          <w:tab w:val="left" w:pos="567"/>
                        </w:tabs>
                        <w:rPr>
                          <w:rFonts w:eastAsia="Calibri"/>
                          <w:color w:val="000000"/>
                          <w:szCs w:val="22"/>
                        </w:rPr>
                      </w:pPr>
                      <w:r>
                        <w:rPr>
                          <w:color w:val="000000"/>
                        </w:rPr>
                        <w:t>čia:</w:t>
                        <w:tab/>
                      </w:r>
                      <w:r>
                        <w:rPr>
                          <w:i/>
                          <w:color w:val="000000"/>
                        </w:rPr>
                        <w:t>n</w:t>
                      </w:r>
                      <w:r>
                        <w:rPr>
                          <w:i/>
                          <w:color w:val="000000"/>
                          <w:vertAlign w:val="subscript"/>
                        </w:rPr>
                        <w:t>f</w:t>
                      </w:r>
                      <w:r>
                        <w:rPr>
                          <w:color w:val="000000"/>
                        </w:rPr>
                        <w:t xml:space="preserve"> – pastato šildomų aukštų kiekis (vnt.);</w:t>
                      </w:r>
                    </w:p>
                    <w:p>
                      <w:pPr>
                        <w:ind w:firstLine="567"/>
                        <w:jc w:val="both"/>
                        <w:rPr>
                          <w:color w:val="000000"/>
                        </w:rPr>
                      </w:pPr>
                      <w:r>
                        <w:rPr>
                          <w:i/>
                          <w:color w:val="000000"/>
                        </w:rPr>
                        <w:t>U‘</w:t>
                      </w:r>
                      <w:r>
                        <w:rPr>
                          <w:i/>
                          <w:color w:val="000000"/>
                          <w:vertAlign w:val="subscript"/>
                        </w:rPr>
                        <w:t>hw.avg.L</w:t>
                      </w:r>
                      <w:r>
                        <w:rPr>
                          <w:i/>
                          <w:color w:val="000000"/>
                          <w:position w:val="-6"/>
                          <w:sz w:val="20"/>
                          <w:vertAlign w:val="subscript"/>
                        </w:rPr>
                        <w:t>SL</w:t>
                      </w:r>
                      <w:r>
                        <w:rPr>
                          <w:color w:val="000000"/>
                        </w:rPr>
                        <w:t xml:space="preserve"> – patalpų skirstomųjų vamzdynų vidutinis ilginis šilumos perdavimo koeficientas (W/(m·K)). Apskaičiuojama pagal 8 priedo</w:t>
                      </w:r>
                      <w:r>
                        <w:rPr>
                          <w:color w:val="000000"/>
                          <w:sz w:val="32"/>
                        </w:rPr>
                        <w:t xml:space="preserve"> </w:t>
                      </w:r>
                      <w:r>
                        <w:rPr>
                          <w:color w:val="000000"/>
                        </w:rPr>
                        <w:t>reikalavimus, nesant pakankamai duomenų, imama iš 2.24 lentelės.</w:t>
                      </w:r>
                    </w:p>
                    <w:p>
                      <w:pPr>
                        <w:ind w:left="720"/>
                        <w:rPr>
                          <w:color w:val="000000"/>
                        </w:rPr>
                      </w:pPr>
                    </w:p>
                    <w:p>
                      <w:pPr>
                        <w:ind w:left="720"/>
                        <w:rPr>
                          <w:color w:val="000000"/>
                        </w:rPr>
                      </w:pPr>
                    </w:p>
                    <w:p>
                      <w:pPr>
                        <w:jc w:val="center"/>
                      </w:pPr>
                      <w:sdt>
                        <w:sdtPr>
                          <w:alias w:val="Pavadinimas"/>
                          <w:tag w:val="title_79d8ea86f81e4ba5a72673346107bb1a"/>
                          <w:lock w:val="sdtLocked"/>
                          <w:richText/>
                        </w:sdtPr>
                        <w:sdtContent>
                          <w:r>
                            <w:rPr>
                              <w:b/>
                              <w:szCs w:val="24"/>
                            </w:rPr>
                            <w:t xml:space="preserve">Patalpų skirstomųjų vamzdynų ilginių šilumos perdavimo koeficientų </w:t>
                          </w:r>
                          <w:r>
                            <w:rPr>
                              <w:b/>
                              <w:i/>
                              <w:szCs w:val="24"/>
                            </w:rPr>
                            <w:t>U‘</w:t>
                          </w:r>
                          <w:r>
                            <w:rPr>
                              <w:b/>
                              <w:i/>
                              <w:szCs w:val="24"/>
                              <w:vertAlign w:val="subscript"/>
                            </w:rPr>
                            <w:t>hw.avg.L</w:t>
                          </w:r>
                          <w:r>
                            <w:rPr>
                              <w:b/>
                              <w:i/>
                              <w:position w:val="-6"/>
                              <w:szCs w:val="24"/>
                              <w:vertAlign w:val="subscript"/>
                            </w:rPr>
                            <w:t>SL</w:t>
                          </w:r>
                          <w:r>
                            <w:rPr>
                              <w:szCs w:val="24"/>
                            </w:rPr>
                            <w:t xml:space="preserve"> (W/(mK)) </w:t>
                          </w:r>
                          <w:r>
                            <w:rPr>
                              <w:b/>
                              <w:szCs w:val="24"/>
                            </w:rPr>
                            <w:t>vertės</w:t>
                          </w:r>
                        </w:sdtContent>
                      </w:sdt>
                    </w:p>
                    <w:p>
                      <w:pPr>
                        <w:jc w:val="right"/>
                      </w:pPr>
                      <w:r>
                        <w:t>2.24 lentelė</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7915"/>
                        <w:gridCol w:w="1285"/>
                      </w:tblGrid>
                      <w:tr>
                        <w:trPr>
                          <w:trHeight w:val="604"/>
                        </w:trPr>
                        <w:tc>
                          <w:tcPr>
                            <w:tcW w:w="222" w:type="dxa"/>
                          </w:tcPr>
                          <w:p>
                            <w:pPr>
                              <w:jc w:val="center"/>
                              <w:rPr>
                                <w:szCs w:val="24"/>
                              </w:rPr>
                            </w:pPr>
                            <w:r>
                              <w:rPr>
                                <w:szCs w:val="24"/>
                              </w:rPr>
                              <w:t>Eil. Nr.</w:t>
                            </w:r>
                          </w:p>
                        </w:tc>
                        <w:tc>
                          <w:tcPr>
                            <w:tcW w:w="835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szCs w:val="24"/>
                              </w:rPr>
                              <w:t>Vamzdynų apibūdinimas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rFonts w:eastAsia="Calibri"/>
                                <w:i/>
                                <w:iCs/>
                                <w:szCs w:val="24"/>
                              </w:rPr>
                            </w:pPr>
                            <w:r>
                              <w:rPr>
                                <w:i/>
                                <w:iCs/>
                                <w:szCs w:val="24"/>
                              </w:rPr>
                              <w:t>U‘</w:t>
                            </w:r>
                            <w:r>
                              <w:rPr>
                                <w:i/>
                                <w:iCs/>
                                <w:szCs w:val="24"/>
                                <w:vertAlign w:val="subscript"/>
                              </w:rPr>
                              <w:t>hw.avg.LSL</w:t>
                            </w:r>
                            <w:r>
                              <w:rPr>
                                <w:szCs w:val="24"/>
                              </w:rPr>
                              <w:t>, W/(m·K)</w:t>
                            </w:r>
                          </w:p>
                        </w:tc>
                      </w:tr>
                      <w:tr>
                        <w:trPr>
                          <w:trHeight w:val="170"/>
                        </w:trPr>
                        <w:tc>
                          <w:tcPr>
                            <w:tcW w:w="0" w:type="auto"/>
                          </w:tcPr>
                          <w:p>
                            <w:pPr>
                              <w:jc w:val="both"/>
                              <w:rPr>
                                <w:szCs w:val="24"/>
                              </w:rPr>
                            </w:pPr>
                            <w:r>
                              <w:rPr>
                                <w:szCs w:val="24"/>
                                <w:lang w:val="en-US"/>
                              </w:rPr>
                              <w:t>1.</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Neapšiltinti vamzdynai patalpose</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0,79</w:t>
                            </w:r>
                          </w:p>
                        </w:tc>
                      </w:tr>
                      <w:tr>
                        <w:trPr>
                          <w:trHeight w:val="324"/>
                        </w:trPr>
                        <w:tc>
                          <w:tcPr>
                            <w:tcW w:w="0" w:type="auto"/>
                          </w:tcPr>
                          <w:p>
                            <w:pPr>
                              <w:jc w:val="both"/>
                              <w:rPr>
                                <w:szCs w:val="24"/>
                              </w:rPr>
                            </w:pPr>
                            <w:r>
                              <w:rPr>
                                <w:szCs w:val="24"/>
                              </w:rPr>
                              <w:t>2.</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Neapšiltinti vamzdynai sienų kanaluose</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0,40</w:t>
                            </w:r>
                          </w:p>
                        </w:tc>
                      </w:tr>
                      <w:tr>
                        <w:trPr>
                          <w:trHeight w:val="369"/>
                        </w:trPr>
                        <w:tc>
                          <w:tcPr>
                            <w:tcW w:w="0" w:type="auto"/>
                          </w:tcPr>
                          <w:p>
                            <w:pPr>
                              <w:jc w:val="both"/>
                              <w:rPr>
                                <w:szCs w:val="24"/>
                              </w:rPr>
                            </w:pPr>
                            <w:r>
                              <w:rPr>
                                <w:szCs w:val="24"/>
                              </w:rPr>
                              <w:t>3.</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iki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0,27</w:t>
                            </w:r>
                          </w:p>
                        </w:tc>
                      </w:tr>
                      <w:tr>
                        <w:trPr>
                          <w:trHeight w:val="349"/>
                        </w:trPr>
                        <w:tc>
                          <w:tcPr>
                            <w:tcW w:w="0" w:type="auto"/>
                          </w:tcPr>
                          <w:p>
                            <w:pPr>
                              <w:jc w:val="both"/>
                              <w:rPr>
                                <w:szCs w:val="24"/>
                              </w:rPr>
                            </w:pPr>
                            <w:r>
                              <w:rPr>
                                <w:szCs w:val="24"/>
                              </w:rPr>
                              <w:t>4.</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iki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0,28</w:t>
                            </w:r>
                          </w:p>
                        </w:tc>
                      </w:tr>
                      <w:tr>
                        <w:trPr>
                          <w:trHeight w:val="357"/>
                        </w:trPr>
                        <w:tc>
                          <w:tcPr>
                            <w:tcW w:w="0" w:type="auto"/>
                          </w:tcPr>
                          <w:p>
                            <w:pPr>
                              <w:jc w:val="both"/>
                              <w:rPr>
                                <w:szCs w:val="24"/>
                              </w:rPr>
                            </w:pPr>
                            <w:r>
                              <w:rPr>
                                <w:szCs w:val="24"/>
                              </w:rPr>
                              <w:t>5.</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arba lubose, apšiltinti po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0,23</w:t>
                            </w:r>
                          </w:p>
                        </w:tc>
                      </w:tr>
                      <w:tr>
                        <w:trPr>
                          <w:trHeight w:val="143"/>
                        </w:trPr>
                        <w:tc>
                          <w:tcPr>
                            <w:tcW w:w="0" w:type="auto"/>
                          </w:tcPr>
                          <w:p>
                            <w:pPr>
                              <w:jc w:val="both"/>
                              <w:rPr>
                                <w:szCs w:val="24"/>
                              </w:rPr>
                            </w:pPr>
                            <w:r>
                              <w:rPr>
                                <w:szCs w:val="24"/>
                              </w:rPr>
                              <w:t>6.</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kanaluose sienose, grindyse ir (arba) lubose, apšiltinti po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0,21</w:t>
                            </w:r>
                          </w:p>
                        </w:tc>
                      </w:tr>
                      <w:tr>
                        <w:trPr>
                          <w:trHeight w:val="289"/>
                        </w:trPr>
                        <w:tc>
                          <w:tcPr>
                            <w:tcW w:w="0" w:type="auto"/>
                          </w:tcPr>
                          <w:p>
                            <w:pPr>
                              <w:jc w:val="both"/>
                              <w:rPr>
                                <w:szCs w:val="24"/>
                              </w:rPr>
                            </w:pPr>
                            <w:r>
                              <w:rPr>
                                <w:szCs w:val="24"/>
                              </w:rPr>
                              <w:t>7.</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iki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0,44</w:t>
                            </w:r>
                          </w:p>
                        </w:tc>
                      </w:tr>
                      <w:tr>
                        <w:trPr>
                          <w:trHeight w:val="449"/>
                        </w:trPr>
                        <w:tc>
                          <w:tcPr>
                            <w:tcW w:w="0" w:type="auto"/>
                          </w:tcPr>
                          <w:p>
                            <w:pPr>
                              <w:jc w:val="both"/>
                              <w:rPr>
                                <w:szCs w:val="24"/>
                              </w:rPr>
                            </w:pPr>
                            <w:r>
                              <w:rPr>
                                <w:szCs w:val="24"/>
                              </w:rPr>
                              <w:t>8.</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iki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0,40</w:t>
                            </w:r>
                          </w:p>
                        </w:tc>
                      </w:tr>
                      <w:tr>
                        <w:trPr>
                          <w:trHeight w:val="401"/>
                        </w:trPr>
                        <w:tc>
                          <w:tcPr>
                            <w:tcW w:w="0" w:type="auto"/>
                          </w:tcPr>
                          <w:p>
                            <w:pPr>
                              <w:jc w:val="both"/>
                              <w:rPr>
                                <w:szCs w:val="24"/>
                              </w:rPr>
                            </w:pPr>
                            <w:r>
                              <w:rPr>
                                <w:szCs w:val="24"/>
                              </w:rPr>
                              <w:t>9.</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po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0,34</w:t>
                            </w:r>
                          </w:p>
                        </w:tc>
                      </w:tr>
                      <w:tr>
                        <w:trPr>
                          <w:trHeight w:val="187"/>
                        </w:trPr>
                        <w:tc>
                          <w:tcPr>
                            <w:tcW w:w="0" w:type="auto"/>
                          </w:tcPr>
                          <w:p>
                            <w:pPr>
                              <w:jc w:val="both"/>
                              <w:rPr>
                                <w:szCs w:val="24"/>
                              </w:rPr>
                            </w:pPr>
                            <w:r>
                              <w:rPr>
                                <w:szCs w:val="24"/>
                              </w:rPr>
                              <w:t>10.</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patalpose, apšiltinti po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0,28</w:t>
                            </w:r>
                          </w:p>
                        </w:tc>
                      </w:tr>
                      <w:tr>
                        <w:trPr>
                          <w:trHeight w:val="347"/>
                        </w:trPr>
                        <w:tc>
                          <w:tcPr>
                            <w:tcW w:w="0" w:type="auto"/>
                          </w:tcPr>
                          <w:p>
                            <w:pPr>
                              <w:jc w:val="both"/>
                              <w:rPr>
                                <w:szCs w:val="24"/>
                              </w:rPr>
                            </w:pPr>
                            <w:r>
                              <w:rPr>
                                <w:szCs w:val="24"/>
                              </w:rPr>
                              <w:t>11.</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iki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1,08</w:t>
                            </w:r>
                          </w:p>
                        </w:tc>
                      </w:tr>
                      <w:tr>
                        <w:trPr>
                          <w:trHeight w:val="313"/>
                        </w:trPr>
                        <w:tc>
                          <w:tcPr>
                            <w:tcW w:w="0" w:type="auto"/>
                          </w:tcPr>
                          <w:p>
                            <w:pPr>
                              <w:jc w:val="both"/>
                              <w:rPr>
                                <w:szCs w:val="24"/>
                              </w:rPr>
                            </w:pPr>
                            <w:r>
                              <w:rPr>
                                <w:szCs w:val="24"/>
                              </w:rPr>
                              <w:t>12.</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iki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0,68</w:t>
                            </w:r>
                          </w:p>
                        </w:tc>
                      </w:tr>
                      <w:tr>
                        <w:trPr>
                          <w:trHeight w:val="265"/>
                        </w:trPr>
                        <w:tc>
                          <w:tcPr>
                            <w:tcW w:w="0" w:type="auto"/>
                          </w:tcPr>
                          <w:p>
                            <w:pPr>
                              <w:jc w:val="both"/>
                              <w:rPr>
                                <w:szCs w:val="24"/>
                              </w:rPr>
                            </w:pPr>
                            <w:r>
                              <w:rPr>
                                <w:szCs w:val="24"/>
                              </w:rPr>
                              <w:t>13.</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po 1993 metų. Apytikris šiluminės izoliacijos storis atitinka pusę vamzdyno skersmens</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0,64</w:t>
                            </w:r>
                          </w:p>
                        </w:tc>
                      </w:tr>
                      <w:tr>
                        <w:trPr>
                          <w:trHeight w:val="425"/>
                        </w:trPr>
                        <w:tc>
                          <w:tcPr>
                            <w:tcW w:w="0" w:type="auto"/>
                          </w:tcPr>
                          <w:p>
                            <w:pPr>
                              <w:jc w:val="both"/>
                              <w:rPr>
                                <w:szCs w:val="24"/>
                              </w:rPr>
                            </w:pPr>
                            <w:r>
                              <w:rPr>
                                <w:szCs w:val="24"/>
                              </w:rPr>
                              <w:t>14.</w:t>
                            </w:r>
                          </w:p>
                        </w:tc>
                        <w:tc>
                          <w:tcPr>
                            <w:tcW w:w="0" w:type="auto"/>
                            <w:tcBorders>
                              <w:top w:val="single" w:sz="4" w:space="0" w:color="auto"/>
                              <w:left w:val="single" w:sz="4" w:space="0" w:color="auto"/>
                              <w:bottom w:val="single" w:sz="4" w:space="0" w:color="auto"/>
                              <w:right w:val="single" w:sz="4" w:space="0" w:color="auto"/>
                            </w:tcBorders>
                            <w:vAlign w:val="bottom"/>
                            <w:hideMark/>
                          </w:tcPr>
                          <w:p>
                            <w:pPr>
                              <w:jc w:val="both"/>
                              <w:rPr>
                                <w:rFonts w:eastAsia="Calibri"/>
                                <w:szCs w:val="24"/>
                              </w:rPr>
                            </w:pPr>
                            <w:r>
                              <w:rPr>
                                <w:szCs w:val="24"/>
                              </w:rPr>
                              <w:t>Vamzdynai sienose, grindyse ir (arba) lubose, turintys sąlytį su tinku, betonu ar bet kuriuo kitu statybos produktu, apšiltinti po 1993 metų. Apytikris šiluminės izoliacijos storis atitinka vamzdyno skersmenį</w:t>
                            </w:r>
                          </w:p>
                        </w:tc>
                        <w:tc>
                          <w:tcPr>
                            <w:tcW w:w="0" w:type="auto"/>
                            <w:tcBorders>
                              <w:top w:val="single" w:sz="4" w:space="0" w:color="auto"/>
                              <w:left w:val="single" w:sz="4" w:space="0" w:color="auto"/>
                              <w:bottom w:val="single" w:sz="4" w:space="0" w:color="auto"/>
                              <w:right w:val="single" w:sz="4" w:space="0" w:color="auto"/>
                            </w:tcBorders>
                            <w:noWrap/>
                            <w:vAlign w:val="center"/>
                            <w:hideMark/>
                          </w:tcPr>
                          <w:p>
                            <w:pPr>
                              <w:jc w:val="center"/>
                              <w:rPr>
                                <w:rFonts w:eastAsia="Calibri"/>
                                <w:szCs w:val="24"/>
                              </w:rPr>
                            </w:pPr>
                            <w:r>
                              <w:rPr>
                                <w:szCs w:val="24"/>
                              </w:rPr>
                              <w:t>0,39</w:t>
                            </w:r>
                          </w:p>
                        </w:tc>
                      </w:tr>
                    </w:tbl>
                    <w:p>
                      <w:pPr>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2 pr. 42 p."/>
                <w:tag w:val="part_7eb6e450f37e4296aa97b2dfcbbbfcb4"/>
                <w:lock w:val="sdtLocked"/>
                <w:richText/>
              </w:sdtPr>
              <w:sdtContent>
                <w:p>
                  <w:pPr>
                    <w:ind w:firstLine="570"/>
                  </w:pPr>
                  <w:sdt>
                    <w:sdtPr>
                      <w:alias w:val="Numeris"/>
                      <w:tag w:val="nr_7eb6e450f37e4296aa97b2dfcbbbfcb4"/>
                      <w:lock w:val="sdtLocked"/>
                      <w:richText/>
                    </w:sdtPr>
                    <w:sdtContent>
                      <w:r>
                        <w:t>42</w:t>
                      </w:r>
                    </w:sdtContent>
                  </w:sdt>
                  <w:r>
                    <w:t>. Šilumos nuostoliai karšto vandens talpose apskaičiuojami taip:</w:t>
                  </w:r>
                </w:p>
                <w:sdt>
                  <w:sdtPr>
                    <w:alias w:val="2 pr. 42.1 pp."/>
                    <w:tag w:val="part_5d5dc1c933ac4253b48ef01c3c59fac8"/>
                    <w:lock w:val="sdtLocked"/>
                    <w:richText/>
                  </w:sdtPr>
                  <w:sdtContent>
                    <w:p>
                      <w:pPr>
                        <w:ind w:firstLine="570"/>
                        <w:jc w:val="both"/>
                        <w:rPr>
                          <w:color w:val="000000"/>
                        </w:rPr>
                      </w:pPr>
                      <w:sdt>
                        <w:sdtPr>
                          <w:alias w:val="Numeris"/>
                          <w:tag w:val="nr_5d5dc1c933ac4253b48ef01c3c59fac8"/>
                          <w:lock w:val="sdtLocked"/>
                          <w:richText/>
                        </w:sdtPr>
                        <w:sdtContent>
                          <w:r>
                            <w:rPr>
                              <w:color w:val="000000"/>
                            </w:rPr>
                            <w:t>42.1</w:t>
                          </w:r>
                        </w:sdtContent>
                      </w:sdt>
                      <w:r>
                        <w:rPr>
                          <w:color w:val="000000"/>
                        </w:rPr>
                        <w:t xml:space="preserve">. mėnesiniai skaičiuojamieji šilumos nuostoliai prie atitinkamos </w:t>
                      </w:r>
                      <w:r>
                        <w:rPr>
                          <w:i/>
                          <w:color w:val="000000"/>
                        </w:rPr>
                        <w:t>„x“</w:t>
                      </w:r>
                      <w:r>
                        <w:rPr>
                          <w:color w:val="000000"/>
                        </w:rPr>
                        <w:t xml:space="preserve"> karšto vandens ruošimo įrangos prijungtose karšto vandens talpose (tūriniuose vandens šildytuvuose ir akumuliacinėse talpose) </w:t>
                      </w:r>
                      <w:r>
                        <w:rPr>
                          <w:i/>
                          <w:color w:val="000000"/>
                        </w:rPr>
                        <w:t>Q</w:t>
                      </w:r>
                      <w:r>
                        <w:rPr>
                          <w:i/>
                          <w:color w:val="000000"/>
                          <w:vertAlign w:val="subscript"/>
                        </w:rPr>
                        <w:t>hwSW,m</w:t>
                      </w:r>
                      <w:r>
                        <w:rPr>
                          <w:color w:val="000000"/>
                        </w:rPr>
                        <w:t xml:space="preserve"> (kWh/(m</w:t>
                      </w:r>
                      <w:r>
                        <w:rPr>
                          <w:color w:val="000000"/>
                          <w:vertAlign w:val="superscript"/>
                        </w:rPr>
                        <w:t>2</w:t>
                      </w:r>
                      <w:r>
                        <w:rPr>
                          <w:color w:val="000000"/>
                        </w:rPr>
                        <w:t>·mėn.)) apskaičiuojami taip [3.23], [3.24]:</w:t>
                      </w:r>
                    </w:p>
                    <w:tbl>
                      <w:tblPr>
                        <w:tblW w:w="5000" w:type="pct"/>
                        <w:tblLook w:val="01E0" w:firstRow="1" w:lastRow="1" w:firstColumn="1" w:lastColumn="1" w:noHBand="0" w:noVBand="0"/>
                      </w:tblPr>
                      <w:tblGrid>
                        <w:gridCol w:w="8553"/>
                        <w:gridCol w:w="1301"/>
                      </w:tblGrid>
                      <w:tr>
                        <w:tc>
                          <w:tcPr>
                            <w:tcW w:w="4340" w:type="pct"/>
                            <w:vAlign w:val="center"/>
                            <w:hideMark/>
                          </w:tcPr>
                          <w:p>
                            <w:pPr>
                              <w:spacing w:line="276" w:lineRule="auto"/>
                              <w:jc w:val="center"/>
                              <w:rPr>
                                <w:rFonts w:eastAsia="Calibri"/>
                                <w:bCs/>
                                <w:color w:val="000000"/>
                                <w:szCs w:val="22"/>
                              </w:rPr>
                            </w:pPr>
                            <w:r>
                              <w:rPr>
                                <w:rFonts w:eastAsia="Calibri"/>
                                <w:color w:val="000000"/>
                                <w:szCs w:val="22"/>
                              </w:rPr>
                              <w:object w:dxaOrig="4120" w:dyaOrig="840">
                                <v:shape id="_x0000_i1200" type="#_x0000_t75" style="width:206.3pt;height:42.05pt" o:ole="">
                                  <v:imagedata r:id="rId627" o:title=""/>
                                </v:shape>
                                <o:OLEObject Type="Embed" ProgID="Equation.3" ShapeID="_x0000_i1200" DrawAspect="Content" ObjectID="_0000000001" r:id="rId628"/>
                              </w:object>
                            </w:r>
                            <w:r>
                              <w:rPr>
                                <w:color w:val="000000"/>
                              </w:rPr>
                              <w:t>;</w:t>
                            </w:r>
                          </w:p>
                        </w:tc>
                        <w:tc>
                          <w:tcPr>
                            <w:tcW w:w="660" w:type="pct"/>
                            <w:vAlign w:val="center"/>
                            <w:hideMark/>
                          </w:tcPr>
                          <w:p>
                            <w:pPr>
                              <w:spacing w:line="276" w:lineRule="auto"/>
                              <w:jc w:val="right"/>
                              <w:rPr>
                                <w:rFonts w:eastAsia="Calibri"/>
                                <w:bCs/>
                                <w:color w:val="000000"/>
                                <w:szCs w:val="22"/>
                              </w:rPr>
                            </w:pPr>
                            <w:r>
                              <w:rPr>
                                <w:bCs/>
                                <w:color w:val="000000"/>
                              </w:rPr>
                              <w:t>(2.151)</w:t>
                            </w:r>
                          </w:p>
                        </w:tc>
                      </w:tr>
                    </w:tbl>
                    <w:p>
                      <w:pPr>
                        <w:tabs>
                          <w:tab w:val="left" w:pos="567"/>
                        </w:tabs>
                        <w:jc w:val="both"/>
                        <w:rPr>
                          <w:rFonts w:eastAsia="Calibri"/>
                          <w:color w:val="000000"/>
                          <w:szCs w:val="22"/>
                        </w:rPr>
                      </w:pPr>
                      <w:r>
                        <w:rPr>
                          <w:color w:val="000000"/>
                        </w:rPr>
                        <w:t>čia:</w:t>
                        <w:tab/>
                      </w:r>
                      <w:r>
                        <w:rPr>
                          <w:i/>
                          <w:color w:val="000000"/>
                        </w:rPr>
                        <w:t>θ</w:t>
                      </w:r>
                      <w:r>
                        <w:rPr>
                          <w:i/>
                          <w:color w:val="000000"/>
                          <w:vertAlign w:val="subscript"/>
                        </w:rPr>
                        <w:t xml:space="preserve">i,x </w:t>
                      </w:r>
                      <w:r>
                        <w:rPr>
                          <w:i/>
                          <w:color w:val="000000"/>
                          <w:vertAlign w:val="superscript"/>
                        </w:rPr>
                        <w:t xml:space="preserve"> </w:t>
                      </w:r>
                      <w:r>
                        <w:rPr>
                          <w:color w:val="000000"/>
                        </w:rPr>
                        <w:t xml:space="preserve">– patalpų temperatūra (°C), kuriose įrengta karšto vandens ruošimo įranga su prijungta atitinkama </w:t>
                      </w:r>
                      <w:r>
                        <w:rPr>
                          <w:i/>
                          <w:color w:val="000000"/>
                        </w:rPr>
                        <w:t>„x“</w:t>
                      </w:r>
                      <w:r>
                        <w:rPr>
                          <w:color w:val="000000"/>
                        </w:rPr>
                        <w:t xml:space="preserve"> karšto vandens talpa. Jei </w:t>
                      </w:r>
                      <w:r>
                        <w:rPr>
                          <w:i/>
                          <w:color w:val="000000"/>
                        </w:rPr>
                        <w:t>„x“</w:t>
                      </w:r>
                      <w:r>
                        <w:rPr>
                          <w:color w:val="000000"/>
                        </w:rPr>
                        <w:t xml:space="preserve"> talpa įrengta šildomose patalpose, </w:t>
                      </w:r>
                      <w:r>
                        <w:rPr>
                          <w:i/>
                          <w:color w:val="000000"/>
                        </w:rPr>
                        <w:t>θ</w:t>
                      </w:r>
                      <w:r>
                        <w:rPr>
                          <w:i/>
                          <w:color w:val="000000"/>
                          <w:vertAlign w:val="subscript"/>
                        </w:rPr>
                        <w:t>i,x</w:t>
                      </w:r>
                      <w:r>
                        <w:rPr>
                          <w:color w:val="000000"/>
                        </w:rPr>
                        <w:t xml:space="preserve"> =</w:t>
                      </w:r>
                      <w:r>
                        <w:rPr>
                          <w:i/>
                          <w:color w:val="000000"/>
                        </w:rPr>
                        <w:t xml:space="preserve"> θ</w:t>
                      </w:r>
                      <w:r>
                        <w:rPr>
                          <w:i/>
                          <w:color w:val="000000"/>
                          <w:vertAlign w:val="subscript"/>
                        </w:rPr>
                        <w:t>iH</w:t>
                      </w:r>
                      <w:r>
                        <w:rPr>
                          <w:color w:val="000000"/>
                        </w:rPr>
                        <w:t xml:space="preserve">, jei nešildomose patalpose – </w:t>
                      </w:r>
                      <w:r>
                        <w:rPr>
                          <w:i/>
                          <w:color w:val="000000"/>
                        </w:rPr>
                        <w:t>θ</w:t>
                      </w:r>
                      <w:r>
                        <w:rPr>
                          <w:i/>
                          <w:color w:val="000000"/>
                          <w:vertAlign w:val="subscript"/>
                        </w:rPr>
                        <w:t>i,x</w:t>
                      </w:r>
                      <w:r>
                        <w:rPr>
                          <w:color w:val="000000"/>
                        </w:rPr>
                        <w:t xml:space="preserve"> =13 °C [3.23];</w:t>
                      </w:r>
                    </w:p>
                    <w:p>
                      <w:pPr>
                        <w:ind w:firstLine="570"/>
                        <w:jc w:val="both"/>
                        <w:rPr>
                          <w:color w:val="000000"/>
                        </w:rPr>
                      </w:pPr>
                      <w:r>
                        <w:rPr>
                          <w:i/>
                          <w:color w:val="000000"/>
                        </w:rPr>
                        <w:t>K</w:t>
                      </w:r>
                      <w:r>
                        <w:rPr>
                          <w:i/>
                          <w:color w:val="000000"/>
                          <w:vertAlign w:val="subscript"/>
                        </w:rPr>
                        <w:t>SW50,x</w:t>
                      </w:r>
                      <w:r>
                        <w:rPr>
                          <w:color w:val="000000"/>
                        </w:rPr>
                        <w:t xml:space="preserve"> – šilumos nuostoliai per parą prie karšto vandens ruošimo įrangos prijungtose atitinkamose </w:t>
                      </w:r>
                      <w:r>
                        <w:rPr>
                          <w:i/>
                          <w:color w:val="000000"/>
                        </w:rPr>
                        <w:t xml:space="preserve">„x“ </w:t>
                      </w:r>
                      <w:r>
                        <w:rPr>
                          <w:color w:val="000000"/>
                        </w:rPr>
                        <w:t xml:space="preserve">karšto vandens talpose, esant vandens temperatūrai </w:t>
                      </w:r>
                      <w:smartTag w:uri="urn:schemas-microsoft-com:office:smarttags" w:element="metricconverter">
                        <w:smartTagPr>
                          <w:attr w:name="ProductID" w:val="50 ﾰC"/>
                        </w:smartTagPr>
                        <w:r>
                          <w:rPr>
                            <w:color w:val="000000"/>
                          </w:rPr>
                          <w:t>50 °C</w:t>
                        </w:r>
                      </w:smartTag>
                      <w:r>
                        <w:rPr>
                          <w:color w:val="000000"/>
                        </w:rPr>
                        <w:t xml:space="preserve"> ir aplinkos temperatūrai </w:t>
                      </w:r>
                      <w:smartTag w:uri="urn:schemas-microsoft-com:office:smarttags" w:element="metricconverter">
                        <w:smartTagPr>
                          <w:attr w:name="ProductID" w:val="20 ﾰC"/>
                        </w:smartTagPr>
                        <w:r>
                          <w:rPr>
                            <w:color w:val="000000"/>
                          </w:rPr>
                          <w:t>20 °C</w:t>
                        </w:r>
                      </w:smartTag>
                      <w:r>
                        <w:rPr>
                          <w:color w:val="000000"/>
                        </w:rPr>
                        <w:t xml:space="preserve"> (kWh/para). Apskaičiuojami pagal 42.2 ir 42.3 papunkčių reikalavimus;</w:t>
                      </w:r>
                    </w:p>
                    <w:p>
                      <w:pPr>
                        <w:ind w:firstLine="570"/>
                        <w:jc w:val="both"/>
                        <w:rPr>
                          <w:color w:val="000000"/>
                        </w:rPr>
                      </w:pPr>
                      <w:r>
                        <w:rPr>
                          <w:i/>
                          <w:color w:val="000000"/>
                        </w:rPr>
                        <w:t xml:space="preserve">30 </w:t>
                      </w:r>
                      <w:r>
                        <w:rPr>
                          <w:color w:val="000000"/>
                        </w:rPr>
                        <w:t xml:space="preserve">– temperatūrų skirtumas tarp </w:t>
                      </w:r>
                      <w:smartTag w:uri="urn:schemas-microsoft-com:office:smarttags" w:element="metricconverter">
                        <w:smartTagPr>
                          <w:attr w:name="ProductID" w:val="50 ﾰC"/>
                        </w:smartTagPr>
                        <w:r>
                          <w:rPr>
                            <w:color w:val="000000"/>
                          </w:rPr>
                          <w:t>50 °C</w:t>
                        </w:r>
                      </w:smartTag>
                      <w:r>
                        <w:rPr>
                          <w:color w:val="000000"/>
                        </w:rPr>
                        <w:t xml:space="preserve"> karšto vandens temperatūros ir </w:t>
                      </w:r>
                      <w:smartTag w:uri="urn:schemas-microsoft-com:office:smarttags" w:element="metricconverter">
                        <w:smartTagPr>
                          <w:attr w:name="ProductID" w:val="20 ﾰC"/>
                        </w:smartTagPr>
                        <w:r>
                          <w:rPr>
                            <w:color w:val="000000"/>
                          </w:rPr>
                          <w:t>20 °C</w:t>
                        </w:r>
                      </w:smartTag>
                      <w:r>
                        <w:rPr>
                          <w:color w:val="000000"/>
                        </w:rPr>
                        <w:t xml:space="preserve"> aplinkos.</w:t>
                      </w:r>
                    </w:p>
                    <w:p>
                      <w:pPr>
                        <w:ind w:firstLine="570"/>
                        <w:rPr>
                          <w:color w:val="000000"/>
                        </w:rPr>
                      </w:pPr>
                    </w:p>
                  </w:sdtContent>
                </w:sdt>
                <w:sdt>
                  <w:sdtPr>
                    <w:alias w:val="2 pr. 42.2 pp."/>
                    <w:tag w:val="part_e2f8ebcf840b4f04ba6f4b32759a75f2"/>
                    <w:lock w:val="sdtLocked"/>
                    <w:richText/>
                  </w:sdtPr>
                  <w:sdtContent>
                    <w:p>
                      <w:pPr>
                        <w:ind w:firstLine="570"/>
                        <w:jc w:val="both"/>
                        <w:rPr>
                          <w:color w:val="000000"/>
                        </w:rPr>
                      </w:pPr>
                      <w:sdt>
                        <w:sdtPr>
                          <w:alias w:val="Numeris"/>
                          <w:tag w:val="nr_e2f8ebcf840b4f04ba6f4b32759a75f2"/>
                          <w:lock w:val="sdtLocked"/>
                          <w:richText/>
                        </w:sdtPr>
                        <w:sdtContent>
                          <w:r>
                            <w:rPr>
                              <w:color w:val="000000"/>
                            </w:rPr>
                            <w:t>42.2</w:t>
                          </w:r>
                        </w:sdtContent>
                      </w:sdt>
                      <w:r>
                        <w:rPr>
                          <w:color w:val="000000"/>
                        </w:rPr>
                        <w:t xml:space="preserve">. kai karšto vandens talpos gamintojas techninėje dokumentacijoje deklaruoja duomenis apie </w:t>
                      </w:r>
                      <w:r>
                        <w:rPr>
                          <w:i/>
                          <w:color w:val="000000"/>
                        </w:rPr>
                        <w:t>K</w:t>
                      </w:r>
                      <w:r>
                        <w:rPr>
                          <w:i/>
                          <w:color w:val="000000"/>
                          <w:vertAlign w:val="subscript"/>
                        </w:rPr>
                        <w:t xml:space="preserve">SW </w:t>
                      </w:r>
                      <w:r>
                        <w:rPr>
                          <w:color w:val="000000"/>
                        </w:rPr>
                        <w:t xml:space="preserve">(kWh/para) vertes ir temperatūras, kurioms esant šios vertės nustatytos, </w:t>
                      </w:r>
                      <w:r>
                        <w:rPr>
                          <w:i/>
                          <w:color w:val="000000"/>
                        </w:rPr>
                        <w:t>K</w:t>
                      </w:r>
                      <w:r>
                        <w:rPr>
                          <w:i/>
                          <w:color w:val="000000"/>
                          <w:vertAlign w:val="subscript"/>
                        </w:rPr>
                        <w:t>SW50,x</w:t>
                      </w:r>
                      <w:r>
                        <w:rPr>
                          <w:color w:val="000000"/>
                        </w:rPr>
                        <w:t xml:space="preserve"> (kWh/para) vertė apskaičiuojama taip:</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szCs w:val="22"/>
                              </w:rPr>
                              <w:object w:dxaOrig="2830" w:dyaOrig="650">
                                <v:shape id="_x0000_i1201" type="#_x0000_t75" style="width:142.4pt;height:32.35pt" o:ole="">
                                  <v:imagedata r:id="rId629" o:title=""/>
                                </v:shape>
                                <o:OLEObject Type="Embed" ProgID="Equation.3" ShapeID="_x0000_i1201" DrawAspect="Content" ObjectID="_0000000001" r:id="rId630"/>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(2.152)</w:t>
                            </w:r>
                          </w:p>
                        </w:tc>
                      </w:tr>
                    </w:tbl>
                    <w:p>
                      <w:pPr>
                        <w:tabs>
                          <w:tab w:val="left" w:pos="567"/>
                        </w:tabs>
                        <w:jc w:val="both"/>
                        <w:rPr>
                          <w:rFonts w:eastAsia="Calibri"/>
                          <w:color w:val="000000"/>
                          <w:szCs w:val="22"/>
                        </w:rPr>
                      </w:pPr>
                      <w:r>
                        <w:rPr>
                          <w:color w:val="000000"/>
                        </w:rPr>
                        <w:t>čia:</w:t>
                        <w:tab/>
                      </w:r>
                      <w:r>
                        <w:rPr>
                          <w:i/>
                          <w:color w:val="000000"/>
                        </w:rPr>
                        <w:t>K</w:t>
                      </w:r>
                      <w:r>
                        <w:rPr>
                          <w:i/>
                          <w:color w:val="000000"/>
                          <w:vertAlign w:val="subscript"/>
                        </w:rPr>
                        <w:t>SW</w:t>
                      </w:r>
                      <w:r>
                        <w:rPr>
                          <w:color w:val="000000"/>
                        </w:rPr>
                        <w:t xml:space="preserve">  – karšto vandens talpos gamintojo techninėje dokumentacijoje nurodyta </w:t>
                      </w:r>
                      <w:r>
                        <w:rPr>
                          <w:i/>
                          <w:color w:val="000000"/>
                        </w:rPr>
                        <w:t>K</w:t>
                      </w:r>
                      <w:r>
                        <w:rPr>
                          <w:i/>
                          <w:color w:val="000000"/>
                          <w:vertAlign w:val="subscript"/>
                        </w:rPr>
                        <w:t xml:space="preserve">SW </w:t>
                      </w:r>
                      <w:r>
                        <w:rPr>
                          <w:color w:val="000000"/>
                        </w:rPr>
                        <w:t>vertė (kWh/para);</w:t>
                      </w:r>
                    </w:p>
                    <w:p>
                      <w:pPr>
                        <w:ind w:firstLine="570"/>
                        <w:jc w:val="both"/>
                        <w:rPr>
                          <w:color w:val="000000"/>
                        </w:rPr>
                      </w:pPr>
                      <w:r>
                        <w:rPr>
                          <w:i/>
                          <w:color w:val="000000"/>
                        </w:rPr>
                        <w:t>θ</w:t>
                      </w:r>
                      <w:r>
                        <w:rPr>
                          <w:i/>
                          <w:color w:val="000000"/>
                          <w:vertAlign w:val="subscript"/>
                        </w:rPr>
                        <w:t>hwSW</w:t>
                      </w:r>
                      <w:r>
                        <w:rPr>
                          <w:color w:val="000000"/>
                        </w:rPr>
                        <w:t xml:space="preserve"> – karšto vandens talpos gamintojo techninėje dokumentacijoje nurodyta karšto vandens temperatūra, kuriai esant nustatyta </w:t>
                      </w:r>
                      <w:r>
                        <w:rPr>
                          <w:i/>
                          <w:color w:val="000000"/>
                        </w:rPr>
                        <w:t>K</w:t>
                      </w:r>
                      <w:r>
                        <w:rPr>
                          <w:i/>
                          <w:color w:val="000000"/>
                          <w:vertAlign w:val="subscript"/>
                        </w:rPr>
                        <w:t xml:space="preserve">SW </w:t>
                      </w:r>
                      <w:r>
                        <w:rPr>
                          <w:color w:val="000000"/>
                        </w:rPr>
                        <w:t>vertė (°C);</w:t>
                      </w:r>
                    </w:p>
                    <w:p>
                      <w:pPr>
                        <w:ind w:firstLine="570"/>
                        <w:jc w:val="both"/>
                        <w:rPr>
                          <w:color w:val="000000"/>
                        </w:rPr>
                      </w:pPr>
                      <w:r>
                        <w:rPr>
                          <w:i/>
                          <w:color w:val="000000"/>
                        </w:rPr>
                        <w:t>θ</w:t>
                      </w:r>
                      <w:r>
                        <w:rPr>
                          <w:i/>
                          <w:color w:val="000000"/>
                          <w:vertAlign w:val="subscript"/>
                        </w:rPr>
                        <w:t>i.SW</w:t>
                      </w:r>
                      <w:r>
                        <w:rPr>
                          <w:color w:val="000000"/>
                        </w:rPr>
                        <w:t xml:space="preserve"> – karšto vandens talpos gamintojo techninėje dokumentacijoje nurodyta aplinkos temperatūra, kuriai esant nustatyta </w:t>
                      </w:r>
                      <w:r>
                        <w:rPr>
                          <w:i/>
                          <w:color w:val="000000"/>
                        </w:rPr>
                        <w:t>K</w:t>
                      </w:r>
                      <w:r>
                        <w:rPr>
                          <w:i/>
                          <w:color w:val="000000"/>
                          <w:vertAlign w:val="subscript"/>
                        </w:rPr>
                        <w:t xml:space="preserve">SW </w:t>
                      </w:r>
                      <w:r>
                        <w:rPr>
                          <w:color w:val="000000"/>
                        </w:rPr>
                        <w:t>vertė (°C);</w:t>
                      </w:r>
                    </w:p>
                    <w:p>
                      <w:pPr>
                        <w:ind w:firstLine="570"/>
                        <w:rPr>
                          <w:color w:val="000000"/>
                        </w:rPr>
                      </w:pPr>
                    </w:p>
                  </w:sdtContent>
                </w:sdt>
                <w:sdt>
                  <w:sdtPr>
                    <w:alias w:val="2 pr. 42.3 pp."/>
                    <w:tag w:val="part_e4ec22aef600479c9dbf61ffc3e20bf9"/>
                    <w:lock w:val="sdtLocked"/>
                    <w:richText/>
                  </w:sdtPr>
                  <w:sdtContent>
                    <w:p>
                      <w:pPr>
                        <w:ind w:firstLine="570"/>
                        <w:jc w:val="both"/>
                        <w:rPr>
                          <w:color w:val="000000"/>
                        </w:rPr>
                      </w:pPr>
                      <w:sdt>
                        <w:sdtPr>
                          <w:alias w:val="Numeris"/>
                          <w:tag w:val="nr_e4ec22aef600479c9dbf61ffc3e20bf9"/>
                          <w:lock w:val="sdtLocked"/>
                          <w:richText/>
                        </w:sdtPr>
                        <w:sdtContent>
                          <w:r>
                            <w:rPr>
                              <w:color w:val="000000"/>
                            </w:rPr>
                            <w:t>42.3</w:t>
                          </w:r>
                        </w:sdtContent>
                      </w:sdt>
                      <w:r>
                        <w:rPr>
                          <w:color w:val="000000"/>
                        </w:rPr>
                        <w:t xml:space="preserve">. kai karšto vandens talpa apšiltinta, tačiau duomenų apie </w:t>
                      </w:r>
                      <w:r>
                        <w:rPr>
                          <w:i/>
                          <w:color w:val="000000"/>
                        </w:rPr>
                        <w:t>K</w:t>
                      </w:r>
                      <w:r>
                        <w:rPr>
                          <w:i/>
                          <w:color w:val="000000"/>
                          <w:vertAlign w:val="subscript"/>
                        </w:rPr>
                        <w:t xml:space="preserve">SW </w:t>
                      </w:r>
                      <w:r>
                        <w:rPr>
                          <w:color w:val="000000"/>
                        </w:rPr>
                        <w:t xml:space="preserve">(kWh/para) vertes nėra, </w:t>
                      </w:r>
                      <w:r>
                        <w:rPr>
                          <w:i/>
                          <w:color w:val="000000"/>
                        </w:rPr>
                        <w:t>K</w:t>
                      </w:r>
                      <w:r>
                        <w:rPr>
                          <w:i/>
                          <w:color w:val="000000"/>
                          <w:vertAlign w:val="subscript"/>
                        </w:rPr>
                        <w:t>SW50,x</w:t>
                      </w:r>
                      <w:r>
                        <w:rPr>
                          <w:color w:val="000000"/>
                        </w:rPr>
                        <w:t xml:space="preserve"> vertė apskaičiuojama taip:</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14"/>
                                <w:szCs w:val="22"/>
                              </w:rPr>
                              <w:object w:dxaOrig="2280" w:dyaOrig="400">
                                <v:shape id="_x0000_i1202" type="#_x0000_t75" style="width:114.05pt;height:20.2pt" o:ole="">
                                  <v:imagedata r:id="rId631" o:title=""/>
                                </v:shape>
                                <o:OLEObject Type="Embed" ProgID="Equation.3" ShapeID="_x0000_i1202" DrawAspect="Content" ObjectID="_0000000001" r:id="rId632"/>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(2.153)</w:t>
                            </w:r>
                          </w:p>
                        </w:tc>
                      </w:tr>
                    </w:tbl>
                    <w:p>
                      <w:pPr>
                        <w:tabs>
                          <w:tab w:val="left" w:pos="567"/>
                        </w:tabs>
                        <w:jc w:val="both"/>
                        <w:rPr>
                          <w:rFonts w:eastAsia="Calibri"/>
                          <w:color w:val="000000"/>
                          <w:szCs w:val="22"/>
                        </w:rPr>
                      </w:pPr>
                      <w:r>
                        <w:rPr>
                          <w:color w:val="000000"/>
                        </w:rPr>
                        <w:t>čia:</w:t>
                        <w:tab/>
                      </w:r>
                      <w:r>
                        <w:rPr>
                          <w:i/>
                          <w:color w:val="000000"/>
                        </w:rPr>
                        <w:t>V</w:t>
                      </w:r>
                      <w:r>
                        <w:rPr>
                          <w:i/>
                          <w:color w:val="000000"/>
                          <w:vertAlign w:val="subscript"/>
                        </w:rPr>
                        <w:t>hwSW,x</w:t>
                      </w:r>
                      <w:r>
                        <w:rPr>
                          <w:color w:val="000000"/>
                        </w:rPr>
                        <w:t xml:space="preserve"> – prie karšto vandens ruošimo sistemos įrangos, prijungtos atitinkamos </w:t>
                      </w:r>
                      <w:r>
                        <w:rPr>
                          <w:i/>
                          <w:color w:val="000000"/>
                        </w:rPr>
                        <w:t xml:space="preserve">„x“ </w:t>
                      </w:r>
                      <w:r>
                        <w:rPr>
                          <w:color w:val="000000"/>
                        </w:rPr>
                        <w:t xml:space="preserve">karšto vandens talpos, tūris (litrai); </w:t>
                      </w:r>
                    </w:p>
                    <w:p>
                      <w:pPr>
                        <w:ind w:firstLine="570"/>
                        <w:rPr>
                          <w:color w:val="000000"/>
                        </w:rPr>
                      </w:pPr>
                    </w:p>
                  </w:sdtContent>
                </w:sdt>
                <w:sdt>
                  <w:sdtPr>
                    <w:alias w:val="2 pr. 42.4 pp."/>
                    <w:tag w:val="part_0850511f64814d5ca32ac6de0997dd8b"/>
                    <w:lock w:val="sdtLocked"/>
                    <w:richText/>
                  </w:sdtPr>
                  <w:sdtContent>
                    <w:p>
                      <w:pPr>
                        <w:ind w:firstLine="570"/>
                        <w:jc w:val="both"/>
                        <w:rPr>
                          <w:color w:val="000000"/>
                        </w:rPr>
                      </w:pPr>
                      <w:sdt>
                        <w:sdtPr>
                          <w:alias w:val="Numeris"/>
                          <w:tag w:val="nr_0850511f64814d5ca32ac6de0997dd8b"/>
                          <w:lock w:val="sdtLocked"/>
                          <w:richText/>
                        </w:sdtPr>
                        <w:sdtContent>
                          <w:r>
                            <w:rPr>
                              <w:color w:val="000000"/>
                            </w:rPr>
                            <w:t>42.4</w:t>
                          </w:r>
                        </w:sdtContent>
                      </w:sdt>
                      <w:r>
                        <w:rPr>
                          <w:color w:val="000000"/>
                        </w:rPr>
                        <w:t xml:space="preserve">. kai atitinkama </w:t>
                      </w:r>
                      <w:r>
                        <w:rPr>
                          <w:i/>
                          <w:color w:val="000000"/>
                        </w:rPr>
                        <w:t>„x“</w:t>
                      </w:r>
                      <w:r>
                        <w:rPr>
                          <w:color w:val="000000"/>
                        </w:rPr>
                        <w:t xml:space="preserve"> karšto vandens talpa neapšiltinta, </w:t>
                      </w:r>
                      <w:r>
                        <w:rPr>
                          <w:i/>
                          <w:color w:val="000000"/>
                        </w:rPr>
                        <w:t>K</w:t>
                      </w:r>
                      <w:r>
                        <w:rPr>
                          <w:i/>
                          <w:color w:val="000000"/>
                          <w:vertAlign w:val="subscript"/>
                        </w:rPr>
                        <w:t>SW50,x</w:t>
                      </w:r>
                      <w:r>
                        <w:rPr>
                          <w:color w:val="000000"/>
                        </w:rPr>
                        <w:t xml:space="preserve"> (kWh/para) vertė apskaičiuojama taip:</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 w:val="10"/>
                                <w:szCs w:val="10"/>
                              </w:rPr>
                            </w:pPr>
                          </w:p>
                          <w:p>
                            <w:pPr>
                              <w:spacing w:line="360" w:lineRule="auto"/>
                              <w:ind w:left="850" w:hanging="850"/>
                              <w:jc w:val="center"/>
                              <w:rPr>
                                <w:rFonts w:eastAsia="Calibri"/>
                                <w:bCs/>
                                <w:color w:val="000000"/>
                                <w:szCs w:val="22"/>
                              </w:rPr>
                            </w:pPr>
                            <w:r>
                              <w:rPr>
                                <w:rFonts w:eastAsia="Calibri"/>
                                <w:color w:val="000000"/>
                                <w:position w:val="-14"/>
                                <w:szCs w:val="22"/>
                              </w:rPr>
                              <w:object w:dxaOrig="2040" w:dyaOrig="400">
                                <v:shape id="_x0000_i1203" type="#_x0000_t75" style="width:101.95pt;height:20.2pt" o:ole="">
                                  <v:imagedata r:id="rId633" o:title=""/>
                                </v:shape>
                                <o:OLEObject Type="Embed" ProgID="Equation.3" ShapeID="_x0000_i1203" DrawAspect="Content" ObjectID="_0000000001" r:id="rId634"/>
                              </w:object>
                            </w:r>
                            <w:r>
                              <w:rPr>
                                <w:color w:val="000000"/>
                              </w:rPr>
                              <w:t>.</w:t>
                            </w:r>
                          </w:p>
                        </w:tc>
                        <w:tc>
                          <w:tcPr>
                            <w:tcW w:w="660" w:type="pct"/>
                            <w:vAlign w:val="center"/>
                          </w:tcPr>
                          <w:p>
                            <w:pPr>
                              <w:rPr>
                                <w:color w:val="000000"/>
                                <w:sz w:val="10"/>
                                <w:szCs w:val="10"/>
                              </w:rPr>
                            </w:pPr>
                          </w:p>
                          <w:p>
                            <w:pPr>
                              <w:spacing w:line="360" w:lineRule="auto"/>
                              <w:ind w:left="850" w:hanging="850"/>
                              <w:jc w:val="right"/>
                              <w:rPr>
                                <w:rFonts w:eastAsia="Calibri"/>
                                <w:bCs/>
                                <w:color w:val="000000"/>
                                <w:szCs w:val="22"/>
                              </w:rPr>
                            </w:pPr>
                            <w:r>
                              <w:rPr>
                                <w:bCs/>
                                <w:color w:val="000000"/>
                              </w:rPr>
                              <w:t>(2.154)</w:t>
                            </w:r>
                          </w:p>
                        </w:tc>
                      </w:tr>
                    </w:tbl>
                    <w:p>
                      <w:pPr>
                        <w:rPr>
                          <w:color w:val="000000"/>
                        </w:rPr>
                      </w:pPr>
                    </w:p>
                  </w:sdtContent>
                </w:sdt>
              </w:sdtContent>
            </w:sdt>
            <w:sdt>
              <w:sdtPr>
                <w:alias w:val="2 pr. 43 p."/>
                <w:tag w:val="part_bf1559a0abea4277bc6782c48036d628"/>
                <w:lock w:val="sdtLocked"/>
                <w:richText/>
              </w:sdtPr>
              <w:sdtContent>
                <w:p>
                  <w:pPr>
                    <w:ind w:firstLine="567"/>
                    <w:jc w:val="both"/>
                  </w:pPr>
                  <w:sdt>
                    <w:sdtPr>
                      <w:alias w:val="Numeris"/>
                      <w:tag w:val="nr_bf1559a0abea4277bc6782c48036d628"/>
                      <w:lock w:val="sdtLocked"/>
                      <w:richText/>
                    </w:sdtPr>
                    <w:sdtContent>
                      <w:r>
                        <w:rPr>
                          <w:color w:val="000000"/>
                        </w:rPr>
                        <w:t>43</w:t>
                      </w:r>
                    </w:sdtContent>
                  </w:sdt>
                  <w:r>
                    <w:rPr>
                      <w:color w:val="000000"/>
                    </w:rPr>
                    <w:t xml:space="preserve">. Kai karšto vandens ruošimo sistemos pastate nėra, laikoma, kad skaičiuojamosios mėnesinės pirminės energijos sąnaudos karštam vandeniui ruošti 1,2 karto didesnės už normines, taip pat šilumos nuostoliai 1,2 karto didesni už norminius visuose vamzdynuose.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635" w:history="1">
                    <w:r>
                      <w:rPr>
                        <w:rFonts w:eastAsia="MS Mincho"/>
                        <w:i/>
                        <w:iCs/>
                        <w:color w:val="0000FF"/>
                        <w:sz w:val="20"/>
                        <w:u w:val="single"/>
                      </w:rPr>
                      <w:t>D1-576</w:t>
                    </w:r>
                  </w:hyperlink>
                  <w:r>
                    <w:rPr>
                      <w:rFonts w:eastAsia="MS Mincho"/>
                      <w:i/>
                      <w:iCs/>
                      <w:sz w:val="20"/>
                    </w:rPr>
                    <w:t>, 2020-09-28, paskelbta TAR 2020-09-28, i. k. 2020-20131</w:t>
                  </w:r>
                </w:p>
                <w:p/>
              </w:sdtContent>
            </w:sdt>
          </w:sdtContent>
        </w:sdt>
        <w:sdt>
          <w:sdtPr>
            <w:alias w:val="skyrius"/>
            <w:tag w:val="part_1879314f570c4e18ac9b19eab77f7ccf"/>
            <w:lock w:val="sdtLocked"/>
            <w:richText/>
          </w:sdtPr>
          <w:sdtContent>
            <w:p>
              <w:pPr>
                <w:keepNext/>
                <w:keepLines/>
                <w:jc w:val="center"/>
                <w:outlineLvl w:val="2"/>
                <w:rPr>
                  <w:b/>
                  <w:bCs/>
                </w:rPr>
              </w:pPr>
              <w:sdt>
                <w:sdtPr>
                  <w:alias w:val="Numeris"/>
                  <w:tag w:val="nr_1879314f570c4e18ac9b19eab77f7ccf"/>
                  <w:lock w:val="sdtLocked"/>
                  <w:richText/>
                </w:sdtPr>
                <w:sdtContent>
                  <w:r>
                    <w:rPr>
                      <w:b/>
                      <w:bCs/>
                    </w:rPr>
                    <w:t>XVI</w:t>
                  </w:r>
                </w:sdtContent>
              </w:sdt>
              <w:r>
                <w:rPr>
                  <w:b/>
                  <w:bCs/>
                </w:rPr>
                <w:t xml:space="preserve"> skyrius</w:t>
              </w:r>
            </w:p>
            <w:p>
              <w:pPr>
                <w:keepNext/>
                <w:keepLines/>
                <w:jc w:val="center"/>
                <w:outlineLvl w:val="2"/>
                <w:rPr>
                  <w:b/>
                  <w:bCs/>
                </w:rPr>
              </w:pPr>
              <w:sdt>
                <w:sdtPr>
                  <w:alias w:val="Pavadinimas"/>
                  <w:tag w:val="title_1879314f570c4e18ac9b19eab77f7ccf"/>
                  <w:lock w:val="sdtLocked"/>
                  <w:richText/>
                </w:sdtPr>
                <w:sdtContent>
                  <w:r>
                    <w:rPr>
                      <w:b/>
                      <w:bCs/>
                    </w:rPr>
                    <w:t xml:space="preserve">Mėnesinių šilumos pritekėjimų iš išorės skaičiavimas </w:t>
                  </w:r>
                </w:sdtContent>
              </w:sdt>
            </w:p>
            <w:p>
              <w:pPr>
                <w:ind w:firstLine="570"/>
              </w:pPr>
            </w:p>
            <w:sdt>
              <w:sdtPr>
                <w:alias w:val="2 pr. 44 p."/>
                <w:tag w:val="part_00821330589e4b829036c02e69fb5465"/>
                <w:lock w:val="sdtLocked"/>
                <w:richText/>
              </w:sdtPr>
              <w:sdtContent>
                <w:p>
                  <w:pPr>
                    <w:ind w:firstLine="570"/>
                    <w:jc w:val="both"/>
                    <w:rPr>
                      <w:color w:val="000000"/>
                    </w:rPr>
                  </w:pPr>
                  <w:sdt>
                    <w:sdtPr>
                      <w:alias w:val="Numeris"/>
                      <w:tag w:val="nr_00821330589e4b829036c02e69fb5465"/>
                      <w:lock w:val="sdtLocked"/>
                      <w:richText/>
                    </w:sdtPr>
                    <w:sdtContent>
                      <w:r>
                        <w:rPr>
                          <w:color w:val="000000"/>
                        </w:rPr>
                        <w:t>44</w:t>
                      </w:r>
                    </w:sdtContent>
                  </w:sdt>
                  <w:r>
                    <w:rPr>
                      <w:color w:val="000000"/>
                    </w:rPr>
                    <w:t>. Skaičiuojant šilumos pritekėjimus iš išorės, turi būti įvertinta Saulės spinduliuotė ir dangaus skliauto ilgabangė spinduliuotė, patenkančios į pastatą per skaidrias ir nepermatomas atitvaras [3.20].</w:t>
                  </w:r>
                </w:p>
                <w:p>
                  <w:pPr>
                    <w:ind w:firstLine="570"/>
                    <w:jc w:val="both"/>
                    <w:rPr>
                      <w:color w:val="000000"/>
                    </w:rPr>
                  </w:pPr>
                  <w:r>
                    <w:rPr>
                      <w:color w:val="000000"/>
                    </w:rPr>
                    <w:t xml:space="preserve">Kiekvieno mėnesio </w:t>
                  </w:r>
                  <w:r>
                    <w:rPr>
                      <w:i/>
                      <w:color w:val="000000"/>
                    </w:rPr>
                    <w:t>„m“</w:t>
                  </w:r>
                  <w:r>
                    <w:rPr>
                      <w:b/>
                      <w:color w:val="000000"/>
                    </w:rPr>
                    <w:t xml:space="preserve"> </w:t>
                  </w:r>
                  <w:r>
                    <w:rPr>
                      <w:color w:val="000000"/>
                    </w:rPr>
                    <w:t>skaičiuojamieji</w:t>
                  </w:r>
                  <w:r>
                    <w:rPr>
                      <w:b/>
                      <w:color w:val="000000"/>
                    </w:rPr>
                    <w:t xml:space="preserve"> </w:t>
                  </w:r>
                  <w:r>
                    <w:rPr>
                      <w:color w:val="000000"/>
                    </w:rPr>
                    <w:t xml:space="preserve">šilumos pritekėjimai į pastatą iš išorės </w:t>
                  </w:r>
                  <w:r>
                    <w:rPr>
                      <w:i/>
                      <w:color w:val="000000"/>
                    </w:rPr>
                    <w:t>Q</w:t>
                  </w:r>
                  <w:r>
                    <w:rPr>
                      <w:i/>
                      <w:color w:val="000000"/>
                      <w:vertAlign w:val="subscript"/>
                    </w:rPr>
                    <w:t>e,m</w:t>
                  </w:r>
                  <w:r>
                    <w:rPr>
                      <w:color w:val="000000"/>
                    </w:rPr>
                    <w:t xml:space="preserve"> (kWh/(m</w:t>
                  </w:r>
                  <w:r>
                    <w:rPr>
                      <w:color w:val="000000"/>
                      <w:vertAlign w:val="superscript"/>
                    </w:rPr>
                    <w:t>2</w:t>
                  </w:r>
                  <w:r>
                    <w:rPr>
                      <w:color w:val="000000"/>
                    </w:rPr>
                    <w:t>·mėn.)) apskaičiuojami pagal formulę:</w:t>
                  </w:r>
                </w:p>
                <w:tbl>
                  <w:tblPr>
                    <w:tblW w:w="5000" w:type="pct"/>
                    <w:tblLook w:val="01E0" w:firstRow="1" w:lastRow="1" w:firstColumn="1" w:lastColumn="1" w:noHBand="0" w:noVBand="0"/>
                  </w:tblPr>
                  <w:tblGrid>
                    <w:gridCol w:w="8821"/>
                    <w:gridCol w:w="1033"/>
                  </w:tblGrid>
                  <w:tr>
                    <w:tc>
                      <w:tcPr>
                        <w:tcW w:w="4476" w:type="pct"/>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2280" w:dyaOrig="400">
                            <v:shape id="_x0000_i1204" type="#_x0000_t75" style="width:114.05pt;height:20.2pt" o:ole="">
                              <v:imagedata r:id="rId636" o:title=""/>
                            </v:shape>
                            <o:OLEObject Type="Embed" ProgID="Equation.3" ShapeID="_x0000_i1204" DrawAspect="Content" ObjectID="_0000000001" r:id="rId637"/>
                          </w:object>
                        </w:r>
                      </w:p>
                    </w:tc>
                    <w:tc>
                      <w:tcPr>
                        <w:tcW w:w="524" w:type="pct"/>
                        <w:vAlign w:val="center"/>
                      </w:tcPr>
                      <w:p>
                        <w:pPr>
                          <w:rPr>
                            <w:color w:val="000000"/>
                            <w:sz w:val="10"/>
                            <w:szCs w:val="10"/>
                          </w:rPr>
                        </w:pPr>
                      </w:p>
                      <w:p>
                        <w:pPr>
                          <w:spacing w:line="360" w:lineRule="auto"/>
                          <w:ind w:left="850" w:hanging="850"/>
                          <w:jc w:val="right"/>
                          <w:rPr>
                            <w:rFonts w:eastAsia="Calibri"/>
                            <w:color w:val="000000"/>
                            <w:szCs w:val="22"/>
                          </w:rPr>
                        </w:pPr>
                        <w:r>
                          <w:rPr>
                            <w:color w:val="000000"/>
                          </w:rPr>
                          <w:t>(2.155)</w:t>
                        </w:r>
                      </w:p>
                    </w:tc>
                  </w:tr>
                </w:tbl>
                <w:p>
                  <w:pPr>
                    <w:tabs>
                      <w:tab w:val="left" w:pos="567"/>
                    </w:tabs>
                    <w:jc w:val="both"/>
                    <w:rPr>
                      <w:rFonts w:eastAsia="Calibri"/>
                      <w:color w:val="000000"/>
                      <w:szCs w:val="22"/>
                    </w:rPr>
                  </w:pPr>
                  <w:r>
                    <w:rPr>
                      <w:color w:val="000000"/>
                    </w:rPr>
                    <w:t>čia:</w:t>
                  </w:r>
                  <w:r>
                    <w:rPr>
                      <w:i/>
                      <w:color w:val="000000"/>
                    </w:rPr>
                    <w:tab/>
                    <w:t>Q</w:t>
                  </w:r>
                  <w:r>
                    <w:rPr>
                      <w:i/>
                      <w:color w:val="000000"/>
                      <w:vertAlign w:val="subscript"/>
                    </w:rPr>
                    <w:t xml:space="preserve">e.wda,m </w:t>
                  </w:r>
                  <w:r>
                    <w:rPr>
                      <w:color w:val="000000"/>
                    </w:rPr>
                    <w:t>– mėnesiniai šilumos pritekėjimai į patalpas per skaidrias atitvaras (kWh/(m</w:t>
                  </w:r>
                  <w:r>
                    <w:rPr>
                      <w:color w:val="000000"/>
                      <w:vertAlign w:val="superscript"/>
                    </w:rPr>
                    <w:t>2</w:t>
                  </w:r>
                  <w:r>
                    <w:rPr>
                      <w:color w:val="000000"/>
                    </w:rPr>
                    <w:t>·mėn.)). Apskaičiuojami pagal 45 punkto reikalavimus;</w:t>
                  </w:r>
                </w:p>
                <w:p>
                  <w:pPr>
                    <w:ind w:firstLine="567"/>
                    <w:jc w:val="both"/>
                    <w:rPr>
                      <w:color w:val="000000"/>
                    </w:rPr>
                  </w:pPr>
                  <w:r>
                    <w:rPr>
                      <w:i/>
                      <w:color w:val="000000"/>
                    </w:rPr>
                    <w:t>Q</w:t>
                  </w:r>
                  <w:r>
                    <w:rPr>
                      <w:i/>
                      <w:color w:val="000000"/>
                      <w:vertAlign w:val="subscript"/>
                    </w:rPr>
                    <w:t xml:space="preserve">e.op,m </w:t>
                  </w:r>
                  <w:r>
                    <w:rPr>
                      <w:color w:val="000000"/>
                    </w:rPr>
                    <w:t>– mėnesiniai šilumos pritekėjimai į patalpas per nepermatomas atitvaras (kWh/(m</w:t>
                  </w:r>
                  <w:r>
                    <w:rPr>
                      <w:color w:val="000000"/>
                      <w:vertAlign w:val="superscript"/>
                    </w:rPr>
                    <w:t>2</w:t>
                  </w:r>
                  <w:r>
                    <w:rPr>
                      <w:color w:val="000000"/>
                    </w:rPr>
                    <w:t>·mėn.)). Apskaičiuojami pagal 47 punkto reikalavimus.</w:t>
                  </w:r>
                </w:p>
                <w:p>
                  <w:pPr>
                    <w:ind w:firstLine="570"/>
                    <w:jc w:val="both"/>
                    <w:rPr>
                      <w:color w:val="000000"/>
                    </w:rPr>
                  </w:pPr>
                </w:p>
                <w:p>
                  <w:pPr>
                    <w:ind w:firstLine="570"/>
                    <w:jc w:val="both"/>
                    <w:rPr>
                      <w:color w:val="000000"/>
                    </w:rPr>
                  </w:pPr>
                  <w:r>
                    <w:rPr>
                      <w:color w:val="000000"/>
                    </w:rPr>
                    <w:t xml:space="preserve">Kiekvieno mėnesio </w:t>
                  </w:r>
                  <w:r>
                    <w:rPr>
                      <w:i/>
                      <w:color w:val="000000"/>
                    </w:rPr>
                    <w:t>„m“</w:t>
                  </w:r>
                  <w:r>
                    <w:rPr>
                      <w:b/>
                      <w:color w:val="000000"/>
                    </w:rPr>
                    <w:t xml:space="preserve"> </w:t>
                  </w:r>
                  <w:r>
                    <w:rPr>
                      <w:color w:val="000000"/>
                    </w:rPr>
                    <w:t xml:space="preserve">norminiai šilumos pritekėjimai į pastatą iš išorės </w:t>
                  </w:r>
                  <w:r>
                    <w:rPr>
                      <w:i/>
                      <w:color w:val="000000"/>
                    </w:rPr>
                    <w:t>Q</w:t>
                  </w:r>
                  <w:r>
                    <w:rPr>
                      <w:i/>
                      <w:color w:val="000000"/>
                      <w:vertAlign w:val="subscript"/>
                    </w:rPr>
                    <w:t>N.e,m</w:t>
                  </w:r>
                  <w:r>
                    <w:rPr>
                      <w:color w:val="000000"/>
                    </w:rPr>
                    <w:t xml:space="preserve"> (kWh/(m</w:t>
                  </w:r>
                  <w:r>
                    <w:rPr>
                      <w:color w:val="000000"/>
                      <w:vertAlign w:val="superscript"/>
                    </w:rPr>
                    <w:t>2</w:t>
                  </w:r>
                  <w:r>
                    <w:rPr>
                      <w:color w:val="000000"/>
                    </w:rPr>
                    <w:t xml:space="preserve">·mėn.)) skaičiuojami pagal (2.155) formulę taip: norminiai šilumos pritekėjimai iš išorės per skaidrias atitvaras </w:t>
                  </w:r>
                  <w:r>
                    <w:rPr>
                      <w:i/>
                      <w:color w:val="000000"/>
                    </w:rPr>
                    <w:t>Q</w:t>
                  </w:r>
                  <w:r>
                    <w:rPr>
                      <w:i/>
                      <w:color w:val="000000"/>
                      <w:vertAlign w:val="subscript"/>
                    </w:rPr>
                    <w:t>N.e.wda,m</w:t>
                  </w:r>
                  <w:r>
                    <w:rPr>
                      <w:color w:val="000000"/>
                    </w:rPr>
                    <w:t xml:space="preserve"> turi būti apskaičiuoti pagal (2.156) formulę, kurioje laikoma, kad </w:t>
                  </w:r>
                  <w:r>
                    <w:rPr>
                      <w:bCs/>
                      <w:i/>
                      <w:color w:val="000000"/>
                    </w:rPr>
                    <w:t>g</w:t>
                  </w:r>
                  <w:r>
                    <w:rPr>
                      <w:bCs/>
                      <w:i/>
                      <w:color w:val="000000"/>
                      <w:vertAlign w:val="subscript"/>
                    </w:rPr>
                    <w:t>wd,x</w:t>
                  </w:r>
                  <w:r>
                    <w:rPr>
                      <w:color w:val="000000"/>
                    </w:rPr>
                    <w:t xml:space="preserve"> = </w:t>
                  </w:r>
                  <w:r>
                    <w:rPr>
                      <w:bCs/>
                      <w:i/>
                      <w:color w:val="000000"/>
                    </w:rPr>
                    <w:t>g</w:t>
                  </w:r>
                  <w:r>
                    <w:rPr>
                      <w:bCs/>
                      <w:i/>
                      <w:color w:val="000000"/>
                      <w:vertAlign w:val="subscript"/>
                    </w:rPr>
                    <w:t>gw,x</w:t>
                  </w:r>
                  <w:r>
                    <w:rPr>
                      <w:color w:val="000000"/>
                    </w:rPr>
                    <w:t xml:space="preserve"> = </w:t>
                  </w:r>
                  <w:r>
                    <w:rPr>
                      <w:bCs/>
                      <w:i/>
                      <w:color w:val="000000"/>
                    </w:rPr>
                    <w:t>g</w:t>
                  </w:r>
                  <w:r>
                    <w:rPr>
                      <w:bCs/>
                      <w:i/>
                      <w:color w:val="000000"/>
                      <w:vertAlign w:val="subscript"/>
                    </w:rPr>
                    <w:t>bw,x</w:t>
                  </w:r>
                  <w:r>
                    <w:rPr>
                      <w:color w:val="000000"/>
                    </w:rPr>
                    <w:t xml:space="preserve"> = </w:t>
                  </w:r>
                  <w:r>
                    <w:rPr>
                      <w:bCs/>
                      <w:i/>
                      <w:color w:val="000000"/>
                    </w:rPr>
                    <w:t>g</w:t>
                  </w:r>
                  <w:r>
                    <w:rPr>
                      <w:bCs/>
                      <w:i/>
                      <w:color w:val="000000"/>
                      <w:vertAlign w:val="subscript"/>
                    </w:rPr>
                    <w:t>og,x</w:t>
                  </w:r>
                  <w:r>
                    <w:rPr>
                      <w:color w:val="000000"/>
                    </w:rPr>
                    <w:t xml:space="preserve"> = 0,67, ir naudojamos langų, stoglangių, švieslangių ir kitų skaidrių atitvarų šilumos perdavimo koeficientų vertės iš Reglamento 3 lentelės; norminiai pritekėjimai per neskaidrias atitvaras </w:t>
                  </w:r>
                  <w:r>
                    <w:rPr>
                      <w:i/>
                      <w:color w:val="000000"/>
                    </w:rPr>
                    <w:t>Q</w:t>
                  </w:r>
                  <w:r>
                    <w:rPr>
                      <w:i/>
                      <w:color w:val="000000"/>
                      <w:vertAlign w:val="subscript"/>
                    </w:rPr>
                    <w:t>N.e,m</w:t>
                  </w:r>
                  <w:r>
                    <w:rPr>
                      <w:color w:val="000000"/>
                    </w:rPr>
                    <w:t xml:space="preserve"> (kWh/(m</w:t>
                  </w:r>
                  <w:r>
                    <w:rPr>
                      <w:color w:val="000000"/>
                      <w:vertAlign w:val="superscript"/>
                    </w:rPr>
                    <w:t>2</w:t>
                  </w:r>
                  <w:r>
                    <w:rPr>
                      <w:color w:val="000000"/>
                    </w:rPr>
                    <w:t xml:space="preserve">·mėn.)) turi būti apskaičiuoti pagal (2.161) formulę skaičiavimams naudojant atitvarų šilumos perdavimo koeficientų vertes iš Reglamento 3 lentelės. </w:t>
                  </w:r>
                </w:p>
                <w:p>
                  <w:pPr>
                    <w:ind w:firstLine="570"/>
                    <w:jc w:val="both"/>
                    <w:rPr>
                      <w:color w:val="000000"/>
                    </w:rPr>
                  </w:pPr>
                  <w:r>
                    <w:rPr>
                      <w:color w:val="000000"/>
                    </w:rPr>
                    <w:t xml:space="preserve">Kiekvieno mėnesio </w:t>
                  </w:r>
                  <w:r>
                    <w:rPr>
                      <w:i/>
                      <w:color w:val="000000"/>
                    </w:rPr>
                    <w:t>„m“</w:t>
                  </w:r>
                  <w:r>
                    <w:rPr>
                      <w:b/>
                      <w:color w:val="000000"/>
                    </w:rPr>
                    <w:t xml:space="preserve"> </w:t>
                  </w:r>
                  <w:r>
                    <w:rPr>
                      <w:color w:val="000000"/>
                    </w:rPr>
                    <w:t xml:space="preserve">atskaitiniai šilumos pritekėjimai į pastatą iš išorės </w:t>
                  </w:r>
                  <w:r>
                    <w:rPr>
                      <w:i/>
                      <w:color w:val="000000"/>
                    </w:rPr>
                    <w:t>Q</w:t>
                  </w:r>
                  <w:r>
                    <w:rPr>
                      <w:i/>
                      <w:color w:val="000000"/>
                      <w:vertAlign w:val="subscript"/>
                    </w:rPr>
                    <w:t>R.e,m</w:t>
                  </w:r>
                  <w:r>
                    <w:rPr>
                      <w:color w:val="000000"/>
                    </w:rPr>
                    <w:t xml:space="preserve"> (kWh/(m</w:t>
                  </w:r>
                  <w:r>
                    <w:rPr>
                      <w:color w:val="000000"/>
                      <w:vertAlign w:val="superscript"/>
                    </w:rPr>
                    <w:t>2</w:t>
                  </w:r>
                  <w:r>
                    <w:rPr>
                      <w:color w:val="000000"/>
                    </w:rPr>
                    <w:t xml:space="preserve">·mėn.)) skaičiuojami pagal (2.155) formulę taip: atskaitiniai šilumos pritekėjimai iš išorės per skaidrias atitvaras </w:t>
                  </w:r>
                  <w:r>
                    <w:rPr>
                      <w:i/>
                      <w:color w:val="000000"/>
                    </w:rPr>
                    <w:t>Q</w:t>
                  </w:r>
                  <w:r>
                    <w:rPr>
                      <w:i/>
                      <w:color w:val="000000"/>
                      <w:vertAlign w:val="subscript"/>
                    </w:rPr>
                    <w:t>R.e.wda,m</w:t>
                  </w:r>
                  <w:r>
                    <w:rPr>
                      <w:color w:val="000000"/>
                    </w:rPr>
                    <w:t xml:space="preserve"> turi būti apskaičiuoti pagal (2.156) formulę, kurioje laikoma, kad </w:t>
                  </w:r>
                  <w:r>
                    <w:rPr>
                      <w:bCs/>
                      <w:i/>
                      <w:color w:val="000000"/>
                    </w:rPr>
                    <w:t>g</w:t>
                  </w:r>
                  <w:r>
                    <w:rPr>
                      <w:bCs/>
                      <w:i/>
                      <w:color w:val="000000"/>
                      <w:vertAlign w:val="subscript"/>
                    </w:rPr>
                    <w:t>wd,x</w:t>
                  </w:r>
                  <w:r>
                    <w:rPr>
                      <w:color w:val="000000"/>
                    </w:rPr>
                    <w:t xml:space="preserve"> = </w:t>
                  </w:r>
                  <w:r>
                    <w:rPr>
                      <w:bCs/>
                      <w:i/>
                      <w:color w:val="000000"/>
                    </w:rPr>
                    <w:t>g</w:t>
                  </w:r>
                  <w:r>
                    <w:rPr>
                      <w:bCs/>
                      <w:i/>
                      <w:color w:val="000000"/>
                      <w:vertAlign w:val="subscript"/>
                    </w:rPr>
                    <w:t>gw,x</w:t>
                  </w:r>
                  <w:r>
                    <w:rPr>
                      <w:color w:val="000000"/>
                    </w:rPr>
                    <w:t xml:space="preserve"> = </w:t>
                  </w:r>
                  <w:r>
                    <w:rPr>
                      <w:bCs/>
                      <w:i/>
                      <w:color w:val="000000"/>
                    </w:rPr>
                    <w:t>g</w:t>
                  </w:r>
                  <w:r>
                    <w:rPr>
                      <w:bCs/>
                      <w:i/>
                      <w:color w:val="000000"/>
                      <w:vertAlign w:val="subscript"/>
                    </w:rPr>
                    <w:t>bw,x</w:t>
                  </w:r>
                  <w:r>
                    <w:rPr>
                      <w:color w:val="000000"/>
                    </w:rPr>
                    <w:t xml:space="preserve"> = </w:t>
                  </w:r>
                  <w:r>
                    <w:rPr>
                      <w:bCs/>
                      <w:i/>
                      <w:color w:val="000000"/>
                    </w:rPr>
                    <w:t>g</w:t>
                  </w:r>
                  <w:r>
                    <w:rPr>
                      <w:bCs/>
                      <w:i/>
                      <w:color w:val="000000"/>
                      <w:vertAlign w:val="subscript"/>
                    </w:rPr>
                    <w:t>og,x</w:t>
                  </w:r>
                  <w:r>
                    <w:rPr>
                      <w:color w:val="000000"/>
                    </w:rPr>
                    <w:t xml:space="preserve"> = 0,67, ir turi būti naudojamos langų, stoglangių, švieslangių ir kitų skaidrių atitvarų atskaitinės šilumos perdavimo koeficientų vertės iš Reglamento 2 lentelės; atskaitiniai pritekėjimai per neskaidrias atitvaras </w:t>
                  </w:r>
                  <w:r>
                    <w:rPr>
                      <w:i/>
                      <w:color w:val="000000"/>
                    </w:rPr>
                    <w:t>Q</w:t>
                  </w:r>
                  <w:r>
                    <w:rPr>
                      <w:i/>
                      <w:color w:val="000000"/>
                      <w:vertAlign w:val="subscript"/>
                    </w:rPr>
                    <w:t>R.e,m</w:t>
                  </w:r>
                  <w:r>
                    <w:rPr>
                      <w:color w:val="000000"/>
                    </w:rPr>
                    <w:t xml:space="preserve"> (kWh/(m</w:t>
                  </w:r>
                  <w:r>
                    <w:rPr>
                      <w:color w:val="000000"/>
                      <w:vertAlign w:val="superscript"/>
                    </w:rPr>
                    <w:t>2</w:t>
                  </w:r>
                  <w:r>
                    <w:rPr>
                      <w:color w:val="000000"/>
                    </w:rPr>
                    <w:t>·mėn.)) turi būti apskaičiuoti pagal (2.161) formulę skaičiavimams naudojant atitvarų atskaitines šilumos perdavimo koeficientų vertes iš Reglamento 2 lentelės.</w:t>
                  </w:r>
                </w:p>
                <w:p>
                  <w:pPr>
                    <w:ind w:firstLine="570"/>
                    <w:rPr>
                      <w:color w:val="000000"/>
                    </w:rPr>
                  </w:pPr>
                </w:p>
              </w:sdtContent>
            </w:sdt>
            <w:sdt>
              <w:sdtPr>
                <w:alias w:val="2 pr. 45 p."/>
                <w:tag w:val="part_ef6cb889156d44ef9566b6184c7a9780"/>
                <w:lock w:val="sdtLocked"/>
                <w:richText/>
              </w:sdtPr>
              <w:sdtContent>
                <w:p>
                  <w:pPr>
                    <w:ind w:left="1347" w:hanging="780"/>
                    <w:jc w:val="both"/>
                    <w:rPr>
                      <w:szCs w:val="24"/>
                    </w:rPr>
                  </w:pPr>
                  <w:sdt>
                    <w:sdtPr>
                      <w:alias w:val="Numeris"/>
                      <w:tag w:val="nr_ef6cb889156d44ef9566b6184c7a9780"/>
                      <w:lock w:val="sdtLocked"/>
                      <w:richText/>
                    </w:sdtPr>
                    <w:sdtContent>
                      <w:r>
                        <w:rPr>
                          <w:lang w:eastAsia="lt-LT"/>
                        </w:rPr>
                        <w:t>45</w:t>
                      </w:r>
                    </w:sdtContent>
                  </w:sdt>
                  <w:r>
                    <w:rPr>
                      <w:lang w:eastAsia="lt-LT"/>
                    </w:rPr>
                    <w:t xml:space="preserve">. </w:t>
                  </w:r>
                  <w:r>
                    <w:rPr>
                      <w:szCs w:val="24"/>
                    </w:rPr>
                    <w:t xml:space="preserve">Kiekvieno mėnesinio </w:t>
                  </w:r>
                  <w:r>
                    <w:rPr>
                      <w:i/>
                      <w:szCs w:val="24"/>
                    </w:rPr>
                    <w:t>„m“</w:t>
                  </w:r>
                  <w:r>
                    <w:rPr>
                      <w:szCs w:val="24"/>
                    </w:rPr>
                    <w:t xml:space="preserve"> šilumos pritekėjimai į patalpas per skaidrias atitvaras </w:t>
                  </w:r>
                  <w:r>
                    <w:rPr>
                      <w:i/>
                      <w:szCs w:val="24"/>
                    </w:rPr>
                    <w:t>Q</w:t>
                  </w:r>
                  <w:r>
                    <w:rPr>
                      <w:i/>
                      <w:szCs w:val="24"/>
                      <w:vertAlign w:val="subscript"/>
                    </w:rPr>
                    <w:t xml:space="preserve">e.wda,m </w:t>
                  </w:r>
                  <w:r>
                    <w:rPr>
                      <w:szCs w:val="24"/>
                    </w:rPr>
                    <w:t xml:space="preserve"> (kWh/(m</w:t>
                  </w:r>
                  <w:r>
                    <w:rPr>
                      <w:szCs w:val="24"/>
                      <w:vertAlign w:val="superscript"/>
                    </w:rPr>
                    <w:t>2</w:t>
                  </w:r>
                  <w:r>
                    <w:rPr>
                      <w:szCs w:val="24"/>
                    </w:rPr>
                    <w:t>·mėn.)) apskaičiuojami taip:</w:t>
                  </w:r>
                </w:p>
                <w:tbl>
                  <w:tblPr>
                    <w:tblW w:w="5000" w:type="pct"/>
                    <w:tblLook w:val="01E0" w:firstRow="1" w:lastRow="1" w:firstColumn="1" w:lastColumn="1" w:noHBand="0" w:noVBand="0"/>
                  </w:tblPr>
                  <w:tblGrid>
                    <w:gridCol w:w="8821"/>
                    <w:gridCol w:w="1033"/>
                  </w:tblGrid>
                  <w:tr>
                    <w:tc>
                      <w:tcPr>
                        <w:tcW w:w="4476" w:type="pct"/>
                      </w:tcPr>
                      <w:p>
                        <w:pPr>
                          <w:rPr>
                            <w:szCs w:val="24"/>
                          </w:rPr>
                        </w:pPr>
                      </w:p>
                      <w:p>
                        <w:pPr>
                          <w:spacing w:line="360" w:lineRule="auto"/>
                          <w:ind w:left="850" w:hanging="850"/>
                          <w:jc w:val="center"/>
                          <w:rPr>
                            <w:rFonts w:eastAsia="Calibri"/>
                            <w:szCs w:val="24"/>
                          </w:rPr>
                        </w:pPr>
                        <w:r>
                          <w:rPr>
                            <w:rFonts w:eastAsia="Calibri"/>
                            <w:szCs w:val="24"/>
                          </w:rPr>
                          <w:object w:dxaOrig="7140" w:dyaOrig="5030">
                            <v:shape id="_x0000_i1207" type="#_x0000_t75" style="width:356.75pt;height:248.35pt" o:ole="">
                              <v:imagedata r:id="rId638" o:title=""/>
                            </v:shape>
                            <o:OLEObject Type="Embed" ProgID="Equation.3" ShapeID="_x0000_i1207" DrawAspect="Content" ObjectID="_0000000001" r:id="rId639"/>
                          </w:object>
                        </w:r>
                      </w:p>
                    </w:tc>
                    <w:tc>
                      <w:tcPr>
                        <w:tcW w:w="524" w:type="pct"/>
                        <w:vAlign w:val="center"/>
                      </w:tcPr>
                      <w:p>
                        <w:pPr>
                          <w:rPr>
                            <w:szCs w:val="24"/>
                          </w:rPr>
                        </w:pPr>
                      </w:p>
                      <w:p>
                        <w:pPr>
                          <w:spacing w:line="360" w:lineRule="auto"/>
                          <w:ind w:left="850" w:hanging="850"/>
                          <w:jc w:val="both"/>
                          <w:rPr>
                            <w:rFonts w:eastAsia="Calibri"/>
                            <w:szCs w:val="24"/>
                          </w:rPr>
                        </w:pPr>
                        <w:r>
                          <w:rPr>
                            <w:szCs w:val="24"/>
                          </w:rPr>
                          <w:t>(2.156)</w:t>
                        </w:r>
                      </w:p>
                    </w:tc>
                  </w:tr>
                </w:tbl>
                <w:p>
                  <w:pPr>
                    <w:tabs>
                      <w:tab w:val="left" w:pos="567"/>
                      <w:tab w:val="left" w:pos="851"/>
                      <w:tab w:val="left" w:pos="993"/>
                    </w:tabs>
                    <w:ind w:firstLine="567"/>
                    <w:jc w:val="both"/>
                    <w:rPr>
                      <w:rFonts w:eastAsia="Calibri"/>
                      <w:szCs w:val="24"/>
                    </w:rPr>
                  </w:pPr>
                  <w:r>
                    <w:rPr>
                      <w:szCs w:val="24"/>
                    </w:rPr>
                    <w:t>čia:</w:t>
                    <w:tab/>
                    <w:t xml:space="preserve">jei pagal Reglamento 14 priedo (14.1) formulę atitvaroms tarp šildomų patalpų ir apšiltintos nešildomos patalpos atliekami koeficiento </w:t>
                  </w:r>
                  <w:r>
                    <w:rPr>
                      <w:i/>
                      <w:szCs w:val="24"/>
                    </w:rPr>
                    <w:t>k</w:t>
                  </w:r>
                  <w:r>
                    <w:rPr>
                      <w:i/>
                      <w:szCs w:val="24"/>
                      <w:vertAlign w:val="subscript"/>
                    </w:rPr>
                    <w:t>m</w:t>
                  </w:r>
                  <w:r>
                    <w:rPr>
                      <w:szCs w:val="24"/>
                    </w:rPr>
                    <w:t xml:space="preserve"> skaičiavimai, šilumos pritekėjimai per šias atitvaras pagal (2.156) formulę neskaičiuojami;</w:t>
                  </w:r>
                </w:p>
                <w:p>
                  <w:pPr>
                    <w:ind w:firstLine="567"/>
                    <w:jc w:val="both"/>
                    <w:rPr>
                      <w:bCs/>
                      <w:szCs w:val="24"/>
                    </w:rPr>
                  </w:pPr>
                  <w:r>
                    <w:rPr>
                      <w:bCs/>
                      <w:i/>
                      <w:szCs w:val="24"/>
                    </w:rPr>
                    <w:t>F</w:t>
                  </w:r>
                  <w:r>
                    <w:rPr>
                      <w:bCs/>
                      <w:i/>
                      <w:szCs w:val="24"/>
                      <w:vertAlign w:val="subscript"/>
                    </w:rPr>
                    <w:t>sh.e</w:t>
                  </w:r>
                  <w:r>
                    <w:rPr>
                      <w:bCs/>
                      <w:i/>
                      <w:szCs w:val="24"/>
                    </w:rPr>
                    <w:t xml:space="preserve"> </w:t>
                  </w:r>
                  <w:r>
                    <w:rPr>
                      <w:bCs/>
                      <w:szCs w:val="24"/>
                    </w:rPr>
                    <w:t xml:space="preserve">– koeficientas, įvertinantis pastato išorėje esančias kliūtis, trukdančias Saulės spinduliuotei patekti į pastatą (šalia esantys pastatai, medžiai, atitvarų angokraščiai ir pan.). Imama </w:t>
                  </w:r>
                  <w:r>
                    <w:rPr>
                      <w:bCs/>
                      <w:i/>
                      <w:szCs w:val="24"/>
                    </w:rPr>
                    <w:t>F</w:t>
                  </w:r>
                  <w:r>
                    <w:rPr>
                      <w:bCs/>
                      <w:i/>
                      <w:szCs w:val="24"/>
                      <w:vertAlign w:val="subscript"/>
                    </w:rPr>
                    <w:t>sh.e</w:t>
                  </w:r>
                  <w:r>
                    <w:rPr>
                      <w:bCs/>
                      <w:i/>
                      <w:szCs w:val="24"/>
                    </w:rPr>
                    <w:t xml:space="preserve"> </w:t>
                  </w:r>
                  <w:r>
                    <w:rPr>
                      <w:bCs/>
                      <w:szCs w:val="24"/>
                    </w:rPr>
                    <w:t>= 0,9;</w:t>
                  </w:r>
                </w:p>
                <w:p>
                  <w:pPr>
                    <w:ind w:firstLine="567"/>
                    <w:jc w:val="both"/>
                    <w:rPr>
                      <w:szCs w:val="24"/>
                    </w:rPr>
                  </w:pPr>
                  <w:r>
                    <w:rPr>
                      <w:bCs/>
                      <w:i/>
                      <w:szCs w:val="24"/>
                    </w:rPr>
                    <w:t>F</w:t>
                  </w:r>
                  <w:r>
                    <w:rPr>
                      <w:bCs/>
                      <w:i/>
                      <w:szCs w:val="24"/>
                      <w:vertAlign w:val="subscript"/>
                    </w:rPr>
                    <w:t>sh.wd,m,x</w:t>
                  </w:r>
                  <w:r>
                    <w:rPr>
                      <w:szCs w:val="24"/>
                    </w:rPr>
                    <w:t xml:space="preserve">, </w:t>
                  </w:r>
                  <w:r>
                    <w:rPr>
                      <w:bCs/>
                      <w:i/>
                      <w:szCs w:val="24"/>
                    </w:rPr>
                    <w:t>F</w:t>
                  </w:r>
                  <w:r>
                    <w:rPr>
                      <w:bCs/>
                      <w:i/>
                      <w:szCs w:val="24"/>
                      <w:vertAlign w:val="subscript"/>
                    </w:rPr>
                    <w:t>sh.gw,m,x</w:t>
                  </w:r>
                  <w:r>
                    <w:rPr>
                      <w:bCs/>
                      <w:i/>
                      <w:szCs w:val="24"/>
                    </w:rPr>
                    <w:t>,</w:t>
                  </w:r>
                  <w:r>
                    <w:rPr>
                      <w:szCs w:val="24"/>
                    </w:rPr>
                    <w:t xml:space="preserve"> </w:t>
                  </w:r>
                  <w:r>
                    <w:rPr>
                      <w:bCs/>
                      <w:i/>
                      <w:szCs w:val="24"/>
                    </w:rPr>
                    <w:t>F</w:t>
                  </w:r>
                  <w:r>
                    <w:rPr>
                      <w:bCs/>
                      <w:i/>
                      <w:szCs w:val="24"/>
                      <w:vertAlign w:val="subscript"/>
                    </w:rPr>
                    <w:t>sh.bw,m,x</w:t>
                  </w:r>
                  <w:r>
                    <w:rPr>
                      <w:bCs/>
                      <w:i/>
                      <w:szCs w:val="24"/>
                    </w:rPr>
                    <w:t>,</w:t>
                  </w:r>
                  <w:r>
                    <w:rPr>
                      <w:szCs w:val="24"/>
                    </w:rPr>
                    <w:t xml:space="preserve"> </w:t>
                  </w:r>
                  <w:r>
                    <w:rPr>
                      <w:bCs/>
                      <w:i/>
                      <w:szCs w:val="24"/>
                    </w:rPr>
                    <w:t>F</w:t>
                  </w:r>
                  <w:r>
                    <w:rPr>
                      <w:bCs/>
                      <w:i/>
                      <w:szCs w:val="24"/>
                      <w:vertAlign w:val="subscript"/>
                    </w:rPr>
                    <w:t>sh.og,m,x</w:t>
                  </w:r>
                  <w:r>
                    <w:rPr>
                      <w:bCs/>
                      <w:i/>
                      <w:szCs w:val="24"/>
                    </w:rPr>
                    <w:t xml:space="preserve"> </w:t>
                  </w:r>
                  <w:r>
                    <w:rPr>
                      <w:bCs/>
                      <w:szCs w:val="24"/>
                    </w:rPr>
                    <w:t xml:space="preserve">– koeficientai, įvertinantys kiekvieną metų mėnesį </w:t>
                  </w:r>
                  <w:r>
                    <w:rPr>
                      <w:bCs/>
                      <w:i/>
                      <w:szCs w:val="24"/>
                    </w:rPr>
                    <w:t>„m“</w:t>
                  </w:r>
                  <w:r>
                    <w:rPr>
                      <w:bCs/>
                      <w:szCs w:val="24"/>
                    </w:rPr>
                    <w:t xml:space="preserve"> Saulės spinduliuotės sumažėjimą per </w:t>
                  </w:r>
                  <w:r>
                    <w:rPr>
                      <w:szCs w:val="24"/>
                    </w:rPr>
                    <w:t>atitinkamą „</w:t>
                  </w:r>
                  <w:r>
                    <w:rPr>
                      <w:i/>
                      <w:szCs w:val="24"/>
                    </w:rPr>
                    <w:t>x</w:t>
                  </w:r>
                  <w:r>
                    <w:rPr>
                      <w:szCs w:val="24"/>
                    </w:rPr>
                    <w:t xml:space="preserve">“ langą, stoglangį, švieslangį ar kitą skaidrią atitvarą </w:t>
                  </w:r>
                  <w:r>
                    <w:rPr>
                      <w:bCs/>
                      <w:szCs w:val="24"/>
                    </w:rPr>
                    <w:t>dėl šešėlių nuo pastato elementų</w:t>
                  </w:r>
                  <w:r>
                    <w:rPr>
                      <w:szCs w:val="24"/>
                    </w:rPr>
                    <w:t xml:space="preserve"> arba specialiai šiai spinduliuotei sumažinti pastate įrengtų priemonių. Nustatomi pagal 46 punkto reikalavimus; </w:t>
                  </w:r>
                </w:p>
                <w:p>
                  <w:pPr>
                    <w:ind w:firstLine="567"/>
                    <w:jc w:val="both"/>
                    <w:rPr>
                      <w:szCs w:val="24"/>
                    </w:rPr>
                  </w:pPr>
                  <w:r>
                    <w:rPr>
                      <w:bCs/>
                      <w:i/>
                      <w:szCs w:val="24"/>
                    </w:rPr>
                    <w:t>F</w:t>
                  </w:r>
                  <w:r>
                    <w:rPr>
                      <w:bCs/>
                      <w:i/>
                      <w:szCs w:val="24"/>
                      <w:vertAlign w:val="subscript"/>
                    </w:rPr>
                    <w:t>e.g,x</w:t>
                  </w:r>
                  <w:r>
                    <w:rPr>
                      <w:szCs w:val="24"/>
                    </w:rPr>
                    <w:t xml:space="preserve"> </w:t>
                  </w:r>
                  <w:r>
                    <w:rPr>
                      <w:bCs/>
                      <w:szCs w:val="24"/>
                    </w:rPr>
                    <w:t xml:space="preserve">– koeficientas, įvertinantis Saulės spinduliuotės sumažėjimą per </w:t>
                  </w:r>
                  <w:r>
                    <w:rPr>
                      <w:szCs w:val="24"/>
                    </w:rPr>
                    <w:t>atitinkamą „</w:t>
                  </w:r>
                  <w:r>
                    <w:rPr>
                      <w:i/>
                      <w:szCs w:val="24"/>
                    </w:rPr>
                    <w:t>x</w:t>
                  </w:r>
                  <w:r>
                    <w:rPr>
                      <w:szCs w:val="24"/>
                    </w:rPr>
                    <w:t xml:space="preserve">“ langą, stoglangį, švieslangį ar kitą skaidrią atitvarą </w:t>
                  </w:r>
                  <w:r>
                    <w:rPr>
                      <w:bCs/>
                      <w:szCs w:val="24"/>
                    </w:rPr>
                    <w:t xml:space="preserve">dėl tarp šios atitvaros ir išorės esančių kitų pastato elementų. </w:t>
                  </w:r>
                  <w:r>
                    <w:rPr>
                      <w:szCs w:val="24"/>
                    </w:rPr>
                    <w:t>Imamas iš 2.25 lentelės;</w:t>
                  </w:r>
                </w:p>
                <w:p>
                  <w:pPr>
                    <w:ind w:firstLine="567"/>
                    <w:jc w:val="both"/>
                    <w:rPr>
                      <w:bCs/>
                      <w:szCs w:val="24"/>
                    </w:rPr>
                  </w:pPr>
                  <w:r>
                    <w:rPr>
                      <w:bCs/>
                      <w:i/>
                      <w:szCs w:val="24"/>
                    </w:rPr>
                    <w:t>t</w:t>
                  </w:r>
                  <w:r>
                    <w:rPr>
                      <w:bCs/>
                      <w:i/>
                      <w:szCs w:val="24"/>
                      <w:vertAlign w:val="subscript"/>
                    </w:rPr>
                    <w:t>m</w:t>
                  </w:r>
                  <w:r>
                    <w:rPr>
                      <w:bCs/>
                      <w:szCs w:val="24"/>
                    </w:rPr>
                    <w:t xml:space="preserve"> – atitinkamo metų mėnesio trukmė (paros);</w:t>
                  </w:r>
                </w:p>
                <w:p>
                  <w:pPr>
                    <w:ind w:firstLine="567"/>
                    <w:jc w:val="both"/>
                    <w:rPr>
                      <w:szCs w:val="24"/>
                    </w:rPr>
                  </w:pPr>
                  <w:r>
                    <w:rPr>
                      <w:bCs/>
                      <w:i/>
                      <w:szCs w:val="24"/>
                    </w:rPr>
                    <w:t>I</w:t>
                  </w:r>
                  <w:r>
                    <w:rPr>
                      <w:bCs/>
                      <w:i/>
                      <w:szCs w:val="24"/>
                      <w:vertAlign w:val="subscript"/>
                    </w:rPr>
                    <w:t>sol.wd,m,x</w:t>
                  </w:r>
                  <w:r>
                    <w:rPr>
                      <w:szCs w:val="24"/>
                    </w:rPr>
                    <w:t xml:space="preserve">, </w:t>
                  </w:r>
                  <w:r>
                    <w:rPr>
                      <w:bCs/>
                      <w:i/>
                      <w:szCs w:val="24"/>
                    </w:rPr>
                    <w:t>I</w:t>
                  </w:r>
                  <w:r>
                    <w:rPr>
                      <w:bCs/>
                      <w:i/>
                      <w:szCs w:val="24"/>
                      <w:vertAlign w:val="subscript"/>
                    </w:rPr>
                    <w:t>sol.gw,m,x</w:t>
                  </w:r>
                  <w:r>
                    <w:rPr>
                      <w:bCs/>
                      <w:i/>
                      <w:szCs w:val="24"/>
                    </w:rPr>
                    <w:t>,</w:t>
                  </w:r>
                  <w:r>
                    <w:rPr>
                      <w:szCs w:val="24"/>
                    </w:rPr>
                    <w:t xml:space="preserve"> </w:t>
                  </w:r>
                  <w:r>
                    <w:rPr>
                      <w:bCs/>
                      <w:i/>
                      <w:szCs w:val="24"/>
                    </w:rPr>
                    <w:t>I</w:t>
                  </w:r>
                  <w:r>
                    <w:rPr>
                      <w:bCs/>
                      <w:i/>
                      <w:szCs w:val="24"/>
                      <w:vertAlign w:val="subscript"/>
                    </w:rPr>
                    <w:t>sol.bw,m,x</w:t>
                  </w:r>
                  <w:r>
                    <w:rPr>
                      <w:bCs/>
                      <w:i/>
                      <w:szCs w:val="24"/>
                    </w:rPr>
                    <w:t>,</w:t>
                  </w:r>
                  <w:r>
                    <w:rPr>
                      <w:szCs w:val="24"/>
                    </w:rPr>
                    <w:t xml:space="preserve"> </w:t>
                  </w:r>
                  <w:r>
                    <w:rPr>
                      <w:bCs/>
                      <w:i/>
                      <w:szCs w:val="24"/>
                    </w:rPr>
                    <w:t>I</w:t>
                  </w:r>
                  <w:r>
                    <w:rPr>
                      <w:bCs/>
                      <w:i/>
                      <w:szCs w:val="24"/>
                      <w:vertAlign w:val="subscript"/>
                    </w:rPr>
                    <w:t xml:space="preserve">sol.og,m,x </w:t>
                  </w:r>
                  <w:r>
                    <w:rPr>
                      <w:szCs w:val="24"/>
                    </w:rPr>
                    <w:t xml:space="preserve">– vidutinis kiekvieno metų mėnesio </w:t>
                  </w:r>
                  <w:r>
                    <w:rPr>
                      <w:i/>
                      <w:szCs w:val="24"/>
                    </w:rPr>
                    <w:t>„m“</w:t>
                  </w:r>
                  <w:r>
                    <w:rPr>
                      <w:szCs w:val="24"/>
                    </w:rPr>
                    <w:t xml:space="preserve"> Saulės bendrosios spinduliuotės srauto tankis į atitinkamo „</w:t>
                  </w:r>
                  <w:r>
                    <w:rPr>
                      <w:i/>
                      <w:szCs w:val="24"/>
                    </w:rPr>
                    <w:t>x</w:t>
                  </w:r>
                  <w:r>
                    <w:rPr>
                      <w:szCs w:val="24"/>
                    </w:rPr>
                    <w:t xml:space="preserve">“ lango, stoglangio, švieslangio ar kitos skaidrios atitvaros paviršių (W/m²). Imama iš 2.33–2.35 lentelių; </w:t>
                  </w:r>
                </w:p>
                <w:p>
                  <w:pPr>
                    <w:ind w:firstLine="567"/>
                    <w:jc w:val="both"/>
                    <w:rPr>
                      <w:szCs w:val="24"/>
                    </w:rPr>
                  </w:pPr>
                  <w:r>
                    <w:rPr>
                      <w:bCs/>
                      <w:i/>
                      <w:szCs w:val="24"/>
                    </w:rPr>
                    <w:t>g</w:t>
                  </w:r>
                  <w:r>
                    <w:rPr>
                      <w:bCs/>
                      <w:i/>
                      <w:szCs w:val="24"/>
                      <w:vertAlign w:val="subscript"/>
                    </w:rPr>
                    <w:t>wd,x</w:t>
                  </w:r>
                  <w:r>
                    <w:rPr>
                      <w:szCs w:val="24"/>
                    </w:rPr>
                    <w:t xml:space="preserve">, </w:t>
                  </w:r>
                  <w:r>
                    <w:rPr>
                      <w:bCs/>
                      <w:i/>
                      <w:szCs w:val="24"/>
                    </w:rPr>
                    <w:t>g</w:t>
                  </w:r>
                  <w:r>
                    <w:rPr>
                      <w:bCs/>
                      <w:i/>
                      <w:szCs w:val="24"/>
                      <w:vertAlign w:val="subscript"/>
                    </w:rPr>
                    <w:t>gw,x</w:t>
                  </w:r>
                  <w:r>
                    <w:rPr>
                      <w:bCs/>
                      <w:i/>
                      <w:szCs w:val="24"/>
                    </w:rPr>
                    <w:t>,</w:t>
                  </w:r>
                  <w:r>
                    <w:rPr>
                      <w:szCs w:val="24"/>
                    </w:rPr>
                    <w:t xml:space="preserve"> </w:t>
                  </w:r>
                  <w:r>
                    <w:rPr>
                      <w:bCs/>
                      <w:i/>
                      <w:szCs w:val="24"/>
                    </w:rPr>
                    <w:t>g</w:t>
                  </w:r>
                  <w:r>
                    <w:rPr>
                      <w:bCs/>
                      <w:i/>
                      <w:szCs w:val="24"/>
                      <w:vertAlign w:val="subscript"/>
                    </w:rPr>
                    <w:t>bw,x</w:t>
                  </w:r>
                  <w:r>
                    <w:rPr>
                      <w:bCs/>
                      <w:i/>
                      <w:szCs w:val="24"/>
                    </w:rPr>
                    <w:t>,</w:t>
                  </w:r>
                  <w:r>
                    <w:rPr>
                      <w:szCs w:val="24"/>
                    </w:rPr>
                    <w:t xml:space="preserve"> </w:t>
                  </w:r>
                  <w:r>
                    <w:rPr>
                      <w:bCs/>
                      <w:i/>
                      <w:szCs w:val="24"/>
                    </w:rPr>
                    <w:t>g</w:t>
                  </w:r>
                  <w:r>
                    <w:rPr>
                      <w:bCs/>
                      <w:i/>
                      <w:szCs w:val="24"/>
                      <w:vertAlign w:val="subscript"/>
                    </w:rPr>
                    <w:t>og,x</w:t>
                  </w:r>
                  <w:r>
                    <w:rPr>
                      <w:szCs w:val="24"/>
                    </w:rPr>
                    <w:t xml:space="preserve"> – atitinkamo „</w:t>
                  </w:r>
                  <w:r>
                    <w:rPr>
                      <w:i/>
                      <w:szCs w:val="24"/>
                    </w:rPr>
                    <w:t>x</w:t>
                  </w:r>
                  <w:r>
                    <w:rPr>
                      <w:szCs w:val="24"/>
                    </w:rPr>
                    <w:t xml:space="preserve">“ lango, stoglangio, švieslangio ar kitos skaidrios atitvaros įstiklinimo </w:t>
                  </w:r>
                  <w:r>
                    <w:rPr>
                      <w:bCs/>
                      <w:szCs w:val="24"/>
                    </w:rPr>
                    <w:t>visuminės Saulės energijos praleisties koeficientas</w:t>
                  </w:r>
                  <w:r>
                    <w:rPr>
                      <w:szCs w:val="24"/>
                    </w:rPr>
                    <w:t xml:space="preserve">. Kai balkonas įstiklintas, imama lango, stoglangio ar švieslangio tarp balkono ir patalpų </w:t>
                  </w:r>
                  <w:r>
                    <w:rPr>
                      <w:i/>
                      <w:szCs w:val="24"/>
                    </w:rPr>
                    <w:t>g</w:t>
                  </w:r>
                  <w:r>
                    <w:rPr>
                      <w:i/>
                      <w:szCs w:val="24"/>
                      <w:vertAlign w:val="subscript"/>
                    </w:rPr>
                    <w:t>wd</w:t>
                  </w:r>
                  <w:r>
                    <w:rPr>
                      <w:szCs w:val="24"/>
                    </w:rPr>
                    <w:t xml:space="preserve"> vertė iš gamintojo deklaracijos. Skaidrių atitvarų su elektrochrominiais stiklais atveju turi būti imama vidutinė </w:t>
                  </w:r>
                  <w:r>
                    <w:rPr>
                      <w:bCs/>
                      <w:szCs w:val="24"/>
                    </w:rPr>
                    <w:t xml:space="preserve">Saulės energijos praleisties koeficiento g vertė tarp visiškai neužtamsinto ir visiškai užtamsinto </w:t>
                  </w:r>
                  <w:r>
                    <w:rPr>
                      <w:szCs w:val="24"/>
                    </w:rPr>
                    <w:t>lango, stoglangio, švieslangio ar kitos skaidrios atitvaros</w:t>
                  </w:r>
                  <w:r>
                    <w:rPr>
                      <w:bCs/>
                      <w:szCs w:val="24"/>
                    </w:rPr>
                    <w:t xml:space="preserve"> g verčių. N</w:t>
                  </w:r>
                  <w:r>
                    <w:rPr>
                      <w:szCs w:val="24"/>
                    </w:rPr>
                    <w:t>esant duomenų apie g vertę, ji imama iš Reglamento 4 priedo;</w:t>
                  </w:r>
                </w:p>
                <w:p>
                  <w:pPr>
                    <w:ind w:firstLine="567"/>
                    <w:jc w:val="both"/>
                    <w:rPr>
                      <w:szCs w:val="24"/>
                    </w:rPr>
                  </w:pPr>
                  <w:r>
                    <w:rPr>
                      <w:i/>
                      <w:szCs w:val="24"/>
                    </w:rPr>
                    <w:t>h</w:t>
                  </w:r>
                  <w:r>
                    <w:rPr>
                      <w:i/>
                      <w:szCs w:val="24"/>
                      <w:vertAlign w:val="subscript"/>
                    </w:rPr>
                    <w:t>se.r</w:t>
                  </w:r>
                  <w:r>
                    <w:rPr>
                      <w:szCs w:val="24"/>
                    </w:rPr>
                    <w:t xml:space="preserve"> – išorinio paviršiaus spindulinis šilumos perdavimo koeficientas (W/m²·K). Imama </w:t>
                  </w:r>
                  <w:r>
                    <w:rPr>
                      <w:i/>
                      <w:szCs w:val="24"/>
                    </w:rPr>
                    <w:t>h</w:t>
                  </w:r>
                  <w:r>
                    <w:rPr>
                      <w:i/>
                      <w:szCs w:val="24"/>
                      <w:vertAlign w:val="subscript"/>
                    </w:rPr>
                    <w:t xml:space="preserve">se.r </w:t>
                  </w:r>
                  <w:r>
                    <w:rPr>
                      <w:i/>
                      <w:szCs w:val="24"/>
                    </w:rPr>
                    <w:t xml:space="preserve">= </w:t>
                  </w:r>
                  <w:r>
                    <w:rPr>
                      <w:szCs w:val="24"/>
                    </w:rPr>
                    <w:t>5</w:t>
                  </w:r>
                  <w:r>
                    <w:rPr>
                      <w:i/>
                      <w:szCs w:val="24"/>
                    </w:rPr>
                    <w:t>·ε</w:t>
                  </w:r>
                  <w:r>
                    <w:rPr>
                      <w:szCs w:val="24"/>
                    </w:rPr>
                    <w:t xml:space="preserve">, atitvaros išorinio paviršiaus emisija </w:t>
                  </w:r>
                  <w:r>
                    <w:rPr>
                      <w:i/>
                      <w:szCs w:val="24"/>
                    </w:rPr>
                    <w:t xml:space="preserve">ε </w:t>
                  </w:r>
                  <w:r>
                    <w:rPr>
                      <w:szCs w:val="24"/>
                    </w:rPr>
                    <w:t>= 0,9;</w:t>
                  </w:r>
                </w:p>
                <w:p>
                  <w:pPr>
                    <w:ind w:firstLine="567"/>
                    <w:rPr>
                      <w:szCs w:val="24"/>
                    </w:rPr>
                  </w:pPr>
                  <w:r>
                    <w:rPr>
                      <w:i/>
                      <w:szCs w:val="24"/>
                    </w:rPr>
                    <w:t>Δθ</w:t>
                  </w:r>
                  <w:r>
                    <w:rPr>
                      <w:i/>
                      <w:szCs w:val="24"/>
                      <w:vertAlign w:val="subscript"/>
                    </w:rPr>
                    <w:t>er</w:t>
                  </w:r>
                  <w:r>
                    <w:rPr>
                      <w:i/>
                      <w:szCs w:val="24"/>
                    </w:rPr>
                    <w:t xml:space="preserve"> </w:t>
                  </w:r>
                  <w:r>
                    <w:rPr>
                      <w:szCs w:val="24"/>
                    </w:rPr>
                    <w:t xml:space="preserve">– vidutinis temperatūrų skirtumas tarp išorės oro ir dangaus skliauto. Imama </w:t>
                  </w:r>
                  <w:r>
                    <w:rPr>
                      <w:i/>
                      <w:szCs w:val="24"/>
                    </w:rPr>
                    <w:t>Δθ</w:t>
                  </w:r>
                  <w:r>
                    <w:rPr>
                      <w:i/>
                      <w:szCs w:val="24"/>
                      <w:vertAlign w:val="subscript"/>
                    </w:rPr>
                    <w:t xml:space="preserve">er </w:t>
                  </w:r>
                  <w:r>
                    <w:rPr>
                      <w:szCs w:val="24"/>
                    </w:rPr>
                    <w:t>= 11 °C;</w:t>
                  </w:r>
                </w:p>
                <w:p>
                  <w:pPr>
                    <w:ind w:firstLine="567"/>
                    <w:jc w:val="both"/>
                    <w:rPr>
                      <w:szCs w:val="24"/>
                    </w:rPr>
                  </w:pPr>
                  <w:r>
                    <w:rPr>
                      <w:bCs/>
                      <w:i/>
                      <w:szCs w:val="24"/>
                    </w:rPr>
                    <w:t>F</w:t>
                  </w:r>
                  <w:r>
                    <w:rPr>
                      <w:bCs/>
                      <w:i/>
                      <w:szCs w:val="24"/>
                      <w:vertAlign w:val="subscript"/>
                    </w:rPr>
                    <w:t>r.wd,x</w:t>
                  </w:r>
                  <w:r>
                    <w:rPr>
                      <w:szCs w:val="24"/>
                    </w:rPr>
                    <w:t xml:space="preserve">, </w:t>
                  </w:r>
                  <w:r>
                    <w:rPr>
                      <w:bCs/>
                      <w:i/>
                      <w:szCs w:val="24"/>
                    </w:rPr>
                    <w:t>F</w:t>
                  </w:r>
                  <w:r>
                    <w:rPr>
                      <w:bCs/>
                      <w:i/>
                      <w:szCs w:val="24"/>
                      <w:vertAlign w:val="subscript"/>
                    </w:rPr>
                    <w:t>r.gw,x</w:t>
                  </w:r>
                  <w:r>
                    <w:rPr>
                      <w:bCs/>
                      <w:i/>
                      <w:szCs w:val="24"/>
                    </w:rPr>
                    <w:t>,</w:t>
                  </w:r>
                  <w:r>
                    <w:rPr>
                      <w:szCs w:val="24"/>
                    </w:rPr>
                    <w:t xml:space="preserve"> </w:t>
                  </w:r>
                  <w:r>
                    <w:rPr>
                      <w:bCs/>
                      <w:i/>
                      <w:szCs w:val="24"/>
                    </w:rPr>
                    <w:t>F</w:t>
                  </w:r>
                  <w:r>
                    <w:rPr>
                      <w:bCs/>
                      <w:i/>
                      <w:szCs w:val="24"/>
                      <w:vertAlign w:val="subscript"/>
                    </w:rPr>
                    <w:t>r.bw,x</w:t>
                  </w:r>
                  <w:r>
                    <w:rPr>
                      <w:bCs/>
                      <w:i/>
                      <w:szCs w:val="24"/>
                    </w:rPr>
                    <w:t>,</w:t>
                  </w:r>
                  <w:r>
                    <w:rPr>
                      <w:szCs w:val="24"/>
                    </w:rPr>
                    <w:t xml:space="preserve"> </w:t>
                  </w:r>
                  <w:r>
                    <w:rPr>
                      <w:bCs/>
                      <w:i/>
                      <w:szCs w:val="24"/>
                    </w:rPr>
                    <w:t>F</w:t>
                  </w:r>
                  <w:r>
                    <w:rPr>
                      <w:bCs/>
                      <w:i/>
                      <w:szCs w:val="24"/>
                      <w:vertAlign w:val="subscript"/>
                    </w:rPr>
                    <w:t>r.og,x</w:t>
                  </w:r>
                  <w:r>
                    <w:rPr>
                      <w:bCs/>
                      <w:i/>
                      <w:szCs w:val="24"/>
                    </w:rPr>
                    <w:t xml:space="preserve"> </w:t>
                  </w:r>
                  <w:r>
                    <w:rPr>
                      <w:bCs/>
                      <w:szCs w:val="24"/>
                    </w:rPr>
                    <w:t xml:space="preserve">– koeficientai, įvertinantys kliūtis spinduliniams mainams tarp dangaus skliauto ir </w:t>
                  </w:r>
                  <w:r>
                    <w:rPr>
                      <w:szCs w:val="24"/>
                    </w:rPr>
                    <w:t>atitinkamo „</w:t>
                  </w:r>
                  <w:r>
                    <w:rPr>
                      <w:i/>
                      <w:szCs w:val="24"/>
                    </w:rPr>
                    <w:t>x</w:t>
                  </w:r>
                  <w:r>
                    <w:rPr>
                      <w:szCs w:val="24"/>
                    </w:rPr>
                    <w:t>“ lango, stoglangio, švieslangio ar kitos skaidrios atitvaros paviršiaus. Imama iš 2.25 lentelės;</w:t>
                  </w:r>
                </w:p>
                <w:p>
                  <w:pPr>
                    <w:ind w:firstLine="567"/>
                    <w:jc w:val="both"/>
                    <w:rPr>
                      <w:szCs w:val="24"/>
                    </w:rPr>
                  </w:pPr>
                  <w:r>
                    <w:rPr>
                      <w:bCs/>
                      <w:i/>
                      <w:szCs w:val="24"/>
                    </w:rPr>
                    <w:t>A</w:t>
                  </w:r>
                  <w:r>
                    <w:rPr>
                      <w:bCs/>
                      <w:i/>
                      <w:szCs w:val="24"/>
                      <w:vertAlign w:val="subscript"/>
                    </w:rPr>
                    <w:t>wd,x</w:t>
                  </w:r>
                  <w:r>
                    <w:rPr>
                      <w:szCs w:val="24"/>
                    </w:rPr>
                    <w:t xml:space="preserve">, </w:t>
                  </w:r>
                  <w:r>
                    <w:rPr>
                      <w:bCs/>
                      <w:i/>
                      <w:szCs w:val="24"/>
                    </w:rPr>
                    <w:t>A</w:t>
                  </w:r>
                  <w:r>
                    <w:rPr>
                      <w:bCs/>
                      <w:i/>
                      <w:szCs w:val="24"/>
                      <w:vertAlign w:val="subscript"/>
                    </w:rPr>
                    <w:t>gw,x</w:t>
                  </w:r>
                  <w:r>
                    <w:rPr>
                      <w:bCs/>
                      <w:i/>
                      <w:szCs w:val="24"/>
                    </w:rPr>
                    <w:t>,</w:t>
                  </w:r>
                  <w:r>
                    <w:rPr>
                      <w:szCs w:val="24"/>
                    </w:rPr>
                    <w:t xml:space="preserve"> </w:t>
                  </w:r>
                  <w:r>
                    <w:rPr>
                      <w:bCs/>
                      <w:i/>
                      <w:szCs w:val="24"/>
                    </w:rPr>
                    <w:t>A</w:t>
                  </w:r>
                  <w:r>
                    <w:rPr>
                      <w:bCs/>
                      <w:i/>
                      <w:szCs w:val="24"/>
                      <w:vertAlign w:val="subscript"/>
                    </w:rPr>
                    <w:t>bw,x</w:t>
                  </w:r>
                  <w:r>
                    <w:rPr>
                      <w:bCs/>
                      <w:i/>
                      <w:szCs w:val="24"/>
                    </w:rPr>
                    <w:t>,</w:t>
                  </w:r>
                  <w:r>
                    <w:rPr>
                      <w:szCs w:val="24"/>
                    </w:rPr>
                    <w:t xml:space="preserve"> </w:t>
                  </w:r>
                  <w:r>
                    <w:rPr>
                      <w:bCs/>
                      <w:i/>
                      <w:szCs w:val="24"/>
                    </w:rPr>
                    <w:t>A</w:t>
                  </w:r>
                  <w:r>
                    <w:rPr>
                      <w:bCs/>
                      <w:i/>
                      <w:szCs w:val="24"/>
                      <w:vertAlign w:val="subscript"/>
                    </w:rPr>
                    <w:t>og,x</w:t>
                  </w:r>
                  <w:r>
                    <w:rPr>
                      <w:szCs w:val="24"/>
                    </w:rPr>
                    <w:t xml:space="preserve"> – atitinkamo „</w:t>
                  </w:r>
                  <w:r>
                    <w:rPr>
                      <w:i/>
                      <w:szCs w:val="24"/>
                    </w:rPr>
                    <w:t>x</w:t>
                  </w:r>
                  <w:r>
                    <w:rPr>
                      <w:szCs w:val="24"/>
                    </w:rPr>
                    <w:t>“ lango, stoglangio, švieslangio ir kitos skaidrios atitvaros plotas (m</w:t>
                  </w:r>
                  <w:r>
                    <w:rPr>
                      <w:szCs w:val="24"/>
                      <w:vertAlign w:val="superscript"/>
                    </w:rPr>
                    <w:t>2</w:t>
                  </w:r>
                  <w:r>
                    <w:rPr>
                      <w:szCs w:val="24"/>
                    </w:rPr>
                    <w:t>). Nustatomas pagal Reglamento 7 priedo reikalavimus;</w:t>
                  </w:r>
                </w:p>
                <w:p>
                  <w:pPr>
                    <w:ind w:firstLine="567"/>
                    <w:jc w:val="both"/>
                    <w:rPr>
                      <w:szCs w:val="24"/>
                    </w:rPr>
                  </w:pPr>
                  <w:r>
                    <w:rPr>
                      <w:bCs/>
                      <w:i/>
                      <w:szCs w:val="24"/>
                    </w:rPr>
                    <w:t>A</w:t>
                  </w:r>
                  <w:r>
                    <w:rPr>
                      <w:bCs/>
                      <w:i/>
                      <w:szCs w:val="24"/>
                      <w:vertAlign w:val="subscript"/>
                    </w:rPr>
                    <w:t>wd-g,x</w:t>
                  </w:r>
                  <w:r>
                    <w:rPr>
                      <w:szCs w:val="24"/>
                    </w:rPr>
                    <w:t xml:space="preserve">, </w:t>
                  </w:r>
                  <w:r>
                    <w:rPr>
                      <w:bCs/>
                      <w:i/>
                      <w:szCs w:val="24"/>
                    </w:rPr>
                    <w:t>A</w:t>
                  </w:r>
                  <w:r>
                    <w:rPr>
                      <w:bCs/>
                      <w:i/>
                      <w:szCs w:val="24"/>
                      <w:vertAlign w:val="subscript"/>
                    </w:rPr>
                    <w:t>gw-g,x</w:t>
                  </w:r>
                  <w:r>
                    <w:rPr>
                      <w:bCs/>
                      <w:i/>
                      <w:szCs w:val="24"/>
                    </w:rPr>
                    <w:t>,</w:t>
                  </w:r>
                  <w:r>
                    <w:rPr>
                      <w:szCs w:val="24"/>
                    </w:rPr>
                    <w:t xml:space="preserve"> </w:t>
                  </w:r>
                  <w:r>
                    <w:rPr>
                      <w:bCs/>
                      <w:i/>
                      <w:szCs w:val="24"/>
                    </w:rPr>
                    <w:t>A</w:t>
                  </w:r>
                  <w:r>
                    <w:rPr>
                      <w:bCs/>
                      <w:i/>
                      <w:szCs w:val="24"/>
                      <w:vertAlign w:val="subscript"/>
                    </w:rPr>
                    <w:t>bw-g,x</w:t>
                  </w:r>
                  <w:r>
                    <w:rPr>
                      <w:bCs/>
                      <w:i/>
                      <w:szCs w:val="24"/>
                    </w:rPr>
                    <w:t>,</w:t>
                  </w:r>
                  <w:r>
                    <w:rPr>
                      <w:szCs w:val="24"/>
                    </w:rPr>
                    <w:t xml:space="preserve"> </w:t>
                  </w:r>
                  <w:r>
                    <w:rPr>
                      <w:bCs/>
                      <w:i/>
                      <w:szCs w:val="24"/>
                    </w:rPr>
                    <w:t>A</w:t>
                  </w:r>
                  <w:r>
                    <w:rPr>
                      <w:bCs/>
                      <w:i/>
                      <w:szCs w:val="24"/>
                      <w:vertAlign w:val="subscript"/>
                    </w:rPr>
                    <w:t>og-g,x</w:t>
                  </w:r>
                  <w:r>
                    <w:rPr>
                      <w:szCs w:val="24"/>
                    </w:rPr>
                    <w:t xml:space="preserve"> – atitinkamo „</w:t>
                  </w:r>
                  <w:r>
                    <w:rPr>
                      <w:i/>
                      <w:szCs w:val="24"/>
                    </w:rPr>
                    <w:t>x</w:t>
                  </w:r>
                  <w:r>
                    <w:rPr>
                      <w:szCs w:val="24"/>
                    </w:rPr>
                    <w:t>“ lango, stoglangio, švieslangio ar kitos skaidrios atitvaros įstiklintos dalies plotas (m</w:t>
                  </w:r>
                  <w:r>
                    <w:rPr>
                      <w:szCs w:val="24"/>
                      <w:vertAlign w:val="superscript"/>
                    </w:rPr>
                    <w:t>2</w:t>
                  </w:r>
                  <w:r>
                    <w:rPr>
                      <w:szCs w:val="24"/>
                    </w:rPr>
                    <w:t>). Nustatomas pagal Reglamento 7 priedo reikalavimus.</w:t>
                  </w:r>
                </w:p>
                <w:p>
                  <w:pPr>
                    <w:ind w:firstLine="570"/>
                    <w:jc w:val="center"/>
                    <w:rPr>
                      <w:b/>
                      <w:bCs/>
                      <w:i/>
                      <w:szCs w:val="24"/>
                    </w:rPr>
                  </w:pPr>
                </w:p>
                <w:p>
                  <w:pPr>
                    <w:ind w:firstLine="570"/>
                    <w:jc w:val="center"/>
                    <w:rPr>
                      <w:b/>
                      <w:bCs/>
                      <w:szCs w:val="24"/>
                    </w:rPr>
                  </w:pPr>
                  <w:r>
                    <w:rPr>
                      <w:b/>
                      <w:bCs/>
                      <w:i/>
                      <w:szCs w:val="24"/>
                    </w:rPr>
                    <w:t>F</w:t>
                  </w:r>
                  <w:r>
                    <w:rPr>
                      <w:b/>
                      <w:bCs/>
                      <w:i/>
                      <w:szCs w:val="24"/>
                      <w:vertAlign w:val="subscript"/>
                    </w:rPr>
                    <w:t>e.g</w:t>
                  </w:r>
                  <w:r>
                    <w:rPr>
                      <w:b/>
                      <w:bCs/>
                      <w:i/>
                      <w:szCs w:val="24"/>
                    </w:rPr>
                    <w:t>,</w:t>
                  </w:r>
                  <w:r>
                    <w:rPr>
                      <w:b/>
                      <w:szCs w:val="24"/>
                    </w:rPr>
                    <w:t xml:space="preserve"> </w:t>
                  </w:r>
                  <w:r>
                    <w:rPr>
                      <w:b/>
                      <w:bCs/>
                      <w:i/>
                      <w:szCs w:val="24"/>
                    </w:rPr>
                    <w:t>F</w:t>
                  </w:r>
                  <w:r>
                    <w:rPr>
                      <w:b/>
                      <w:bCs/>
                      <w:i/>
                      <w:szCs w:val="24"/>
                      <w:vertAlign w:val="subscript"/>
                    </w:rPr>
                    <w:t>r.wd</w:t>
                  </w:r>
                  <w:r>
                    <w:rPr>
                      <w:b/>
                      <w:szCs w:val="24"/>
                    </w:rPr>
                    <w:t xml:space="preserve">, </w:t>
                  </w:r>
                  <w:r>
                    <w:rPr>
                      <w:b/>
                      <w:bCs/>
                      <w:i/>
                      <w:szCs w:val="24"/>
                    </w:rPr>
                    <w:t>F</w:t>
                  </w:r>
                  <w:r>
                    <w:rPr>
                      <w:b/>
                      <w:bCs/>
                      <w:i/>
                      <w:szCs w:val="24"/>
                      <w:vertAlign w:val="subscript"/>
                    </w:rPr>
                    <w:t>r.gw</w:t>
                  </w:r>
                  <w:r>
                    <w:rPr>
                      <w:bCs/>
                      <w:szCs w:val="24"/>
                    </w:rPr>
                    <w:t>,</w:t>
                  </w:r>
                  <w:r>
                    <w:rPr>
                      <w:b/>
                      <w:szCs w:val="24"/>
                    </w:rPr>
                    <w:t xml:space="preserve"> </w:t>
                  </w:r>
                  <w:r>
                    <w:rPr>
                      <w:b/>
                      <w:bCs/>
                      <w:i/>
                      <w:szCs w:val="24"/>
                    </w:rPr>
                    <w:t>F</w:t>
                  </w:r>
                  <w:r>
                    <w:rPr>
                      <w:b/>
                      <w:bCs/>
                      <w:i/>
                      <w:szCs w:val="24"/>
                      <w:vertAlign w:val="subscript"/>
                    </w:rPr>
                    <w:t>r.bw</w:t>
                  </w:r>
                  <w:r>
                    <w:rPr>
                      <w:b/>
                      <w:bCs/>
                      <w:szCs w:val="24"/>
                    </w:rPr>
                    <w:t xml:space="preserve"> </w:t>
                  </w:r>
                  <w:r>
                    <w:rPr>
                      <w:bCs/>
                      <w:szCs w:val="24"/>
                    </w:rPr>
                    <w:t>ir</w:t>
                  </w:r>
                  <w:r>
                    <w:rPr>
                      <w:b/>
                      <w:szCs w:val="24"/>
                    </w:rPr>
                    <w:t xml:space="preserve"> </w:t>
                  </w:r>
                  <w:r>
                    <w:rPr>
                      <w:b/>
                      <w:bCs/>
                      <w:i/>
                      <w:szCs w:val="24"/>
                    </w:rPr>
                    <w:t>F</w:t>
                  </w:r>
                  <w:r>
                    <w:rPr>
                      <w:b/>
                      <w:bCs/>
                      <w:i/>
                      <w:szCs w:val="24"/>
                      <w:vertAlign w:val="subscript"/>
                    </w:rPr>
                    <w:t>r.og</w:t>
                  </w:r>
                  <w:r>
                    <w:rPr>
                      <w:b/>
                      <w:bCs/>
                      <w:szCs w:val="24"/>
                    </w:rPr>
                    <w:t xml:space="preserve"> koeficientų vertės</w:t>
                  </w:r>
                </w:p>
                <w:p>
                  <w:pPr>
                    <w:ind w:left="720"/>
                    <w:jc w:val="right"/>
                    <w:rPr>
                      <w:szCs w:val="24"/>
                    </w:rPr>
                  </w:pPr>
                  <w:r>
                    <w:rPr>
                      <w:szCs w:val="24"/>
                    </w:rPr>
                    <w:t>2.25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1"/>
                    <w:gridCol w:w="6222"/>
                    <w:gridCol w:w="1149"/>
                    <w:gridCol w:w="1802"/>
                  </w:tblGrid>
                  <w:tr>
                    <w:tc>
                      <w:tcPr>
                        <w:tcW w:w="352" w:type="pct"/>
                      </w:tcPr>
                      <w:p>
                        <w:pPr>
                          <w:spacing w:line="276" w:lineRule="auto"/>
                          <w:jc w:val="center"/>
                          <w:rPr>
                            <w:szCs w:val="24"/>
                          </w:rPr>
                        </w:pPr>
                        <w:r>
                          <w:rPr>
                            <w:szCs w:val="24"/>
                          </w:rPr>
                          <w:t>Eil. Nr.</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 xml:space="preserve">Skaidrių atitvarų apibūdinimas, kai tarp šių atitvarų ir išorės įrengti arba neįrengti skaidrūs elementai </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bCs/>
                            <w:i/>
                            <w:szCs w:val="24"/>
                          </w:rPr>
                          <w:t>F</w:t>
                        </w:r>
                        <w:r>
                          <w:rPr>
                            <w:bCs/>
                            <w:i/>
                            <w:szCs w:val="24"/>
                            <w:vertAlign w:val="subscript"/>
                          </w:rPr>
                          <w:t>e.g</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bCs/>
                            <w:i/>
                            <w:szCs w:val="24"/>
                          </w:rPr>
                          <w:t>F</w:t>
                        </w:r>
                        <w:r>
                          <w:rPr>
                            <w:bCs/>
                            <w:i/>
                            <w:szCs w:val="24"/>
                            <w:vertAlign w:val="subscript"/>
                          </w:rPr>
                          <w:t>r.wd</w:t>
                        </w:r>
                        <w:r>
                          <w:rPr>
                            <w:szCs w:val="24"/>
                          </w:rPr>
                          <w:t xml:space="preserve">, </w:t>
                        </w:r>
                        <w:r>
                          <w:rPr>
                            <w:bCs/>
                            <w:i/>
                            <w:szCs w:val="24"/>
                          </w:rPr>
                          <w:t>F</w:t>
                        </w:r>
                        <w:r>
                          <w:rPr>
                            <w:bCs/>
                            <w:i/>
                            <w:szCs w:val="24"/>
                            <w:vertAlign w:val="subscript"/>
                          </w:rPr>
                          <w:t>r.gw</w:t>
                        </w:r>
                        <w:r>
                          <w:rPr>
                            <w:bCs/>
                            <w:i/>
                            <w:szCs w:val="24"/>
                          </w:rPr>
                          <w:t>,</w:t>
                        </w:r>
                        <w:r>
                          <w:rPr>
                            <w:szCs w:val="24"/>
                          </w:rPr>
                          <w:t xml:space="preserve"> </w:t>
                        </w:r>
                        <w:r>
                          <w:rPr>
                            <w:bCs/>
                            <w:i/>
                            <w:szCs w:val="24"/>
                          </w:rPr>
                          <w:t>F</w:t>
                        </w:r>
                        <w:r>
                          <w:rPr>
                            <w:bCs/>
                            <w:i/>
                            <w:szCs w:val="24"/>
                            <w:vertAlign w:val="subscript"/>
                          </w:rPr>
                          <w:t>r.bw</w:t>
                        </w:r>
                        <w:r>
                          <w:rPr>
                            <w:bCs/>
                            <w:i/>
                            <w:szCs w:val="24"/>
                          </w:rPr>
                          <w:t>,</w:t>
                        </w:r>
                        <w:r>
                          <w:rPr>
                            <w:szCs w:val="24"/>
                          </w:rPr>
                          <w:t xml:space="preserve"> </w:t>
                        </w:r>
                        <w:r>
                          <w:rPr>
                            <w:bCs/>
                            <w:i/>
                            <w:szCs w:val="24"/>
                          </w:rPr>
                          <w:t>F</w:t>
                        </w:r>
                        <w:r>
                          <w:rPr>
                            <w:bCs/>
                            <w:i/>
                            <w:szCs w:val="24"/>
                            <w:vertAlign w:val="subscript"/>
                          </w:rPr>
                          <w:t>r.og</w:t>
                        </w:r>
                      </w:p>
                    </w:tc>
                  </w:tr>
                  <w:tr>
                    <w:tc>
                      <w:tcPr>
                        <w:tcW w:w="352" w:type="pct"/>
                      </w:tcPr>
                      <w:p>
                        <w:pPr>
                          <w:spacing w:line="276" w:lineRule="auto"/>
                          <w:jc w:val="both"/>
                          <w:rPr>
                            <w:szCs w:val="24"/>
                          </w:rPr>
                        </w:pPr>
                        <w:r>
                          <w:rPr>
                            <w:szCs w:val="24"/>
                          </w:rPr>
                          <w:t>1.</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 xml:space="preserve">Skaidrios atitvaros tarp patalpų ir išorės </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1</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
                            <w:szCs w:val="24"/>
                          </w:rPr>
                        </w:pPr>
                        <w:r>
                          <w:rPr>
                            <w:rFonts w:eastAsia="Calibri"/>
                            <w:position w:val="-10"/>
                            <w:szCs w:val="24"/>
                          </w:rPr>
                          <w:object w:dxaOrig="1570" w:dyaOrig="400">
                            <v:shape id="_x0000_i1208" type="#_x0000_t75" style="width:79.3pt;height:20.2pt" o:ole="">
                              <v:imagedata r:id="rId640" o:title=""/>
                            </v:shape>
                            <o:OLEObject Type="Embed" ProgID="Equation.3" ShapeID="_x0000_i1208" DrawAspect="Content" ObjectID="_0000000001" r:id="rId641"/>
                          </w:object>
                        </w:r>
                      </w:p>
                    </w:tc>
                  </w:tr>
                  <w:tr>
                    <w:tc>
                      <w:tcPr>
                        <w:tcW w:w="352" w:type="pct"/>
                      </w:tcPr>
                      <w:p>
                        <w:pPr>
                          <w:spacing w:line="276" w:lineRule="auto"/>
                          <w:jc w:val="both"/>
                          <w:rPr>
                            <w:szCs w:val="24"/>
                          </w:rPr>
                        </w:pPr>
                        <w:r>
                          <w:rPr>
                            <w:szCs w:val="24"/>
                          </w:rPr>
                          <w:t>2.</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patalpų ir šiltnamio</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0,9</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r>
                    <w:tc>
                      <w:tcPr>
                        <w:tcW w:w="352" w:type="pct"/>
                      </w:tcPr>
                      <w:p>
                        <w:pPr>
                          <w:spacing w:line="276" w:lineRule="auto"/>
                          <w:jc w:val="both"/>
                          <w:rPr>
                            <w:szCs w:val="24"/>
                          </w:rPr>
                        </w:pPr>
                        <w:r>
                          <w:rPr>
                            <w:szCs w:val="24"/>
                          </w:rPr>
                          <w:t>3.</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patalpų ir skaidraus vėdinamo ekrano ar įstiklinto balkono su vienstikliais langais</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0,9</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r>
                    <w:tc>
                      <w:tcPr>
                        <w:tcW w:w="352" w:type="pct"/>
                      </w:tcPr>
                      <w:p>
                        <w:pPr>
                          <w:spacing w:line="276" w:lineRule="auto"/>
                          <w:jc w:val="both"/>
                          <w:rPr>
                            <w:szCs w:val="24"/>
                          </w:rPr>
                        </w:pPr>
                        <w:r>
                          <w:rPr>
                            <w:szCs w:val="24"/>
                          </w:rPr>
                          <w:t>4.</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patalpų ir įstiklinto balkono, kai balkono langai dvistikliai</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0,8</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r>
                    <w:tc>
                      <w:tcPr>
                        <w:tcW w:w="352" w:type="pct"/>
                      </w:tcPr>
                      <w:p>
                        <w:pPr>
                          <w:spacing w:line="276" w:lineRule="auto"/>
                          <w:jc w:val="both"/>
                          <w:rPr>
                            <w:szCs w:val="24"/>
                          </w:rPr>
                        </w:pPr>
                        <w:r>
                          <w:rPr>
                            <w:szCs w:val="24"/>
                          </w:rPr>
                          <w:t>5.</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patalpų ir įstiklinto balkono, kai balkono langai tristikliai</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0,7</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r>
                    <w:tc>
                      <w:tcPr>
                        <w:tcW w:w="352" w:type="pct"/>
                      </w:tcPr>
                      <w:p>
                        <w:pPr>
                          <w:spacing w:line="276" w:lineRule="auto"/>
                          <w:jc w:val="both"/>
                          <w:rPr>
                            <w:szCs w:val="24"/>
                          </w:rPr>
                        </w:pPr>
                        <w:r>
                          <w:rPr>
                            <w:szCs w:val="24"/>
                          </w:rPr>
                          <w:t>6.</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patalpų ir įstiklintų galerijų ir pan.</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0,6</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r>
                    <w:tc>
                      <w:tcPr>
                        <w:tcW w:w="352" w:type="pct"/>
                      </w:tcPr>
                      <w:p>
                        <w:pPr>
                          <w:spacing w:line="276" w:lineRule="auto"/>
                          <w:jc w:val="both"/>
                          <w:rPr>
                            <w:szCs w:val="24"/>
                          </w:rPr>
                        </w:pPr>
                        <w:r>
                          <w:rPr>
                            <w:szCs w:val="24"/>
                          </w:rPr>
                          <w:t>7.</w:t>
                        </w:r>
                      </w:p>
                    </w:tc>
                    <w:tc>
                      <w:tcPr>
                        <w:tcW w:w="3163"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4"/>
                          </w:rPr>
                        </w:pPr>
                        <w:r>
                          <w:rPr>
                            <w:szCs w:val="24"/>
                          </w:rPr>
                          <w:t>Skaidrios atitvaros tarp šildomų ir nešildomų pastato patalpų</w:t>
                        </w:r>
                      </w:p>
                    </w:tc>
                    <w:tc>
                      <w:tcPr>
                        <w:tcW w:w="58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c>
                      <w:tcPr>
                        <w:tcW w:w="89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0</w:t>
                        </w:r>
                      </w:p>
                    </w:tc>
                  </w:tr>
                </w:tbl>
                <w:p>
                  <w:pPr>
                    <w:rPr>
                      <w:szCs w:val="24"/>
                    </w:rPr>
                  </w:pPr>
                </w:p>
                <w:p>
                  <w:pPr>
                    <w:ind w:firstLine="570"/>
                    <w:jc w:val="both"/>
                  </w:pPr>
                  <w:r>
                    <w:rPr>
                      <w:b/>
                      <w:bCs/>
                      <w:szCs w:val="24"/>
                    </w:rPr>
                    <w:t>Pastaba.</w:t>
                  </w:r>
                  <w:r>
                    <w:rPr>
                      <w:szCs w:val="24"/>
                    </w:rPr>
                    <w:t xml:space="preserve"> </w:t>
                  </w:r>
                  <w:r>
                    <w:rPr>
                      <w:bCs/>
                      <w:i/>
                      <w:szCs w:val="24"/>
                    </w:rPr>
                    <w:t>γ</w:t>
                  </w:r>
                  <w:r>
                    <w:rPr>
                      <w:bCs/>
                      <w:i/>
                      <w:szCs w:val="24"/>
                      <w:vertAlign w:val="subscript"/>
                    </w:rPr>
                    <w:t>wda</w:t>
                  </w:r>
                  <w:r>
                    <w:rPr>
                      <w:bCs/>
                      <w:szCs w:val="24"/>
                    </w:rPr>
                    <w:t xml:space="preserve"> – skaidrios atitvaros išorinio paviršiaus pasvirimo kampas nuo horizontalios plokštumos (žr. 2.10.–2.12. pav.). Šį kampą turi nustatyti pastatų energinio naudingumo sertifikavimo ekspertas ne mažesniu kaip 5° tikslumu.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2 pr. 46 p."/>
                <w:tag w:val="part_12c05f23eff44fd789f6dd2d2b524088"/>
                <w:lock w:val="sdtLocked"/>
                <w:richText/>
              </w:sdtPr>
              <w:sdtContent>
                <w:p>
                  <w:pPr>
                    <w:ind w:firstLine="570"/>
                    <w:jc w:val="both"/>
                    <w:rPr>
                      <w:b/>
                      <w:color w:val="000000"/>
                    </w:rPr>
                  </w:pPr>
                  <w:sdt>
                    <w:sdtPr>
                      <w:alias w:val="Numeris"/>
                      <w:tag w:val="nr_12c05f23eff44fd789f6dd2d2b524088"/>
                      <w:lock w:val="sdtLocked"/>
                      <w:richText/>
                    </w:sdtPr>
                    <w:sdtContent>
                      <w:r>
                        <w:rPr>
                          <w:color w:val="000000"/>
                        </w:rPr>
                        <w:t>46</w:t>
                      </w:r>
                    </w:sdtContent>
                  </w:sdt>
                  <w:r>
                    <w:rPr>
                      <w:color w:val="000000"/>
                    </w:rPr>
                    <w:t xml:space="preserve">. Kiekvienai skaidriai atitvarai kiekvienam metų mėnesiui </w:t>
                  </w:r>
                  <w:r>
                    <w:rPr>
                      <w:i/>
                      <w:color w:val="000000"/>
                    </w:rPr>
                    <w:t>„m“</w:t>
                  </w:r>
                  <w:r>
                    <w:rPr>
                      <w:color w:val="000000"/>
                    </w:rPr>
                    <w:t xml:space="preserve">, atsižvelgiant į šios atitvaros išorėje įrengtas apsaugos priemones nuo Saulės spinduliuotės, koeficientų </w:t>
                  </w:r>
                  <w:r>
                    <w:rPr>
                      <w:i/>
                      <w:color w:val="000000"/>
                    </w:rPr>
                    <w:t>F</w:t>
                  </w:r>
                  <w:r>
                    <w:rPr>
                      <w:i/>
                      <w:color w:val="000000"/>
                      <w:vertAlign w:val="subscript"/>
                    </w:rPr>
                    <w:t>sh,m</w:t>
                  </w:r>
                  <w:r>
                    <w:rPr>
                      <w:color w:val="000000"/>
                    </w:rPr>
                    <w:t xml:space="preserve"> (t. y. koeficientų langams </w:t>
                  </w:r>
                  <w:r>
                    <w:rPr>
                      <w:i/>
                      <w:color w:val="000000"/>
                    </w:rPr>
                    <w:t>F</w:t>
                  </w:r>
                  <w:r>
                    <w:rPr>
                      <w:i/>
                      <w:color w:val="000000"/>
                      <w:vertAlign w:val="subscript"/>
                    </w:rPr>
                    <w:t>sh.wd,m,x</w:t>
                  </w:r>
                  <w:r>
                    <w:rPr>
                      <w:color w:val="000000"/>
                    </w:rPr>
                    <w:t xml:space="preserve">, stoglangiams </w:t>
                  </w:r>
                  <w:r>
                    <w:rPr>
                      <w:i/>
                      <w:color w:val="000000"/>
                    </w:rPr>
                    <w:t>F</w:t>
                  </w:r>
                  <w:r>
                    <w:rPr>
                      <w:i/>
                      <w:color w:val="000000"/>
                      <w:vertAlign w:val="subscript"/>
                    </w:rPr>
                    <w:t xml:space="preserve">sh.gw,m,x </w:t>
                  </w:r>
                  <w:r>
                    <w:rPr>
                      <w:color w:val="000000"/>
                    </w:rPr>
                    <w:t xml:space="preserve">ir švieslangiams bei kitoms skaidrioms atitvaroms </w:t>
                  </w:r>
                  <w:r>
                    <w:rPr>
                      <w:i/>
                      <w:color w:val="000000"/>
                    </w:rPr>
                    <w:t>F</w:t>
                  </w:r>
                  <w:r>
                    <w:rPr>
                      <w:i/>
                      <w:color w:val="000000"/>
                      <w:vertAlign w:val="subscript"/>
                    </w:rPr>
                    <w:t>sh.bw,m,x</w:t>
                  </w:r>
                  <w:r>
                    <w:rPr>
                      <w:color w:val="000000"/>
                    </w:rPr>
                    <w:t>) vertės apskaičiuojamos</w:t>
                  </w:r>
                  <w:r>
                    <w:rPr>
                      <w:b/>
                      <w:color w:val="000000"/>
                    </w:rPr>
                    <w:t xml:space="preserve"> </w:t>
                  </w:r>
                  <w:r>
                    <w:rPr>
                      <w:color w:val="000000"/>
                    </w:rPr>
                    <w:t>taip:</w:t>
                  </w:r>
                </w:p>
                <w:tbl>
                  <w:tblPr>
                    <w:tblW w:w="5000" w:type="pct"/>
                    <w:tblLook w:val="01E0" w:firstRow="1" w:lastRow="1" w:firstColumn="1" w:lastColumn="1" w:noHBand="0" w:noVBand="0"/>
                  </w:tblPr>
                  <w:tblGrid>
                    <w:gridCol w:w="8821"/>
                    <w:gridCol w:w="1033"/>
                  </w:tblGrid>
                  <w:tr>
                    <w:tc>
                      <w:tcPr>
                        <w:tcW w:w="4476" w:type="pct"/>
                        <w:hideMark/>
                      </w:tcPr>
                      <w:p>
                        <w:pPr>
                          <w:spacing w:line="276" w:lineRule="auto"/>
                          <w:jc w:val="center"/>
                          <w:rPr>
                            <w:rFonts w:eastAsia="Calibri"/>
                            <w:color w:val="000000"/>
                            <w:szCs w:val="22"/>
                          </w:rPr>
                        </w:pPr>
                        <w:r>
                          <w:rPr>
                            <w:color w:val="000000"/>
                          </w:rPr>
                          <w:object w:dxaOrig="2480" w:dyaOrig="330">
                            <v:shape id="_x0000_i1209" type="#_x0000_t75" style="width:123.8pt;height:16.2pt" o:ole="">
                              <v:imagedata r:id="rId642" o:title=""/>
                            </v:shape>
                            <o:OLEObject Type="Embed" ProgID="Equation.3" ShapeID="_x0000_i1209" DrawAspect="Content" ObjectID="_0000000001" r:id="rId643"/>
                          </w:object>
                          <w:t>;</w:t>
                        </w:r>
                      </w:p>
                    </w:tc>
                    <w:tc>
                      <w:tcPr>
                        <w:tcW w:w="524" w:type="pct"/>
                        <w:vAlign w:val="center"/>
                        <w:hideMark/>
                      </w:tcPr>
                      <w:p>
                        <w:pPr>
                          <w:spacing w:line="276" w:lineRule="auto"/>
                          <w:jc w:val="center"/>
                          <w:rPr>
                            <w:rFonts w:eastAsia="Calibri"/>
                            <w:color w:val="000000"/>
                            <w:szCs w:val="22"/>
                          </w:rPr>
                        </w:pPr>
                        <w:r>
                          <w:rPr>
                            <w:color w:val="000000"/>
                          </w:rPr>
                          <w:t>(2.157)</w:t>
                        </w:r>
                      </w:p>
                    </w:tc>
                  </w:tr>
                </w:tbl>
                <w:p>
                  <w:pPr>
                    <w:tabs>
                      <w:tab w:val="left" w:pos="567"/>
                    </w:tabs>
                    <w:jc w:val="both"/>
                    <w:rPr>
                      <w:rFonts w:eastAsia="Calibri"/>
                      <w:bCs/>
                      <w:color w:val="000000"/>
                      <w:szCs w:val="22"/>
                    </w:rPr>
                  </w:pPr>
                  <w:r>
                    <w:rPr>
                      <w:bCs/>
                      <w:color w:val="000000"/>
                    </w:rPr>
                    <w:t>čia:</w:t>
                    <w:tab/>
                  </w:r>
                  <w:r>
                    <w:rPr>
                      <w:bCs/>
                      <w:i/>
                      <w:color w:val="000000"/>
                    </w:rPr>
                    <w:t>F</w:t>
                  </w:r>
                  <w:r>
                    <w:rPr>
                      <w:bCs/>
                      <w:i/>
                      <w:color w:val="000000"/>
                      <w:vertAlign w:val="subscript"/>
                    </w:rPr>
                    <w:t>ov,m</w:t>
                  </w:r>
                  <w:r>
                    <w:rPr>
                      <w:bCs/>
                      <w:color w:val="000000"/>
                    </w:rPr>
                    <w:t xml:space="preserve"> – koeficientas, įvertinantis virš skaidrių atitvarų įrengtų stogelių nuo Saulės spinduliuotės (žr. 2.10. ir 2.12. pav.) efektyvumą kiekvieną metų mėnesį </w:t>
                  </w:r>
                  <w:r>
                    <w:rPr>
                      <w:bCs/>
                      <w:i/>
                      <w:color w:val="000000"/>
                    </w:rPr>
                    <w:t>„m“</w:t>
                  </w:r>
                  <w:r>
                    <w:rPr>
                      <w:bCs/>
                      <w:color w:val="000000"/>
                    </w:rPr>
                    <w:t xml:space="preserve">. Jei stogelių nėra, </w:t>
                  </w:r>
                  <w:r>
                    <w:rPr>
                      <w:bCs/>
                      <w:i/>
                      <w:color w:val="000000"/>
                    </w:rPr>
                    <w:t>F</w:t>
                  </w:r>
                  <w:r>
                    <w:rPr>
                      <w:bCs/>
                      <w:i/>
                      <w:color w:val="000000"/>
                      <w:vertAlign w:val="subscript"/>
                    </w:rPr>
                    <w:t>ov,m</w:t>
                  </w:r>
                  <w:r>
                    <w:rPr>
                      <w:bCs/>
                      <w:color w:val="000000"/>
                    </w:rPr>
                    <w:t xml:space="preserve"> = 1, kitu atveju </w:t>
                  </w:r>
                  <w:r>
                    <w:rPr>
                      <w:bCs/>
                      <w:i/>
                      <w:color w:val="000000"/>
                    </w:rPr>
                    <w:t>F</w:t>
                  </w:r>
                  <w:r>
                    <w:rPr>
                      <w:bCs/>
                      <w:i/>
                      <w:color w:val="000000"/>
                      <w:vertAlign w:val="subscript"/>
                    </w:rPr>
                    <w:t>ov,m</w:t>
                  </w:r>
                  <w:r>
                    <w:rPr>
                      <w:bCs/>
                      <w:color w:val="000000"/>
                    </w:rPr>
                    <w:t xml:space="preserve"> vertė nustatoma pagal 46.1 papunkčio</w:t>
                  </w:r>
                  <w:r>
                    <w:rPr>
                      <w:b/>
                      <w:bCs/>
                      <w:color w:val="000000"/>
                    </w:rPr>
                    <w:t xml:space="preserve"> </w:t>
                  </w:r>
                  <w:r>
                    <w:rPr>
                      <w:bCs/>
                      <w:color w:val="000000"/>
                    </w:rPr>
                    <w:t>reikalavimus;</w:t>
                  </w:r>
                </w:p>
                <w:p>
                  <w:pPr>
                    <w:ind w:firstLine="567"/>
                    <w:jc w:val="both"/>
                    <w:rPr>
                      <w:bCs/>
                      <w:color w:val="000000"/>
                    </w:rPr>
                  </w:pPr>
                  <w:r>
                    <w:rPr>
                      <w:bCs/>
                      <w:i/>
                      <w:color w:val="000000"/>
                    </w:rPr>
                    <w:t>F</w:t>
                  </w:r>
                  <w:r>
                    <w:rPr>
                      <w:bCs/>
                      <w:i/>
                      <w:color w:val="000000"/>
                      <w:vertAlign w:val="subscript"/>
                    </w:rPr>
                    <w:t>fin,m</w:t>
                  </w:r>
                  <w:r>
                    <w:rPr>
                      <w:bCs/>
                      <w:color w:val="000000"/>
                    </w:rPr>
                    <w:t xml:space="preserve"> – koeficientas, įvertinantis skaidrių atitvarų šonuose įrengtų apsaugos priemonių nuo Saulės spinduliuotės (žr. 2.13. pav.)</w:t>
                  </w:r>
                  <w:r>
                    <w:rPr>
                      <w:b/>
                      <w:bCs/>
                      <w:color w:val="000000"/>
                    </w:rPr>
                    <w:t xml:space="preserve"> </w:t>
                  </w:r>
                  <w:r>
                    <w:rPr>
                      <w:bCs/>
                      <w:color w:val="000000"/>
                    </w:rPr>
                    <w:t xml:space="preserve">efektyvumą kiekvieną metų mėnesį </w:t>
                  </w:r>
                  <w:r>
                    <w:rPr>
                      <w:bCs/>
                      <w:i/>
                      <w:color w:val="000000"/>
                    </w:rPr>
                    <w:t>„m“</w:t>
                  </w:r>
                  <w:r>
                    <w:rPr>
                      <w:bCs/>
                      <w:color w:val="000000"/>
                    </w:rPr>
                    <w:t xml:space="preserve">. Jei skaidrių atitvarų šonuose apsaugos priemonių nėra, </w:t>
                  </w:r>
                  <w:r>
                    <w:rPr>
                      <w:bCs/>
                      <w:i/>
                      <w:color w:val="000000"/>
                    </w:rPr>
                    <w:t>F</w:t>
                  </w:r>
                  <w:r>
                    <w:rPr>
                      <w:bCs/>
                      <w:i/>
                      <w:color w:val="000000"/>
                      <w:vertAlign w:val="subscript"/>
                    </w:rPr>
                    <w:t>fin,m</w:t>
                  </w:r>
                  <w:r>
                    <w:rPr>
                      <w:bCs/>
                      <w:color w:val="000000"/>
                    </w:rPr>
                    <w:t xml:space="preserve"> = 1, kitu atveju </w:t>
                  </w:r>
                  <w:r>
                    <w:rPr>
                      <w:bCs/>
                      <w:i/>
                      <w:color w:val="000000"/>
                    </w:rPr>
                    <w:t>F</w:t>
                  </w:r>
                  <w:r>
                    <w:rPr>
                      <w:bCs/>
                      <w:i/>
                      <w:color w:val="000000"/>
                      <w:vertAlign w:val="subscript"/>
                    </w:rPr>
                    <w:t>fin,m</w:t>
                  </w:r>
                  <w:r>
                    <w:rPr>
                      <w:bCs/>
                      <w:color w:val="000000"/>
                    </w:rPr>
                    <w:t xml:space="preserve"> vertė nustatoma pagal 46.2 papunkčio</w:t>
                  </w:r>
                  <w:r>
                    <w:rPr>
                      <w:b/>
                      <w:bCs/>
                      <w:color w:val="000000"/>
                    </w:rPr>
                    <w:t xml:space="preserve"> </w:t>
                  </w:r>
                  <w:r>
                    <w:rPr>
                      <w:bCs/>
                      <w:color w:val="000000"/>
                    </w:rPr>
                    <w:t>reikalavimus;</w:t>
                  </w:r>
                </w:p>
                <w:p>
                  <w:pPr>
                    <w:ind w:firstLine="567"/>
                    <w:jc w:val="both"/>
                    <w:rPr>
                      <w:bCs/>
                      <w:color w:val="000000"/>
                    </w:rPr>
                  </w:pPr>
                  <w:r>
                    <w:rPr>
                      <w:bCs/>
                      <w:i/>
                      <w:color w:val="000000"/>
                    </w:rPr>
                    <w:t>F</w:t>
                  </w:r>
                  <w:r>
                    <w:rPr>
                      <w:bCs/>
                      <w:i/>
                      <w:color w:val="000000"/>
                      <w:vertAlign w:val="subscript"/>
                    </w:rPr>
                    <w:t>jal,m</w:t>
                  </w:r>
                  <w:r>
                    <w:rPr>
                      <w:bCs/>
                      <w:color w:val="000000"/>
                    </w:rPr>
                    <w:t xml:space="preserve"> – koeficientas, įvertinantis skaidrių išorėje įrengtų žaliuzių (žr. 2.11. pav.)</w:t>
                  </w:r>
                  <w:r>
                    <w:rPr>
                      <w:b/>
                      <w:bCs/>
                      <w:color w:val="000000"/>
                    </w:rPr>
                    <w:t xml:space="preserve"> </w:t>
                  </w:r>
                  <w:r>
                    <w:rPr>
                      <w:bCs/>
                      <w:color w:val="000000"/>
                    </w:rPr>
                    <w:t xml:space="preserve">efektyvumą kiekvieną metų mėnesį </w:t>
                  </w:r>
                  <w:r>
                    <w:rPr>
                      <w:bCs/>
                      <w:i/>
                      <w:color w:val="000000"/>
                    </w:rPr>
                    <w:t>„m“</w:t>
                  </w:r>
                  <w:r>
                    <w:rPr>
                      <w:bCs/>
                      <w:color w:val="000000"/>
                    </w:rPr>
                    <w:t xml:space="preserve">. Jei žaliuzių nėra, </w:t>
                  </w:r>
                  <w:r>
                    <w:rPr>
                      <w:bCs/>
                      <w:i/>
                      <w:color w:val="000000"/>
                    </w:rPr>
                    <w:t>F</w:t>
                  </w:r>
                  <w:r>
                    <w:rPr>
                      <w:bCs/>
                      <w:i/>
                      <w:color w:val="000000"/>
                      <w:vertAlign w:val="subscript"/>
                    </w:rPr>
                    <w:t>jal,m</w:t>
                  </w:r>
                  <w:r>
                    <w:rPr>
                      <w:bCs/>
                      <w:color w:val="000000"/>
                    </w:rPr>
                    <w:t xml:space="preserve"> = 1, kitu atveju </w:t>
                  </w:r>
                  <w:r>
                    <w:rPr>
                      <w:bCs/>
                      <w:i/>
                      <w:color w:val="000000"/>
                    </w:rPr>
                    <w:t>F</w:t>
                  </w:r>
                  <w:r>
                    <w:rPr>
                      <w:bCs/>
                      <w:i/>
                      <w:color w:val="000000"/>
                      <w:vertAlign w:val="subscript"/>
                    </w:rPr>
                    <w:t>jal,m</w:t>
                  </w:r>
                  <w:r>
                    <w:rPr>
                      <w:bCs/>
                      <w:color w:val="000000"/>
                    </w:rPr>
                    <w:t xml:space="preserve"> vertė nustatoma pagal 46.1 papunkčio</w:t>
                  </w:r>
                  <w:r>
                    <w:rPr>
                      <w:b/>
                      <w:bCs/>
                      <w:color w:val="000000"/>
                    </w:rPr>
                    <w:t xml:space="preserve"> </w:t>
                  </w:r>
                  <w:r>
                    <w:rPr>
                      <w:bCs/>
                      <w:color w:val="000000"/>
                    </w:rPr>
                    <w:t>reikalavimus.</w:t>
                  </w:r>
                </w:p>
                <w:p>
                  <w:pPr>
                    <w:jc w:val="both"/>
                    <w:rPr>
                      <w:bCs/>
                      <w:color w:val="000000"/>
                    </w:rPr>
                  </w:pPr>
                </w:p>
                <w:p>
                  <w:pPr>
                    <w:ind w:firstLine="540"/>
                    <w:jc w:val="both"/>
                    <w:rPr>
                      <w:color w:val="000000"/>
                    </w:rPr>
                  </w:pPr>
                  <w:r>
                    <w:rPr>
                      <w:color w:val="000000"/>
                    </w:rPr>
                    <w:t xml:space="preserve">Jei stogelių ar žaliuzių plotis mažesnis už skaidrios atitvaros įstiklintą plotį, koeficientai </w:t>
                  </w:r>
                  <w:r>
                    <w:rPr>
                      <w:bCs/>
                      <w:i/>
                      <w:color w:val="000000"/>
                    </w:rPr>
                    <w:t>F</w:t>
                  </w:r>
                  <w:r>
                    <w:rPr>
                      <w:bCs/>
                      <w:i/>
                      <w:color w:val="000000"/>
                      <w:vertAlign w:val="subscript"/>
                    </w:rPr>
                    <w:t>ov,m</w:t>
                  </w:r>
                  <w:r>
                    <w:rPr>
                      <w:color w:val="000000"/>
                    </w:rPr>
                    <w:t xml:space="preserve"> ir </w:t>
                  </w:r>
                  <w:r>
                    <w:rPr>
                      <w:bCs/>
                      <w:i/>
                      <w:color w:val="000000"/>
                    </w:rPr>
                    <w:t>F</w:t>
                  </w:r>
                  <w:r>
                    <w:rPr>
                      <w:bCs/>
                      <w:i/>
                      <w:color w:val="000000"/>
                      <w:vertAlign w:val="subscript"/>
                    </w:rPr>
                    <w:t>jal,m</w:t>
                  </w:r>
                  <w:r>
                    <w:rPr>
                      <w:color w:val="000000"/>
                    </w:rPr>
                    <w:t xml:space="preserve"> priskiriami tik per stogelio plotį esančiam skaidrios atitvaros įstiklintam plotui. </w:t>
                  </w:r>
                </w:p>
                <w:p>
                  <w:pPr>
                    <w:ind w:firstLine="540"/>
                    <w:jc w:val="both"/>
                    <w:rPr>
                      <w:bCs/>
                      <w:color w:val="000000"/>
                    </w:rPr>
                  </w:pPr>
                  <w:r>
                    <w:rPr>
                      <w:color w:val="000000"/>
                    </w:rPr>
                    <w:t xml:space="preserve">Jei skaidrių atitvarų šonuose įrengtų apsaugos nuo Saulės spinduliuotės priemonių aukštis mažesnis už skaidrios atitvaros įstiklinimo aukštį, koeficientas </w:t>
                  </w:r>
                  <w:r>
                    <w:rPr>
                      <w:bCs/>
                      <w:i/>
                      <w:color w:val="000000"/>
                    </w:rPr>
                    <w:t>F</w:t>
                  </w:r>
                  <w:r>
                    <w:rPr>
                      <w:bCs/>
                      <w:i/>
                      <w:color w:val="000000"/>
                      <w:vertAlign w:val="subscript"/>
                    </w:rPr>
                    <w:t>fin,m</w:t>
                  </w:r>
                  <w:r>
                    <w:rPr>
                      <w:color w:val="000000"/>
                    </w:rPr>
                    <w:t xml:space="preserve"> turi būti priskirtas tik per šių priemonių aukštį esančiam skaidrios atitvaros įstiklintam plotui.</w:t>
                  </w:r>
                </w:p>
                <w:sdt>
                  <w:sdtPr>
                    <w:alias w:val="2 pr. 46.1 pp."/>
                    <w:tag w:val="part_6cbc5f0703ed40869b8bde96514a8273"/>
                    <w:lock w:val="sdtLocked"/>
                    <w:richText/>
                  </w:sdtPr>
                  <w:sdtContent>
                    <w:p>
                      <w:pPr>
                        <w:ind w:firstLine="540"/>
                        <w:jc w:val="both"/>
                        <w:rPr>
                          <w:bCs/>
                          <w:color w:val="000000"/>
                        </w:rPr>
                      </w:pPr>
                      <w:sdt>
                        <w:sdtPr>
                          <w:alias w:val="Numeris"/>
                          <w:tag w:val="nr_6cbc5f0703ed40869b8bde96514a8273"/>
                          <w:lock w:val="sdtLocked"/>
                          <w:richText/>
                        </w:sdtPr>
                        <w:sdtContent>
                          <w:r>
                            <w:rPr>
                              <w:color w:val="000000"/>
                            </w:rPr>
                            <w:t>46.1</w:t>
                          </w:r>
                        </w:sdtContent>
                      </w:sdt>
                      <w:r>
                        <w:rPr>
                          <w:color w:val="000000"/>
                        </w:rPr>
                        <w:t xml:space="preserve">. Atitvarų išorėje įrengtų stogelių ir žaliuzių nuo Saulės spinduliuotės efektyvumo koeficientų </w:t>
                      </w:r>
                      <w:r>
                        <w:rPr>
                          <w:bCs/>
                          <w:i/>
                          <w:color w:val="000000"/>
                        </w:rPr>
                        <w:t>F</w:t>
                      </w:r>
                      <w:r>
                        <w:rPr>
                          <w:bCs/>
                          <w:i/>
                          <w:color w:val="000000"/>
                          <w:vertAlign w:val="subscript"/>
                        </w:rPr>
                        <w:t>ov,m</w:t>
                      </w:r>
                      <w:r>
                        <w:rPr>
                          <w:bCs/>
                          <w:color w:val="000000"/>
                        </w:rPr>
                        <w:t xml:space="preserve"> ir </w:t>
                      </w:r>
                      <w:r>
                        <w:rPr>
                          <w:bCs/>
                          <w:i/>
                          <w:color w:val="000000"/>
                        </w:rPr>
                        <w:t>F</w:t>
                      </w:r>
                      <w:r>
                        <w:rPr>
                          <w:bCs/>
                          <w:i/>
                          <w:color w:val="000000"/>
                          <w:vertAlign w:val="subscript"/>
                        </w:rPr>
                        <w:t>jal,m</w:t>
                      </w:r>
                      <w:r>
                        <w:rPr>
                          <w:bCs/>
                          <w:color w:val="000000"/>
                        </w:rPr>
                        <w:t xml:space="preserve"> vertės kiekvieną metų mėnesį </w:t>
                      </w:r>
                      <w:r>
                        <w:rPr>
                          <w:bCs/>
                          <w:i/>
                          <w:color w:val="000000"/>
                        </w:rPr>
                        <w:t>„m“</w:t>
                      </w:r>
                      <w:r>
                        <w:rPr>
                          <w:bCs/>
                          <w:color w:val="000000"/>
                        </w:rPr>
                        <w:t xml:space="preserve"> apskaičiuojamos taip:</w:t>
                      </w:r>
                    </w:p>
                    <w:tbl>
                      <w:tblPr>
                        <w:tblW w:w="0" w:type="auto"/>
                        <w:tblLook w:val="01E0" w:firstRow="1" w:lastRow="1" w:firstColumn="1" w:lastColumn="1" w:noHBand="0" w:noVBand="0"/>
                      </w:tblPr>
                      <w:tblGrid>
                        <w:gridCol w:w="8387"/>
                        <w:gridCol w:w="181"/>
                        <w:gridCol w:w="1002"/>
                      </w:tblGrid>
                      <w:tr>
                        <w:tc>
                          <w:tcPr>
                            <w:tcW w:w="8568" w:type="dxa"/>
                            <w:gridSpan w:val="2"/>
                            <w:hideMark/>
                          </w:tcPr>
                          <w:p>
                            <w:pPr>
                              <w:spacing w:line="276" w:lineRule="auto"/>
                              <w:ind w:left="851" w:hanging="851"/>
                              <w:jc w:val="center"/>
                              <w:rPr>
                                <w:rFonts w:eastAsia="Calibri"/>
                                <w:color w:val="000000"/>
                                <w:szCs w:val="22"/>
                              </w:rPr>
                            </w:pPr>
                            <w:r>
                              <w:rPr>
                                <w:rFonts w:eastAsia="Calibri"/>
                                <w:color w:val="000000"/>
                                <w:szCs w:val="22"/>
                              </w:rPr>
                              <w:object w:dxaOrig="2720" w:dyaOrig="330">
                                <v:shape id="_x0000_i1210" type="#_x0000_t75" style="width:134.3pt;height:16.2pt" o:ole="">
                                  <v:imagedata r:id="rId644" o:title=""/>
                                </v:shape>
                                <o:OLEObject Type="Embed" ProgID="Equation.3" ShapeID="_x0000_i1210" DrawAspect="Content" ObjectID="_0000000001" r:id="rId645"/>
                              </w:object>
                            </w:r>
                            <w:r>
                              <w:rPr>
                                <w:color w:val="000000"/>
                              </w:rPr>
                              <w:t>;</w:t>
                            </w:r>
                          </w:p>
                        </w:tc>
                        <w:tc>
                          <w:tcPr>
                            <w:tcW w:w="1002" w:type="dxa"/>
                            <w:vAlign w:val="center"/>
                            <w:hideMark/>
                          </w:tcPr>
                          <w:p>
                            <w:pPr>
                              <w:spacing w:line="276" w:lineRule="auto"/>
                              <w:ind w:left="851" w:hanging="851"/>
                              <w:jc w:val="right"/>
                              <w:rPr>
                                <w:rFonts w:eastAsia="Calibri"/>
                                <w:bCs/>
                                <w:color w:val="000000"/>
                                <w:szCs w:val="22"/>
                              </w:rPr>
                            </w:pPr>
                            <w:r>
                              <w:rPr>
                                <w:color w:val="000000"/>
                              </w:rPr>
                              <w:t>(2.158)</w:t>
                            </w:r>
                          </w:p>
                        </w:tc>
                      </w:tr>
                      <w:tr>
                        <w:tc>
                          <w:tcPr>
                            <w:tcW w:w="8387" w:type="dxa"/>
                            <w:hideMark/>
                          </w:tcPr>
                          <w:p>
                            <w:pPr>
                              <w:spacing w:line="276" w:lineRule="auto"/>
                              <w:ind w:left="851" w:hanging="851"/>
                              <w:jc w:val="center"/>
                              <w:rPr>
                                <w:rFonts w:eastAsia="Calibri"/>
                                <w:color w:val="000000"/>
                                <w:szCs w:val="22"/>
                              </w:rPr>
                            </w:pPr>
                            <w:r>
                              <w:rPr>
                                <w:rFonts w:eastAsia="Calibri"/>
                                <w:color w:val="000000"/>
                                <w:szCs w:val="22"/>
                              </w:rPr>
                              <w:object w:dxaOrig="2830" w:dyaOrig="330">
                                <v:shape id="_x0000_i1211" type="#_x0000_t75" style="width:142.4pt;height:16.2pt" o:ole="">
                                  <v:imagedata r:id="rId646" o:title=""/>
                                </v:shape>
                                <o:OLEObject Type="Embed" ProgID="Equation.3" ShapeID="_x0000_i1211" DrawAspect="Content" ObjectID="_0000000001" r:id="rId647"/>
                              </w:object>
                            </w:r>
                            <w:r>
                              <w:rPr>
                                <w:color w:val="000000"/>
                              </w:rPr>
                              <w:t>;</w:t>
                            </w:r>
                          </w:p>
                        </w:tc>
                        <w:tc>
                          <w:tcPr>
                            <w:tcW w:w="1183" w:type="dxa"/>
                            <w:gridSpan w:val="2"/>
                            <w:vAlign w:val="center"/>
                            <w:hideMark/>
                          </w:tcPr>
                          <w:p>
                            <w:pPr>
                              <w:spacing w:line="276" w:lineRule="auto"/>
                              <w:ind w:left="851" w:hanging="851"/>
                              <w:jc w:val="right"/>
                              <w:rPr>
                                <w:rFonts w:eastAsia="Calibri"/>
                                <w:bCs/>
                                <w:color w:val="000000"/>
                                <w:szCs w:val="22"/>
                              </w:rPr>
                            </w:pPr>
                            <w:r>
                              <w:rPr>
                                <w:color w:val="000000"/>
                              </w:rPr>
                              <w:t>(2.159)</w:t>
                            </w:r>
                          </w:p>
                        </w:tc>
                      </w:tr>
                    </w:tbl>
                    <w:p>
                      <w:pPr>
                        <w:tabs>
                          <w:tab w:val="left" w:pos="567"/>
                        </w:tabs>
                        <w:rPr>
                          <w:rFonts w:eastAsia="Calibri"/>
                          <w:bCs/>
                          <w:color w:val="000000"/>
                          <w:szCs w:val="22"/>
                        </w:rPr>
                      </w:pPr>
                      <w:r>
                        <w:rPr>
                          <w:bCs/>
                          <w:color w:val="000000"/>
                        </w:rPr>
                        <w:t>čia:</w:t>
                        <w:tab/>
                      </w:r>
                      <w:r>
                        <w:rPr>
                          <w:bCs/>
                          <w:i/>
                          <w:color w:val="000000"/>
                        </w:rPr>
                        <w:t>k</w:t>
                      </w:r>
                      <w:r>
                        <w:rPr>
                          <w:bCs/>
                          <w:i/>
                          <w:color w:val="000000"/>
                          <w:vertAlign w:val="subscript"/>
                        </w:rPr>
                        <w:t>ov,m</w:t>
                      </w:r>
                      <w:r>
                        <w:rPr>
                          <w:bCs/>
                          <w:color w:val="000000"/>
                        </w:rPr>
                        <w:t xml:space="preserve"> – koeficientas, kurio vertė atitinkamam metų mėnesiui </w:t>
                      </w:r>
                      <w:r>
                        <w:rPr>
                          <w:bCs/>
                          <w:i/>
                          <w:color w:val="000000"/>
                        </w:rPr>
                        <w:t>„m“</w:t>
                      </w:r>
                      <w:r>
                        <w:rPr>
                          <w:bCs/>
                          <w:color w:val="000000"/>
                        </w:rPr>
                        <w:t xml:space="preserve"> imama iš 2.26 lentelės;</w:t>
                      </w:r>
                    </w:p>
                    <w:p>
                      <w:pPr>
                        <w:ind w:firstLine="567"/>
                        <w:jc w:val="both"/>
                        <w:rPr>
                          <w:bCs/>
                          <w:color w:val="000000"/>
                        </w:rPr>
                      </w:pPr>
                      <w:r>
                        <w:rPr>
                          <w:bCs/>
                          <w:i/>
                          <w:color w:val="000000"/>
                        </w:rPr>
                        <w:t xml:space="preserve">α </w:t>
                      </w:r>
                      <w:r>
                        <w:rPr>
                          <w:bCs/>
                          <w:color w:val="000000"/>
                        </w:rPr>
                        <w:t xml:space="preserve">– kampas (°), kaip parodyta 2.10.–2.12. pav. Šį kampą turi nustatyti pastatų energinio naudingumo sertifikavimo ekspertas ne mažesniu kaip 5 ° tikslumu. </w:t>
                      </w:r>
                      <w:r>
                        <w:rPr>
                          <w:color w:val="000000"/>
                        </w:rPr>
                        <w:t xml:space="preserve">Jei pastato išorėje įrengtos judriosios žaliuzės, imama </w:t>
                      </w:r>
                      <w:r>
                        <w:rPr>
                          <w:i/>
                          <w:color w:val="000000"/>
                        </w:rPr>
                        <w:t>α</w:t>
                      </w:r>
                      <w:r>
                        <w:rPr>
                          <w:color w:val="000000"/>
                        </w:rPr>
                        <w:t xml:space="preserve"> = 50°. Jei kampas </w:t>
                      </w:r>
                      <w:r>
                        <w:rPr>
                          <w:bCs/>
                          <w:i/>
                          <w:color w:val="000000"/>
                        </w:rPr>
                        <w:t>α</w:t>
                      </w:r>
                      <w:r>
                        <w:rPr>
                          <w:bCs/>
                          <w:color w:val="000000"/>
                        </w:rPr>
                        <w:t xml:space="preserve"> (°) didesnis už nurodytą 2.27 lentelėje, skaičiavimams naudojamas 2.27 lentelėje nurodytas kampas.</w:t>
                      </w:r>
                    </w:p>
                    <w:p>
                      <w:pPr>
                        <w:ind w:firstLine="567"/>
                        <w:jc w:val="both"/>
                        <w:rPr>
                          <w:color w:val="000000"/>
                        </w:rPr>
                      </w:pPr>
                      <w:r>
                        <w:rPr>
                          <w:bCs/>
                          <w:i/>
                          <w:color w:val="000000"/>
                        </w:rPr>
                        <w:t>g</w:t>
                      </w:r>
                      <w:r>
                        <w:rPr>
                          <w:bCs/>
                          <w:i/>
                          <w:color w:val="000000"/>
                          <w:vertAlign w:val="subscript"/>
                        </w:rPr>
                        <w:t>ov</w:t>
                      </w:r>
                      <w:r>
                        <w:rPr>
                          <w:color w:val="000000"/>
                        </w:rPr>
                        <w:t xml:space="preserve"> – virš skaidrių atitvarų įrengtų apsaugos nuo Saulės spinduliuotės priemonių (stogelių) </w:t>
                      </w:r>
                      <w:r>
                        <w:rPr>
                          <w:bCs/>
                          <w:color w:val="000000"/>
                        </w:rPr>
                        <w:t>visuminės Saulės energijos praleisties koeficientas [3.28], [3.29]</w:t>
                      </w:r>
                      <w:r>
                        <w:rPr>
                          <w:color w:val="000000"/>
                        </w:rPr>
                        <w:t>. Kai šios priemonės nepermatomos arba priemonių nėra, koeficientų vertė imama 0. Jei šios priemonės permatomos – koeficientų vertė imama iš gamintojo deklaracijos, nesant duomenų imama 0,8;</w:t>
                      </w:r>
                    </w:p>
                    <w:p>
                      <w:pPr>
                        <w:ind w:firstLine="567"/>
                        <w:jc w:val="both"/>
                        <w:rPr>
                          <w:color w:val="000000"/>
                        </w:rPr>
                      </w:pPr>
                      <w:r>
                        <w:rPr>
                          <w:bCs/>
                          <w:i/>
                          <w:color w:val="000000"/>
                        </w:rPr>
                        <w:t>g</w:t>
                      </w:r>
                      <w:r>
                        <w:rPr>
                          <w:bCs/>
                          <w:i/>
                          <w:color w:val="000000"/>
                          <w:vertAlign w:val="subscript"/>
                        </w:rPr>
                        <w:t>jal</w:t>
                      </w:r>
                      <w:r>
                        <w:rPr>
                          <w:color w:val="000000"/>
                        </w:rPr>
                        <w:t xml:space="preserve"> – priešais skaidrias atitvaras įrengtų žaliuzių </w:t>
                      </w:r>
                      <w:r>
                        <w:rPr>
                          <w:bCs/>
                          <w:color w:val="000000"/>
                        </w:rPr>
                        <w:t>visuminės Saulės energijos praleisties koeficientas</w:t>
                      </w:r>
                      <w:r>
                        <w:rPr>
                          <w:color w:val="000000"/>
                        </w:rPr>
                        <w:t>. Kai šios priemonės nepermatomos arba priemonių nėra, koeficiento vertė imama 0. Jei šios priemonės permatomos, – koeficiento vertė imama iš gamintojo deklaracijos, nesant duomenų, imama 0,8.</w:t>
                      </w:r>
                    </w:p>
                    <w:p>
                      <w:pPr>
                        <w:ind w:left="720"/>
                        <w:rPr>
                          <w:bCs/>
                          <w:color w:val="000000"/>
                        </w:rPr>
                      </w:pPr>
                    </w:p>
                    <w:tbl>
                      <w:tblPr>
                        <w:tblW w:w="5002" w:type="pct"/>
                        <w:tblLook w:val="01E0" w:firstRow="1" w:lastRow="1" w:firstColumn="1" w:lastColumn="1" w:noHBand="0" w:noVBand="0"/>
                      </w:tblPr>
                      <w:tblGrid>
                        <w:gridCol w:w="3286"/>
                        <w:gridCol w:w="3287"/>
                        <w:gridCol w:w="3285"/>
                      </w:tblGrid>
                      <w:tr>
                        <w:tc>
                          <w:tcPr>
                            <w:tcW w:w="1667" w:type="pct"/>
                            <w:vAlign w:val="bottom"/>
                            <w:hideMark/>
                          </w:tcPr>
                          <w:p>
                            <w:pPr>
                              <w:spacing w:line="276" w:lineRule="auto"/>
                              <w:jc w:val="center"/>
                              <w:rPr>
                                <w:rFonts w:eastAsia="Calibri"/>
                                <w:color w:val="000000"/>
                                <w:szCs w:val="22"/>
                              </w:rPr>
                            </w:pPr>
                            <w:r>
                              <w:rPr>
                                <w:color w:val="000000"/>
                                <w:lang w:eastAsia="lt-LT"/>
                              </w:rPr>
                              <w:drawing>
                                <wp:inline distT="0" distB="0" distL="0" distR="0">
                                  <wp:extent cx="1238250" cy="1797050"/>
                                  <wp:effectExtent l="0" t="0" r="0" b="0"/>
                                  <wp:docPr id="32" name="Paveikslėlis 32" descr="Stogelis langu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descr="Stogelis langui"/>
                                          <pic:cNvPicPr>
                                            <a:picLocks noChangeAspect="1" noChangeArrowheads="1"/>
                                          </pic:cNvPicPr>
                                        </pic:nvPicPr>
                                        <pic:blipFill>
                                          <a:blip r:embed="rId648" cstate="print">
                                            <a:extLst>
                                              <a:ext uri="{28A0092B-C50C-407E-A947-70E740481C1C}">
                                                <a14:useLocalDpi xmlns:a14="http://schemas.microsoft.com/office/drawing/2010/main" val="0"/>
                                              </a:ext>
                                            </a:extLst>
                                          </a:blip>
                                          <a:srcRect/>
                                          <a:stretch>
                                            <a:fillRect/>
                                          </a:stretch>
                                        </pic:blipFill>
                                        <pic:spPr bwMode="auto">
                                          <a:xfrm>
                                            <a:off x="0" y="0"/>
                                            <a:ext cx="1238250" cy="1797050"/>
                                          </a:xfrm>
                                          <a:prstGeom prst="rect">
                                            <a:avLst/>
                                          </a:prstGeom>
                                          <a:noFill/>
                                          <a:ln>
                                            <a:noFill/>
                                          </a:ln>
                                        </pic:spPr>
                                      </pic:pic>
                                    </a:graphicData>
                                  </a:graphic>
                                </wp:inline>
                              </w:drawing>
                            </w:r>
                          </w:p>
                        </w:tc>
                        <w:tc>
                          <w:tcPr>
                            <w:tcW w:w="1667" w:type="pct"/>
                            <w:vAlign w:val="bottom"/>
                            <w:hideMark/>
                          </w:tcPr>
                          <w:p>
                            <w:pPr>
                              <w:spacing w:line="276" w:lineRule="auto"/>
                              <w:jc w:val="center"/>
                              <w:rPr>
                                <w:rFonts w:eastAsia="Calibri"/>
                                <w:color w:val="000000"/>
                                <w:szCs w:val="22"/>
                              </w:rPr>
                            </w:pPr>
                            <w:r>
                              <w:rPr>
                                <w:b/>
                                <w:color w:val="000000"/>
                                <w:lang w:eastAsia="lt-LT"/>
                              </w:rPr>
                              <w:drawing>
                                <wp:inline distT="0" distB="0" distL="0" distR="0">
                                  <wp:extent cx="1263650" cy="1797050"/>
                                  <wp:effectExtent l="0" t="0" r="0" b="0"/>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649" cstate="print">
                                            <a:extLst>
                                              <a:ext uri="{28A0092B-C50C-407E-A947-70E740481C1C}">
                                                <a14:useLocalDpi xmlns:a14="http://schemas.microsoft.com/office/drawing/2010/main" val="0"/>
                                              </a:ext>
                                            </a:extLst>
                                          </a:blip>
                                          <a:srcRect/>
                                          <a:stretch>
                                            <a:fillRect/>
                                          </a:stretch>
                                        </pic:blipFill>
                                        <pic:spPr bwMode="auto">
                                          <a:xfrm>
                                            <a:off x="0" y="0"/>
                                            <a:ext cx="1263650" cy="1797050"/>
                                          </a:xfrm>
                                          <a:prstGeom prst="rect">
                                            <a:avLst/>
                                          </a:prstGeom>
                                          <a:noFill/>
                                          <a:ln>
                                            <a:noFill/>
                                          </a:ln>
                                        </pic:spPr>
                                      </pic:pic>
                                    </a:graphicData>
                                  </a:graphic>
                                </wp:inline>
                              </w:drawing>
                            </w:r>
                          </w:p>
                        </w:tc>
                        <w:tc>
                          <w:tcPr>
                            <w:tcW w:w="1666" w:type="pct"/>
                            <w:vAlign w:val="bottom"/>
                            <w:hideMark/>
                          </w:tcPr>
                          <w:p>
                            <w:pPr>
                              <w:spacing w:line="276" w:lineRule="auto"/>
                              <w:jc w:val="center"/>
                              <w:rPr>
                                <w:rFonts w:eastAsia="Calibri"/>
                                <w:color w:val="000000"/>
                                <w:szCs w:val="22"/>
                              </w:rPr>
                            </w:pPr>
                            <w:r>
                              <w:rPr>
                                <w:color w:val="000000"/>
                                <w:lang w:eastAsia="lt-LT"/>
                              </w:rPr>
                              <w:drawing>
                                <wp:inline distT="0" distB="0" distL="0" distR="0">
                                  <wp:extent cx="1530350" cy="1797050"/>
                                  <wp:effectExtent l="0" t="0" r="0" b="0"/>
                                  <wp:docPr id="34" name="Paveikslėlis 34" descr="Stoglangio stoge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descr="Stoglangio stogelis"/>
                                          <pic:cNvPicPr>
                                            <a:picLocks noChangeAspect="1" noChangeArrowheads="1"/>
                                          </pic:cNvPicPr>
                                        </pic:nvPicPr>
                                        <pic:blipFill>
                                          <a:blip r:embed="rId650" cstate="print">
                                            <a:extLst>
                                              <a:ext uri="{28A0092B-C50C-407E-A947-70E740481C1C}">
                                                <a14:useLocalDpi xmlns:a14="http://schemas.microsoft.com/office/drawing/2010/main" val="0"/>
                                              </a:ext>
                                            </a:extLst>
                                          </a:blip>
                                          <a:srcRect/>
                                          <a:stretch>
                                            <a:fillRect/>
                                          </a:stretch>
                                        </pic:blipFill>
                                        <pic:spPr bwMode="auto">
                                          <a:xfrm>
                                            <a:off x="0" y="0"/>
                                            <a:ext cx="1530350" cy="1797050"/>
                                          </a:xfrm>
                                          <a:prstGeom prst="rect">
                                            <a:avLst/>
                                          </a:prstGeom>
                                          <a:noFill/>
                                          <a:ln>
                                            <a:noFill/>
                                          </a:ln>
                                        </pic:spPr>
                                      </pic:pic>
                                    </a:graphicData>
                                  </a:graphic>
                                </wp:inline>
                              </w:drawing>
                            </w:r>
                          </w:p>
                        </w:tc>
                      </w:tr>
                      <w:tr>
                        <w:tc>
                          <w:tcPr>
                            <w:tcW w:w="1667" w:type="pct"/>
                            <w:hideMark/>
                          </w:tcPr>
                          <w:p>
                            <w:pPr>
                              <w:spacing w:line="276" w:lineRule="auto"/>
                              <w:jc w:val="center"/>
                              <w:rPr>
                                <w:rFonts w:eastAsia="Calibri"/>
                                <w:color w:val="000000"/>
                                <w:szCs w:val="22"/>
                              </w:rPr>
                            </w:pPr>
                            <w:r>
                              <w:rPr>
                                <w:color w:val="000000"/>
                              </w:rPr>
                              <w:t>2.10. pav. Vertikalių s</w:t>
                            </w:r>
                            <w:r>
                              <w:rPr>
                                <w:bCs/>
                                <w:color w:val="000000"/>
                              </w:rPr>
                              <w:t xml:space="preserve">kaidrių atitvarų viršuje įrengtų apsaugos priemonių (stogelių) nuo Saulės spinduliuotės </w:t>
                            </w:r>
                            <w:r>
                              <w:rPr>
                                <w:color w:val="000000"/>
                              </w:rPr>
                              <w:t>schema</w:t>
                            </w:r>
                          </w:p>
                        </w:tc>
                        <w:tc>
                          <w:tcPr>
                            <w:tcW w:w="1667" w:type="pct"/>
                            <w:hideMark/>
                          </w:tcPr>
                          <w:p>
                            <w:pPr>
                              <w:spacing w:line="276" w:lineRule="auto"/>
                              <w:jc w:val="center"/>
                              <w:rPr>
                                <w:rFonts w:eastAsia="Calibri"/>
                                <w:color w:val="000000"/>
                                <w:szCs w:val="22"/>
                              </w:rPr>
                            </w:pPr>
                            <w:r>
                              <w:rPr>
                                <w:color w:val="000000"/>
                              </w:rPr>
                              <w:t>2.11. pav. Vertikalių s</w:t>
                            </w:r>
                            <w:r>
                              <w:rPr>
                                <w:bCs/>
                                <w:color w:val="000000"/>
                              </w:rPr>
                              <w:t xml:space="preserve">kaidrių atitvarų išorėje įrengtų žaliuzių nuo Saulės spinduliuotės </w:t>
                            </w:r>
                            <w:r>
                              <w:rPr>
                                <w:color w:val="000000"/>
                              </w:rPr>
                              <w:t>schema</w:t>
                            </w:r>
                          </w:p>
                        </w:tc>
                        <w:tc>
                          <w:tcPr>
                            <w:tcW w:w="1666" w:type="pct"/>
                            <w:hideMark/>
                          </w:tcPr>
                          <w:p>
                            <w:pPr>
                              <w:spacing w:line="276" w:lineRule="auto"/>
                              <w:jc w:val="center"/>
                              <w:rPr>
                                <w:rFonts w:eastAsia="Calibri"/>
                                <w:color w:val="000000"/>
                                <w:szCs w:val="22"/>
                              </w:rPr>
                            </w:pPr>
                            <w:r>
                              <w:rPr>
                                <w:color w:val="000000"/>
                              </w:rPr>
                              <w:t>2.12. pav. Pasvirusių s</w:t>
                            </w:r>
                            <w:r>
                              <w:rPr>
                                <w:bCs/>
                                <w:color w:val="000000"/>
                              </w:rPr>
                              <w:t xml:space="preserve">kaidrių atitvarų (stoglangių ir švieslangių) viršuje įrengtų apsaugos priemonių (stogelių) nuo Saulės spinduliuotės </w:t>
                            </w:r>
                            <w:r>
                              <w:rPr>
                                <w:color w:val="000000"/>
                              </w:rPr>
                              <w:t>schema. Jei α&lt;0, imama α=0.</w:t>
                            </w:r>
                          </w:p>
                        </w:tc>
                      </w:tr>
                    </w:tbl>
                    <w:p>
                      <w:pPr>
                        <w:ind w:firstLine="570"/>
                        <w:rPr>
                          <w:rFonts w:eastAsia="Calibri"/>
                          <w:color w:val="000000"/>
                          <w:szCs w:val="22"/>
                        </w:rPr>
                      </w:pPr>
                    </w:p>
                    <w:p>
                      <w:pPr>
                        <w:jc w:val="center"/>
                        <w:rPr>
                          <w:color w:val="000000"/>
                        </w:rPr>
                      </w:pPr>
                      <w:r>
                        <w:rPr>
                          <w:color w:val="000000"/>
                          <w:lang w:eastAsia="lt-LT"/>
                        </w:rPr>
                        <w:drawing>
                          <wp:inline distT="0" distB="0" distL="0" distR="0">
                            <wp:extent cx="1955800" cy="1041400"/>
                            <wp:effectExtent l="0" t="0" r="6350" b="6350"/>
                            <wp:docPr id="36" name="Paveikslėlis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51">
                                      <a:extLst>
                                        <a:ext uri="{28A0092B-C50C-407E-A947-70E740481C1C}">
                                          <a14:useLocalDpi xmlns:a14="http://schemas.microsoft.com/office/drawing/2010/main" val="0"/>
                                        </a:ext>
                                      </a:extLst>
                                    </a:blip>
                                    <a:srcRect/>
                                    <a:stretch>
                                      <a:fillRect/>
                                    </a:stretch>
                                  </pic:blipFill>
                                  <pic:spPr bwMode="auto">
                                    <a:xfrm>
                                      <a:off x="0" y="0"/>
                                      <a:ext cx="1955800" cy="1041400"/>
                                    </a:xfrm>
                                    <a:prstGeom prst="rect">
                                      <a:avLst/>
                                    </a:prstGeom>
                                    <a:noFill/>
                                    <a:ln>
                                      <a:noFill/>
                                    </a:ln>
                                  </pic:spPr>
                                </pic:pic>
                              </a:graphicData>
                            </a:graphic>
                          </wp:inline>
                        </w:drawing>
                      </w:r>
                    </w:p>
                    <w:p>
                      <w:pPr>
                        <w:ind w:firstLine="570"/>
                        <w:jc w:val="center"/>
                        <w:rPr>
                          <w:color w:val="000000"/>
                        </w:rPr>
                      </w:pPr>
                      <w:r>
                        <w:rPr>
                          <w:color w:val="000000"/>
                        </w:rPr>
                        <w:t xml:space="preserve">2.13. pav. </w:t>
                      </w:r>
                      <w:r>
                        <w:rPr>
                          <w:bCs/>
                          <w:color w:val="000000"/>
                        </w:rPr>
                        <w:t xml:space="preserve">Skaidrių atitvarų šonuose įrengtų apsaugos priemonių nuo Saulės spinduliuotės </w:t>
                      </w:r>
                      <w:r>
                        <w:rPr>
                          <w:color w:val="000000"/>
                        </w:rPr>
                        <w:t>schema</w:t>
                      </w:r>
                    </w:p>
                    <w:p>
                      <w:pPr>
                        <w:ind w:firstLine="570"/>
                        <w:rPr>
                          <w:color w:val="000000"/>
                        </w:rPr>
                      </w:pPr>
                    </w:p>
                  </w:sdtContent>
                </w:sdt>
                <w:sdt>
                  <w:sdtPr>
                    <w:alias w:val="2 pr. 46.2 pp."/>
                    <w:tag w:val="part_1d35fe5dc15542c48a28eae51a901886"/>
                    <w:lock w:val="sdtLocked"/>
                    <w:richText/>
                  </w:sdtPr>
                  <w:sdtContent>
                    <w:p>
                      <w:pPr>
                        <w:ind w:firstLine="540"/>
                        <w:jc w:val="both"/>
                        <w:rPr>
                          <w:bCs/>
                          <w:color w:val="000000"/>
                        </w:rPr>
                      </w:pPr>
                      <w:sdt>
                        <w:sdtPr>
                          <w:alias w:val="Numeris"/>
                          <w:tag w:val="nr_1d35fe5dc15542c48a28eae51a901886"/>
                          <w:lock w:val="sdtLocked"/>
                          <w:richText/>
                        </w:sdtPr>
                        <w:sdtContent>
                          <w:r>
                            <w:rPr>
                              <w:bCs/>
                              <w:color w:val="000000"/>
                            </w:rPr>
                            <w:t>46.2</w:t>
                          </w:r>
                        </w:sdtContent>
                      </w:sdt>
                      <w:r>
                        <w:rPr>
                          <w:bCs/>
                          <w:color w:val="000000"/>
                        </w:rPr>
                        <w:t xml:space="preserve">. Kiekvienai skaidriai atitvarai, kurios šonuose įrengtos apsaugos priemonės nuo Saulės spinduliuotės, </w:t>
                      </w:r>
                      <w:r>
                        <w:rPr>
                          <w:bCs/>
                          <w:i/>
                          <w:color w:val="000000"/>
                        </w:rPr>
                        <w:t xml:space="preserve"> F</w:t>
                      </w:r>
                      <w:r>
                        <w:rPr>
                          <w:bCs/>
                          <w:i/>
                          <w:color w:val="000000"/>
                          <w:vertAlign w:val="subscript"/>
                        </w:rPr>
                        <w:t>fin,m</w:t>
                      </w:r>
                      <w:r>
                        <w:rPr>
                          <w:bCs/>
                          <w:color w:val="000000"/>
                        </w:rPr>
                        <w:t xml:space="preserve"> vertė kiekvienam metų mėnesiui </w:t>
                      </w:r>
                      <w:r>
                        <w:rPr>
                          <w:bCs/>
                          <w:i/>
                          <w:color w:val="000000"/>
                        </w:rPr>
                        <w:t>„m“</w:t>
                      </w:r>
                      <w:r>
                        <w:rPr>
                          <w:bCs/>
                          <w:color w:val="000000"/>
                        </w:rPr>
                        <w:t xml:space="preserve"> nustatoma taip:</w:t>
                      </w:r>
                    </w:p>
                    <w:tbl>
                      <w:tblPr>
                        <w:tblW w:w="0" w:type="auto"/>
                        <w:tblLook w:val="01E0" w:firstRow="1" w:lastRow="1" w:firstColumn="1" w:lastColumn="1" w:noHBand="0" w:noVBand="0"/>
                      </w:tblPr>
                      <w:tblGrid>
                        <w:gridCol w:w="8568"/>
                        <w:gridCol w:w="1002"/>
                      </w:tblGrid>
                      <w:tr>
                        <w:tc>
                          <w:tcPr>
                            <w:tcW w:w="8568" w:type="dxa"/>
                            <w:hideMark/>
                          </w:tcPr>
                          <w:p>
                            <w:pPr>
                              <w:spacing w:line="276" w:lineRule="auto"/>
                              <w:ind w:left="851" w:hanging="851"/>
                              <w:jc w:val="center"/>
                              <w:rPr>
                                <w:rFonts w:eastAsia="Calibri"/>
                                <w:color w:val="000000"/>
                                <w:szCs w:val="22"/>
                              </w:rPr>
                            </w:pPr>
                            <w:r>
                              <w:rPr>
                                <w:color w:val="000000"/>
                              </w:rPr>
                              <w:object w:dxaOrig="5890" w:dyaOrig="330">
                                <v:shape id="_x0000_i1212" type="#_x0000_t75" style="width:295.3pt;height:16.2pt" o:ole="">
                                  <v:imagedata r:id="rId652" o:title=""/>
                                </v:shape>
                                <o:OLEObject Type="Embed" ProgID="Equation.3" ShapeID="_x0000_i1212" DrawAspect="Content" ObjectID="_0000000001" r:id="rId653"/>
                              </w:object>
                              <w:t>;</w:t>
                            </w:r>
                          </w:p>
                        </w:tc>
                        <w:tc>
                          <w:tcPr>
                            <w:tcW w:w="1002" w:type="dxa"/>
                            <w:vAlign w:val="center"/>
                            <w:hideMark/>
                          </w:tcPr>
                          <w:p>
                            <w:pPr>
                              <w:spacing w:line="276" w:lineRule="auto"/>
                              <w:ind w:left="851" w:hanging="851"/>
                              <w:jc w:val="right"/>
                              <w:rPr>
                                <w:rFonts w:eastAsia="Calibri"/>
                                <w:bCs/>
                                <w:color w:val="000000"/>
                                <w:szCs w:val="22"/>
                              </w:rPr>
                            </w:pPr>
                            <w:r>
                              <w:rPr>
                                <w:color w:val="000000"/>
                              </w:rPr>
                              <w:t>(2.160)</w:t>
                            </w:r>
                          </w:p>
                        </w:tc>
                      </w:tr>
                    </w:tbl>
                    <w:p>
                      <w:pPr>
                        <w:tabs>
                          <w:tab w:val="left" w:pos="567"/>
                        </w:tabs>
                        <w:jc w:val="both"/>
                        <w:rPr>
                          <w:rFonts w:eastAsia="Calibri"/>
                          <w:bCs/>
                          <w:color w:val="000000"/>
                          <w:szCs w:val="22"/>
                        </w:rPr>
                      </w:pPr>
                      <w:r>
                        <w:rPr>
                          <w:bCs/>
                          <w:color w:val="000000"/>
                        </w:rPr>
                        <w:t>čia:</w:t>
                        <w:tab/>
                      </w:r>
                      <w:r>
                        <w:rPr>
                          <w:bCs/>
                          <w:i/>
                          <w:color w:val="000000"/>
                        </w:rPr>
                        <w:t>β</w:t>
                      </w:r>
                      <w:r>
                        <w:rPr>
                          <w:bCs/>
                          <w:i/>
                          <w:color w:val="000000"/>
                          <w:vertAlign w:val="subscript"/>
                        </w:rPr>
                        <w:t>K</w:t>
                      </w:r>
                      <w:r>
                        <w:rPr>
                          <w:bCs/>
                          <w:i/>
                          <w:color w:val="000000"/>
                        </w:rPr>
                        <w:t xml:space="preserve"> </w:t>
                      </w:r>
                      <w:r>
                        <w:rPr>
                          <w:bCs/>
                          <w:color w:val="000000"/>
                        </w:rPr>
                        <w:t>– kairiajame skaidrios atitvaros šone esančios apsaugos nuo Saulės spinduliuotės priemonės kampas (°), kaip parodyta 2.13. pav. Šį kampą turi nustatyti pastatų energinio naudingumo sertifikavimo ekspertas ne mažesniu kaip 5 ° tikslumu;</w:t>
                      </w:r>
                    </w:p>
                    <w:p>
                      <w:pPr>
                        <w:ind w:firstLine="720"/>
                        <w:jc w:val="both"/>
                        <w:rPr>
                          <w:bCs/>
                          <w:color w:val="000000"/>
                        </w:rPr>
                      </w:pPr>
                      <w:r>
                        <w:rPr>
                          <w:bCs/>
                          <w:i/>
                          <w:color w:val="000000"/>
                        </w:rPr>
                        <w:t>β</w:t>
                      </w:r>
                      <w:r>
                        <w:rPr>
                          <w:bCs/>
                          <w:i/>
                          <w:color w:val="000000"/>
                          <w:vertAlign w:val="subscript"/>
                        </w:rPr>
                        <w:t>D</w:t>
                      </w:r>
                      <w:r>
                        <w:rPr>
                          <w:bCs/>
                          <w:i/>
                          <w:color w:val="000000"/>
                        </w:rPr>
                        <w:t xml:space="preserve"> </w:t>
                      </w:r>
                      <w:r>
                        <w:rPr>
                          <w:bCs/>
                          <w:color w:val="000000"/>
                        </w:rPr>
                        <w:t xml:space="preserve">– dešiniajame skaidrios atitvaros šone esančios apsaugos nuo Saulės spinduliuotės priemonės kampas (°), kaip parodyta 2.13. pav. Šį kampą turi nustatyti pastatų energinio naudingumo sertifikavimo ekspertas ne mažesniu kaip 5 ° tikslumu. </w:t>
                      </w:r>
                      <w:r>
                        <w:rPr>
                          <w:color w:val="000000"/>
                        </w:rPr>
                        <w:t xml:space="preserve">Jei </w:t>
                      </w:r>
                      <w:r>
                        <w:rPr>
                          <w:bCs/>
                          <w:color w:val="000000"/>
                        </w:rPr>
                        <w:t>kampas</w:t>
                      </w:r>
                      <w:r>
                        <w:rPr>
                          <w:color w:val="000000"/>
                        </w:rPr>
                        <w:t xml:space="preserve"> </w:t>
                      </w:r>
                      <w:r>
                        <w:rPr>
                          <w:bCs/>
                          <w:i/>
                          <w:color w:val="000000"/>
                        </w:rPr>
                        <w:t>β</w:t>
                      </w:r>
                      <w:r>
                        <w:rPr>
                          <w:bCs/>
                          <w:i/>
                          <w:color w:val="000000"/>
                          <w:vertAlign w:val="subscript"/>
                        </w:rPr>
                        <w:t>V</w:t>
                      </w:r>
                      <w:r>
                        <w:rPr>
                          <w:bCs/>
                          <w:color w:val="000000"/>
                        </w:rPr>
                        <w:t xml:space="preserve"> (°) didesnis už nurodytą 2.29 lentelėje, skaičiavimams naudojamas 2.29 lentelėje nurodytas kampas;</w:t>
                      </w:r>
                    </w:p>
                    <w:p>
                      <w:pPr>
                        <w:ind w:firstLine="720"/>
                        <w:jc w:val="both"/>
                        <w:rPr>
                          <w:color w:val="000000"/>
                        </w:rPr>
                      </w:pPr>
                      <w:r>
                        <w:rPr>
                          <w:bCs/>
                          <w:i/>
                          <w:color w:val="000000"/>
                        </w:rPr>
                        <w:t>g</w:t>
                      </w:r>
                      <w:r>
                        <w:rPr>
                          <w:bCs/>
                          <w:i/>
                          <w:color w:val="000000"/>
                          <w:vertAlign w:val="subscript"/>
                        </w:rPr>
                        <w:t xml:space="preserve">fin.K </w:t>
                      </w:r>
                      <w:r>
                        <w:rPr>
                          <w:color w:val="000000"/>
                        </w:rPr>
                        <w:t xml:space="preserve">– kairiajame skaidrios atitvaros šone įrengtos apsaugos nuo Saulės spinduliuotės priemonės </w:t>
                      </w:r>
                      <w:r>
                        <w:rPr>
                          <w:bCs/>
                          <w:color w:val="000000"/>
                        </w:rPr>
                        <w:t>visuminės Saulės energijos praleisties koeficientas [3.28], [3.29]</w:t>
                      </w:r>
                      <w:r>
                        <w:rPr>
                          <w:color w:val="000000"/>
                        </w:rPr>
                        <w:t>. Kai ši priemonė nepermatoma arba priemonės nėra, koeficiento vertė imama 0. Jei ši priemonė permatoma, – koeficiento vertė imama iš gamintojo deklaracijos, nesant duomenų, imama 0,8;</w:t>
                      </w:r>
                    </w:p>
                    <w:p>
                      <w:pPr>
                        <w:ind w:firstLine="720"/>
                        <w:jc w:val="both"/>
                        <w:rPr>
                          <w:color w:val="000000"/>
                        </w:rPr>
                      </w:pPr>
                      <w:r>
                        <w:rPr>
                          <w:bCs/>
                          <w:i/>
                          <w:color w:val="000000"/>
                        </w:rPr>
                        <w:t>g</w:t>
                      </w:r>
                      <w:r>
                        <w:rPr>
                          <w:bCs/>
                          <w:i/>
                          <w:color w:val="000000"/>
                          <w:vertAlign w:val="subscript"/>
                        </w:rPr>
                        <w:t xml:space="preserve">fin.D </w:t>
                      </w:r>
                      <w:r>
                        <w:rPr>
                          <w:color w:val="000000"/>
                        </w:rPr>
                        <w:t xml:space="preserve">– dešiniajame skaidrios atitvaros šone įrengtos apsaugos nuo Saulės spinduliuotės priemonės </w:t>
                      </w:r>
                      <w:r>
                        <w:rPr>
                          <w:bCs/>
                          <w:color w:val="000000"/>
                        </w:rPr>
                        <w:t>visuminės Saulės energijos praleisties koeficientas [3.28], [3.29]</w:t>
                      </w:r>
                      <w:r>
                        <w:rPr>
                          <w:color w:val="000000"/>
                        </w:rPr>
                        <w:t>. Kai ši priemonė nepermatoma arba priemonės nėra, koeficiento vertė imama 0. Jei ši priemonė permatoma, – koeficiento vertė imama iš gamintojo deklaracijos, nesant duomenų, imama 0,8.</w:t>
                      </w:r>
                    </w:p>
                    <w:p>
                      <w:pPr>
                        <w:ind w:left="720"/>
                        <w:rPr>
                          <w:color w:val="000000"/>
                        </w:rPr>
                      </w:pPr>
                    </w:p>
                  </w:sdtContent>
                </w:sdt>
              </w:sdtContent>
            </w:sdt>
            <w:sdt>
              <w:sdtPr>
                <w:alias w:val="2 pr. 47 p."/>
                <w:tag w:val="part_3ae914bb2d8b43ae933748c0b603b893"/>
                <w:lock w:val="sdtLocked"/>
                <w:richText/>
              </w:sdtPr>
              <w:sdtContent>
                <w:p>
                  <w:pPr>
                    <w:ind w:firstLine="567"/>
                    <w:rPr>
                      <w:color w:val="000000"/>
                    </w:rPr>
                  </w:pPr>
                  <w:sdt>
                    <w:sdtPr>
                      <w:alias w:val="Numeris"/>
                      <w:tag w:val="nr_3ae914bb2d8b43ae933748c0b603b893"/>
                      <w:lock w:val="sdtLocked"/>
                      <w:richText/>
                    </w:sdtPr>
                    <w:sdtContent>
                      <w:r>
                        <w:rPr>
                          <w:color w:val="000000"/>
                        </w:rPr>
                        <w:t>47</w:t>
                      </w:r>
                    </w:sdtContent>
                  </w:sdt>
                  <w:r>
                    <w:rPr>
                      <w:color w:val="000000"/>
                    </w:rPr>
                    <w:t xml:space="preserve">. Kiekvieno mėnesio </w:t>
                  </w:r>
                  <w:r>
                    <w:rPr>
                      <w:i/>
                      <w:color w:val="000000"/>
                    </w:rPr>
                    <w:t>„m“</w:t>
                  </w:r>
                  <w:r>
                    <w:rPr>
                      <w:b/>
                      <w:color w:val="000000"/>
                    </w:rPr>
                    <w:t xml:space="preserve"> </w:t>
                  </w:r>
                  <w:r>
                    <w:rPr>
                      <w:color w:val="000000"/>
                    </w:rPr>
                    <w:t xml:space="preserve">šilumos pritekėjimai į pastatą per nepermatomas atitvaras </w:t>
                  </w:r>
                  <w:r>
                    <w:rPr>
                      <w:i/>
                      <w:color w:val="000000"/>
                    </w:rPr>
                    <w:t>Q</w:t>
                  </w:r>
                  <w:r>
                    <w:rPr>
                      <w:i/>
                      <w:color w:val="000000"/>
                      <w:vertAlign w:val="subscript"/>
                    </w:rPr>
                    <w:t xml:space="preserve">e.op,m </w:t>
                  </w:r>
                  <w:r>
                    <w:rPr>
                      <w:color w:val="000000"/>
                    </w:rPr>
                    <w:t>(kWh/(m</w:t>
                  </w:r>
                  <w:r>
                    <w:rPr>
                      <w:color w:val="000000"/>
                      <w:vertAlign w:val="superscript"/>
                    </w:rPr>
                    <w:t>2</w:t>
                  </w:r>
                  <w:r>
                    <w:rPr>
                      <w:color w:val="000000"/>
                    </w:rPr>
                    <w:t>·mėn.)) apskaičiuojami taip:</w:t>
                  </w:r>
                </w:p>
                <w:tbl>
                  <w:tblPr>
                    <w:tblW w:w="5000" w:type="pct"/>
                    <w:tblLook w:val="01E0" w:firstRow="1" w:lastRow="1" w:firstColumn="1" w:lastColumn="1" w:noHBand="0" w:noVBand="0"/>
                  </w:tblPr>
                  <w:tblGrid>
                    <w:gridCol w:w="8821"/>
                    <w:gridCol w:w="1033"/>
                  </w:tblGrid>
                  <w:tr>
                    <w:tc>
                      <w:tcPr>
                        <w:tcW w:w="4476" w:type="pct"/>
                        <w:hideMark/>
                      </w:tcPr>
                      <w:p>
                        <w:pPr>
                          <w:spacing w:line="276" w:lineRule="auto"/>
                          <w:jc w:val="center"/>
                          <w:rPr>
                            <w:rFonts w:eastAsia="Calibri"/>
                            <w:color w:val="000000"/>
                            <w:szCs w:val="22"/>
                          </w:rPr>
                        </w:pPr>
                        <w:r>
                          <w:rPr>
                            <w:rFonts w:eastAsia="Calibri"/>
                            <w:color w:val="000000"/>
                            <w:szCs w:val="22"/>
                          </w:rPr>
                          <w:object w:dxaOrig="6860" w:dyaOrig="2860">
                            <v:shape id="_x0000_i1213" type="#_x0000_t75" style="width:342.2pt;height:143.2pt" o:ole="">
                              <v:imagedata r:id="rId654" o:title=""/>
                            </v:shape>
                            <o:OLEObject Type="Embed" ProgID="Equation.3" ShapeID="_x0000_i1213" DrawAspect="Content" ObjectID="_0000000001" r:id="rId655"/>
                          </w:object>
                        </w:r>
                      </w:p>
                    </w:tc>
                    <w:tc>
                      <w:tcPr>
                        <w:tcW w:w="524" w:type="pct"/>
                        <w:vAlign w:val="center"/>
                        <w:hideMark/>
                      </w:tcPr>
                      <w:p>
                        <w:pPr>
                          <w:spacing w:line="276" w:lineRule="auto"/>
                          <w:jc w:val="center"/>
                          <w:rPr>
                            <w:rFonts w:eastAsia="Calibri"/>
                            <w:color w:val="000000"/>
                            <w:szCs w:val="22"/>
                          </w:rPr>
                        </w:pPr>
                        <w:r>
                          <w:rPr>
                            <w:color w:val="000000"/>
                          </w:rPr>
                          <w:t>(2.161)</w:t>
                        </w:r>
                      </w:p>
                    </w:tc>
                  </w:tr>
                </w:tbl>
                <w:p>
                  <w:pPr>
                    <w:ind w:left="720" w:hanging="720"/>
                    <w:rPr>
                      <w:rFonts w:eastAsia="Calibri"/>
                      <w:color w:val="000000"/>
                      <w:szCs w:val="22"/>
                    </w:rPr>
                  </w:pPr>
                </w:p>
                <w:p>
                  <w:pPr>
                    <w:tabs>
                      <w:tab w:val="left" w:pos="567"/>
                    </w:tabs>
                    <w:jc w:val="both"/>
                    <w:rPr>
                      <w:color w:val="000000"/>
                    </w:rPr>
                  </w:pPr>
                  <w:r>
                    <w:rPr>
                      <w:color w:val="000000"/>
                    </w:rPr>
                    <w:t>čia:</w:t>
                    <w:tab/>
                    <w:t xml:space="preserve">jei pagal Reglamento 14 priedo (14.1) formulę atitvaroms tarp šildomų patalpų ir apšiltintos nešildomos patalpos atliekami koeficiento </w:t>
                  </w:r>
                  <w:r>
                    <w:rPr>
                      <w:i/>
                      <w:color w:val="000000"/>
                    </w:rPr>
                    <w:t>k</w:t>
                  </w:r>
                  <w:r>
                    <w:rPr>
                      <w:i/>
                      <w:color w:val="000000"/>
                      <w:vertAlign w:val="subscript"/>
                    </w:rPr>
                    <w:t>m</w:t>
                  </w:r>
                  <w:r>
                    <w:rPr>
                      <w:color w:val="000000"/>
                    </w:rPr>
                    <w:t xml:space="preserve"> skaičiavimai, šilumos pritekėjimai per šias atitvaras pagal (2.161) formulę neskaičiuojami;</w:t>
                  </w:r>
                </w:p>
                <w:p>
                  <w:pPr>
                    <w:ind w:firstLine="567"/>
                    <w:jc w:val="both"/>
                    <w:rPr>
                      <w:bCs/>
                      <w:color w:val="000000"/>
                    </w:rPr>
                  </w:pPr>
                  <w:r>
                    <w:rPr>
                      <w:bCs/>
                      <w:i/>
                      <w:color w:val="000000"/>
                    </w:rPr>
                    <w:t>F</w:t>
                  </w:r>
                  <w:r>
                    <w:rPr>
                      <w:bCs/>
                      <w:i/>
                      <w:color w:val="000000"/>
                      <w:vertAlign w:val="subscript"/>
                    </w:rPr>
                    <w:t>sh.e.op</w:t>
                  </w:r>
                  <w:r>
                    <w:rPr>
                      <w:bCs/>
                      <w:i/>
                      <w:color w:val="000000"/>
                    </w:rPr>
                    <w:t xml:space="preserve"> </w:t>
                  </w:r>
                  <w:r>
                    <w:rPr>
                      <w:bCs/>
                      <w:color w:val="000000"/>
                    </w:rPr>
                    <w:t xml:space="preserve">– koeficientas, įvertinantis pastato išorėje esančias kliūtis Saulės spinduliuotei į nepermatomas atitvaras (šalia esantys pastatai, medžiai, pastato konfigūracija ir pan.). Imama </w:t>
                  </w:r>
                  <w:r>
                    <w:rPr>
                      <w:bCs/>
                      <w:i/>
                      <w:color w:val="000000"/>
                    </w:rPr>
                    <w:t>F</w:t>
                  </w:r>
                  <w:r>
                    <w:rPr>
                      <w:bCs/>
                      <w:i/>
                      <w:color w:val="000000"/>
                      <w:vertAlign w:val="subscript"/>
                    </w:rPr>
                    <w:t>sh.e.op</w:t>
                  </w:r>
                  <w:r>
                    <w:rPr>
                      <w:bCs/>
                      <w:i/>
                      <w:color w:val="000000"/>
                    </w:rPr>
                    <w:t xml:space="preserve"> </w:t>
                  </w:r>
                  <w:r>
                    <w:rPr>
                      <w:bCs/>
                      <w:color w:val="000000"/>
                    </w:rPr>
                    <w:t>=0,9;</w:t>
                  </w:r>
                </w:p>
                <w:p>
                  <w:pPr>
                    <w:ind w:firstLine="567"/>
                    <w:jc w:val="both"/>
                    <w:rPr>
                      <w:bCs/>
                      <w:color w:val="000000"/>
                    </w:rPr>
                  </w:pPr>
                  <w:r>
                    <w:rPr>
                      <w:bCs/>
                      <w:i/>
                      <w:color w:val="000000"/>
                    </w:rPr>
                    <w:t>α</w:t>
                  </w:r>
                  <w:r>
                    <w:rPr>
                      <w:bCs/>
                      <w:i/>
                      <w:color w:val="000000"/>
                      <w:vertAlign w:val="subscript"/>
                    </w:rPr>
                    <w:t>sol</w:t>
                  </w:r>
                  <w:r>
                    <w:rPr>
                      <w:bCs/>
                      <w:color w:val="000000"/>
                    </w:rPr>
                    <w:t xml:space="preserve"> – paviršių Saulės spinduliuotės sugerties koeficientas. Imama </w:t>
                  </w:r>
                  <w:r>
                    <w:rPr>
                      <w:bCs/>
                      <w:i/>
                      <w:color w:val="000000"/>
                    </w:rPr>
                    <w:t>α</w:t>
                  </w:r>
                  <w:r>
                    <w:rPr>
                      <w:bCs/>
                      <w:i/>
                      <w:color w:val="000000"/>
                      <w:vertAlign w:val="subscript"/>
                    </w:rPr>
                    <w:t>sol</w:t>
                  </w:r>
                  <w:r>
                    <w:rPr>
                      <w:bCs/>
                      <w:i/>
                      <w:color w:val="000000"/>
                    </w:rPr>
                    <w:t xml:space="preserve"> </w:t>
                  </w:r>
                  <w:r>
                    <w:rPr>
                      <w:bCs/>
                      <w:color w:val="000000"/>
                    </w:rPr>
                    <w:t>=0,65;</w:t>
                  </w:r>
                </w:p>
                <w:p>
                  <w:pPr>
                    <w:ind w:firstLine="567"/>
                    <w:jc w:val="both"/>
                    <w:rPr>
                      <w:b/>
                      <w:color w:val="000000"/>
                    </w:rPr>
                  </w:pPr>
                  <w:r>
                    <w:rPr>
                      <w:bCs/>
                      <w:i/>
                      <w:color w:val="000000"/>
                    </w:rPr>
                    <w:t>F</w:t>
                  </w:r>
                  <w:r>
                    <w:rPr>
                      <w:bCs/>
                      <w:i/>
                      <w:color w:val="000000"/>
                      <w:vertAlign w:val="subscript"/>
                    </w:rPr>
                    <w:t>e.w,x</w:t>
                  </w:r>
                  <w:r>
                    <w:rPr>
                      <w:bCs/>
                      <w:i/>
                      <w:color w:val="000000"/>
                    </w:rPr>
                    <w:t>, F</w:t>
                  </w:r>
                  <w:r>
                    <w:rPr>
                      <w:bCs/>
                      <w:i/>
                      <w:color w:val="000000"/>
                      <w:vertAlign w:val="subscript"/>
                    </w:rPr>
                    <w:t>e.r,x</w:t>
                  </w:r>
                  <w:r>
                    <w:rPr>
                      <w:bCs/>
                      <w:i/>
                      <w:color w:val="000000"/>
                    </w:rPr>
                    <w:t>, F</w:t>
                  </w:r>
                  <w:r>
                    <w:rPr>
                      <w:bCs/>
                      <w:i/>
                      <w:color w:val="000000"/>
                      <w:vertAlign w:val="subscript"/>
                    </w:rPr>
                    <w:t>e.d,x</w:t>
                  </w:r>
                  <w:r>
                    <w:rPr>
                      <w:bCs/>
                      <w:i/>
                      <w:color w:val="000000"/>
                    </w:rPr>
                    <w:t xml:space="preserve"> </w:t>
                  </w:r>
                  <w:r>
                    <w:rPr>
                      <w:bCs/>
                      <w:color w:val="000000"/>
                    </w:rPr>
                    <w:t xml:space="preserve">– koeficientas, įvertinantis kliūtis Saulės spinduliuotei per </w:t>
                  </w:r>
                  <w:r>
                    <w:rPr>
                      <w:color w:val="000000"/>
                    </w:rPr>
                    <w:t>atitinkamą „</w:t>
                  </w:r>
                  <w:r>
                    <w:rPr>
                      <w:i/>
                      <w:color w:val="000000"/>
                    </w:rPr>
                    <w:t>x</w:t>
                  </w:r>
                  <w:r>
                    <w:rPr>
                      <w:color w:val="000000"/>
                    </w:rPr>
                    <w:t xml:space="preserve">“ sieną, stogą ar išorines įėjimo duris </w:t>
                  </w:r>
                  <w:r>
                    <w:rPr>
                      <w:bCs/>
                      <w:color w:val="000000"/>
                    </w:rPr>
                    <w:t>dėl tarp šių atitvarų ir išorės esančių kitų pastato elementų.</w:t>
                  </w:r>
                  <w:r>
                    <w:rPr>
                      <w:b/>
                      <w:color w:val="000000"/>
                    </w:rPr>
                    <w:t xml:space="preserve"> </w:t>
                  </w:r>
                  <w:r>
                    <w:rPr>
                      <w:bCs/>
                      <w:i/>
                      <w:color w:val="000000"/>
                    </w:rPr>
                    <w:t>F</w:t>
                  </w:r>
                  <w:r>
                    <w:rPr>
                      <w:bCs/>
                      <w:i/>
                      <w:color w:val="000000"/>
                      <w:vertAlign w:val="subscript"/>
                    </w:rPr>
                    <w:t>e.w,x</w:t>
                  </w:r>
                  <w:r>
                    <w:rPr>
                      <w:color w:val="000000"/>
                    </w:rPr>
                    <w:t xml:space="preserve"> imamas iš 2.30 lentelės; </w:t>
                  </w:r>
                  <w:r>
                    <w:rPr>
                      <w:bCs/>
                      <w:i/>
                      <w:color w:val="000000"/>
                    </w:rPr>
                    <w:t>F</w:t>
                  </w:r>
                  <w:r>
                    <w:rPr>
                      <w:bCs/>
                      <w:i/>
                      <w:color w:val="000000"/>
                      <w:vertAlign w:val="subscript"/>
                    </w:rPr>
                    <w:t>e.r,x</w:t>
                  </w:r>
                  <w:r>
                    <w:rPr>
                      <w:color w:val="000000"/>
                    </w:rPr>
                    <w:t xml:space="preserve"> imamas iš 2.31 lentelės; </w:t>
                  </w:r>
                  <w:r>
                    <w:rPr>
                      <w:bCs/>
                      <w:i/>
                      <w:color w:val="000000"/>
                    </w:rPr>
                    <w:t>F</w:t>
                  </w:r>
                  <w:r>
                    <w:rPr>
                      <w:bCs/>
                      <w:i/>
                      <w:color w:val="000000"/>
                      <w:vertAlign w:val="subscript"/>
                    </w:rPr>
                    <w:t>e.d,x</w:t>
                  </w:r>
                  <w:r>
                    <w:rPr>
                      <w:bCs/>
                      <w:i/>
                      <w:color w:val="000000"/>
                    </w:rPr>
                    <w:t xml:space="preserve"> </w:t>
                  </w:r>
                  <w:r>
                    <w:rPr>
                      <w:color w:val="000000"/>
                    </w:rPr>
                    <w:t xml:space="preserve"> imamas iš 2.32 lentelės;</w:t>
                  </w:r>
                </w:p>
                <w:p>
                  <w:pPr>
                    <w:ind w:firstLine="567"/>
                    <w:jc w:val="both"/>
                    <w:rPr>
                      <w:color w:val="000000"/>
                    </w:rPr>
                  </w:pPr>
                  <w:r>
                    <w:rPr>
                      <w:bCs/>
                      <w:i/>
                      <w:color w:val="000000"/>
                    </w:rPr>
                    <w:t>I</w:t>
                  </w:r>
                  <w:r>
                    <w:rPr>
                      <w:bCs/>
                      <w:i/>
                      <w:color w:val="000000"/>
                      <w:vertAlign w:val="subscript"/>
                    </w:rPr>
                    <w:t>sol.w,m,x</w:t>
                  </w:r>
                  <w:r>
                    <w:rPr>
                      <w:color w:val="000000"/>
                    </w:rPr>
                    <w:t xml:space="preserve">, </w:t>
                  </w:r>
                  <w:r>
                    <w:rPr>
                      <w:bCs/>
                      <w:i/>
                      <w:color w:val="000000"/>
                    </w:rPr>
                    <w:t>I</w:t>
                  </w:r>
                  <w:r>
                    <w:rPr>
                      <w:bCs/>
                      <w:i/>
                      <w:color w:val="000000"/>
                      <w:vertAlign w:val="subscript"/>
                    </w:rPr>
                    <w:t>sol.r,m,x</w:t>
                  </w:r>
                  <w:r>
                    <w:rPr>
                      <w:bCs/>
                      <w:i/>
                      <w:color w:val="000000"/>
                    </w:rPr>
                    <w:t>,</w:t>
                  </w:r>
                  <w:r>
                    <w:rPr>
                      <w:color w:val="000000"/>
                    </w:rPr>
                    <w:t xml:space="preserve"> </w:t>
                  </w:r>
                  <w:r>
                    <w:rPr>
                      <w:bCs/>
                      <w:i/>
                      <w:color w:val="000000"/>
                    </w:rPr>
                    <w:t>I</w:t>
                  </w:r>
                  <w:r>
                    <w:rPr>
                      <w:bCs/>
                      <w:i/>
                      <w:color w:val="000000"/>
                      <w:vertAlign w:val="subscript"/>
                    </w:rPr>
                    <w:t>sol.d,m,x</w:t>
                  </w:r>
                  <w:r>
                    <w:rPr>
                      <w:color w:val="000000"/>
                    </w:rPr>
                    <w:t xml:space="preserve"> – vidutinis kiekvieno metų mėnesio </w:t>
                  </w:r>
                  <w:r>
                    <w:rPr>
                      <w:i/>
                      <w:color w:val="000000"/>
                    </w:rPr>
                    <w:t>„m“</w:t>
                  </w:r>
                  <w:r>
                    <w:rPr>
                      <w:color w:val="000000"/>
                    </w:rPr>
                    <w:t xml:space="preserve"> Saulės bendrosios spinduliuotės srauto tankis į atitinkamos „</w:t>
                  </w:r>
                  <w:r>
                    <w:rPr>
                      <w:i/>
                      <w:color w:val="000000"/>
                    </w:rPr>
                    <w:t>x</w:t>
                  </w:r>
                  <w:r>
                    <w:rPr>
                      <w:color w:val="000000"/>
                    </w:rPr>
                    <w:t xml:space="preserve">“ sienos, stogo ar išorinių įėjimo durų paviršių (W/m²), imamas iš 2.33–2.35 lentelių; </w:t>
                  </w:r>
                </w:p>
                <w:p>
                  <w:pPr>
                    <w:ind w:firstLine="567"/>
                    <w:jc w:val="both"/>
                    <w:rPr>
                      <w:color w:val="000000"/>
                    </w:rPr>
                  </w:pPr>
                  <w:r>
                    <w:rPr>
                      <w:bCs/>
                      <w:i/>
                      <w:color w:val="000000"/>
                    </w:rPr>
                    <w:t>F</w:t>
                  </w:r>
                  <w:r>
                    <w:rPr>
                      <w:bCs/>
                      <w:i/>
                      <w:color w:val="000000"/>
                      <w:vertAlign w:val="subscript"/>
                    </w:rPr>
                    <w:t>r.w,x</w:t>
                  </w:r>
                  <w:r>
                    <w:rPr>
                      <w:color w:val="000000"/>
                    </w:rPr>
                    <w:t xml:space="preserve"> , </w:t>
                  </w:r>
                  <w:r>
                    <w:rPr>
                      <w:bCs/>
                      <w:i/>
                      <w:color w:val="000000"/>
                    </w:rPr>
                    <w:t>F</w:t>
                  </w:r>
                  <w:r>
                    <w:rPr>
                      <w:bCs/>
                      <w:i/>
                      <w:color w:val="000000"/>
                      <w:vertAlign w:val="subscript"/>
                    </w:rPr>
                    <w:t>r.r,x</w:t>
                  </w:r>
                  <w:r>
                    <w:rPr>
                      <w:bCs/>
                      <w:i/>
                      <w:color w:val="000000"/>
                    </w:rPr>
                    <w:t>,</w:t>
                  </w:r>
                  <w:r>
                    <w:rPr>
                      <w:color w:val="000000"/>
                    </w:rPr>
                    <w:t xml:space="preserve"> </w:t>
                  </w:r>
                  <w:r>
                    <w:rPr>
                      <w:bCs/>
                      <w:i/>
                      <w:color w:val="000000"/>
                    </w:rPr>
                    <w:t>F</w:t>
                  </w:r>
                  <w:r>
                    <w:rPr>
                      <w:bCs/>
                      <w:i/>
                      <w:color w:val="000000"/>
                      <w:vertAlign w:val="subscript"/>
                    </w:rPr>
                    <w:t>r.d,x</w:t>
                  </w:r>
                  <w:r>
                    <w:rPr>
                      <w:bCs/>
                      <w:i/>
                      <w:color w:val="000000"/>
                    </w:rPr>
                    <w:t xml:space="preserve"> </w:t>
                  </w:r>
                  <w:r>
                    <w:rPr>
                      <w:bCs/>
                      <w:color w:val="000000"/>
                    </w:rPr>
                    <w:t xml:space="preserve">– koeficientai, įvertinantys kliūtis spinduliniams mainams tarp dangaus skliauto ir </w:t>
                  </w:r>
                  <w:r>
                    <w:rPr>
                      <w:color w:val="000000"/>
                    </w:rPr>
                    <w:t>atitinkamo „</w:t>
                  </w:r>
                  <w:r>
                    <w:rPr>
                      <w:i/>
                      <w:color w:val="000000"/>
                    </w:rPr>
                    <w:t>x</w:t>
                  </w:r>
                  <w:r>
                    <w:rPr>
                      <w:color w:val="000000"/>
                    </w:rPr>
                    <w:t xml:space="preserve">“ sienos, stogo ar išorinių iėjimo durų paviršių. </w:t>
                  </w:r>
                  <w:r>
                    <w:rPr>
                      <w:bCs/>
                      <w:i/>
                      <w:color w:val="000000"/>
                    </w:rPr>
                    <w:t>F</w:t>
                  </w:r>
                  <w:r>
                    <w:rPr>
                      <w:bCs/>
                      <w:i/>
                      <w:color w:val="000000"/>
                      <w:vertAlign w:val="subscript"/>
                    </w:rPr>
                    <w:t>r.w,x</w:t>
                  </w:r>
                  <w:r>
                    <w:rPr>
                      <w:color w:val="000000"/>
                    </w:rPr>
                    <w:t xml:space="preserve"> imamas iš 2.30 lentelės; </w:t>
                  </w:r>
                  <w:r>
                    <w:rPr>
                      <w:bCs/>
                      <w:i/>
                      <w:color w:val="000000"/>
                    </w:rPr>
                    <w:t>F</w:t>
                  </w:r>
                  <w:r>
                    <w:rPr>
                      <w:bCs/>
                      <w:i/>
                      <w:color w:val="000000"/>
                      <w:vertAlign w:val="subscript"/>
                    </w:rPr>
                    <w:t>r.r,x</w:t>
                  </w:r>
                  <w:r>
                    <w:rPr>
                      <w:color w:val="000000"/>
                    </w:rPr>
                    <w:t xml:space="preserve"> imamas iš 2.31 lentelės; </w:t>
                  </w:r>
                  <w:r>
                    <w:rPr>
                      <w:bCs/>
                      <w:i/>
                      <w:color w:val="000000"/>
                    </w:rPr>
                    <w:t>F</w:t>
                  </w:r>
                  <w:r>
                    <w:rPr>
                      <w:bCs/>
                      <w:i/>
                      <w:color w:val="000000"/>
                      <w:vertAlign w:val="subscript"/>
                    </w:rPr>
                    <w:t>r.d,x</w:t>
                  </w:r>
                  <w:r>
                    <w:rPr>
                      <w:bCs/>
                      <w:i/>
                      <w:color w:val="000000"/>
                    </w:rPr>
                    <w:t xml:space="preserve"> </w:t>
                  </w:r>
                  <w:r>
                    <w:rPr>
                      <w:color w:val="000000"/>
                    </w:rPr>
                    <w:t>imamas iš 2.32 lentelės;</w:t>
                  </w:r>
                </w:p>
                <w:p>
                  <w:pPr>
                    <w:ind w:firstLine="567"/>
                    <w:jc w:val="both"/>
                    <w:rPr>
                      <w:color w:val="000000"/>
                    </w:rPr>
                  </w:pPr>
                  <w:r>
                    <w:rPr>
                      <w:bCs/>
                      <w:i/>
                      <w:color w:val="000000"/>
                    </w:rPr>
                    <w:t>A</w:t>
                  </w:r>
                  <w:r>
                    <w:rPr>
                      <w:bCs/>
                      <w:i/>
                      <w:color w:val="000000"/>
                      <w:vertAlign w:val="subscript"/>
                    </w:rPr>
                    <w:t>w,x</w:t>
                  </w:r>
                  <w:r>
                    <w:rPr>
                      <w:color w:val="000000"/>
                    </w:rPr>
                    <w:t xml:space="preserve">, </w:t>
                  </w:r>
                  <w:r>
                    <w:rPr>
                      <w:bCs/>
                      <w:i/>
                      <w:color w:val="000000"/>
                    </w:rPr>
                    <w:t>A</w:t>
                  </w:r>
                  <w:r>
                    <w:rPr>
                      <w:bCs/>
                      <w:i/>
                      <w:color w:val="000000"/>
                      <w:vertAlign w:val="subscript"/>
                    </w:rPr>
                    <w:t>r,x</w:t>
                  </w:r>
                  <w:r>
                    <w:rPr>
                      <w:bCs/>
                      <w:i/>
                      <w:color w:val="000000"/>
                    </w:rPr>
                    <w:t>,</w:t>
                  </w:r>
                  <w:r>
                    <w:rPr>
                      <w:color w:val="000000"/>
                    </w:rPr>
                    <w:t xml:space="preserve"> </w:t>
                  </w:r>
                  <w:r>
                    <w:rPr>
                      <w:bCs/>
                      <w:i/>
                      <w:color w:val="000000"/>
                    </w:rPr>
                    <w:t>A</w:t>
                  </w:r>
                  <w:r>
                    <w:rPr>
                      <w:bCs/>
                      <w:i/>
                      <w:color w:val="000000"/>
                      <w:vertAlign w:val="subscript"/>
                    </w:rPr>
                    <w:t>d,x</w:t>
                  </w:r>
                  <w:r>
                    <w:rPr>
                      <w:color w:val="000000"/>
                    </w:rPr>
                    <w:t xml:space="preserve"> – atitinkamos „</w:t>
                  </w:r>
                  <w:r>
                    <w:rPr>
                      <w:i/>
                      <w:color w:val="000000"/>
                    </w:rPr>
                    <w:t>x</w:t>
                  </w:r>
                  <w:r>
                    <w:rPr>
                      <w:color w:val="000000"/>
                    </w:rPr>
                    <w:t>“ sienos, stogo ir išorinių durų, vartų plotas (m</w:t>
                  </w:r>
                  <w:r>
                    <w:rPr>
                      <w:color w:val="000000"/>
                      <w:vertAlign w:val="superscript"/>
                    </w:rPr>
                    <w:t>2</w:t>
                  </w:r>
                  <w:r>
                    <w:rPr>
                      <w:color w:val="000000"/>
                    </w:rPr>
                    <w:t>). Nustatomas pagal Reglamento 7 priedo reikalavimus.</w:t>
                  </w:r>
                </w:p>
                <w:p>
                  <w:pPr>
                    <w:ind w:left="720"/>
                    <w:rPr>
                      <w:bCs/>
                      <w:color w:val="000000"/>
                    </w:rPr>
                  </w:pPr>
                  <w:r>
                    <w:rPr>
                      <w:bCs/>
                      <w:color w:val="000000"/>
                    </w:rPr>
                    <w:t>Kiti paaiškinimai pateikti prie (2.156) formulės.</w:t>
                  </w:r>
                </w:p>
                <w:p>
                  <w:pPr>
                    <w:ind w:left="720"/>
                    <w:rPr>
                      <w:bCs/>
                      <w:color w:val="000000"/>
                    </w:rPr>
                  </w:pPr>
                </w:p>
                <w:sdt>
                  <w:sdtPr>
                    <w:alias w:val="2 pr. 47.1 pp."/>
                    <w:tag w:val="part_3c9832cab0a34d48921ef4b24bfdf3ef"/>
                    <w:lock w:val="sdtLocked"/>
                    <w:richText/>
                  </w:sdtPr>
                  <w:sdtContent>
                    <w:p>
                      <w:pPr>
                        <w:ind w:firstLine="600"/>
                        <w:jc w:val="both"/>
                        <w:rPr>
                          <w:color w:val="000000"/>
                        </w:rPr>
                      </w:pPr>
                      <w:sdt>
                        <w:sdtPr>
                          <w:alias w:val="Numeris"/>
                          <w:tag w:val="nr_3c9832cab0a34d48921ef4b24bfdf3ef"/>
                          <w:lock w:val="sdtLocked"/>
                          <w:richText/>
                        </w:sdtPr>
                        <w:sdtContent>
                          <w:r>
                            <w:rPr>
                              <w:color w:val="000000"/>
                            </w:rPr>
                            <w:t>47.1</w:t>
                          </w:r>
                        </w:sdtContent>
                      </w:sdt>
                      <w:r>
                        <w:rPr>
                          <w:color w:val="000000"/>
                        </w:rPr>
                        <w:t xml:space="preserve">. Kiekvieno mėnesio </w:t>
                      </w:r>
                      <w:r>
                        <w:rPr>
                          <w:i/>
                          <w:color w:val="000000"/>
                        </w:rPr>
                        <w:t>„m“</w:t>
                      </w:r>
                      <w:r>
                        <w:rPr>
                          <w:b/>
                          <w:color w:val="000000"/>
                        </w:rPr>
                        <w:t xml:space="preserve"> </w:t>
                      </w:r>
                      <w:r>
                        <w:rPr>
                          <w:color w:val="000000"/>
                        </w:rPr>
                        <w:t>norminiai</w:t>
                      </w:r>
                      <w:r>
                        <w:rPr>
                          <w:b/>
                          <w:color w:val="000000"/>
                        </w:rPr>
                        <w:t xml:space="preserve"> </w:t>
                      </w:r>
                      <w:r>
                        <w:rPr>
                          <w:i/>
                          <w:color w:val="000000"/>
                        </w:rPr>
                        <w:t>Q</w:t>
                      </w:r>
                      <w:r>
                        <w:rPr>
                          <w:i/>
                          <w:color w:val="000000"/>
                          <w:vertAlign w:val="subscript"/>
                        </w:rPr>
                        <w:t xml:space="preserve">N.e.,m </w:t>
                      </w:r>
                      <w:r>
                        <w:rPr>
                          <w:color w:val="000000"/>
                        </w:rPr>
                        <w:t>(kWh/(m</w:t>
                      </w:r>
                      <w:r>
                        <w:rPr>
                          <w:color w:val="000000"/>
                          <w:vertAlign w:val="superscript"/>
                        </w:rPr>
                        <w:t>2</w:t>
                      </w:r>
                      <w:r>
                        <w:rPr>
                          <w:color w:val="000000"/>
                        </w:rPr>
                        <w:t>·mėn.)) ir atskaitiniai</w:t>
                      </w:r>
                      <w:r>
                        <w:rPr>
                          <w:b/>
                          <w:color w:val="000000"/>
                        </w:rPr>
                        <w:t xml:space="preserve"> </w:t>
                      </w:r>
                      <w:r>
                        <w:rPr>
                          <w:i/>
                          <w:color w:val="000000"/>
                        </w:rPr>
                        <w:t>Q</w:t>
                      </w:r>
                      <w:r>
                        <w:rPr>
                          <w:i/>
                          <w:color w:val="000000"/>
                          <w:vertAlign w:val="subscript"/>
                        </w:rPr>
                        <w:t xml:space="preserve">R.e,m </w:t>
                      </w:r>
                      <w:r>
                        <w:rPr>
                          <w:color w:val="000000"/>
                        </w:rPr>
                        <w:t>(kWh/(m</w:t>
                      </w:r>
                      <w:r>
                        <w:rPr>
                          <w:color w:val="000000"/>
                          <w:vertAlign w:val="superscript"/>
                        </w:rPr>
                        <w:t>2</w:t>
                      </w:r>
                      <w:r>
                        <w:rPr>
                          <w:color w:val="000000"/>
                        </w:rPr>
                        <w:t>·mėn.)) šilumos pritekėjimai į pastatą per atitvaras apskaičiuojami taip:</w:t>
                      </w:r>
                    </w:p>
                    <w:tbl>
                      <w:tblPr>
                        <w:tblW w:w="5000" w:type="pct"/>
                        <w:tblLook w:val="01E0" w:firstRow="1" w:lastRow="1" w:firstColumn="1" w:lastColumn="1" w:noHBand="0" w:noVBand="0"/>
                      </w:tblPr>
                      <w:tblGrid>
                        <w:gridCol w:w="8514"/>
                        <w:gridCol w:w="1340"/>
                      </w:tblGrid>
                      <w:tr>
                        <w:tc>
                          <w:tcPr>
                            <w:tcW w:w="4320" w:type="pct"/>
                          </w:tcPr>
                          <w:p>
                            <w:pPr>
                              <w:rPr>
                                <w:color w:val="000000"/>
                                <w:sz w:val="10"/>
                                <w:szCs w:val="10"/>
                              </w:rPr>
                            </w:pPr>
                          </w:p>
                          <w:p>
                            <w:pPr>
                              <w:spacing w:line="276" w:lineRule="auto"/>
                              <w:ind w:left="851" w:hanging="851"/>
                              <w:jc w:val="center"/>
                              <w:rPr>
                                <w:rFonts w:eastAsia="Calibri"/>
                                <w:color w:val="000000"/>
                                <w:szCs w:val="22"/>
                              </w:rPr>
                            </w:pPr>
                            <w:r>
                              <w:rPr>
                                <w:rFonts w:eastAsia="Calibri"/>
                                <w:color w:val="000000"/>
                                <w:szCs w:val="22"/>
                              </w:rPr>
                              <w:object w:dxaOrig="2770" w:dyaOrig="400">
                                <v:shape id="_x0000_i1214" type="#_x0000_t75" style="width:139.95pt;height:20.2pt" o:ole="">
                                  <v:imagedata r:id="rId656" o:title=""/>
                                </v:shape>
                                <o:OLEObject Type="Embed" ProgID="Equation.3" ShapeID="_x0000_i1214" DrawAspect="Content" ObjectID="_0000000001" r:id="rId657"/>
                              </w:object>
                            </w:r>
                          </w:p>
                        </w:tc>
                        <w:tc>
                          <w:tcPr>
                            <w:tcW w:w="680" w:type="pct"/>
                            <w:vAlign w:val="center"/>
                          </w:tcPr>
                          <w:p>
                            <w:pPr>
                              <w:rPr>
                                <w:color w:val="000000"/>
                                <w:sz w:val="10"/>
                                <w:szCs w:val="10"/>
                              </w:rPr>
                            </w:pPr>
                          </w:p>
                          <w:p>
                            <w:pPr>
                              <w:spacing w:line="276" w:lineRule="auto"/>
                              <w:ind w:left="851" w:hanging="851"/>
                              <w:jc w:val="right"/>
                              <w:rPr>
                                <w:rFonts w:eastAsia="Calibri"/>
                                <w:color w:val="000000"/>
                                <w:szCs w:val="22"/>
                              </w:rPr>
                            </w:pPr>
                            <w:r>
                              <w:rPr>
                                <w:color w:val="000000"/>
                              </w:rPr>
                              <w:t>(2.162)</w:t>
                            </w:r>
                          </w:p>
                        </w:tc>
                      </w:tr>
                      <w:tr>
                        <w:tc>
                          <w:tcPr>
                            <w:tcW w:w="4320" w:type="pct"/>
                          </w:tcPr>
                          <w:p>
                            <w:pPr>
                              <w:rPr>
                                <w:color w:val="000000"/>
                                <w:sz w:val="10"/>
                                <w:szCs w:val="10"/>
                              </w:rPr>
                            </w:pPr>
                          </w:p>
                          <w:p>
                            <w:pPr>
                              <w:spacing w:line="276" w:lineRule="auto"/>
                              <w:ind w:left="851" w:hanging="851"/>
                              <w:jc w:val="center"/>
                              <w:rPr>
                                <w:rFonts w:eastAsia="Calibri"/>
                                <w:color w:val="000000"/>
                                <w:szCs w:val="22"/>
                              </w:rPr>
                            </w:pPr>
                            <w:r>
                              <w:rPr>
                                <w:rFonts w:eastAsia="Calibri"/>
                                <w:color w:val="000000"/>
                                <w:szCs w:val="22"/>
                              </w:rPr>
                              <w:object w:dxaOrig="2670" w:dyaOrig="400">
                                <v:shape id="_x0000_i1215" type="#_x0000_t75" style="width:133.5pt;height:20.2pt" o:ole="">
                                  <v:imagedata r:id="rId658" o:title=""/>
                                </v:shape>
                                <o:OLEObject Type="Embed" ProgID="Equation.3" ShapeID="_x0000_i1215" DrawAspect="Content" ObjectID="_0000000001" r:id="rId659"/>
                              </w:object>
                            </w:r>
                          </w:p>
                        </w:tc>
                        <w:tc>
                          <w:tcPr>
                            <w:tcW w:w="680" w:type="pct"/>
                            <w:vAlign w:val="center"/>
                          </w:tcPr>
                          <w:p>
                            <w:pPr>
                              <w:rPr>
                                <w:color w:val="000000"/>
                                <w:sz w:val="10"/>
                                <w:szCs w:val="10"/>
                              </w:rPr>
                            </w:pPr>
                          </w:p>
                          <w:p>
                            <w:pPr>
                              <w:spacing w:line="276" w:lineRule="auto"/>
                              <w:ind w:left="851" w:hanging="851"/>
                              <w:jc w:val="right"/>
                              <w:rPr>
                                <w:rFonts w:eastAsia="Calibri"/>
                                <w:color w:val="000000"/>
                                <w:szCs w:val="22"/>
                              </w:rPr>
                            </w:pPr>
                            <w:r>
                              <w:rPr>
                                <w:color w:val="000000"/>
                              </w:rPr>
                              <w:t>(2.163)</w:t>
                            </w:r>
                          </w:p>
                        </w:tc>
                      </w:tr>
                    </w:tbl>
                    <w:p>
                      <w:pPr>
                        <w:tabs>
                          <w:tab w:val="left" w:pos="567"/>
                        </w:tabs>
                        <w:jc w:val="both"/>
                        <w:rPr>
                          <w:rFonts w:eastAsia="Calibri"/>
                          <w:color w:val="000000"/>
                          <w:szCs w:val="22"/>
                        </w:rPr>
                      </w:pPr>
                      <w:r>
                        <w:rPr>
                          <w:color w:val="000000"/>
                        </w:rPr>
                        <w:t>čia:</w:t>
                      </w:r>
                      <w:r>
                        <w:rPr>
                          <w:i/>
                          <w:color w:val="000000"/>
                        </w:rPr>
                        <w:t xml:space="preserve"> </w:t>
                        <w:tab/>
                        <w:t>Q</w:t>
                      </w:r>
                      <w:r>
                        <w:rPr>
                          <w:i/>
                          <w:color w:val="000000"/>
                          <w:vertAlign w:val="subscript"/>
                        </w:rPr>
                        <w:t xml:space="preserve">N.e.wda,m </w:t>
                      </w:r>
                      <w:r>
                        <w:rPr>
                          <w:color w:val="000000"/>
                        </w:rPr>
                        <w:t xml:space="preserve">ir </w:t>
                      </w:r>
                      <w:r>
                        <w:rPr>
                          <w:i/>
                          <w:color w:val="000000"/>
                        </w:rPr>
                        <w:t>Q</w:t>
                      </w:r>
                      <w:r>
                        <w:rPr>
                          <w:i/>
                          <w:color w:val="000000"/>
                          <w:vertAlign w:val="subscript"/>
                        </w:rPr>
                        <w:t>R.e.wda,m</w:t>
                      </w:r>
                      <w:r>
                        <w:rPr>
                          <w:color w:val="000000"/>
                        </w:rPr>
                        <w:t xml:space="preserve"> – norminiai ir atskaitiniai mėnesiniai šilumos pritekėjimai į patalpas per skaidrias atitvaras (kWh/(m</w:t>
                      </w:r>
                      <w:r>
                        <w:rPr>
                          <w:color w:val="000000"/>
                          <w:vertAlign w:val="superscript"/>
                        </w:rPr>
                        <w:t>2</w:t>
                      </w:r>
                      <w:r>
                        <w:rPr>
                          <w:color w:val="000000"/>
                        </w:rPr>
                        <w:t>·mėn.)). Apskaičiuojami pagal 44 punkto reikalavimus;</w:t>
                      </w:r>
                    </w:p>
                    <w:p>
                      <w:pPr>
                        <w:ind w:firstLine="600"/>
                        <w:jc w:val="both"/>
                        <w:rPr>
                          <w:color w:val="000000"/>
                        </w:rPr>
                      </w:pPr>
                      <w:r>
                        <w:rPr>
                          <w:i/>
                          <w:color w:val="000000"/>
                        </w:rPr>
                        <w:t>Q</w:t>
                      </w:r>
                      <w:r>
                        <w:rPr>
                          <w:i/>
                          <w:color w:val="000000"/>
                          <w:vertAlign w:val="subscript"/>
                        </w:rPr>
                        <w:t xml:space="preserve">N.e.op,m </w:t>
                      </w:r>
                      <w:r>
                        <w:rPr>
                          <w:color w:val="000000"/>
                        </w:rPr>
                        <w:t xml:space="preserve">ir </w:t>
                      </w:r>
                      <w:r>
                        <w:rPr>
                          <w:i/>
                          <w:color w:val="000000"/>
                        </w:rPr>
                        <w:t>Q</w:t>
                      </w:r>
                      <w:r>
                        <w:rPr>
                          <w:i/>
                          <w:color w:val="000000"/>
                          <w:vertAlign w:val="subscript"/>
                        </w:rPr>
                        <w:t>R.e.op,m</w:t>
                      </w:r>
                      <w:r>
                        <w:rPr>
                          <w:color w:val="000000"/>
                        </w:rPr>
                        <w:t xml:space="preserve"> – norminiai ir atskaitiniai mėnesiniai šilumos pritekėjimai į patalpas per nepermatomas atitvaras (kWh/(m</w:t>
                      </w:r>
                      <w:r>
                        <w:rPr>
                          <w:color w:val="000000"/>
                          <w:vertAlign w:val="superscript"/>
                        </w:rPr>
                        <w:t>2</w:t>
                      </w:r>
                      <w:r>
                        <w:rPr>
                          <w:color w:val="000000"/>
                        </w:rPr>
                        <w:t>·mėn.)). Apskaičiuojami pagal (2.161) formulę, kurioje vietoje sienų, stogų ir durų skaičiuojamųjų šilumos perdavimo koeficientų turi būti naudojami atitinkamai norminiai ir atskaitiniai šių atitvarų šilumos perdavimo koeficientai, kurie nurodyti Reglamento 3 ir 2 lentelėse.</w:t>
                      </w:r>
                    </w:p>
                    <w:p>
                      <w:pPr>
                        <w:ind w:left="720"/>
                        <w:rPr>
                          <w:bCs/>
                          <w:color w:val="000000"/>
                        </w:rPr>
                      </w:pPr>
                    </w:p>
                    <w:p>
                      <w:pPr>
                        <w:rPr>
                          <w:color w:val="000000"/>
                        </w:rPr>
                        <w:sectPr>
                          <w:pgSz w:w="11906" w:h="16838"/>
                          <w:pgMar w:top="1134" w:right="567" w:bottom="851" w:left="1701" w:header="567" w:footer="567" w:gutter="0"/>
                          <w:cols w:space="1296"/>
                        </w:sectPr>
                      </w:pPr>
                    </w:p>
                    <w:p>
                      <w:pPr>
                        <w:jc w:val="center"/>
                        <w:rPr>
                          <w:b/>
                          <w:bCs/>
                        </w:rPr>
                      </w:pPr>
                      <w:r>
                        <w:rPr>
                          <w:b/>
                          <w:bCs/>
                        </w:rPr>
                        <w:t xml:space="preserve">Koeficientų </w:t>
                      </w:r>
                      <w:r>
                        <w:rPr>
                          <w:b/>
                          <w:bCs/>
                          <w:i/>
                        </w:rPr>
                        <w:t>k</w:t>
                      </w:r>
                      <w:r>
                        <w:rPr>
                          <w:b/>
                          <w:bCs/>
                          <w:i/>
                          <w:vertAlign w:val="subscript"/>
                        </w:rPr>
                        <w:t>ov</w:t>
                      </w:r>
                      <w:r>
                        <w:rPr>
                          <w:b/>
                          <w:bCs/>
                        </w:rPr>
                        <w:t xml:space="preserve"> vertės skirtingais metų mėnesiais </w:t>
                      </w:r>
                    </w:p>
                    <w:p>
                      <w:pPr>
                        <w:ind w:left="720"/>
                        <w:jc w:val="right"/>
                      </w:pPr>
                      <w:r>
                        <w:t>2.26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8"/>
                        <w:gridCol w:w="934"/>
                        <w:gridCol w:w="934"/>
                        <w:gridCol w:w="934"/>
                        <w:gridCol w:w="933"/>
                        <w:gridCol w:w="933"/>
                        <w:gridCol w:w="933"/>
                        <w:gridCol w:w="933"/>
                        <w:gridCol w:w="933"/>
                        <w:gridCol w:w="933"/>
                        <w:gridCol w:w="933"/>
                        <w:gridCol w:w="933"/>
                        <w:gridCol w:w="918"/>
                      </w:tblGrid>
                      <w:tr>
                        <w:trPr>
                          <w:gridBefore w:val="1"/>
                          <w:wBefore w:w="1357" w:type="pct"/>
                          <w:trHeight w:val="312"/>
                        </w:trPr>
                        <w:tc>
                          <w:tcPr>
                            <w:tcW w:w="3643" w:type="pct"/>
                            <w:gridSpan w:val="12"/>
                            <w:tcBorders>
                              <w:top w:val="single" w:sz="4" w:space="0" w:color="auto"/>
                              <w:left w:val="single" w:sz="4" w:space="0" w:color="auto"/>
                              <w:bottom w:val="single" w:sz="4" w:space="0" w:color="auto"/>
                              <w:right w:val="single" w:sz="4" w:space="0" w:color="auto"/>
                            </w:tcBorders>
                            <w:hideMark/>
                          </w:tcPr>
                          <w:p>
                            <w:pPr>
                              <w:spacing w:line="276" w:lineRule="auto"/>
                              <w:ind w:left="850" w:hanging="850"/>
                              <w:jc w:val="center"/>
                              <w:rPr>
                                <w:rFonts w:eastAsia="Calibri"/>
                                <w:szCs w:val="24"/>
                              </w:rPr>
                            </w:pPr>
                            <w:r>
                              <w:rPr>
                                <w:szCs w:val="24"/>
                              </w:rPr>
                              <w:t>Metų mėnuo</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Atitvarų (2.10.</w:t>
                            </w:r>
                            <w:r>
                              <w:rPr>
                                <w:spacing w:val="-6"/>
                              </w:rPr>
                              <w:t>–</w:t>
                            </w:r>
                            <w:r>
                              <w:rPr>
                                <w:szCs w:val="24"/>
                              </w:rPr>
                              <w:t>2.13. pav.) apibūdinimas</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1</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2</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3</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4</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5</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6</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7</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8</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9</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10</w:t>
                            </w:r>
                          </w:p>
                        </w:tc>
                        <w:tc>
                          <w:tcPr>
                            <w:tcW w:w="304"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11</w:t>
                            </w:r>
                          </w:p>
                        </w:tc>
                        <w:tc>
                          <w:tcPr>
                            <w:tcW w:w="299"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4"/>
                              </w:rPr>
                            </w:pPr>
                            <w:r>
                              <w:rPr>
                                <w:szCs w:val="24"/>
                              </w:rPr>
                              <w:t>12</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Š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0,0016</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0,0006</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ŠR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0,0053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0,0001</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R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0,0084</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0,0085</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0,0065</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0,0035</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0,0032</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PR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0,0075</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0,0073</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P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0,0075</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0,0094</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0,0110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0,0085</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0,0082</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PV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0,0105</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0,0103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0,0092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0,0075</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0,0071</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V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0,0066</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0,0086</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0,0072</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0,0063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0,0057</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0,0035</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0,0028</w:t>
                            </w:r>
                          </w:p>
                        </w:tc>
                      </w:tr>
                      <w:tr>
                        <w:tc>
                          <w:tcPr>
                            <w:tcW w:w="1357"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rPr>
                              <w:t>Į ŠV orientuotos skaidrios atitvaros</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0,0003</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0,0025</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0,0048</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0,0041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0,0031</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0,0019</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0,0010</w:t>
                            </w:r>
                          </w:p>
                        </w:tc>
                        <w:tc>
                          <w:tcPr>
                            <w:tcW w:w="304"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0,0001</w:t>
                            </w:r>
                          </w:p>
                        </w:tc>
                        <w:tc>
                          <w:tcPr>
                            <w:tcW w:w="299" w:type="pct"/>
                            <w:tcBorders>
                              <w:top w:val="single" w:sz="4" w:space="0" w:color="auto"/>
                              <w:left w:val="single" w:sz="4" w:space="0" w:color="auto"/>
                              <w:bottom w:val="single" w:sz="4" w:space="0" w:color="auto"/>
                              <w:right w:val="single" w:sz="4" w:space="0" w:color="auto"/>
                            </w:tcBorders>
                            <w:vAlign w:val="bottom"/>
                            <w:hideMark/>
                          </w:tcPr>
                          <w:p>
                            <w:pPr>
                              <w:spacing w:line="276" w:lineRule="auto"/>
                              <w:jc w:val="right"/>
                              <w:rPr>
                                <w:rFonts w:eastAsia="Calibri"/>
                                <w:szCs w:val="24"/>
                              </w:rPr>
                            </w:pPr>
                            <w:r>
                              <w:rPr>
                                <w:szCs w:val="24"/>
                              </w:rPr>
                              <w:t>0,0000</w:t>
                            </w:r>
                          </w:p>
                        </w:tc>
                      </w:tr>
                    </w:tbl>
                    <w:p>
                      <w:pPr>
                        <w:ind w:firstLine="570"/>
                        <w:rPr>
                          <w:rFonts w:eastAsia="Calibri"/>
                          <w:szCs w:val="22"/>
                        </w:rPr>
                      </w:pPr>
                    </w:p>
                    <w:p>
                      <w:pPr>
                        <w:ind w:left="720"/>
                        <w:jc w:val="right"/>
                      </w:pPr>
                      <w:r>
                        <w:t>2.27 lentelė</w:t>
                      </w:r>
                    </w:p>
                    <w:p>
                      <w:pPr>
                        <w:jc w:val="center"/>
                        <w:rPr>
                          <w:b/>
                        </w:rPr>
                      </w:pPr>
                      <w:r>
                        <w:rPr>
                          <w:b/>
                        </w:rPr>
                        <w:t xml:space="preserve">Žaliuzių ar skaidrių atitvarų viršuje įrengtų stogelių kampas </w:t>
                      </w:r>
                      <w:r>
                        <w:rPr>
                          <w:b/>
                          <w:bCs/>
                          <w:i/>
                        </w:rPr>
                        <w:t>α</w:t>
                      </w:r>
                      <w:r>
                        <w:rPr>
                          <w:b/>
                          <w:bCs/>
                        </w:rPr>
                        <w:t xml:space="preserve"> (°)</w:t>
                      </w:r>
                      <w:r>
                        <w:rPr>
                          <w:b/>
                        </w:rPr>
                        <w:t>, kuris užstoja visą tiesioginę Saulės spinduliuotę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759"/>
                        <w:gridCol w:w="918"/>
                        <w:gridCol w:w="918"/>
                        <w:gridCol w:w="918"/>
                        <w:gridCol w:w="1078"/>
                        <w:gridCol w:w="976"/>
                        <w:gridCol w:w="918"/>
                        <w:gridCol w:w="918"/>
                        <w:gridCol w:w="979"/>
                        <w:gridCol w:w="918"/>
                        <w:gridCol w:w="918"/>
                        <w:gridCol w:w="915"/>
                      </w:tblGrid>
                      <w:tr>
                        <w:trPr>
                          <w:gridBefore w:val="1"/>
                          <w:wBefore w:w="4219" w:type="dxa"/>
                          <w:trHeight w:val="268"/>
                        </w:trPr>
                        <w:tc>
                          <w:tcPr>
                            <w:tcW w:w="11133" w:type="dxa"/>
                            <w:gridSpan w:val="1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b/>
                                <w:szCs w:val="22"/>
                              </w:rPr>
                            </w:pPr>
                            <w:r>
                              <w:t>Metų mėnuo</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center"/>
                              <w:rPr>
                                <w:rFonts w:eastAsia="Calibri"/>
                                <w:szCs w:val="22"/>
                              </w:rPr>
                            </w:pPr>
                            <w:r>
                              <w:t>Atitvarų (2.10.</w:t>
                            </w:r>
                            <w:r>
                              <w:rPr>
                                <w:spacing w:val="-6"/>
                              </w:rPr>
                              <w:t>–</w:t>
                            </w:r>
                            <w:r>
                              <w:t>2.13. pav.) apibūdinimas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1</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10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11</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12</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Š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85</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80</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77</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78</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83</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90</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ŠR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88</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84</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78</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71</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65</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63</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68</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87</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88</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R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67</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59</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52</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56</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64</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79</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82</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PR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50</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42</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47</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78</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P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77</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47</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37</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33</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35</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42</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54</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79</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PV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50</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42</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39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47</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66</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78</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V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67</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59</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52</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49</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50</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56</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64</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79</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82</w:t>
                            </w:r>
                          </w:p>
                        </w:tc>
                      </w:tr>
                      <w:tr>
                        <w:trPr>
                          <w:trHeight w:val="255"/>
                        </w:trPr>
                        <w:tc>
                          <w:tcPr>
                            <w:tcW w:w="4219" w:type="dxa"/>
                            <w:tcBorders>
                              <w:top w:val="single" w:sz="4" w:space="0" w:color="auto"/>
                              <w:left w:val="single" w:sz="4" w:space="0" w:color="auto"/>
                              <w:bottom w:val="single" w:sz="4" w:space="0" w:color="auto"/>
                              <w:right w:val="single" w:sz="4" w:space="0" w:color="auto"/>
                            </w:tcBorders>
                            <w:noWrap/>
                            <w:hideMark/>
                          </w:tcPr>
                          <w:p>
                            <w:pPr>
                              <w:spacing w:line="276" w:lineRule="auto"/>
                              <w:ind w:left="850" w:hanging="850"/>
                              <w:jc w:val="both"/>
                              <w:rPr>
                                <w:rFonts w:eastAsia="Calibri"/>
                                <w:szCs w:val="22"/>
                              </w:rPr>
                            </w:pPr>
                            <w:r>
                              <w:t>Į ŠV orientuotos skaidrios atitvaros</w:t>
                            </w:r>
                          </w:p>
                        </w:tc>
                        <w:tc>
                          <w:tcPr>
                            <w:tcW w:w="75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88</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84</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78</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71</w:t>
                            </w:r>
                          </w:p>
                        </w:tc>
                        <w:tc>
                          <w:tcPr>
                            <w:tcW w:w="107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65</w:t>
                            </w:r>
                          </w:p>
                        </w:tc>
                        <w:tc>
                          <w:tcPr>
                            <w:tcW w:w="976"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63</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68</w:t>
                            </w:r>
                          </w:p>
                        </w:tc>
                        <w:tc>
                          <w:tcPr>
                            <w:tcW w:w="979"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75</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82</w:t>
                            </w:r>
                          </w:p>
                        </w:tc>
                        <w:tc>
                          <w:tcPr>
                            <w:tcW w:w="918"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87</w:t>
                            </w:r>
                          </w:p>
                        </w:tc>
                        <w:tc>
                          <w:tcPr>
                            <w:tcW w:w="915"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rPr>
                            </w:pPr>
                            <w:r>
                              <w:t>88</w:t>
                            </w:r>
                          </w:p>
                        </w:tc>
                      </w:tr>
                    </w:tbl>
                    <w:p>
                      <w:pPr>
                        <w:ind w:firstLine="570"/>
                        <w:rPr>
                          <w:rFonts w:eastAsia="Calibri"/>
                          <w:szCs w:val="22"/>
                        </w:rPr>
                      </w:pPr>
                    </w:p>
                    <w:p>
                      <w:pPr>
                        <w:ind w:left="720"/>
                        <w:jc w:val="right"/>
                      </w:pPr>
                      <w:r>
                        <w:t>2.28 lentelė</w:t>
                      </w:r>
                    </w:p>
                    <w:p>
                      <w:pPr>
                        <w:jc w:val="center"/>
                        <w:rPr>
                          <w:b/>
                          <w:bCs/>
                        </w:rPr>
                      </w:pPr>
                      <w:r>
                        <w:rPr>
                          <w:b/>
                          <w:bCs/>
                        </w:rPr>
                        <w:t xml:space="preserve">Koeficientų </w:t>
                      </w:r>
                      <w:r>
                        <w:rPr>
                          <w:b/>
                          <w:bCs/>
                          <w:i/>
                        </w:rPr>
                        <w:t>k</w:t>
                      </w:r>
                      <w:r>
                        <w:rPr>
                          <w:b/>
                          <w:bCs/>
                          <w:i/>
                          <w:vertAlign w:val="subscript"/>
                        </w:rPr>
                        <w:t>fin</w:t>
                      </w:r>
                      <w:r>
                        <w:rPr>
                          <w:b/>
                          <w:bCs/>
                        </w:rPr>
                        <w:t xml:space="preserve"> vertės skirtingais metų mėnesiais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0"/>
                        <w:gridCol w:w="942"/>
                        <w:gridCol w:w="942"/>
                        <w:gridCol w:w="942"/>
                        <w:gridCol w:w="942"/>
                        <w:gridCol w:w="943"/>
                        <w:gridCol w:w="943"/>
                        <w:gridCol w:w="943"/>
                        <w:gridCol w:w="943"/>
                        <w:gridCol w:w="943"/>
                        <w:gridCol w:w="943"/>
                        <w:gridCol w:w="943"/>
                        <w:gridCol w:w="943"/>
                      </w:tblGrid>
                      <w:tr>
                        <w:trPr>
                          <w:gridBefore w:val="1"/>
                          <w:wBefore w:w="1316" w:type="pct"/>
                          <w:trHeight w:val="312"/>
                        </w:trPr>
                        <w:tc>
                          <w:tcPr>
                            <w:tcW w:w="3684" w:type="pct"/>
                            <w:gridSpan w:val="12"/>
                            <w:tcBorders>
                              <w:top w:val="single" w:sz="4" w:space="0" w:color="auto"/>
                              <w:left w:val="single" w:sz="4" w:space="0" w:color="auto"/>
                              <w:bottom w:val="single" w:sz="4" w:space="0" w:color="auto"/>
                              <w:right w:val="single" w:sz="4" w:space="0" w:color="auto"/>
                            </w:tcBorders>
                            <w:hideMark/>
                          </w:tcPr>
                          <w:p>
                            <w:pPr>
                              <w:spacing w:line="276" w:lineRule="auto"/>
                              <w:ind w:left="850" w:hanging="850"/>
                              <w:jc w:val="center"/>
                              <w:rPr>
                                <w:rFonts w:eastAsia="Calibri"/>
                                <w:szCs w:val="22"/>
                              </w:rPr>
                            </w:pPr>
                            <w:r>
                              <w:t>Metų mėnuo</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Atitvarų (2.13. pav.) apibūdinimas</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1</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2</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3</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4</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5</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6</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7</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8</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9</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10</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11</w:t>
                            </w:r>
                          </w:p>
                        </w:tc>
                        <w:tc>
                          <w:tcPr>
                            <w:tcW w:w="307"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850" w:hanging="850"/>
                              <w:jc w:val="center"/>
                              <w:rPr>
                                <w:rFonts w:eastAsia="Calibri"/>
                                <w:szCs w:val="22"/>
                              </w:rPr>
                            </w:pPr>
                            <w:r>
                              <w:t>12</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Š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0,0036</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ŠR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0,0017</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R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0,0046</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0,0048</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PR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0,0197</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0,0089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0,0026</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0,0090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0,0163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0,0316</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P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0,0047</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0,0060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0,0065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0,0051</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PV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0,0183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0,0091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0,0027</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0,0027</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0,0094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0,0163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0,0308</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V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0,0036</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0,0021</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0,0053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0,0044</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0,0043</w:t>
                            </w:r>
                          </w:p>
                        </w:tc>
                      </w:tr>
                      <w:tr>
                        <w:tc>
                          <w:tcPr>
                            <w:tcW w:w="1316" w:type="pct"/>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2"/>
                              </w:rPr>
                            </w:pPr>
                            <w:r>
                              <w:t>Į ŠV orientuotos skaidrios atitvaros</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0,0018</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0,0036</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0,0033</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0,0032</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0,0029</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0,0025</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c>
                          <w:tcPr>
                            <w:tcW w:w="30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left="850" w:hanging="850"/>
                              <w:jc w:val="center"/>
                              <w:rPr>
                                <w:rFonts w:eastAsia="Calibri"/>
                                <w:szCs w:val="22"/>
                              </w:rPr>
                            </w:pPr>
                            <w:r>
                              <w:t>0</w:t>
                            </w:r>
                          </w:p>
                        </w:tc>
                      </w:tr>
                    </w:tbl>
                    <w:p>
                      <w:pPr>
                        <w:ind w:firstLine="570"/>
                        <w:rPr>
                          <w:rFonts w:eastAsia="Calibri"/>
                          <w:szCs w:val="22"/>
                        </w:rPr>
                      </w:pPr>
                    </w:p>
                    <w:p>
                      <w:pPr>
                        <w:ind w:left="720"/>
                        <w:jc w:val="right"/>
                      </w:pPr>
                      <w:r>
                        <w:t>2.29 lentelė</w:t>
                      </w:r>
                    </w:p>
                    <w:p>
                      <w:pPr>
                        <w:jc w:val="center"/>
                        <w:rPr>
                          <w:b/>
                        </w:rPr>
                      </w:pPr>
                      <w:r>
                        <w:rPr>
                          <w:b/>
                        </w:rPr>
                        <w:t xml:space="preserve">Šoninės užtvaros kampas </w:t>
                      </w:r>
                      <w:r>
                        <w:rPr>
                          <w:b/>
                          <w:bCs/>
                          <w:i/>
                        </w:rPr>
                        <w:t>β</w:t>
                      </w:r>
                      <w:r>
                        <w:rPr>
                          <w:b/>
                          <w:bCs/>
                        </w:rPr>
                        <w:t xml:space="preserve"> (°)</w:t>
                      </w:r>
                      <w:r>
                        <w:rPr>
                          <w:b/>
                        </w:rPr>
                        <w:t>, kuris užstoja visą tiesioginę Saulės spinduliuotę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1035"/>
                        <w:gridCol w:w="1035"/>
                        <w:gridCol w:w="765"/>
                        <w:gridCol w:w="765"/>
                        <w:gridCol w:w="761"/>
                        <w:gridCol w:w="761"/>
                        <w:gridCol w:w="761"/>
                        <w:gridCol w:w="761"/>
                        <w:gridCol w:w="761"/>
                        <w:gridCol w:w="1032"/>
                        <w:gridCol w:w="1032"/>
                        <w:gridCol w:w="1035"/>
                      </w:tblGrid>
                      <w:tr>
                        <w:trPr>
                          <w:gridBefore w:val="1"/>
                          <w:wBefore w:w="1579" w:type="pct"/>
                          <w:trHeight w:val="300"/>
                        </w:trPr>
                        <w:tc>
                          <w:tcPr>
                            <w:tcW w:w="3421" w:type="pct"/>
                            <w:gridSpan w:val="12"/>
                            <w:tcBorders>
                              <w:top w:val="single" w:sz="4" w:space="0" w:color="auto"/>
                              <w:left w:val="single" w:sz="4" w:space="0" w:color="auto"/>
                              <w:bottom w:val="single" w:sz="4" w:space="0" w:color="auto"/>
                              <w:right w:val="single" w:sz="4" w:space="0" w:color="auto"/>
                            </w:tcBorders>
                            <w:hideMark/>
                          </w:tcPr>
                          <w:p>
                            <w:pPr>
                              <w:spacing w:line="276" w:lineRule="auto"/>
                              <w:ind w:hanging="14"/>
                              <w:jc w:val="center"/>
                              <w:rPr>
                                <w:rFonts w:eastAsia="Calibri"/>
                                <w:szCs w:val="22"/>
                              </w:rPr>
                            </w:pPr>
                            <w:r>
                              <w:t>Metų mėnuo</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Atitvarų (2.10.</w:t>
                            </w:r>
                            <w:r>
                              <w:rPr>
                                <w:spacing w:val="-6"/>
                              </w:rPr>
                              <w:t>–</w:t>
                            </w:r>
                            <w:r>
                              <w:t>2.13. pav.) apibūdinimas</w:t>
                            </w:r>
                          </w:p>
                        </w:tc>
                        <w:tc>
                          <w:tcPr>
                            <w:tcW w:w="33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1</w:t>
                            </w:r>
                          </w:p>
                        </w:tc>
                        <w:tc>
                          <w:tcPr>
                            <w:tcW w:w="337"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2</w:t>
                            </w:r>
                          </w:p>
                        </w:tc>
                        <w:tc>
                          <w:tcPr>
                            <w:tcW w:w="249"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3</w:t>
                            </w:r>
                          </w:p>
                        </w:tc>
                        <w:tc>
                          <w:tcPr>
                            <w:tcW w:w="249"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4</w:t>
                            </w:r>
                          </w:p>
                        </w:tc>
                        <w:tc>
                          <w:tcPr>
                            <w:tcW w:w="248"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5</w:t>
                            </w:r>
                          </w:p>
                        </w:tc>
                        <w:tc>
                          <w:tcPr>
                            <w:tcW w:w="248"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6</w:t>
                            </w:r>
                          </w:p>
                        </w:tc>
                        <w:tc>
                          <w:tcPr>
                            <w:tcW w:w="248"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7</w:t>
                            </w:r>
                          </w:p>
                        </w:tc>
                        <w:tc>
                          <w:tcPr>
                            <w:tcW w:w="248"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8</w:t>
                            </w:r>
                          </w:p>
                        </w:tc>
                        <w:tc>
                          <w:tcPr>
                            <w:tcW w:w="248"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9</w:t>
                            </w:r>
                          </w:p>
                        </w:tc>
                        <w:tc>
                          <w:tcPr>
                            <w:tcW w:w="336"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10</w:t>
                            </w:r>
                          </w:p>
                        </w:tc>
                        <w:tc>
                          <w:tcPr>
                            <w:tcW w:w="336"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11</w:t>
                            </w:r>
                          </w:p>
                        </w:tc>
                        <w:tc>
                          <w:tcPr>
                            <w:tcW w:w="336" w:type="pct"/>
                            <w:tcBorders>
                              <w:top w:val="single" w:sz="4" w:space="0" w:color="auto"/>
                              <w:left w:val="single" w:sz="4" w:space="0" w:color="auto"/>
                              <w:bottom w:val="single" w:sz="4" w:space="0" w:color="auto"/>
                              <w:right w:val="single" w:sz="4" w:space="0" w:color="auto"/>
                            </w:tcBorders>
                            <w:vAlign w:val="bottom"/>
                            <w:hideMark/>
                          </w:tcPr>
                          <w:p>
                            <w:pPr>
                              <w:spacing w:line="276" w:lineRule="auto"/>
                              <w:ind w:right="-113"/>
                              <w:jc w:val="center"/>
                              <w:rPr>
                                <w:rFonts w:eastAsia="Calibri"/>
                                <w:szCs w:val="22"/>
                              </w:rPr>
                            </w:pPr>
                            <w:r>
                              <w:t>12</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Š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14</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29</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38</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34</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4</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0</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ŠR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13</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26</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42</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59</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74</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83</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79</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65</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49</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32</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17</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R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58</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71</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87</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77</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62</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54</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PR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26</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53</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85</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65</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34</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18</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P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122</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109</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93</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103</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118</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126</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PV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26</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53</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85</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65</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34</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18</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V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58</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71</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87</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90</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77</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62</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54</w:t>
                            </w:r>
                          </w:p>
                        </w:tc>
                      </w:tr>
                      <w:tr>
                        <w:trPr>
                          <w:trHeight w:val="324"/>
                        </w:trPr>
                        <w:tc>
                          <w:tcPr>
                            <w:tcW w:w="1579" w:type="pct"/>
                            <w:tcBorders>
                              <w:top w:val="single" w:sz="4" w:space="0" w:color="auto"/>
                              <w:left w:val="single" w:sz="4" w:space="0" w:color="auto"/>
                              <w:bottom w:val="single" w:sz="4" w:space="0" w:color="auto"/>
                              <w:right w:val="single" w:sz="4" w:space="0" w:color="auto"/>
                            </w:tcBorders>
                            <w:hideMark/>
                          </w:tcPr>
                          <w:p>
                            <w:pPr>
                              <w:spacing w:line="276" w:lineRule="auto"/>
                              <w:ind w:right="-113"/>
                              <w:jc w:val="both"/>
                              <w:rPr>
                                <w:rFonts w:eastAsia="Calibri"/>
                                <w:szCs w:val="22"/>
                              </w:rPr>
                            </w:pPr>
                            <w:r>
                              <w:t>Į ŠV orientuotos skaidrios atitvaros</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13</w:t>
                            </w:r>
                          </w:p>
                        </w:tc>
                        <w:tc>
                          <w:tcPr>
                            <w:tcW w:w="337"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26</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42</w:t>
                            </w:r>
                          </w:p>
                        </w:tc>
                        <w:tc>
                          <w:tcPr>
                            <w:tcW w:w="249"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59</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74</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83</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79</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65</w:t>
                            </w:r>
                          </w:p>
                        </w:tc>
                        <w:tc>
                          <w:tcPr>
                            <w:tcW w:w="248"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49</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32</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17</w:t>
                            </w:r>
                          </w:p>
                        </w:tc>
                        <w:tc>
                          <w:tcPr>
                            <w:tcW w:w="336" w:type="pct"/>
                            <w:tcBorders>
                              <w:top w:val="single" w:sz="4" w:space="0" w:color="auto"/>
                              <w:left w:val="single" w:sz="4" w:space="0" w:color="auto"/>
                              <w:bottom w:val="single" w:sz="4" w:space="0" w:color="auto"/>
                              <w:right w:val="single" w:sz="4" w:space="0" w:color="auto"/>
                            </w:tcBorders>
                            <w:noWrap/>
                            <w:vAlign w:val="bottom"/>
                            <w:hideMark/>
                          </w:tcPr>
                          <w:p>
                            <w:pPr>
                              <w:spacing w:line="276" w:lineRule="auto"/>
                              <w:ind w:right="-113"/>
                              <w:jc w:val="center"/>
                              <w:rPr>
                                <w:rFonts w:eastAsia="Calibri" w:cs="Arial"/>
                                <w:bCs/>
                                <w:iCs/>
                                <w:szCs w:val="22"/>
                              </w:rPr>
                            </w:pPr>
                            <w:r>
                              <w:rPr>
                                <w:rFonts w:cs="Arial"/>
                                <w:bCs/>
                                <w:iCs/>
                              </w:rPr>
                              <w:t>9</w:t>
                            </w:r>
                          </w:p>
                        </w:tc>
                      </w:tr>
                    </w:tbl>
                    <w:p>
                      <w:pPr>
                        <w:ind w:firstLine="570"/>
                        <w:rPr>
                          <w:rFonts w:eastAsia="Calibri"/>
                          <w:szCs w:val="22"/>
                        </w:rPr>
                      </w:pPr>
                      <w:r>
                        <w:br/>
                      </w:r>
                    </w:p>
                    <w:p>
                      <w:pPr>
                        <w:sectPr>
                          <w:pgSz w:w="16838" w:h="11906" w:orient="landscape"/>
                          <w:pgMar w:top="1701" w:right="851" w:bottom="851" w:left="851" w:header="567" w:footer="567" w:gutter="0"/>
                          <w:cols w:space="1296"/>
                        </w:sectPr>
                      </w:pPr>
                    </w:p>
                    <w:p>
                      <w:pPr>
                        <w:ind w:firstLine="570"/>
                        <w:jc w:val="center"/>
                        <w:rPr>
                          <w:b/>
                          <w:bCs/>
                          <w:color w:val="000000"/>
                        </w:rPr>
                      </w:pPr>
                      <w:r>
                        <w:rPr>
                          <w:b/>
                          <w:bCs/>
                          <w:i/>
                          <w:color w:val="000000"/>
                        </w:rPr>
                        <w:t>F</w:t>
                      </w:r>
                      <w:r>
                        <w:rPr>
                          <w:b/>
                          <w:bCs/>
                          <w:i/>
                          <w:color w:val="000000"/>
                          <w:vertAlign w:val="subscript"/>
                        </w:rPr>
                        <w:t>e.w</w:t>
                      </w:r>
                      <w:r>
                        <w:rPr>
                          <w:b/>
                          <w:color w:val="000000"/>
                        </w:rPr>
                        <w:t xml:space="preserve"> ir </w:t>
                      </w:r>
                      <w:r>
                        <w:rPr>
                          <w:b/>
                          <w:bCs/>
                          <w:i/>
                          <w:color w:val="000000"/>
                        </w:rPr>
                        <w:t>F</w:t>
                      </w:r>
                      <w:r>
                        <w:rPr>
                          <w:b/>
                          <w:bCs/>
                          <w:i/>
                          <w:color w:val="000000"/>
                          <w:vertAlign w:val="subscript"/>
                        </w:rPr>
                        <w:t>r.w</w:t>
                      </w:r>
                      <w:r>
                        <w:rPr>
                          <w:b/>
                          <w:color w:val="000000"/>
                        </w:rPr>
                        <w:t xml:space="preserve"> </w:t>
                      </w:r>
                      <w:r>
                        <w:rPr>
                          <w:b/>
                          <w:bCs/>
                          <w:color w:val="000000"/>
                        </w:rPr>
                        <w:t>koeficientų vertės sienoms</w:t>
                      </w:r>
                    </w:p>
                    <w:p>
                      <w:pPr>
                        <w:ind w:left="720"/>
                        <w:jc w:val="right"/>
                        <w:rPr>
                          <w:color w:val="000000"/>
                        </w:rPr>
                      </w:pPr>
                      <w:r>
                        <w:rPr>
                          <w:color w:val="000000"/>
                        </w:rPr>
                        <w:t>2.30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10"/>
                        <w:gridCol w:w="1983"/>
                        <w:gridCol w:w="2077"/>
                      </w:tblGrid>
                      <w:tr>
                        <w:tc>
                          <w:tcPr>
                            <w:tcW w:w="287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 xml:space="preserve">Sienų apibūdinimas </w:t>
                            </w:r>
                          </w:p>
                        </w:tc>
                        <w:tc>
                          <w:tcPr>
                            <w:tcW w:w="10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bCs/>
                                <w:i/>
                                <w:color w:val="000000"/>
                              </w:rPr>
                              <w:t>F</w:t>
                            </w:r>
                            <w:r>
                              <w:rPr>
                                <w:bCs/>
                                <w:i/>
                                <w:color w:val="000000"/>
                                <w:vertAlign w:val="subscript"/>
                              </w:rPr>
                              <w:t>e.w</w:t>
                            </w:r>
                          </w:p>
                        </w:tc>
                        <w:tc>
                          <w:tcPr>
                            <w:tcW w:w="108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bCs/>
                                <w:i/>
                                <w:color w:val="000000"/>
                              </w:rPr>
                              <w:t>F</w:t>
                            </w:r>
                            <w:r>
                              <w:rPr>
                                <w:bCs/>
                                <w:i/>
                                <w:color w:val="000000"/>
                                <w:vertAlign w:val="subscript"/>
                              </w:rPr>
                              <w:t>r.w</w:t>
                            </w:r>
                            <w:r>
                              <w:rPr>
                                <w:color w:val="000000"/>
                              </w:rPr>
                              <w:t xml:space="preserve"> </w:t>
                            </w:r>
                          </w:p>
                        </w:tc>
                      </w:tr>
                      <w:tr>
                        <w:tc>
                          <w:tcPr>
                            <w:tcW w:w="287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 xml:space="preserve">Nevėdinamos sienos tarp patalpų ir išorės </w:t>
                            </w:r>
                          </w:p>
                        </w:tc>
                        <w:tc>
                          <w:tcPr>
                            <w:tcW w:w="10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1</w:t>
                            </w:r>
                          </w:p>
                        </w:tc>
                        <w:tc>
                          <w:tcPr>
                            <w:tcW w:w="108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
                                <w:color w:val="000000"/>
                                <w:szCs w:val="22"/>
                              </w:rPr>
                            </w:pPr>
                            <w:r>
                              <w:rPr>
                                <w:rFonts w:eastAsia="Calibri"/>
                                <w:color w:val="000000"/>
                                <w:position w:val="-10"/>
                                <w:szCs w:val="22"/>
                              </w:rPr>
                              <w:object w:dxaOrig="1330" w:dyaOrig="400">
                                <v:shape id="_x0000_i1216" type="#_x0000_t75" style="width:67.15pt;height:20.2pt" o:ole="">
                                  <v:imagedata r:id="rId660" o:title=""/>
                                </v:shape>
                                <o:OLEObject Type="Embed" ProgID="Equation.3" ShapeID="_x0000_i1216" DrawAspect="Content" ObjectID="_0000000001" r:id="rId661"/>
                              </w:object>
                            </w:r>
                            <w:r>
                              <w:rPr>
                                <w:color w:val="000000"/>
                              </w:rPr>
                              <w:t>*</w:t>
                            </w:r>
                          </w:p>
                        </w:tc>
                      </w:tr>
                      <w:tr>
                        <w:tc>
                          <w:tcPr>
                            <w:tcW w:w="287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Vėdinamos sienos tarp patalpų ir išorės</w:t>
                            </w:r>
                          </w:p>
                        </w:tc>
                        <w:tc>
                          <w:tcPr>
                            <w:tcW w:w="10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0,5</w:t>
                            </w:r>
                          </w:p>
                        </w:tc>
                        <w:tc>
                          <w:tcPr>
                            <w:tcW w:w="108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rFonts w:eastAsia="Calibri"/>
                                <w:color w:val="000000"/>
                                <w:position w:val="-10"/>
                                <w:szCs w:val="22"/>
                              </w:rPr>
                              <w:object w:dxaOrig="1770" w:dyaOrig="400">
                                <v:shape id="_x0000_i1217" type="#_x0000_t75" style="width:88.2pt;height:20.2pt" o:ole="">
                                  <v:imagedata r:id="rId662" o:title=""/>
                                </v:shape>
                                <o:OLEObject Type="Embed" ProgID="Equation.3" ShapeID="_x0000_i1217" DrawAspect="Content" ObjectID="_0000000001" r:id="rId663"/>
                              </w:object>
                            </w:r>
                            <w:r>
                              <w:rPr>
                                <w:color w:val="000000"/>
                              </w:rPr>
                              <w:t>*</w:t>
                            </w:r>
                          </w:p>
                        </w:tc>
                      </w:tr>
                      <w:tr>
                        <w:tc>
                          <w:tcPr>
                            <w:tcW w:w="287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Kitais atvejais</w:t>
                            </w:r>
                          </w:p>
                        </w:tc>
                        <w:tc>
                          <w:tcPr>
                            <w:tcW w:w="10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w:t>
                            </w:r>
                          </w:p>
                        </w:tc>
                        <w:tc>
                          <w:tcPr>
                            <w:tcW w:w="1085"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w:t>
                            </w:r>
                          </w:p>
                        </w:tc>
                      </w:tr>
                    </w:tbl>
                    <w:p>
                      <w:pPr>
                        <w:rPr>
                          <w:color w:val="000000"/>
                        </w:rPr>
                      </w:pPr>
                    </w:p>
                    <w:p>
                      <w:pPr>
                        <w:ind w:firstLine="570"/>
                        <w:jc w:val="both"/>
                        <w:rPr>
                          <w:rFonts w:eastAsia="Calibri"/>
                          <w:bCs/>
                          <w:color w:val="000000"/>
                          <w:szCs w:val="22"/>
                        </w:rPr>
                      </w:pPr>
                      <w:r>
                        <w:rPr>
                          <w:color w:val="000000"/>
                        </w:rPr>
                        <w:t xml:space="preserve">* </w:t>
                      </w:r>
                      <w:r>
                        <w:rPr>
                          <w:bCs/>
                          <w:i/>
                          <w:color w:val="000000"/>
                        </w:rPr>
                        <w:t>γ</w:t>
                      </w:r>
                      <w:r>
                        <w:rPr>
                          <w:bCs/>
                          <w:i/>
                          <w:color w:val="000000"/>
                          <w:vertAlign w:val="subscript"/>
                        </w:rPr>
                        <w:t>w</w:t>
                      </w:r>
                      <w:r>
                        <w:rPr>
                          <w:bCs/>
                          <w:color w:val="000000"/>
                        </w:rPr>
                        <w:t xml:space="preserve"> – sienos išorinio paviršiaus pasvirimo kampas nuo horizontalios plokštumos (žr. 2.10., 2.11. pav.). Šį kampą turi nustatyti pastatų energinio naudingumo sertifikavimo ekspertas ne mažesniu kaip 5 ° tikslumu.</w:t>
                      </w:r>
                    </w:p>
                    <w:p>
                      <w:pPr>
                        <w:jc w:val="center"/>
                        <w:rPr>
                          <w:b/>
                          <w:bCs/>
                          <w:i/>
                          <w:color w:val="000000"/>
                        </w:rPr>
                      </w:pPr>
                    </w:p>
                    <w:p>
                      <w:pPr>
                        <w:jc w:val="center"/>
                        <w:rPr>
                          <w:b/>
                          <w:bCs/>
                          <w:color w:val="000000"/>
                        </w:rPr>
                      </w:pPr>
                      <w:r>
                        <w:rPr>
                          <w:b/>
                          <w:bCs/>
                          <w:i/>
                          <w:color w:val="000000"/>
                        </w:rPr>
                        <w:t>F</w:t>
                      </w:r>
                      <w:r>
                        <w:rPr>
                          <w:b/>
                          <w:bCs/>
                          <w:i/>
                          <w:color w:val="000000"/>
                          <w:vertAlign w:val="subscript"/>
                        </w:rPr>
                        <w:t>e.r</w:t>
                      </w:r>
                      <w:r>
                        <w:rPr>
                          <w:b/>
                          <w:color w:val="000000"/>
                        </w:rPr>
                        <w:t xml:space="preserve"> ir </w:t>
                      </w:r>
                      <w:r>
                        <w:rPr>
                          <w:b/>
                          <w:bCs/>
                          <w:i/>
                          <w:color w:val="000000"/>
                        </w:rPr>
                        <w:t>F</w:t>
                      </w:r>
                      <w:r>
                        <w:rPr>
                          <w:b/>
                          <w:bCs/>
                          <w:i/>
                          <w:color w:val="000000"/>
                          <w:vertAlign w:val="subscript"/>
                        </w:rPr>
                        <w:t>r.r</w:t>
                      </w:r>
                      <w:r>
                        <w:rPr>
                          <w:b/>
                          <w:color w:val="000000"/>
                        </w:rPr>
                        <w:t xml:space="preserve"> </w:t>
                      </w:r>
                      <w:r>
                        <w:rPr>
                          <w:b/>
                          <w:bCs/>
                          <w:color w:val="000000"/>
                        </w:rPr>
                        <w:t>koeficientų vertės stogams</w:t>
                      </w:r>
                    </w:p>
                    <w:p>
                      <w:pPr>
                        <w:ind w:left="720"/>
                        <w:jc w:val="right"/>
                        <w:rPr>
                          <w:color w:val="000000"/>
                        </w:rPr>
                      </w:pPr>
                      <w:r>
                        <w:rPr>
                          <w:color w:val="000000"/>
                        </w:rPr>
                        <w:t>2.31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2"/>
                        <w:gridCol w:w="2002"/>
                        <w:gridCol w:w="2036"/>
                      </w:tblGrid>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 xml:space="preserve">Stogų apibūdinimas </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bCs/>
                                <w:i/>
                                <w:color w:val="000000"/>
                              </w:rPr>
                              <w:t>F</w:t>
                            </w:r>
                            <w:r>
                              <w:rPr>
                                <w:bCs/>
                                <w:i/>
                                <w:color w:val="000000"/>
                                <w:vertAlign w:val="subscript"/>
                              </w:rPr>
                              <w:t>e.r</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bCs/>
                                <w:i/>
                                <w:color w:val="000000"/>
                              </w:rPr>
                              <w:t>F</w:t>
                            </w:r>
                            <w:r>
                              <w:rPr>
                                <w:bCs/>
                                <w:i/>
                                <w:color w:val="000000"/>
                                <w:vertAlign w:val="subscript"/>
                              </w:rPr>
                              <w:t>r.r</w:t>
                            </w:r>
                            <w:r>
                              <w:rPr>
                                <w:color w:val="000000"/>
                              </w:rPr>
                              <w:t xml:space="preserve"> </w:t>
                            </w:r>
                          </w:p>
                        </w:tc>
                      </w:tr>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Nevėdinami stogai tarp patalpų ir išorės `</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1</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
                                <w:color w:val="000000"/>
                                <w:szCs w:val="22"/>
                              </w:rPr>
                            </w:pPr>
                            <w:r>
                              <w:rPr>
                                <w:rFonts w:eastAsia="Calibri"/>
                                <w:color w:val="000000"/>
                                <w:position w:val="-10"/>
                                <w:szCs w:val="22"/>
                              </w:rPr>
                              <w:object w:dxaOrig="1330" w:dyaOrig="400">
                                <v:shape id="_x0000_i1218" type="#_x0000_t75" style="width:67.15pt;height:20.2pt" o:ole="">
                                  <v:imagedata r:id="rId664" o:title=""/>
                                </v:shape>
                                <o:OLEObject Type="Embed" ProgID="Equation.3" ShapeID="_x0000_i1218" DrawAspect="Content" ObjectID="_0000000001" r:id="rId665"/>
                              </w:object>
                            </w:r>
                            <w:r>
                              <w:rPr>
                                <w:color w:val="000000"/>
                              </w:rPr>
                              <w:t>*</w:t>
                            </w:r>
                          </w:p>
                        </w:tc>
                      </w:tr>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Vėdinami stogai tarp patalpų ir išorės</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0,5</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rFonts w:eastAsia="Calibri"/>
                                <w:color w:val="000000"/>
                                <w:position w:val="-10"/>
                                <w:szCs w:val="22"/>
                              </w:rPr>
                              <w:object w:dxaOrig="1660" w:dyaOrig="400">
                                <v:shape id="_x0000_i1219" type="#_x0000_t75" style="width:83.35pt;height:20.2pt" o:ole="">
                                  <v:imagedata r:id="rId666" o:title=""/>
                                </v:shape>
                                <o:OLEObject Type="Embed" ProgID="Equation.3" ShapeID="_x0000_i1219" DrawAspect="Content" ObjectID="_0000000001" r:id="rId667"/>
                              </w:object>
                            </w:r>
                            <w:r>
                              <w:rPr>
                                <w:color w:val="000000"/>
                              </w:rPr>
                              <w:t>*</w:t>
                            </w:r>
                          </w:p>
                        </w:tc>
                      </w:tr>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szCs w:val="22"/>
                              </w:rPr>
                            </w:pPr>
                            <w:r>
                              <w:rPr>
                                <w:color w:val="000000"/>
                              </w:rPr>
                              <w:t>Kitais atvejais</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rPr>
                              <w:t>0</w:t>
                            </w:r>
                          </w:p>
                        </w:tc>
                      </w:tr>
                    </w:tbl>
                    <w:p>
                      <w:pPr>
                        <w:rPr>
                          <w:color w:val="000000"/>
                        </w:rPr>
                      </w:pPr>
                    </w:p>
                    <w:p>
                      <w:pPr>
                        <w:ind w:firstLine="570"/>
                        <w:jc w:val="both"/>
                        <w:rPr>
                          <w:rFonts w:eastAsia="Calibri"/>
                          <w:bCs/>
                          <w:color w:val="000000"/>
                          <w:szCs w:val="22"/>
                        </w:rPr>
                      </w:pPr>
                      <w:r>
                        <w:rPr>
                          <w:color w:val="000000"/>
                        </w:rPr>
                        <w:t xml:space="preserve">* </w:t>
                      </w:r>
                      <w:r>
                        <w:rPr>
                          <w:bCs/>
                          <w:i/>
                          <w:color w:val="000000"/>
                        </w:rPr>
                        <w:t>γ</w:t>
                      </w:r>
                      <w:r>
                        <w:rPr>
                          <w:bCs/>
                          <w:i/>
                          <w:color w:val="000000"/>
                          <w:vertAlign w:val="subscript"/>
                        </w:rPr>
                        <w:t>r</w:t>
                      </w:r>
                      <w:r>
                        <w:rPr>
                          <w:bCs/>
                          <w:color w:val="000000"/>
                        </w:rPr>
                        <w:t xml:space="preserve"> – stogo išorinio paviršiaus pasvirimo kampas nuo horizontalios plokštumos (žr. 2.12. pav.). Plokštiesiems stogams, t. y. stogams, kurių </w:t>
                      </w:r>
                      <w:r>
                        <w:rPr>
                          <w:bCs/>
                          <w:color w:val="000000"/>
                          <w:szCs w:val="24"/>
                        </w:rPr>
                        <w:t xml:space="preserve">nuolydis </w:t>
                      </w:r>
                      <w:r>
                        <w:rPr>
                          <w:color w:val="000000"/>
                          <w:szCs w:val="24"/>
                        </w:rPr>
                        <w:t>ne didesnis kaip 7 °,</w:t>
                      </w:r>
                      <w:r>
                        <w:rPr>
                          <w:bCs/>
                          <w:color w:val="000000"/>
                        </w:rPr>
                        <w:t xml:space="preserve"> laikoma </w:t>
                      </w:r>
                      <w:r>
                        <w:rPr>
                          <w:bCs/>
                          <w:i/>
                          <w:color w:val="000000"/>
                        </w:rPr>
                        <w:t>γ</w:t>
                      </w:r>
                      <w:r>
                        <w:rPr>
                          <w:bCs/>
                          <w:i/>
                          <w:color w:val="000000"/>
                          <w:vertAlign w:val="subscript"/>
                        </w:rPr>
                        <w:t>r</w:t>
                      </w:r>
                      <w:r>
                        <w:rPr>
                          <w:bCs/>
                          <w:color w:val="000000"/>
                        </w:rPr>
                        <w:t xml:space="preserve">=0. Kitais atvejais šį kampą turi nustatyti pastatų energinio naudingumo sertifikavimo ekspertas ne mažesniu kaip 5 ° tikslumu. </w:t>
                      </w:r>
                    </w:p>
                    <w:p>
                      <w:pPr>
                        <w:ind w:firstLine="570"/>
                        <w:rPr>
                          <w:b/>
                          <w:bCs/>
                          <w:i/>
                          <w:color w:val="000000"/>
                        </w:rPr>
                      </w:pPr>
                    </w:p>
                    <w:p>
                      <w:pPr>
                        <w:jc w:val="center"/>
                        <w:rPr>
                          <w:b/>
                          <w:bCs/>
                        </w:rPr>
                      </w:pPr>
                      <w:r>
                        <w:rPr>
                          <w:b/>
                          <w:bCs/>
                          <w:i/>
                        </w:rPr>
                        <w:t>F</w:t>
                      </w:r>
                      <w:r>
                        <w:rPr>
                          <w:b/>
                          <w:bCs/>
                          <w:i/>
                          <w:vertAlign w:val="subscript"/>
                        </w:rPr>
                        <w:t>e.d</w:t>
                      </w:r>
                      <w:r>
                        <w:rPr>
                          <w:b/>
                        </w:rPr>
                        <w:t xml:space="preserve"> ir </w:t>
                      </w:r>
                      <w:r>
                        <w:rPr>
                          <w:b/>
                          <w:bCs/>
                          <w:i/>
                        </w:rPr>
                        <w:t>F</w:t>
                      </w:r>
                      <w:r>
                        <w:rPr>
                          <w:b/>
                          <w:bCs/>
                          <w:i/>
                          <w:vertAlign w:val="subscript"/>
                        </w:rPr>
                        <w:t>r.d</w:t>
                      </w:r>
                      <w:r>
                        <w:rPr>
                          <w:b/>
                        </w:rPr>
                        <w:t xml:space="preserve"> </w:t>
                      </w:r>
                      <w:r>
                        <w:rPr>
                          <w:b/>
                          <w:bCs/>
                        </w:rPr>
                        <w:t>koeficientų vertės išorinėms durims ir vartams</w:t>
                      </w:r>
                    </w:p>
                    <w:p>
                      <w:pPr>
                        <w:ind w:left="720"/>
                        <w:jc w:val="right"/>
                      </w:pPr>
                      <w:r>
                        <w:t>2.32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2"/>
                        <w:gridCol w:w="2002"/>
                        <w:gridCol w:w="2036"/>
                      </w:tblGrid>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 xml:space="preserve">Durų ir vartų apibūdinimas </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bCs/>
                                <w:i/>
                              </w:rPr>
                              <w:t>F</w:t>
                            </w:r>
                            <w:r>
                              <w:rPr>
                                <w:bCs/>
                                <w:i/>
                                <w:vertAlign w:val="subscript"/>
                              </w:rPr>
                              <w:t>e.d</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bCs/>
                                <w:i/>
                              </w:rPr>
                              <w:t>F</w:t>
                            </w:r>
                            <w:r>
                              <w:rPr>
                                <w:bCs/>
                                <w:i/>
                                <w:vertAlign w:val="subscript"/>
                              </w:rPr>
                              <w:t>r.d</w:t>
                            </w:r>
                            <w:r>
                              <w:t xml:space="preserve"> </w:t>
                            </w:r>
                          </w:p>
                        </w:tc>
                      </w:tr>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Durys ir vartai be tambūro tarp patalpų ir išorės</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r>
                        <w:tc>
                          <w:tcPr>
                            <w:tcW w:w="28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Kitais atvejais</w:t>
                            </w:r>
                          </w:p>
                        </w:tc>
                        <w:tc>
                          <w:tcPr>
                            <w:tcW w:w="10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w:t>
                            </w:r>
                          </w:p>
                        </w:tc>
                        <w:tc>
                          <w:tcPr>
                            <w:tcW w:w="106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w:t>
                            </w:r>
                          </w:p>
                        </w:tc>
                      </w:tr>
                    </w:tbl>
                    <w:p>
                      <w:pPr>
                        <w:rPr>
                          <w:rFonts w:eastAsia="Calibri"/>
                          <w:szCs w:val="22"/>
                        </w:rPr>
                      </w:pPr>
                    </w:p>
                    <w:p>
                      <w:pPr>
                        <w:sectPr>
                          <w:pgSz w:w="11906" w:h="16838"/>
                          <w:pgMar w:top="851" w:right="851" w:bottom="851" w:left="1701" w:header="567" w:footer="567" w:gutter="0"/>
                          <w:cols w:space="1296"/>
                        </w:sectPr>
                      </w:pPr>
                    </w:p>
                    <w:p>
                      <w:pPr>
                        <w:jc w:val="center"/>
                        <w:rPr>
                          <w:b/>
                          <w:bCs/>
                        </w:rPr>
                      </w:pPr>
                      <w:r>
                        <w:rPr>
                          <w:b/>
                          <w:bCs/>
                        </w:rPr>
                        <w:t>Bendrosios Saulės spinduliuotės duomenys sausio–balandžio mėnesiais</w:t>
                      </w:r>
                    </w:p>
                    <w:p>
                      <w:pPr>
                        <w:ind w:left="720"/>
                        <w:jc w:val="right"/>
                      </w:pPr>
                      <w:r>
                        <w:t>2.33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0"/>
                        <w:gridCol w:w="3070"/>
                        <w:gridCol w:w="3071"/>
                        <w:gridCol w:w="3071"/>
                      </w:tblGrid>
                      <w:tr>
                        <w:trPr>
                          <w:gridBefore w:val="1"/>
                          <w:wBefore w:w="3070" w:type="dxa"/>
                          <w:trHeight w:val="382"/>
                        </w:trPr>
                        <w:tc>
                          <w:tcPr>
                            <w:tcW w:w="12282" w:type="dxa"/>
                            <w:gridSpan w:val="4"/>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 xml:space="preserve">Vidutiniai per parą bendrosios Saulės spinduliuotės srauto tankiai </w:t>
                            </w:r>
                            <w:r>
                              <w:rPr>
                                <w:bCs/>
                                <w:i/>
                                <w:sz w:val="22"/>
                              </w:rPr>
                              <w:t>I</w:t>
                            </w:r>
                            <w:r>
                              <w:rPr>
                                <w:bCs/>
                                <w:i/>
                                <w:sz w:val="22"/>
                                <w:vertAlign w:val="subscript"/>
                              </w:rPr>
                              <w:t>sol.wd</w:t>
                            </w:r>
                            <w:r>
                              <w:rPr>
                                <w:sz w:val="22"/>
                              </w:rPr>
                              <w:t xml:space="preserve">, </w:t>
                            </w:r>
                            <w:r>
                              <w:rPr>
                                <w:bCs/>
                                <w:i/>
                                <w:sz w:val="22"/>
                              </w:rPr>
                              <w:t>I</w:t>
                            </w:r>
                            <w:r>
                              <w:rPr>
                                <w:bCs/>
                                <w:i/>
                                <w:sz w:val="22"/>
                                <w:vertAlign w:val="subscript"/>
                              </w:rPr>
                              <w:t>sol.gw</w:t>
                            </w:r>
                            <w:r>
                              <w:rPr>
                                <w:bCs/>
                                <w:i/>
                                <w:sz w:val="22"/>
                              </w:rPr>
                              <w:t>,</w:t>
                            </w:r>
                            <w:r>
                              <w:rPr>
                                <w:sz w:val="22"/>
                              </w:rPr>
                              <w:t xml:space="preserve"> </w:t>
                            </w:r>
                            <w:r>
                              <w:rPr>
                                <w:bCs/>
                                <w:i/>
                                <w:sz w:val="22"/>
                              </w:rPr>
                              <w:t>I</w:t>
                            </w:r>
                            <w:r>
                              <w:rPr>
                                <w:bCs/>
                                <w:i/>
                                <w:sz w:val="22"/>
                                <w:vertAlign w:val="subscript"/>
                              </w:rPr>
                              <w:t>sol.bw</w:t>
                            </w:r>
                            <w:r>
                              <w:rPr>
                                <w:bCs/>
                                <w:i/>
                                <w:sz w:val="22"/>
                              </w:rPr>
                              <w:t>,</w:t>
                            </w:r>
                            <w:r>
                              <w:rPr>
                                <w:sz w:val="22"/>
                              </w:rPr>
                              <w:t xml:space="preserve"> </w:t>
                            </w:r>
                            <w:r>
                              <w:rPr>
                                <w:bCs/>
                                <w:i/>
                                <w:sz w:val="22"/>
                              </w:rPr>
                              <w:t>I</w:t>
                            </w:r>
                            <w:r>
                              <w:rPr>
                                <w:bCs/>
                                <w:i/>
                                <w:sz w:val="22"/>
                                <w:vertAlign w:val="subscript"/>
                              </w:rPr>
                              <w:t>sol.og</w:t>
                            </w:r>
                            <w:r>
                              <w:rPr>
                                <w:bCs/>
                                <w:i/>
                                <w:sz w:val="22"/>
                              </w:rPr>
                              <w:t>, I</w:t>
                            </w:r>
                            <w:r>
                              <w:rPr>
                                <w:bCs/>
                                <w:i/>
                                <w:sz w:val="22"/>
                                <w:vertAlign w:val="subscript"/>
                              </w:rPr>
                              <w:t>sol.w</w:t>
                            </w:r>
                            <w:r>
                              <w:rPr>
                                <w:sz w:val="22"/>
                              </w:rPr>
                              <w:t xml:space="preserve">, </w:t>
                            </w:r>
                            <w:r>
                              <w:rPr>
                                <w:bCs/>
                                <w:i/>
                                <w:sz w:val="22"/>
                              </w:rPr>
                              <w:t>I</w:t>
                            </w:r>
                            <w:r>
                              <w:rPr>
                                <w:bCs/>
                                <w:i/>
                                <w:sz w:val="22"/>
                                <w:vertAlign w:val="subscript"/>
                              </w:rPr>
                              <w:t>sol.r</w:t>
                            </w:r>
                            <w:r>
                              <w:rPr>
                                <w:sz w:val="22"/>
                              </w:rPr>
                              <w:t xml:space="preserve"> ir </w:t>
                            </w:r>
                            <w:r>
                              <w:rPr>
                                <w:bCs/>
                                <w:i/>
                                <w:sz w:val="22"/>
                              </w:rPr>
                              <w:t>I</w:t>
                            </w:r>
                            <w:r>
                              <w:rPr>
                                <w:bCs/>
                                <w:i/>
                                <w:sz w:val="22"/>
                                <w:vertAlign w:val="subscript"/>
                              </w:rPr>
                              <w:t>sol.d</w:t>
                            </w:r>
                            <w:r>
                              <w:rPr>
                                <w:sz w:val="22"/>
                              </w:rPr>
                              <w:t xml:space="preserve"> (W/m²) į įvairios orientacijos atitvaras sausio–balandžio atsižvelgiant į atitvaros pasvirimo kampą nuo horizontaliosios plokštumos</w:t>
                            </w:r>
                            <w:r>
                              <w:rPr>
                                <w:i/>
                                <w:sz w:val="22"/>
                              </w:rPr>
                              <w:t xml:space="preserve"> γ</w:t>
                            </w:r>
                            <w:r>
                              <w:rPr>
                                <w:sz w:val="22"/>
                              </w:rPr>
                              <w:t xml:space="preserve"> (°) </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Atitvarų apibūdinimas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sausis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vasaris</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kovas</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balandis</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Š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0,001·γ² - 0,163·γ + 22,3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0,0037·γ² - 0,533·γ + 51,4</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0,0094·γ² - 1,36·γ + 98,1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0,0101·γ² - 1,95·γ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ŠR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0,001·γ² - 0,162·γ + 22,3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0,0032·γ² - 0,487·γ + 51,4</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0,0057·γ² - 0,994·γ + 98,6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0,0032·γ² - 1,19·γ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-0,0004·γ² + 0,013·γ + 22,4</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-0,0003·γ² - 0,076·γ + 51,6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-0,0013·γ² - 0,162·γ + 98,8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-0,0052·γ² - 0,163·γ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PR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-0,0022·γ² + 0,299·γ + 22,4</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-0,0039·γ² + 0,461·γ + 51,6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-0,0075·γ² + 0,655·γ + 98,9</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-0,0118·γ² + 0,627·γ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P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-0,0027·γ² + 0,406·γ + 22,4</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-0,0053·γ² + 0,716·γ + 51,6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-0,0096·γ² + 0,996·γ + 98,8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-0,0145·γ² + 0,907·γ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PV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-0,002·γ² + 0,256·γ + 22,4</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-0,0041·γ² + 0,488·γ + 51,6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-0,0073·γ² + 0,631·γ + 98,9</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-0,011·γ² + 0,504·γ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-0,0002·γ² - 0,028·γ + 22,4</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-0,0005·γ² - 0,005·γ + 51,6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-0,0012·γ² - 0,185·γ + 98,8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-0,0039·γ² - 0,325·γ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ŠV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0,001·γ² - 0,163·γ + 22,3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0,0031·γ² - 0,479·γ + 51,4</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0,0058·γ² - 1,01·γ + 98,6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0,0042·γ² - 1,3·γ + 149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horizontalų paviršių</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22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52</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99</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rPr>
                                <w:sz w:val="22"/>
                              </w:rPr>
                              <w:t>149</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rPr>
                                <w:sz w:val="22"/>
                              </w:rPr>
                              <w:t>Į Saulės spinduliams statmeną paviršių</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sz w:val="22"/>
                              </w:rPr>
                              <w:t>31,6</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sz w:val="22"/>
                              </w:rPr>
                              <w:t>75,4</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sz w:val="22"/>
                              </w:rPr>
                              <w:t>122,5</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rPr>
                                <w:sz w:val="22"/>
                              </w:rPr>
                              <w:t>184,8</w:t>
                            </w:r>
                          </w:p>
                        </w:tc>
                      </w:tr>
                    </w:tbl>
                    <w:p>
                      <w:pPr>
                        <w:rPr>
                          <w:rFonts w:eastAsia="Calibri"/>
                          <w:szCs w:val="22"/>
                        </w:rPr>
                      </w:pPr>
                    </w:p>
                    <w:p>
                      <w:pPr>
                        <w:jc w:val="center"/>
                        <w:rPr>
                          <w:b/>
                          <w:bCs/>
                          <w:color w:val="000000"/>
                        </w:rPr>
                      </w:pPr>
                      <w:r>
                        <w:rPr>
                          <w:b/>
                          <w:bCs/>
                          <w:color w:val="000000"/>
                        </w:rPr>
                        <w:t>Bendrosios Saulės spinduliuotės duomenys gegužės–rugpjūčio mėnesiais</w:t>
                      </w:r>
                    </w:p>
                    <w:p>
                      <w:pPr>
                        <w:ind w:left="720"/>
                        <w:jc w:val="right"/>
                        <w:rPr>
                          <w:color w:val="000000"/>
                        </w:rPr>
                      </w:pPr>
                      <w:r>
                        <w:rPr>
                          <w:color w:val="000000"/>
                        </w:rPr>
                        <w:t>2.34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0"/>
                        <w:gridCol w:w="3070"/>
                        <w:gridCol w:w="3071"/>
                        <w:gridCol w:w="3071"/>
                      </w:tblGrid>
                      <w:tr>
                        <w:trPr>
                          <w:gridBefore w:val="1"/>
                          <w:wBefore w:w="3070" w:type="dxa"/>
                          <w:trHeight w:val="382"/>
                        </w:trPr>
                        <w:tc>
                          <w:tcPr>
                            <w:tcW w:w="12282" w:type="dxa"/>
                            <w:gridSpan w:val="4"/>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 xml:space="preserve">Vidutiniai per parą bendrosios Saulės spinduliuotės srauto tankiai </w:t>
                            </w:r>
                            <w:r>
                              <w:rPr>
                                <w:bCs/>
                                <w:i/>
                                <w:color w:val="000000"/>
                                <w:sz w:val="22"/>
                              </w:rPr>
                              <w:t>I</w:t>
                            </w:r>
                            <w:r>
                              <w:rPr>
                                <w:bCs/>
                                <w:i/>
                                <w:color w:val="000000"/>
                                <w:sz w:val="22"/>
                                <w:vertAlign w:val="subscript"/>
                              </w:rPr>
                              <w:t>sol.wd</w:t>
                            </w:r>
                            <w:r>
                              <w:rPr>
                                <w:color w:val="000000"/>
                                <w:sz w:val="22"/>
                              </w:rPr>
                              <w:t xml:space="preserve">, </w:t>
                            </w:r>
                            <w:r>
                              <w:rPr>
                                <w:bCs/>
                                <w:i/>
                                <w:color w:val="000000"/>
                                <w:sz w:val="22"/>
                              </w:rPr>
                              <w:t>I</w:t>
                            </w:r>
                            <w:r>
                              <w:rPr>
                                <w:bCs/>
                                <w:i/>
                                <w:color w:val="000000"/>
                                <w:sz w:val="22"/>
                                <w:vertAlign w:val="subscript"/>
                              </w:rPr>
                              <w:t>sol.gw</w:t>
                            </w:r>
                            <w:r>
                              <w:rPr>
                                <w:bCs/>
                                <w:i/>
                                <w:color w:val="000000"/>
                                <w:sz w:val="22"/>
                              </w:rPr>
                              <w:t>,</w:t>
                            </w:r>
                            <w:r>
                              <w:rPr>
                                <w:color w:val="000000"/>
                                <w:sz w:val="22"/>
                              </w:rPr>
                              <w:t xml:space="preserve"> </w:t>
                            </w:r>
                            <w:r>
                              <w:rPr>
                                <w:bCs/>
                                <w:i/>
                                <w:color w:val="000000"/>
                                <w:sz w:val="22"/>
                              </w:rPr>
                              <w:t>I</w:t>
                            </w:r>
                            <w:r>
                              <w:rPr>
                                <w:bCs/>
                                <w:i/>
                                <w:color w:val="000000"/>
                                <w:sz w:val="22"/>
                                <w:vertAlign w:val="subscript"/>
                              </w:rPr>
                              <w:t>sol.bw</w:t>
                            </w:r>
                            <w:r>
                              <w:rPr>
                                <w:bCs/>
                                <w:i/>
                                <w:color w:val="000000"/>
                                <w:sz w:val="22"/>
                              </w:rPr>
                              <w:t>, I</w:t>
                            </w:r>
                            <w:r>
                              <w:rPr>
                                <w:bCs/>
                                <w:i/>
                                <w:color w:val="000000"/>
                                <w:sz w:val="22"/>
                                <w:vertAlign w:val="subscript"/>
                              </w:rPr>
                              <w:t>sol.og</w:t>
                            </w:r>
                            <w:r>
                              <w:rPr>
                                <w:bCs/>
                                <w:i/>
                                <w:color w:val="000000"/>
                                <w:sz w:val="22"/>
                              </w:rPr>
                              <w:t>, I</w:t>
                            </w:r>
                            <w:r>
                              <w:rPr>
                                <w:bCs/>
                                <w:i/>
                                <w:color w:val="000000"/>
                                <w:sz w:val="22"/>
                                <w:vertAlign w:val="subscript"/>
                              </w:rPr>
                              <w:t>sol.w</w:t>
                            </w:r>
                            <w:r>
                              <w:rPr>
                                <w:color w:val="000000"/>
                                <w:sz w:val="22"/>
                              </w:rPr>
                              <w:t xml:space="preserve">, </w:t>
                            </w:r>
                            <w:r>
                              <w:rPr>
                                <w:bCs/>
                                <w:i/>
                                <w:color w:val="000000"/>
                                <w:sz w:val="22"/>
                              </w:rPr>
                              <w:t>I</w:t>
                            </w:r>
                            <w:r>
                              <w:rPr>
                                <w:bCs/>
                                <w:i/>
                                <w:color w:val="000000"/>
                                <w:sz w:val="22"/>
                                <w:vertAlign w:val="subscript"/>
                              </w:rPr>
                              <w:t>sol.r</w:t>
                            </w:r>
                            <w:r>
                              <w:rPr>
                                <w:color w:val="000000"/>
                                <w:sz w:val="22"/>
                              </w:rPr>
                              <w:t xml:space="preserve"> ir </w:t>
                            </w:r>
                            <w:r>
                              <w:rPr>
                                <w:bCs/>
                                <w:i/>
                                <w:color w:val="000000"/>
                                <w:sz w:val="22"/>
                              </w:rPr>
                              <w:t>I</w:t>
                            </w:r>
                            <w:r>
                              <w:rPr>
                                <w:bCs/>
                                <w:i/>
                                <w:color w:val="000000"/>
                                <w:sz w:val="22"/>
                                <w:vertAlign w:val="subscript"/>
                              </w:rPr>
                              <w:t>sol.d</w:t>
                            </w:r>
                            <w:r>
                              <w:rPr>
                                <w:color w:val="000000"/>
                                <w:sz w:val="22"/>
                              </w:rPr>
                              <w:t xml:space="preserve"> (W/m²) į įvairios orientacijos atitvaras gegužės–rugpjūčio mėnesiais atsižvelgiant į atitvaros pasvirimo kampą nuo horizontaliosios plokštumos</w:t>
                            </w:r>
                            <w:r>
                              <w:rPr>
                                <w:i/>
                                <w:color w:val="000000"/>
                                <w:sz w:val="22"/>
                              </w:rPr>
                              <w:t xml:space="preserve"> γ</w:t>
                            </w:r>
                            <w:r>
                              <w:rPr>
                                <w:color w:val="000000"/>
                                <w:sz w:val="22"/>
                              </w:rPr>
                              <w:t xml:space="preserve"> (°)</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Atitvarų apibūdinimas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gegužė</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birželis</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liepa</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rugpjūtis</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0,0085·γ² - 2,26·γ + 213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0,003·γ² - 1,82·γ + 230</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0,0047·γ² - 1,87·γ + 213</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0,0107·γ² - 2,23·γ + 178</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0,0023·γ² - 1,43·γ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- 1,25·γ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0,0006·γ² - 1,22·γ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0,0029·γ² - 1,28·γ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-0,0068·γ² - 0,301·γ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-0,008·γ² - 0,251·γ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-0,0069·γ² - 0,271·γ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-0,0067·γ² - 0,097·γ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-0,0137·γ² + 0,407·γ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-0,0139·γ² + 0,271·γ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-0,0124·γ² + 0,241·γ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-0,0138·γ² + 0,691·γ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-0,0167·γ² + 0,594·γ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-0,0164·γ² + 0,356·γ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-0,0145·γ² + 0,306·γ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-0,0165·γ² + 0,889·γ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-0,0123·γ² + 0,222·γ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-0,0127·γ² + 0,12·γ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-0,0107·γ² + 0,013·γ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-0,0118·γ² + 0,407·γ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-0,0048·γ² - 0,56·γ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-0,0062·γ² - 0,481·γ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-0,0043·γ² - 0,603·γ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-0,0038·γ² - 0,483·γ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0,0041·γ² - 1,64·γ + 212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0,0016·γ² - 1,45·γ + 228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0,003·γ² - 1,49·γ + 211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0,0054·γ² - 1,58·γ + 177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horizontalų paviršių</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212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228</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211</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177</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Saulės spinduliams statmeną paviršių</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244,5</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279,8</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243</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220,6</w:t>
                            </w:r>
                          </w:p>
                        </w:tc>
                      </w:tr>
                    </w:tbl>
                    <w:p>
                      <w:pPr>
                        <w:rPr>
                          <w:rFonts w:eastAsia="Calibri"/>
                          <w:color w:val="000000"/>
                          <w:szCs w:val="22"/>
                        </w:rPr>
                      </w:pPr>
                    </w:p>
                    <w:p>
                      <w:pPr>
                        <w:rPr>
                          <w:color w:val="000000"/>
                        </w:rPr>
                      </w:pPr>
                    </w:p>
                    <w:p>
                      <w:pPr>
                        <w:jc w:val="center"/>
                        <w:rPr>
                          <w:b/>
                          <w:bCs/>
                          <w:color w:val="000000"/>
                        </w:rPr>
                      </w:pPr>
                      <w:r>
                        <w:rPr>
                          <w:b/>
                          <w:bCs/>
                          <w:color w:val="000000"/>
                        </w:rPr>
                        <w:t>Bendrosios Saulės spinduliuotės duomenys rugsėjo–gruodžio mėnesiais</w:t>
                      </w:r>
                    </w:p>
                    <w:p>
                      <w:pPr>
                        <w:ind w:left="720"/>
                        <w:jc w:val="right"/>
                        <w:rPr>
                          <w:color w:val="000000"/>
                        </w:rPr>
                      </w:pPr>
                      <w:r>
                        <w:rPr>
                          <w:color w:val="000000"/>
                        </w:rPr>
                        <w:t>2.35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0"/>
                        <w:gridCol w:w="3070"/>
                        <w:gridCol w:w="3071"/>
                        <w:gridCol w:w="3071"/>
                      </w:tblGrid>
                      <w:tr>
                        <w:trPr>
                          <w:gridBefore w:val="1"/>
                          <w:wBefore w:w="3070" w:type="dxa"/>
                          <w:trHeight w:val="382"/>
                        </w:trPr>
                        <w:tc>
                          <w:tcPr>
                            <w:tcW w:w="12282" w:type="dxa"/>
                            <w:gridSpan w:val="4"/>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 xml:space="preserve">Vidutiniai per parą bendrosios Saulės spinduliuotės srauto tankiai </w:t>
                            </w:r>
                            <w:r>
                              <w:rPr>
                                <w:bCs/>
                                <w:i/>
                                <w:color w:val="000000"/>
                                <w:sz w:val="22"/>
                              </w:rPr>
                              <w:t>I</w:t>
                            </w:r>
                            <w:r>
                              <w:rPr>
                                <w:bCs/>
                                <w:i/>
                                <w:color w:val="000000"/>
                                <w:sz w:val="22"/>
                                <w:vertAlign w:val="subscript"/>
                              </w:rPr>
                              <w:t>sol.wd</w:t>
                            </w:r>
                            <w:r>
                              <w:rPr>
                                <w:color w:val="000000"/>
                                <w:sz w:val="22"/>
                              </w:rPr>
                              <w:t xml:space="preserve">, </w:t>
                            </w:r>
                            <w:r>
                              <w:rPr>
                                <w:bCs/>
                                <w:i/>
                                <w:color w:val="000000"/>
                                <w:sz w:val="22"/>
                              </w:rPr>
                              <w:t>I</w:t>
                            </w:r>
                            <w:r>
                              <w:rPr>
                                <w:bCs/>
                                <w:i/>
                                <w:color w:val="000000"/>
                                <w:sz w:val="22"/>
                                <w:vertAlign w:val="subscript"/>
                              </w:rPr>
                              <w:t>sol.gw</w:t>
                            </w:r>
                            <w:r>
                              <w:rPr>
                                <w:bCs/>
                                <w:i/>
                                <w:color w:val="000000"/>
                                <w:sz w:val="22"/>
                              </w:rPr>
                              <w:t>,</w:t>
                            </w:r>
                            <w:r>
                              <w:rPr>
                                <w:color w:val="000000"/>
                                <w:sz w:val="22"/>
                              </w:rPr>
                              <w:t xml:space="preserve"> </w:t>
                            </w:r>
                            <w:r>
                              <w:rPr>
                                <w:bCs/>
                                <w:i/>
                                <w:color w:val="000000"/>
                                <w:sz w:val="22"/>
                              </w:rPr>
                              <w:t>I</w:t>
                            </w:r>
                            <w:r>
                              <w:rPr>
                                <w:bCs/>
                                <w:i/>
                                <w:color w:val="000000"/>
                                <w:sz w:val="22"/>
                                <w:vertAlign w:val="subscript"/>
                              </w:rPr>
                              <w:t>sol.bw</w:t>
                            </w:r>
                            <w:r>
                              <w:rPr>
                                <w:bCs/>
                                <w:i/>
                                <w:color w:val="000000"/>
                                <w:sz w:val="22"/>
                              </w:rPr>
                              <w:t>, I</w:t>
                            </w:r>
                            <w:r>
                              <w:rPr>
                                <w:bCs/>
                                <w:i/>
                                <w:color w:val="000000"/>
                                <w:sz w:val="22"/>
                                <w:vertAlign w:val="subscript"/>
                              </w:rPr>
                              <w:t>sol.og</w:t>
                            </w:r>
                            <w:r>
                              <w:rPr>
                                <w:bCs/>
                                <w:i/>
                                <w:color w:val="000000"/>
                                <w:sz w:val="22"/>
                              </w:rPr>
                              <w:t>, I</w:t>
                            </w:r>
                            <w:r>
                              <w:rPr>
                                <w:bCs/>
                                <w:i/>
                                <w:color w:val="000000"/>
                                <w:sz w:val="22"/>
                                <w:vertAlign w:val="subscript"/>
                              </w:rPr>
                              <w:t>sol.w</w:t>
                            </w:r>
                            <w:r>
                              <w:rPr>
                                <w:color w:val="000000"/>
                                <w:sz w:val="22"/>
                              </w:rPr>
                              <w:t xml:space="preserve">, </w:t>
                            </w:r>
                            <w:r>
                              <w:rPr>
                                <w:bCs/>
                                <w:i/>
                                <w:color w:val="000000"/>
                                <w:sz w:val="22"/>
                              </w:rPr>
                              <w:t>I</w:t>
                            </w:r>
                            <w:r>
                              <w:rPr>
                                <w:bCs/>
                                <w:i/>
                                <w:color w:val="000000"/>
                                <w:sz w:val="22"/>
                                <w:vertAlign w:val="subscript"/>
                              </w:rPr>
                              <w:t>sol.r</w:t>
                            </w:r>
                            <w:r>
                              <w:rPr>
                                <w:color w:val="000000"/>
                                <w:sz w:val="22"/>
                              </w:rPr>
                              <w:t xml:space="preserve"> ir </w:t>
                            </w:r>
                            <w:r>
                              <w:rPr>
                                <w:bCs/>
                                <w:i/>
                                <w:color w:val="000000"/>
                                <w:sz w:val="22"/>
                              </w:rPr>
                              <w:t>I</w:t>
                            </w:r>
                            <w:r>
                              <w:rPr>
                                <w:bCs/>
                                <w:i/>
                                <w:color w:val="000000"/>
                                <w:sz w:val="22"/>
                                <w:vertAlign w:val="subscript"/>
                              </w:rPr>
                              <w:t>sol.d</w:t>
                            </w:r>
                            <w:r>
                              <w:rPr>
                                <w:color w:val="000000"/>
                                <w:sz w:val="22"/>
                              </w:rPr>
                              <w:t xml:space="preserve"> (W/m²) į įvairios orientacijos atitvaras rugsėjo–gruodžio mėnesiais atsižvelgiant į atitvaros pasvirimo kampą nuo horizontaliosios plokštumos</w:t>
                            </w:r>
                            <w:r>
                              <w:rPr>
                                <w:i/>
                                <w:color w:val="000000"/>
                                <w:sz w:val="22"/>
                              </w:rPr>
                              <w:t xml:space="preserve"> γ</w:t>
                            </w:r>
                            <w:r>
                              <w:rPr>
                                <w:color w:val="000000"/>
                                <w:sz w:val="22"/>
                              </w:rPr>
                              <w:t xml:space="preserve"> (°)</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Atitvarų apibūdinimas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rugsėjis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spalis</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lapkritis</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gruodis</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0,0106·γ² - 1,7·γ + 112</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0,0044·γ² - 0,75·γ + 56,3</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0,0011·γ² - 0,218·γ + 22,6</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0,0005·γ² - 0,101·γ + 14,1</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0,0042·γ² - 1,08·γ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0,0032·γ² - 0,64·γ + 56,5</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0,001·γ² - 0,211·γ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0,0005·γ² - 0,101·γ + 14,1</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-0,0036·γ² - 0,126·γ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-0,0013·γ² - 0,115·γ + 56,7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-0,0005·γ² - 0,035·γ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-0,0004·γ² + 0,017·γ + 14,2</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PR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-0,0105·γ² + 0,736·γ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-0,0057·γ² + 0,493·γ + 56,7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-0,0022·γ² + 0,235·γ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-0,0017·γ² + 0,242·γ + 14,2</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-0,013·γ² + 1,08·γ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-0,0075·γ² + 0,811·γ + 56,7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-0,0028·γ² + 0,358·γ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-0,0022·γ² + 0,339·γ + 14,1</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PV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-0,0103·γ² + 0,698·γ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-0,0062·γ² + 0,586·γ + 56,7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-0,0022·γ² + 0,235·γ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-0,0017·γ² + 0,229·γ + 14,2</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-0,0033·γ² - 0,173·γ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-0,002·γ² - 0,014·γ + 56,7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-0,0005·γ² - 0,034·γ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-0,0003·γ² + 0,007·γ + 14,2</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ŠV orientuotos ativaros</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0,0045·γ² - 1,11·γ + 113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0,0028·γ² - 0,6·γ + 56,5</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0,001·γ² - 0,212·γ + 22,7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0,0005·γ² - 0,101·γ + 14,1</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horizontalų paviršių</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113</w:t>
                            </w:r>
                          </w:p>
                        </w:tc>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57</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23</w:t>
                            </w:r>
                          </w:p>
                        </w:tc>
                        <w:tc>
                          <w:tcPr>
                            <w:tcW w:w="3071"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szCs w:val="22"/>
                              </w:rPr>
                            </w:pPr>
                            <w:r>
                              <w:rPr>
                                <w:color w:val="000000"/>
                                <w:sz w:val="22"/>
                              </w:rPr>
                              <w:t>14</w:t>
                            </w:r>
                          </w:p>
                        </w:tc>
                      </w:tr>
                      <w:tr>
                        <w:tc>
                          <w:tcPr>
                            <w:tcW w:w="307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szCs w:val="22"/>
                              </w:rPr>
                            </w:pPr>
                            <w:r>
                              <w:rPr>
                                <w:color w:val="000000"/>
                                <w:sz w:val="22"/>
                              </w:rPr>
                              <w:t>Į Saulės spinduliams statmeną paviršių</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148,7</w:t>
                            </w:r>
                          </w:p>
                        </w:tc>
                        <w:tc>
                          <w:tcPr>
                            <w:tcW w:w="307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78,2</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36,9</w:t>
                            </w:r>
                          </w:p>
                        </w:tc>
                        <w:tc>
                          <w:tcPr>
                            <w:tcW w:w="307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szCs w:val="22"/>
                              </w:rPr>
                            </w:pPr>
                            <w:r>
                              <w:rPr>
                                <w:color w:val="000000"/>
                                <w:sz w:val="22"/>
                              </w:rPr>
                              <w:t>25,6</w:t>
                            </w:r>
                          </w:p>
                        </w:tc>
                      </w:tr>
                    </w:tbl>
                    <w:p>
                      <w:pPr>
                        <w:rPr>
                          <w:rFonts w:eastAsia="Calibri"/>
                          <w:color w:val="000000"/>
                          <w:szCs w:val="22"/>
                        </w:rPr>
                      </w:pPr>
                    </w:p>
                    <w:p>
                      <w:pPr>
                        <w:rPr>
                          <w:color w:val="000000"/>
                        </w:rPr>
                      </w:pPr>
                    </w:p>
                    <w:p>
                      <w:pPr>
                        <w:rPr>
                          <w:color w:val="000000"/>
                        </w:rPr>
                        <w:sectPr>
                          <w:pgSz w:w="16838" w:h="11906" w:orient="landscape"/>
                          <w:pgMar w:top="1701" w:right="851" w:bottom="851" w:left="851" w:header="567" w:footer="567" w:gutter="0"/>
                          <w:cols w:space="1296"/>
                        </w:sectPr>
                      </w:pPr>
                    </w:p>
                  </w:sdtContent>
                </w:sdt>
              </w:sdtContent>
            </w:sdt>
          </w:sdtContent>
        </w:sdt>
        <w:sdt>
          <w:sdtPr>
            <w:alias w:val="skyrius"/>
            <w:tag w:val="part_cc8688ea1a474d32b6db582ba70e7a37"/>
            <w:lock w:val="sdtLocked"/>
            <w:richText/>
          </w:sdtPr>
          <w:sdtContent>
            <w:p>
              <w:pPr>
                <w:keepNext/>
                <w:keepLines/>
                <w:jc w:val="center"/>
                <w:outlineLvl w:val="2"/>
                <w:rPr>
                  <w:b/>
                  <w:bCs/>
                </w:rPr>
              </w:pPr>
              <w:sdt>
                <w:sdtPr>
                  <w:alias w:val="Numeris"/>
                  <w:tag w:val="nr_cc8688ea1a474d32b6db582ba70e7a37"/>
                  <w:lock w:val="sdtLocked"/>
                  <w:richText/>
                </w:sdtPr>
                <w:sdtContent>
                  <w:r>
                    <w:rPr>
                      <w:b/>
                      <w:bCs/>
                    </w:rPr>
                    <w:t>XVII</w:t>
                  </w:r>
                </w:sdtContent>
              </w:sdt>
              <w:r>
                <w:rPr>
                  <w:b/>
                  <w:bCs/>
                </w:rPr>
                <w:t xml:space="preserve"> skyrius</w:t>
              </w:r>
            </w:p>
            <w:p>
              <w:pPr>
                <w:keepNext/>
                <w:keepLines/>
                <w:jc w:val="center"/>
                <w:outlineLvl w:val="2"/>
                <w:rPr>
                  <w:b/>
                  <w:bCs/>
                </w:rPr>
              </w:pPr>
              <w:sdt>
                <w:sdtPr>
                  <w:alias w:val="Pavadinimas"/>
                  <w:tag w:val="title_cc8688ea1a474d32b6db582ba70e7a37"/>
                  <w:lock w:val="sdtLocked"/>
                  <w:richText/>
                </w:sdtPr>
                <w:sdtContent>
                  <w:r>
                    <w:rPr>
                      <w:b/>
                      <w:bCs/>
                    </w:rPr>
                    <w:t xml:space="preserve">Vidinių šilumos išsiskyrimų skaičiavimas </w:t>
                  </w:r>
                </w:sdtContent>
              </w:sdt>
            </w:p>
            <w:p>
              <w:pPr>
                <w:ind w:firstLine="570"/>
              </w:pPr>
            </w:p>
            <w:sdt>
              <w:sdtPr>
                <w:alias w:val="2 pr. 48 p."/>
                <w:tag w:val="part_8d5bfa3c426c420a8cc00dde7c41cbc9"/>
                <w:lock w:val="sdtLocked"/>
                <w:richText/>
              </w:sdtPr>
              <w:sdtContent>
                <w:p>
                  <w:pPr>
                    <w:ind w:firstLine="570"/>
                    <w:jc w:val="both"/>
                    <w:rPr>
                      <w:color w:val="000000"/>
                    </w:rPr>
                  </w:pPr>
                  <w:sdt>
                    <w:sdtPr>
                      <w:alias w:val="Numeris"/>
                      <w:tag w:val="nr_8d5bfa3c426c420a8cc00dde7c41cbc9"/>
                      <w:lock w:val="sdtLocked"/>
                      <w:richText/>
                    </w:sdtPr>
                    <w:sdtContent>
                      <w:r>
                        <w:rPr>
                          <w:color w:val="000000"/>
                        </w:rPr>
                        <w:t>48</w:t>
                      </w:r>
                    </w:sdtContent>
                  </w:sdt>
                  <w:r>
                    <w:rPr>
                      <w:color w:val="000000"/>
                    </w:rPr>
                    <w:t xml:space="preserve">. Kiekvieno mėnesio </w:t>
                  </w:r>
                  <w:r>
                    <w:rPr>
                      <w:i/>
                      <w:color w:val="000000"/>
                    </w:rPr>
                    <w:t>„m“</w:t>
                  </w:r>
                  <w:r>
                    <w:rPr>
                      <w:b/>
                      <w:color w:val="000000"/>
                    </w:rPr>
                    <w:t xml:space="preserve"> </w:t>
                  </w:r>
                  <w:r>
                    <w:rPr>
                      <w:color w:val="000000"/>
                    </w:rPr>
                    <w:t xml:space="preserve">norminiai </w:t>
                  </w:r>
                  <w:r>
                    <w:rPr>
                      <w:i/>
                      <w:color w:val="000000"/>
                    </w:rPr>
                    <w:t>Q</w:t>
                  </w:r>
                  <w:r>
                    <w:rPr>
                      <w:i/>
                      <w:color w:val="000000"/>
                      <w:vertAlign w:val="subscript"/>
                    </w:rPr>
                    <w:t>N.i„m</w:t>
                  </w:r>
                  <w:r>
                    <w:rPr>
                      <w:color w:val="000000"/>
                    </w:rPr>
                    <w:t xml:space="preserve"> (kWh/(m</w:t>
                  </w:r>
                  <w:r>
                    <w:rPr>
                      <w:color w:val="000000"/>
                      <w:vertAlign w:val="superscript"/>
                    </w:rPr>
                    <w:t>2</w:t>
                  </w:r>
                  <w:r>
                    <w:rPr>
                      <w:color w:val="000000"/>
                    </w:rPr>
                    <w:t xml:space="preserve">·mėn.)), atskaitiniai </w:t>
                  </w:r>
                  <w:r>
                    <w:rPr>
                      <w:i/>
                      <w:color w:val="000000"/>
                    </w:rPr>
                    <w:t>Q</w:t>
                  </w:r>
                  <w:r>
                    <w:rPr>
                      <w:i/>
                      <w:color w:val="000000"/>
                      <w:vertAlign w:val="subscript"/>
                    </w:rPr>
                    <w:t>R.i,m</w:t>
                  </w:r>
                  <w:r>
                    <w:rPr>
                      <w:color w:val="000000"/>
                    </w:rPr>
                    <w:t xml:space="preserve"> (kWh/(m</w:t>
                  </w:r>
                  <w:r>
                    <w:rPr>
                      <w:color w:val="000000"/>
                      <w:vertAlign w:val="superscript"/>
                    </w:rPr>
                    <w:t>2</w:t>
                  </w:r>
                  <w:r>
                    <w:rPr>
                      <w:color w:val="000000"/>
                    </w:rPr>
                    <w:t>·mėn.)) ir skaičiuojamieji</w:t>
                  </w:r>
                  <w:r>
                    <w:rPr>
                      <w:b/>
                      <w:color w:val="000000"/>
                    </w:rPr>
                    <w:t xml:space="preserve"> </w:t>
                  </w:r>
                  <w:r>
                    <w:rPr>
                      <w:color w:val="000000"/>
                    </w:rPr>
                    <w:t xml:space="preserve">vidiniai šilumos išsiskyrimai </w:t>
                  </w:r>
                  <w:r>
                    <w:rPr>
                      <w:i/>
                      <w:color w:val="000000"/>
                    </w:rPr>
                    <w:t>Q</w:t>
                  </w:r>
                  <w:r>
                    <w:rPr>
                      <w:i/>
                      <w:color w:val="000000"/>
                      <w:vertAlign w:val="subscript"/>
                    </w:rPr>
                    <w:t>i,m</w:t>
                  </w:r>
                  <w:r>
                    <w:rPr>
                      <w:color w:val="000000"/>
                    </w:rPr>
                    <w:t xml:space="preserve"> (kWh/(m</w:t>
                  </w:r>
                  <w:r>
                    <w:rPr>
                      <w:color w:val="000000"/>
                      <w:vertAlign w:val="superscript"/>
                    </w:rPr>
                    <w:t>2</w:t>
                  </w:r>
                  <w:r>
                    <w:rPr>
                      <w:color w:val="000000"/>
                    </w:rPr>
                    <w:t>·mėn.)) apskaičiuojami taip [3.19]:</w:t>
                  </w: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bCs/>
                            <w:color w:val="000000"/>
                            <w:szCs w:val="22"/>
                          </w:rPr>
                        </w:pPr>
                        <w:r>
                          <w:rPr>
                            <w:bCs/>
                            <w:color w:val="000000"/>
                          </w:rPr>
                          <w:object w:dxaOrig="6860" w:dyaOrig="650">
                            <v:shape id="_x0000_i1220" type="#_x0000_t75" style="width:342.2pt;height:32.35pt" o:ole="">
                              <v:imagedata r:id="rId668" o:title=""/>
                            </v:shape>
                            <o:OLEObject Type="Embed" ProgID="Equation.3" ShapeID="_x0000_i1220" DrawAspect="Content" ObjectID="_0000000001" r:id="rId669"/>
                          </w:object>
                          <w:t>,</w:t>
                        </w:r>
                      </w:p>
                    </w:tc>
                    <w:tc>
                      <w:tcPr>
                        <w:tcW w:w="1182" w:type="dxa"/>
                        <w:vAlign w:val="center"/>
                        <w:hideMark/>
                      </w:tcPr>
                      <w:p>
                        <w:pPr>
                          <w:spacing w:line="276" w:lineRule="auto"/>
                          <w:jc w:val="right"/>
                          <w:rPr>
                            <w:rFonts w:eastAsia="Calibri"/>
                            <w:bCs/>
                            <w:color w:val="000000"/>
                            <w:szCs w:val="22"/>
                          </w:rPr>
                        </w:pPr>
                        <w:r>
                          <w:rPr>
                            <w:bCs/>
                            <w:color w:val="000000"/>
                          </w:rPr>
                          <w:t>(2.164)</w:t>
                        </w:r>
                      </w:p>
                    </w:tc>
                  </w:tr>
                </w:tbl>
                <w:p>
                  <w:pPr>
                    <w:ind w:firstLine="570"/>
                    <w:rPr>
                      <w:rFonts w:eastAsia="Calibri"/>
                      <w:color w:val="000000"/>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bCs/>
                            <w:color w:val="000000"/>
                            <w:szCs w:val="22"/>
                          </w:rPr>
                        </w:pPr>
                        <w:r>
                          <w:rPr>
                            <w:bCs/>
                            <w:color w:val="000000"/>
                          </w:rPr>
                          <w:object w:dxaOrig="6770" w:dyaOrig="650">
                            <v:shape id="_x0000_i1221" type="#_x0000_t75" style="width:338.15pt;height:32.35pt" o:ole="">
                              <v:imagedata r:id="rId670" o:title=""/>
                            </v:shape>
                            <o:OLEObject Type="Embed" ProgID="Equation.3" ShapeID="_x0000_i1221" DrawAspect="Content" ObjectID="_0000000001" r:id="rId671"/>
                          </w:object>
                          <w:t>,</w:t>
                        </w:r>
                      </w:p>
                    </w:tc>
                    <w:tc>
                      <w:tcPr>
                        <w:tcW w:w="1182" w:type="dxa"/>
                        <w:vAlign w:val="center"/>
                        <w:hideMark/>
                      </w:tcPr>
                      <w:p>
                        <w:pPr>
                          <w:spacing w:line="276" w:lineRule="auto"/>
                          <w:jc w:val="right"/>
                          <w:rPr>
                            <w:rFonts w:eastAsia="Calibri"/>
                            <w:bCs/>
                            <w:color w:val="000000"/>
                            <w:szCs w:val="22"/>
                          </w:rPr>
                        </w:pPr>
                        <w:r>
                          <w:rPr>
                            <w:bCs/>
                            <w:color w:val="000000"/>
                          </w:rPr>
                          <w:t>(2.165)</w:t>
                        </w:r>
                      </w:p>
                    </w:tc>
                  </w:tr>
                </w:tbl>
                <w:p>
                  <w:pPr>
                    <w:ind w:firstLine="570"/>
                    <w:rPr>
                      <w:rFonts w:eastAsia="Calibri"/>
                      <w:color w:val="000000"/>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bCs/>
                            <w:color w:val="000000"/>
                            <w:szCs w:val="22"/>
                          </w:rPr>
                        </w:pPr>
                        <w:r>
                          <w:rPr>
                            <w:rFonts w:eastAsia="Calibri"/>
                            <w:bCs/>
                            <w:color w:val="000000"/>
                            <w:szCs w:val="22"/>
                          </w:rPr>
                          <w:object w:dxaOrig="6030" w:dyaOrig="650">
                            <v:shape id="_x0000_i1222" type="#_x0000_t75" style="width:302.55pt;height:32.35pt" o:ole="">
                              <v:imagedata r:id="rId672" o:title=""/>
                            </v:shape>
                            <o:OLEObject Type="Embed" ProgID="Equation.3" ShapeID="_x0000_i1222" DrawAspect="Content" ObjectID="_0000000001" r:id="rId673"/>
                          </w:object>
                        </w:r>
                        <w:r>
                          <w:rPr>
                            <w:bCs/>
                            <w:color w:val="000000"/>
                          </w:rPr>
                          <w:t>;</w:t>
                        </w:r>
                      </w:p>
                    </w:tc>
                    <w:tc>
                      <w:tcPr>
                        <w:tcW w:w="1182" w:type="dxa"/>
                        <w:vAlign w:val="center"/>
                        <w:hideMark/>
                      </w:tcPr>
                      <w:p>
                        <w:pPr>
                          <w:spacing w:line="276" w:lineRule="auto"/>
                          <w:jc w:val="right"/>
                          <w:rPr>
                            <w:rFonts w:eastAsia="Calibri"/>
                            <w:bCs/>
                            <w:color w:val="000000"/>
                            <w:szCs w:val="22"/>
                          </w:rPr>
                        </w:pPr>
                        <w:r>
                          <w:rPr>
                            <w:bCs/>
                            <w:color w:val="000000"/>
                          </w:rPr>
                          <w:t>(2.166)</w:t>
                        </w:r>
                      </w:p>
                    </w:tc>
                  </w:tr>
                </w:tbl>
                <w:p>
                  <w:pPr>
                    <w:tabs>
                      <w:tab w:val="left" w:pos="567"/>
                    </w:tabs>
                    <w:jc w:val="both"/>
                    <w:rPr>
                      <w:rFonts w:eastAsia="Calibri"/>
                      <w:bCs/>
                      <w:color w:val="000000"/>
                      <w:szCs w:val="22"/>
                    </w:rPr>
                  </w:pPr>
                  <w:r>
                    <w:rPr>
                      <w:bCs/>
                      <w:color w:val="000000"/>
                    </w:rPr>
                    <w:t xml:space="preserve">čia:  </w:t>
                    <w:tab/>
                  </w:r>
                  <w:r>
                    <w:rPr>
                      <w:i/>
                      <w:color w:val="000000"/>
                    </w:rPr>
                    <w:t>Q</w:t>
                  </w:r>
                  <w:r>
                    <w:rPr>
                      <w:i/>
                      <w:color w:val="000000"/>
                      <w:vertAlign w:val="subscript"/>
                    </w:rPr>
                    <w:t>N.E.eq,m</w:t>
                  </w:r>
                  <w:r>
                    <w:rPr>
                      <w:bCs/>
                      <w:color w:val="000000"/>
                    </w:rPr>
                    <w:t xml:space="preserve">, </w:t>
                  </w:r>
                  <w:r>
                    <w:rPr>
                      <w:i/>
                      <w:color w:val="000000"/>
                    </w:rPr>
                    <w:t>Q</w:t>
                  </w:r>
                  <w:r>
                    <w:rPr>
                      <w:i/>
                      <w:color w:val="000000"/>
                      <w:vertAlign w:val="subscript"/>
                    </w:rPr>
                    <w:t>R.E.eq,m</w:t>
                  </w:r>
                  <w:r>
                    <w:rPr>
                      <w:bCs/>
                      <w:color w:val="000000"/>
                    </w:rPr>
                    <w:t xml:space="preserve">, </w:t>
                  </w:r>
                  <w:r>
                    <w:rPr>
                      <w:i/>
                      <w:color w:val="000000"/>
                    </w:rPr>
                    <w:t>Q</w:t>
                  </w:r>
                  <w:r>
                    <w:rPr>
                      <w:i/>
                      <w:color w:val="000000"/>
                      <w:vertAlign w:val="subscript"/>
                    </w:rPr>
                    <w:t>E.eq,m</w:t>
                  </w:r>
                  <w:r>
                    <w:rPr>
                      <w:bCs/>
                      <w:color w:val="000000"/>
                    </w:rPr>
                    <w:t xml:space="preserve"> – apskaičiuojama pagal (2.128) formulę </w:t>
                  </w:r>
                  <w:r>
                    <w:rPr>
                      <w:color w:val="000000"/>
                    </w:rPr>
                    <w:t>(kWh/(m</w:t>
                  </w:r>
                  <w:r>
                    <w:rPr>
                      <w:color w:val="000000"/>
                      <w:vertAlign w:val="superscript"/>
                    </w:rPr>
                    <w:t>2</w:t>
                  </w:r>
                  <w:r>
                    <w:rPr>
                      <w:color w:val="000000"/>
                    </w:rPr>
                    <w:t>·mėn.))</w:t>
                  </w:r>
                  <w:r>
                    <w:rPr>
                      <w:bCs/>
                      <w:color w:val="000000"/>
                    </w:rPr>
                    <w:t>;</w:t>
                  </w:r>
                </w:p>
                <w:p>
                  <w:pPr>
                    <w:ind w:firstLine="567"/>
                    <w:jc w:val="both"/>
                    <w:rPr>
                      <w:bCs/>
                      <w:color w:val="000000"/>
                    </w:rPr>
                  </w:pPr>
                  <w:r>
                    <w:rPr>
                      <w:i/>
                      <w:color w:val="000000"/>
                    </w:rPr>
                    <w:t>Q</w:t>
                  </w:r>
                  <w:r>
                    <w:rPr>
                      <w:i/>
                      <w:color w:val="000000"/>
                      <w:vertAlign w:val="subscript"/>
                    </w:rPr>
                    <w:t>N.E.lg,m</w:t>
                  </w:r>
                  <w:r>
                    <w:rPr>
                      <w:i/>
                      <w:color w:val="000000"/>
                    </w:rPr>
                    <w:t>, Q</w:t>
                  </w:r>
                  <w:r>
                    <w:rPr>
                      <w:i/>
                      <w:color w:val="000000"/>
                      <w:vertAlign w:val="subscript"/>
                    </w:rPr>
                    <w:t>R.E.lg,m</w:t>
                  </w:r>
                  <w:r>
                    <w:rPr>
                      <w:i/>
                      <w:color w:val="000000"/>
                    </w:rPr>
                    <w:t>, Q</w:t>
                  </w:r>
                  <w:r>
                    <w:rPr>
                      <w:i/>
                      <w:color w:val="000000"/>
                      <w:vertAlign w:val="subscript"/>
                    </w:rPr>
                    <w:t>E.lg,m</w:t>
                  </w:r>
                  <w:r>
                    <w:rPr>
                      <w:bCs/>
                      <w:color w:val="000000"/>
                    </w:rPr>
                    <w:t xml:space="preserve"> – apskaičiuojama pagal 36 punkto reikalavimus </w:t>
                  </w:r>
                  <w:r>
                    <w:rPr>
                      <w:color w:val="000000"/>
                    </w:rPr>
                    <w:t>(kWh/(m</w:t>
                  </w:r>
                  <w:r>
                    <w:rPr>
                      <w:color w:val="000000"/>
                      <w:vertAlign w:val="superscript"/>
                    </w:rPr>
                    <w:t>2</w:t>
                  </w:r>
                  <w:r>
                    <w:rPr>
                      <w:color w:val="000000"/>
                    </w:rPr>
                    <w:t>·mėn.))</w:t>
                  </w:r>
                  <w:r>
                    <w:rPr>
                      <w:bCs/>
                      <w:color w:val="000000"/>
                    </w:rPr>
                    <w:t>;</w:t>
                  </w:r>
                </w:p>
                <w:p>
                  <w:pPr>
                    <w:ind w:firstLine="567"/>
                    <w:jc w:val="both"/>
                    <w:rPr>
                      <w:bCs/>
                      <w:color w:val="000000"/>
                    </w:rPr>
                  </w:pPr>
                  <w:r>
                    <w:rPr>
                      <w:i/>
                      <w:color w:val="000000"/>
                    </w:rPr>
                    <w:t>Q</w:t>
                  </w:r>
                  <w:r>
                    <w:rPr>
                      <w:i/>
                      <w:color w:val="000000"/>
                      <w:vertAlign w:val="subscript"/>
                    </w:rPr>
                    <w:t>N.hw.Ls,m</w:t>
                  </w:r>
                  <w:r>
                    <w:rPr>
                      <w:i/>
                      <w:color w:val="000000"/>
                    </w:rPr>
                    <w:t>, Q</w:t>
                  </w:r>
                  <w:r>
                    <w:rPr>
                      <w:i/>
                      <w:color w:val="000000"/>
                      <w:vertAlign w:val="subscript"/>
                    </w:rPr>
                    <w:t xml:space="preserve">R.hw.Ls,m  </w:t>
                  </w:r>
                  <w:r>
                    <w:rPr>
                      <w:bCs/>
                      <w:color w:val="000000"/>
                    </w:rPr>
                    <w:t xml:space="preserve">– apskaičiuojama pagal 39 punkto reikalavimus </w:t>
                  </w:r>
                  <w:r>
                    <w:rPr>
                      <w:color w:val="000000"/>
                    </w:rPr>
                    <w:t>(kWh/(m</w:t>
                  </w:r>
                  <w:r>
                    <w:rPr>
                      <w:color w:val="000000"/>
                      <w:vertAlign w:val="superscript"/>
                    </w:rPr>
                    <w:t>2</w:t>
                  </w:r>
                  <w:r>
                    <w:rPr>
                      <w:color w:val="000000"/>
                    </w:rPr>
                    <w:t>·mėn.))</w:t>
                  </w:r>
                  <w:r>
                    <w:rPr>
                      <w:bCs/>
                      <w:color w:val="000000"/>
                    </w:rPr>
                    <w:t>;</w:t>
                  </w:r>
                </w:p>
                <w:p>
                  <w:pPr>
                    <w:ind w:firstLine="567"/>
                    <w:jc w:val="both"/>
                    <w:rPr>
                      <w:i/>
                      <w:color w:val="000000"/>
                    </w:rPr>
                  </w:pPr>
                  <w:r>
                    <w:rPr>
                      <w:i/>
                      <w:color w:val="000000"/>
                    </w:rPr>
                    <w:t>Q</w:t>
                  </w:r>
                  <w:r>
                    <w:rPr>
                      <w:i/>
                      <w:color w:val="000000"/>
                      <w:vertAlign w:val="subscript"/>
                    </w:rPr>
                    <w:t xml:space="preserve">hw.Ls,m </w:t>
                  </w:r>
                  <w:r>
                    <w:rPr>
                      <w:bCs/>
                      <w:color w:val="000000"/>
                    </w:rPr>
                    <w:t xml:space="preserve">– apskaičiuojama pagal (2.147) formulę </w:t>
                  </w:r>
                  <w:r>
                    <w:rPr>
                      <w:color w:val="000000"/>
                    </w:rPr>
                    <w:t>(kWh/(m</w:t>
                  </w:r>
                  <w:r>
                    <w:rPr>
                      <w:color w:val="000000"/>
                      <w:vertAlign w:val="superscript"/>
                    </w:rPr>
                    <w:t>2</w:t>
                  </w:r>
                  <w:r>
                    <w:rPr>
                      <w:color w:val="000000"/>
                    </w:rPr>
                    <w:t>·mėn.));</w:t>
                  </w:r>
                </w:p>
                <w:p>
                  <w:pPr>
                    <w:ind w:firstLine="567"/>
                    <w:jc w:val="both"/>
                    <w:rPr>
                      <w:bCs/>
                      <w:color w:val="000000"/>
                    </w:rPr>
                  </w:pPr>
                  <w:r>
                    <w:rPr>
                      <w:i/>
                      <w:color w:val="000000"/>
                    </w:rPr>
                    <w:t>0,5</w:t>
                  </w:r>
                  <w:r>
                    <w:rPr>
                      <w:i/>
                      <w:color w:val="000000"/>
                      <w:vertAlign w:val="subscript"/>
                    </w:rPr>
                    <w:t xml:space="preserve"> </w:t>
                  </w:r>
                  <w:r>
                    <w:rPr>
                      <w:bCs/>
                      <w:color w:val="000000"/>
                    </w:rPr>
                    <w:t xml:space="preserve">– vidiniams šilumos išsiskyrimams priskirta pusė šilumos nuostolių </w:t>
                  </w:r>
                  <w:r>
                    <w:rPr>
                      <w:color w:val="000000"/>
                    </w:rPr>
                    <w:t>karšto vandens paskirstymo stovų vamzdynuose</w:t>
                  </w:r>
                  <w:r>
                    <w:rPr>
                      <w:bCs/>
                      <w:color w:val="000000"/>
                    </w:rPr>
                    <w:t>;</w:t>
                  </w:r>
                </w:p>
                <w:p>
                  <w:pPr>
                    <w:ind w:firstLine="567"/>
                    <w:jc w:val="both"/>
                    <w:rPr>
                      <w:bCs/>
                      <w:color w:val="000000"/>
                    </w:rPr>
                  </w:pPr>
                  <w:r>
                    <w:rPr>
                      <w:i/>
                      <w:color w:val="000000"/>
                    </w:rPr>
                    <w:t>Q</w:t>
                  </w:r>
                  <w:r>
                    <w:rPr>
                      <w:i/>
                      <w:color w:val="000000"/>
                      <w:vertAlign w:val="subscript"/>
                    </w:rPr>
                    <w:t>N.hw.L</w:t>
                  </w:r>
                  <w:r>
                    <w:rPr>
                      <w:i/>
                      <w:color w:val="000000"/>
                      <w:position w:val="-6"/>
                      <w:sz w:val="20"/>
                      <w:vertAlign w:val="subscript"/>
                    </w:rPr>
                    <w:t>SL</w:t>
                  </w:r>
                  <w:r>
                    <w:rPr>
                      <w:i/>
                      <w:color w:val="000000"/>
                      <w:vertAlign w:val="subscript"/>
                    </w:rPr>
                    <w:t>,m</w:t>
                  </w:r>
                  <w:r>
                    <w:rPr>
                      <w:i/>
                      <w:color w:val="000000"/>
                    </w:rPr>
                    <w:t>, Q</w:t>
                  </w:r>
                  <w:r>
                    <w:rPr>
                      <w:i/>
                      <w:color w:val="000000"/>
                      <w:vertAlign w:val="subscript"/>
                    </w:rPr>
                    <w:t>R.hw.L</w:t>
                  </w:r>
                  <w:r>
                    <w:rPr>
                      <w:i/>
                      <w:color w:val="000000"/>
                      <w:position w:val="-6"/>
                      <w:sz w:val="20"/>
                      <w:vertAlign w:val="subscript"/>
                    </w:rPr>
                    <w:t>SL</w:t>
                  </w:r>
                  <w:r>
                    <w:rPr>
                      <w:i/>
                      <w:color w:val="000000"/>
                      <w:vertAlign w:val="subscript"/>
                    </w:rPr>
                    <w:t>,m</w:t>
                  </w:r>
                  <w:r>
                    <w:rPr>
                      <w:bCs/>
                      <w:color w:val="000000"/>
                    </w:rPr>
                    <w:t xml:space="preserve"> – apskaičiuojama pagal 39 punkto reikalavimus </w:t>
                  </w:r>
                  <w:r>
                    <w:rPr>
                      <w:color w:val="000000"/>
                    </w:rPr>
                    <w:t>(kWh/(m</w:t>
                  </w:r>
                  <w:r>
                    <w:rPr>
                      <w:color w:val="000000"/>
                      <w:vertAlign w:val="superscript"/>
                    </w:rPr>
                    <w:t>2</w:t>
                  </w:r>
                  <w:r>
                    <w:rPr>
                      <w:color w:val="000000"/>
                    </w:rPr>
                    <w:t>·mėn.))</w:t>
                  </w:r>
                  <w:r>
                    <w:rPr>
                      <w:bCs/>
                      <w:color w:val="000000"/>
                    </w:rPr>
                    <w:t>;</w:t>
                  </w:r>
                </w:p>
                <w:p>
                  <w:pPr>
                    <w:ind w:firstLine="567"/>
                    <w:jc w:val="both"/>
                    <w:rPr>
                      <w:bCs/>
                      <w:color w:val="000000"/>
                    </w:rPr>
                  </w:pPr>
                  <w:r>
                    <w:rPr>
                      <w:i/>
                      <w:color w:val="000000"/>
                    </w:rPr>
                    <w:t>Q</w:t>
                  </w:r>
                  <w:r>
                    <w:rPr>
                      <w:i/>
                      <w:color w:val="000000"/>
                      <w:vertAlign w:val="subscript"/>
                    </w:rPr>
                    <w:t>hw.L</w:t>
                  </w:r>
                  <w:r>
                    <w:rPr>
                      <w:i/>
                      <w:color w:val="000000"/>
                      <w:position w:val="-6"/>
                      <w:sz w:val="20"/>
                      <w:vertAlign w:val="subscript"/>
                    </w:rPr>
                    <w:t>SL</w:t>
                  </w:r>
                  <w:r>
                    <w:rPr>
                      <w:i/>
                      <w:color w:val="000000"/>
                      <w:vertAlign w:val="subscript"/>
                    </w:rPr>
                    <w:t>,m</w:t>
                  </w:r>
                  <w:r>
                    <w:rPr>
                      <w:bCs/>
                      <w:color w:val="000000"/>
                    </w:rPr>
                    <w:t xml:space="preserve"> – apskaičiuojama pagal (2.149) formulę</w:t>
                  </w:r>
                  <w:r>
                    <w:rPr>
                      <w:color w:val="000000"/>
                    </w:rPr>
                    <w:t xml:space="preserve"> (kWh/(m</w:t>
                  </w:r>
                  <w:r>
                    <w:rPr>
                      <w:color w:val="000000"/>
                      <w:vertAlign w:val="superscript"/>
                    </w:rPr>
                    <w:t>2</w:t>
                  </w:r>
                  <w:r>
                    <w:rPr>
                      <w:color w:val="000000"/>
                    </w:rPr>
                    <w:t>·mėn.))</w:t>
                  </w:r>
                  <w:r>
                    <w:rPr>
                      <w:bCs/>
                      <w:color w:val="000000"/>
                    </w:rPr>
                    <w:t>;</w:t>
                  </w:r>
                </w:p>
                <w:p>
                  <w:pPr>
                    <w:ind w:firstLine="567"/>
                    <w:jc w:val="both"/>
                    <w:rPr>
                      <w:bCs/>
                      <w:color w:val="000000"/>
                    </w:rPr>
                  </w:pPr>
                  <w:r>
                    <w:rPr>
                      <w:bCs/>
                      <w:i/>
                      <w:color w:val="000000"/>
                    </w:rPr>
                    <w:t>g</w:t>
                  </w:r>
                  <w:r>
                    <w:rPr>
                      <w:bCs/>
                      <w:i/>
                      <w:color w:val="000000"/>
                      <w:vertAlign w:val="subscript"/>
                    </w:rPr>
                    <w:t>o</w:t>
                  </w:r>
                  <w:r>
                    <w:rPr>
                      <w:bCs/>
                      <w:color w:val="000000"/>
                    </w:rPr>
                    <w:t xml:space="preserve"> – žmogaus išskiriama šiluma (W), imama iš 2.4 lentelės;</w:t>
                  </w:r>
                </w:p>
                <w:p>
                  <w:pPr>
                    <w:ind w:firstLine="567"/>
                    <w:rPr>
                      <w:bCs/>
                      <w:color w:val="000000"/>
                    </w:rPr>
                  </w:pPr>
                  <w:r>
                    <w:rPr>
                      <w:bCs/>
                      <w:i/>
                      <w:color w:val="000000"/>
                    </w:rPr>
                    <w:t>t</w:t>
                  </w:r>
                  <w:r>
                    <w:rPr>
                      <w:bCs/>
                      <w:color w:val="000000"/>
                    </w:rPr>
                    <w:t xml:space="preserve"> – žmonių buvimo patalpoje laikas per parą (h), imamas iš 2.4 lentelės;</w:t>
                  </w:r>
                </w:p>
                <w:p>
                  <w:pPr>
                    <w:ind w:firstLine="567"/>
                    <w:rPr>
                      <w:bCs/>
                      <w:color w:val="000000"/>
                    </w:rPr>
                  </w:pPr>
                  <w:r>
                    <w:rPr>
                      <w:bCs/>
                      <w:i/>
                      <w:color w:val="000000"/>
                    </w:rPr>
                    <w:t>A</w:t>
                  </w:r>
                  <w:r>
                    <w:rPr>
                      <w:bCs/>
                      <w:i/>
                      <w:color w:val="000000"/>
                      <w:vertAlign w:val="subscript"/>
                    </w:rPr>
                    <w:t>o</w:t>
                  </w:r>
                  <w:r>
                    <w:rPr>
                      <w:bCs/>
                      <w:color w:val="000000"/>
                    </w:rPr>
                    <w:t xml:space="preserve"> – plotas vienam žmogui (m</w:t>
                  </w:r>
                  <w:r>
                    <w:rPr>
                      <w:bCs/>
                      <w:color w:val="000000"/>
                      <w:vertAlign w:val="superscript"/>
                    </w:rPr>
                    <w:t>2</w:t>
                  </w:r>
                  <w:r>
                    <w:rPr>
                      <w:bCs/>
                      <w:color w:val="000000"/>
                    </w:rPr>
                    <w:t>), imamas iš 2.4 lentelės.</w:t>
                  </w:r>
                </w:p>
                <w:p>
                  <w:pPr>
                    <w:rPr>
                      <w:color w:val="000000"/>
                    </w:rPr>
                  </w:pPr>
                </w:p>
              </w:sdtContent>
            </w:sdt>
          </w:sdtContent>
        </w:sdt>
        <w:sdt>
          <w:sdtPr>
            <w:alias w:val="skyrius"/>
            <w:tag w:val="part_d19d8293f77a4657af485802c78850f2"/>
            <w:lock w:val="sdtLocked"/>
            <w:richText/>
          </w:sdtPr>
          <w:sdtContent>
            <w:p>
              <w:pPr>
                <w:keepNext/>
                <w:keepLines/>
                <w:jc w:val="center"/>
                <w:outlineLvl w:val="2"/>
                <w:rPr>
                  <w:b/>
                  <w:bCs/>
                </w:rPr>
              </w:pPr>
              <w:sdt>
                <w:sdtPr>
                  <w:alias w:val="Numeris"/>
                  <w:tag w:val="nr_d19d8293f77a4657af485802c78850f2"/>
                  <w:lock w:val="sdtLocked"/>
                  <w:richText/>
                </w:sdtPr>
                <w:sdtContent>
                  <w:r>
                    <w:rPr>
                      <w:b/>
                      <w:bCs/>
                    </w:rPr>
                    <w:t>XVIII</w:t>
                  </w:r>
                </w:sdtContent>
              </w:sdt>
              <w:r>
                <w:rPr>
                  <w:b/>
                  <w:bCs/>
                </w:rPr>
                <w:t xml:space="preserve"> skyrius</w:t>
              </w:r>
            </w:p>
            <w:p>
              <w:pPr>
                <w:keepNext/>
                <w:keepLines/>
                <w:jc w:val="center"/>
                <w:outlineLvl w:val="2"/>
                <w:rPr>
                  <w:b/>
                  <w:bCs/>
                </w:rPr>
              </w:pPr>
              <w:sdt>
                <w:sdtPr>
                  <w:alias w:val="Pavadinimas"/>
                  <w:tag w:val="title_d19d8293f77a4657af485802c78850f2"/>
                  <w:lock w:val="sdtLocked"/>
                  <w:richText/>
                </w:sdtPr>
                <w:sdtContent>
                  <w:r>
                    <w:rPr>
                      <w:b/>
                      <w:bCs/>
                    </w:rPr>
                    <w:t xml:space="preserve">Mėnesinių šilumos poreikių  pastatui šildyti skaičiavimas </w:t>
                  </w:r>
                </w:sdtContent>
              </w:sdt>
            </w:p>
            <w:p>
              <w:pPr>
                <w:ind w:firstLine="570"/>
              </w:pPr>
            </w:p>
            <w:sdt>
              <w:sdtPr>
                <w:alias w:val="2 pr. 49 p."/>
                <w:tag w:val="part_c7fb616458794122a35ee857db0df349"/>
                <w:lock w:val="sdtLocked"/>
                <w:richText/>
              </w:sdtPr>
              <w:sdtContent>
                <w:p>
                  <w:pPr>
                    <w:tabs>
                      <w:tab w:val="left" w:pos="567"/>
                    </w:tabs>
                    <w:suppressAutoHyphens/>
                    <w:ind w:firstLine="570"/>
                    <w:jc w:val="both"/>
                    <w:rPr>
                      <w:color w:val="000000"/>
                      <w:lang w:eastAsia="lt-LT"/>
                    </w:rPr>
                  </w:pPr>
                  <w:sdt>
                    <w:sdtPr>
                      <w:alias w:val="Numeris"/>
                      <w:tag w:val="nr_c7fb616458794122a35ee857db0df349"/>
                      <w:lock w:val="sdtLocked"/>
                      <w:richText/>
                    </w:sdtPr>
                    <w:sdtContent>
                      <w:r>
                        <w:rPr>
                          <w:szCs w:val="24"/>
                          <w:lang w:eastAsia="lt-LT"/>
                        </w:rPr>
                        <w:t>49</w:t>
                      </w:r>
                    </w:sdtContent>
                  </w:sdt>
                  <w:r>
                    <w:rPr>
                      <w:szCs w:val="24"/>
                      <w:lang w:eastAsia="lt-LT"/>
                    </w:rPr>
                    <w:t xml:space="preserve">. </w:t>
                  </w:r>
                  <w:r>
                    <w:rPr>
                      <w:color w:val="000000"/>
                      <w:lang w:eastAsia="lt-LT"/>
                    </w:rPr>
                    <w:t xml:space="preserve">Kiekvieno mėnesio </w:t>
                  </w:r>
                  <w:r>
                    <w:rPr>
                      <w:i/>
                      <w:color w:val="000000"/>
                      <w:lang w:eastAsia="lt-LT"/>
                    </w:rPr>
                    <w:t>„m“</w:t>
                  </w:r>
                  <w:r>
                    <w:rPr>
                      <w:b/>
                      <w:color w:val="000000"/>
                      <w:lang w:eastAsia="lt-LT"/>
                    </w:rPr>
                    <w:t xml:space="preserve"> </w:t>
                  </w:r>
                  <w:r>
                    <w:rPr>
                      <w:color w:val="000000"/>
                      <w:lang w:eastAsia="lt-LT"/>
                    </w:rPr>
                    <w:t xml:space="preserve"> norminiai </w:t>
                  </w:r>
                  <w:r>
                    <w:rPr>
                      <w:i/>
                      <w:color w:val="000000"/>
                      <w:lang w:eastAsia="lt-LT"/>
                    </w:rPr>
                    <w:t>Q</w:t>
                  </w:r>
                  <w:r>
                    <w:rPr>
                      <w:i/>
                      <w:color w:val="000000"/>
                      <w:vertAlign w:val="subscript"/>
                      <w:lang w:eastAsia="lt-LT"/>
                    </w:rPr>
                    <w:t>N.H,m</w:t>
                  </w:r>
                  <w:r>
                    <w:rPr>
                      <w:color w:val="000000"/>
                      <w:lang w:eastAsia="lt-LT"/>
                    </w:rPr>
                    <w:t xml:space="preserve"> (kWh/(m</w:t>
                  </w:r>
                  <w:r>
                    <w:rPr>
                      <w:color w:val="000000"/>
                      <w:vertAlign w:val="superscript"/>
                      <w:lang w:eastAsia="lt-LT"/>
                    </w:rPr>
                    <w:t>2</w:t>
                  </w:r>
                  <w:r>
                    <w:rPr>
                      <w:color w:val="000000"/>
                      <w:lang w:eastAsia="lt-LT"/>
                    </w:rPr>
                    <w:t xml:space="preserve">·mėn.)), atskaitiniai </w:t>
                  </w:r>
                  <w:r>
                    <w:rPr>
                      <w:i/>
                      <w:color w:val="000000"/>
                      <w:lang w:eastAsia="lt-LT"/>
                    </w:rPr>
                    <w:t>Q</w:t>
                  </w:r>
                  <w:r>
                    <w:rPr>
                      <w:i/>
                      <w:color w:val="000000"/>
                      <w:vertAlign w:val="subscript"/>
                      <w:lang w:eastAsia="lt-LT"/>
                    </w:rPr>
                    <w:t>R.H,m</w:t>
                  </w:r>
                  <w:r>
                    <w:rPr>
                      <w:color w:val="000000"/>
                      <w:lang w:eastAsia="lt-LT"/>
                    </w:rPr>
                    <w:t xml:space="preserve"> (kWh/(m</w:t>
                  </w:r>
                  <w:r>
                    <w:rPr>
                      <w:color w:val="000000"/>
                      <w:vertAlign w:val="superscript"/>
                      <w:lang w:eastAsia="lt-LT"/>
                    </w:rPr>
                    <w:t>2</w:t>
                  </w:r>
                  <w:r>
                    <w:rPr>
                      <w:color w:val="000000"/>
                      <w:lang w:eastAsia="lt-LT"/>
                    </w:rPr>
                    <w:t xml:space="preserve">·mėn.)) ir skaičiuojamieji </w:t>
                  </w:r>
                  <w:r>
                    <w:rPr>
                      <w:i/>
                      <w:color w:val="000000"/>
                      <w:lang w:eastAsia="lt-LT"/>
                    </w:rPr>
                    <w:t>Q</w:t>
                  </w:r>
                  <w:r>
                    <w:rPr>
                      <w:i/>
                      <w:color w:val="000000"/>
                      <w:vertAlign w:val="subscript"/>
                      <w:lang w:eastAsia="lt-LT"/>
                    </w:rPr>
                    <w:t>H,m</w:t>
                  </w:r>
                  <w:r>
                    <w:rPr>
                      <w:color w:val="000000"/>
                      <w:lang w:eastAsia="lt-LT"/>
                    </w:rPr>
                    <w:t xml:space="preserve"> (kWh/(m</w:t>
                  </w:r>
                  <w:r>
                    <w:rPr>
                      <w:color w:val="000000"/>
                      <w:vertAlign w:val="superscript"/>
                      <w:lang w:eastAsia="lt-LT"/>
                    </w:rPr>
                    <w:t>2</w:t>
                  </w:r>
                  <w:r>
                    <w:rPr>
                      <w:color w:val="000000"/>
                      <w:lang w:eastAsia="lt-LT"/>
                    </w:rPr>
                    <w:t>·mėn.)) šilumos poreikiai pastatui šildyti apskaičiuojami taip [3.20]:</w:t>
                  </w:r>
                </w:p>
                <w:tbl>
                  <w:tblPr>
                    <w:tblW w:w="0" w:type="auto"/>
                    <w:tblLook w:val="01E0" w:firstRow="1" w:lastRow="1" w:firstColumn="1" w:lastColumn="1" w:noHBand="0" w:noVBand="0"/>
                  </w:tblPr>
                  <w:tblGrid>
                    <w:gridCol w:w="8508"/>
                    <w:gridCol w:w="1062"/>
                  </w:tblGrid>
                  <w:tr>
                    <w:tc>
                      <w:tcPr>
                        <w:tcW w:w="8508" w:type="dxa"/>
                        <w:vAlign w:val="center"/>
                        <w:hideMark/>
                      </w:tcPr>
                      <w:p>
                        <w:pPr>
                          <w:tabs>
                            <w:tab w:val="left" w:pos="567"/>
                          </w:tabs>
                          <w:suppressAutoHyphens/>
                          <w:spacing w:line="276" w:lineRule="auto"/>
                          <w:ind w:left="850" w:hanging="850"/>
                          <w:jc w:val="center"/>
                          <w:rPr>
                            <w:rFonts w:eastAsia="Calibri"/>
                            <w:color w:val="000000"/>
                            <w:lang w:eastAsia="lt-LT"/>
                          </w:rPr>
                        </w:pPr>
                        <w:r>
                          <w:rPr>
                            <w:rFonts w:eastAsia="Calibri"/>
                            <w:color w:val="000000"/>
                            <w:szCs w:val="22"/>
                            <w:lang w:eastAsia="lt-LT"/>
                          </w:rPr>
                          <w:object w:dxaOrig="5688" w:dyaOrig="384">
                            <v:shape id="_x0000_i1223" type="#_x0000_t75" style="width:283.15pt;height:20.2pt" o:ole="">
                              <v:imagedata r:id="rId674" o:title=""/>
                            </v:shape>
                            <o:OLEObject Type="Embed" ProgID="Equation.3" ShapeID="_x0000_i1223" DrawAspect="Content" ObjectID="_0000000001" r:id="rId675"/>
                          </w:object>
                        </w:r>
                      </w:p>
                      <w:p>
                        <w:pPr>
                          <w:tabs>
                            <w:tab w:val="left" w:pos="567"/>
                          </w:tabs>
                          <w:suppressAutoHyphens/>
                          <w:spacing w:line="276" w:lineRule="auto"/>
                          <w:ind w:left="567"/>
                          <w:jc w:val="center"/>
                          <w:rPr>
                            <w:rFonts w:eastAsia="Calibri"/>
                            <w:color w:val="000000"/>
                            <w:szCs w:val="22"/>
                            <w:lang w:eastAsia="lt-LT"/>
                          </w:rPr>
                        </w:pPr>
                        <w:r>
                          <w:rPr>
                            <w:color w:val="000000"/>
                            <w:lang w:eastAsia="lt-LT"/>
                          </w:rPr>
                          <w:t xml:space="preserve">ir jei </w:t>
                        </w:r>
                        <w:r>
                          <w:rPr>
                            <w:i/>
                            <w:color w:val="000000"/>
                            <w:lang w:eastAsia="lt-LT"/>
                          </w:rPr>
                          <w:t>Q</w:t>
                        </w:r>
                        <w:r>
                          <w:rPr>
                            <w:i/>
                            <w:color w:val="000000"/>
                            <w:vertAlign w:val="subscript"/>
                            <w:lang w:eastAsia="lt-LT"/>
                          </w:rPr>
                          <w:t>N.H,m</w:t>
                        </w:r>
                        <w:r>
                          <w:rPr>
                            <w:i/>
                            <w:color w:val="000000"/>
                            <w:lang w:eastAsia="lt-LT"/>
                          </w:rPr>
                          <w:t>≤</w:t>
                        </w:r>
                        <w:r>
                          <w:rPr>
                            <w:color w:val="000000"/>
                            <w:lang w:eastAsia="lt-LT"/>
                          </w:rPr>
                          <w:t>0,1 , tai</w:t>
                        </w:r>
                        <w:r>
                          <w:rPr>
                            <w:i/>
                            <w:color w:val="000000"/>
                            <w:vertAlign w:val="subscript"/>
                            <w:lang w:eastAsia="lt-LT"/>
                          </w:rPr>
                          <w:t xml:space="preserve">  </w:t>
                        </w:r>
                        <w:r>
                          <w:rPr>
                            <w:i/>
                            <w:color w:val="000000"/>
                            <w:lang w:eastAsia="lt-LT"/>
                          </w:rPr>
                          <w:t>Q</w:t>
                        </w:r>
                        <w:r>
                          <w:rPr>
                            <w:i/>
                            <w:color w:val="000000"/>
                            <w:vertAlign w:val="subscript"/>
                            <w:lang w:eastAsia="lt-LT"/>
                          </w:rPr>
                          <w:t>N.H,m</w:t>
                        </w:r>
                        <w:r>
                          <w:rPr>
                            <w:color w:val="000000"/>
                            <w:lang w:eastAsia="lt-LT"/>
                          </w:rPr>
                          <w:t xml:space="preserve"> =0;</w:t>
                        </w:r>
                      </w:p>
                    </w:tc>
                    <w:tc>
                      <w:tcPr>
                        <w:tcW w:w="1062" w:type="dxa"/>
                        <w:hideMark/>
                      </w:tcPr>
                      <w:p>
                        <w:pPr>
                          <w:tabs>
                            <w:tab w:val="left" w:pos="567"/>
                          </w:tabs>
                          <w:suppressAutoHyphens/>
                          <w:rPr>
                            <w:color w:val="000000"/>
                            <w:sz w:val="10"/>
                            <w:szCs w:val="10"/>
                            <w:lang w:eastAsia="lt-LT"/>
                          </w:rPr>
                        </w:pPr>
                      </w:p>
                      <w:p>
                        <w:pPr>
                          <w:tabs>
                            <w:tab w:val="left" w:pos="567"/>
                          </w:tabs>
                          <w:suppressAutoHyphens/>
                          <w:spacing w:line="360" w:lineRule="auto"/>
                          <w:ind w:left="850" w:hanging="850"/>
                          <w:jc w:val="center"/>
                          <w:rPr>
                            <w:rFonts w:eastAsia="Calibri"/>
                            <w:color w:val="000000"/>
                            <w:szCs w:val="22"/>
                            <w:lang w:eastAsia="lt-LT"/>
                          </w:rPr>
                        </w:pPr>
                        <w:r>
                          <w:rPr>
                            <w:color w:val="000000"/>
                            <w:lang w:eastAsia="lt-LT"/>
                          </w:rPr>
                          <w:t>(2.167)</w:t>
                        </w:r>
                      </w:p>
                    </w:tc>
                  </w:tr>
                </w:tbl>
                <w:p>
                  <w:pPr>
                    <w:tabs>
                      <w:tab w:val="left" w:pos="567"/>
                    </w:tabs>
                    <w:suppressAutoHyphens/>
                    <w:ind w:firstLine="570"/>
                    <w:rPr>
                      <w:rFonts w:eastAsia="Calibri"/>
                      <w:color w:val="000000"/>
                      <w:szCs w:val="22"/>
                      <w:lang w:eastAsia="lt-LT"/>
                    </w:rPr>
                  </w:pPr>
                </w:p>
                <w:tbl>
                  <w:tblPr>
                    <w:tblW w:w="0" w:type="auto"/>
                    <w:tblLook w:val="01E0" w:firstRow="1" w:lastRow="1" w:firstColumn="1" w:lastColumn="1" w:noHBand="0" w:noVBand="0"/>
                  </w:tblPr>
                  <w:tblGrid>
                    <w:gridCol w:w="8607"/>
                    <w:gridCol w:w="963"/>
                  </w:tblGrid>
                  <w:tr>
                    <w:tc>
                      <w:tcPr>
                        <w:tcW w:w="8607" w:type="dxa"/>
                        <w:vAlign w:val="center"/>
                        <w:hideMark/>
                      </w:tcPr>
                      <w:p>
                        <w:pPr>
                          <w:tabs>
                            <w:tab w:val="left" w:pos="567"/>
                          </w:tabs>
                          <w:suppressAutoHyphens/>
                          <w:spacing w:line="276" w:lineRule="auto"/>
                          <w:ind w:left="851" w:hanging="851"/>
                          <w:jc w:val="center"/>
                          <w:rPr>
                            <w:rFonts w:eastAsia="Calibri"/>
                            <w:color w:val="000000"/>
                            <w:lang w:eastAsia="lt-LT"/>
                          </w:rPr>
                        </w:pPr>
                        <w:r>
                          <w:rPr>
                            <w:rFonts w:eastAsia="Calibri"/>
                            <w:color w:val="000000"/>
                            <w:szCs w:val="22"/>
                            <w:lang w:eastAsia="lt-LT"/>
                          </w:rPr>
                          <w:object w:dxaOrig="5544" w:dyaOrig="384">
                            <v:shape id="_x0000_i1224" type="#_x0000_t75" style="width:277.5pt;height:20.2pt" o:ole="">
                              <v:imagedata r:id="rId676" o:title=""/>
                            </v:shape>
                            <o:OLEObject Type="Embed" ProgID="Equation.3" ShapeID="_x0000_i1224" DrawAspect="Content" ObjectID="_0000000001" r:id="rId677"/>
                          </w:object>
                        </w:r>
                      </w:p>
                      <w:p>
                        <w:pPr>
                          <w:tabs>
                            <w:tab w:val="left" w:pos="567"/>
                          </w:tabs>
                          <w:suppressAutoHyphens/>
                          <w:spacing w:line="276" w:lineRule="auto"/>
                          <w:ind w:left="851" w:hanging="851"/>
                          <w:jc w:val="center"/>
                          <w:rPr>
                            <w:rFonts w:eastAsia="Calibri"/>
                            <w:color w:val="000000"/>
                            <w:szCs w:val="22"/>
                            <w:lang w:eastAsia="lt-LT"/>
                          </w:rPr>
                        </w:pPr>
                        <w:r>
                          <w:rPr>
                            <w:color w:val="000000"/>
                            <w:lang w:eastAsia="lt-LT"/>
                          </w:rPr>
                          <w:t xml:space="preserve">ir jei </w:t>
                        </w:r>
                        <w:r>
                          <w:rPr>
                            <w:i/>
                            <w:color w:val="000000"/>
                            <w:lang w:eastAsia="lt-LT"/>
                          </w:rPr>
                          <w:t>Q</w:t>
                        </w:r>
                        <w:r>
                          <w:rPr>
                            <w:i/>
                            <w:color w:val="000000"/>
                            <w:vertAlign w:val="subscript"/>
                            <w:lang w:eastAsia="lt-LT"/>
                          </w:rPr>
                          <w:t>R.H,m</w:t>
                        </w:r>
                        <w:r>
                          <w:rPr>
                            <w:i/>
                            <w:color w:val="000000"/>
                            <w:lang w:eastAsia="lt-LT"/>
                          </w:rPr>
                          <w:t>≤</w:t>
                        </w:r>
                        <w:r>
                          <w:rPr>
                            <w:color w:val="000000"/>
                            <w:lang w:eastAsia="lt-LT"/>
                          </w:rPr>
                          <w:t>0,1, tai</w:t>
                        </w:r>
                        <w:r>
                          <w:rPr>
                            <w:i/>
                            <w:color w:val="000000"/>
                            <w:vertAlign w:val="subscript"/>
                            <w:lang w:eastAsia="lt-LT"/>
                          </w:rPr>
                          <w:t xml:space="preserve">  </w:t>
                        </w:r>
                        <w:r>
                          <w:rPr>
                            <w:i/>
                            <w:color w:val="000000"/>
                            <w:lang w:eastAsia="lt-LT"/>
                          </w:rPr>
                          <w:t>Q</w:t>
                        </w:r>
                        <w:r>
                          <w:rPr>
                            <w:i/>
                            <w:color w:val="000000"/>
                            <w:vertAlign w:val="subscript"/>
                            <w:lang w:eastAsia="lt-LT"/>
                          </w:rPr>
                          <w:t>R.H,m</w:t>
                        </w:r>
                        <w:r>
                          <w:rPr>
                            <w:color w:val="000000"/>
                            <w:lang w:eastAsia="lt-LT"/>
                          </w:rPr>
                          <w:t xml:space="preserve"> =0;</w:t>
                        </w:r>
                      </w:p>
                    </w:tc>
                    <w:tc>
                      <w:tcPr>
                        <w:tcW w:w="963" w:type="dxa"/>
                        <w:hideMark/>
                      </w:tcPr>
                      <w:p>
                        <w:pPr>
                          <w:tabs>
                            <w:tab w:val="left" w:pos="567"/>
                          </w:tabs>
                          <w:suppressAutoHyphens/>
                          <w:rPr>
                            <w:color w:val="000000"/>
                            <w:sz w:val="10"/>
                            <w:szCs w:val="10"/>
                            <w:lang w:eastAsia="lt-LT"/>
                          </w:rPr>
                        </w:pPr>
                      </w:p>
                      <w:p>
                        <w:pPr>
                          <w:tabs>
                            <w:tab w:val="left" w:pos="567"/>
                          </w:tabs>
                          <w:suppressAutoHyphens/>
                          <w:spacing w:line="360" w:lineRule="auto"/>
                          <w:ind w:left="850" w:hanging="850"/>
                          <w:jc w:val="center"/>
                          <w:rPr>
                            <w:rFonts w:eastAsia="Calibri"/>
                            <w:color w:val="000000"/>
                            <w:szCs w:val="22"/>
                            <w:lang w:eastAsia="lt-LT"/>
                          </w:rPr>
                        </w:pPr>
                        <w:r>
                          <w:rPr>
                            <w:color w:val="000000"/>
                            <w:lang w:eastAsia="lt-LT"/>
                          </w:rPr>
                          <w:t>(2.168)</w:t>
                        </w:r>
                      </w:p>
                    </w:tc>
                  </w:tr>
                </w:tbl>
                <w:p>
                  <w:pPr>
                    <w:tabs>
                      <w:tab w:val="left" w:pos="567"/>
                    </w:tabs>
                    <w:suppressAutoHyphens/>
                    <w:ind w:firstLine="570"/>
                    <w:rPr>
                      <w:rFonts w:eastAsia="Calibri"/>
                      <w:color w:val="000000"/>
                      <w:szCs w:val="22"/>
                      <w:lang w:eastAsia="lt-LT"/>
                    </w:rPr>
                  </w:pPr>
                </w:p>
                <w:tbl>
                  <w:tblPr>
                    <w:tblW w:w="0" w:type="auto"/>
                    <w:tblLook w:val="01E0" w:firstRow="1" w:lastRow="1" w:firstColumn="1" w:lastColumn="1" w:noHBand="0" w:noVBand="0"/>
                  </w:tblPr>
                  <w:tblGrid>
                    <w:gridCol w:w="8607"/>
                    <w:gridCol w:w="963"/>
                  </w:tblGrid>
                  <w:tr>
                    <w:tc>
                      <w:tcPr>
                        <w:tcW w:w="8607" w:type="dxa"/>
                        <w:vAlign w:val="center"/>
                        <w:hideMark/>
                      </w:tcPr>
                      <w:p>
                        <w:pPr>
                          <w:tabs>
                            <w:tab w:val="left" w:pos="567"/>
                          </w:tabs>
                          <w:suppressAutoHyphens/>
                          <w:spacing w:line="276" w:lineRule="auto"/>
                          <w:ind w:left="851" w:hanging="851"/>
                          <w:jc w:val="center"/>
                          <w:rPr>
                            <w:rFonts w:eastAsia="Calibri"/>
                            <w:color w:val="000000"/>
                            <w:lang w:eastAsia="lt-LT"/>
                          </w:rPr>
                        </w:pPr>
                        <w:r>
                          <w:rPr>
                            <w:rFonts w:eastAsia="Calibri"/>
                            <w:color w:val="000000"/>
                            <w:lang w:eastAsia="lt-LT"/>
                          </w:rPr>
                          <w:object w:dxaOrig="4680" w:dyaOrig="384">
                            <v:shape id="_x0000_i1225" type="#_x0000_t75" style="width:234.6pt;height:20.2pt" o:ole="">
                              <v:imagedata r:id="rId678" o:title=""/>
                            </v:shape>
                            <o:OLEObject Type="Embed" ProgID="Equation.3" ShapeID="_x0000_i1225" DrawAspect="Content" ObjectID="_0000000001" r:id="rId679"/>
                          </w:object>
                        </w:r>
                      </w:p>
                      <w:p>
                        <w:pPr>
                          <w:tabs>
                            <w:tab w:val="left" w:pos="567"/>
                          </w:tabs>
                          <w:suppressAutoHyphens/>
                          <w:spacing w:line="276" w:lineRule="auto"/>
                          <w:ind w:left="851" w:hanging="851"/>
                          <w:jc w:val="center"/>
                          <w:rPr>
                            <w:rFonts w:eastAsia="Calibri"/>
                            <w:color w:val="000000"/>
                            <w:szCs w:val="22"/>
                            <w:lang w:eastAsia="lt-LT"/>
                          </w:rPr>
                        </w:pPr>
                        <w:r>
                          <w:rPr>
                            <w:color w:val="000000"/>
                            <w:lang w:eastAsia="lt-LT"/>
                          </w:rPr>
                          <w:t xml:space="preserve">ir jei </w:t>
                        </w:r>
                        <w:r>
                          <w:rPr>
                            <w:i/>
                            <w:color w:val="000000"/>
                            <w:lang w:eastAsia="lt-LT"/>
                          </w:rPr>
                          <w:t>Q</w:t>
                        </w:r>
                        <w:r>
                          <w:rPr>
                            <w:i/>
                            <w:color w:val="000000"/>
                            <w:vertAlign w:val="subscript"/>
                            <w:lang w:eastAsia="lt-LT"/>
                          </w:rPr>
                          <w:t>H,m</w:t>
                        </w:r>
                        <w:r>
                          <w:rPr>
                            <w:i/>
                            <w:color w:val="000000"/>
                            <w:lang w:eastAsia="lt-LT"/>
                          </w:rPr>
                          <w:t>≤</w:t>
                        </w:r>
                        <w:r>
                          <w:rPr>
                            <w:color w:val="000000"/>
                            <w:lang w:eastAsia="lt-LT"/>
                          </w:rPr>
                          <w:t>0,1 , tai</w:t>
                        </w:r>
                        <w:r>
                          <w:rPr>
                            <w:i/>
                            <w:color w:val="000000"/>
                            <w:vertAlign w:val="subscript"/>
                            <w:lang w:eastAsia="lt-LT"/>
                          </w:rPr>
                          <w:t xml:space="preserve">  </w:t>
                        </w:r>
                        <w:r>
                          <w:rPr>
                            <w:i/>
                            <w:color w:val="000000"/>
                            <w:lang w:eastAsia="lt-LT"/>
                          </w:rPr>
                          <w:t>Q</w:t>
                        </w:r>
                        <w:r>
                          <w:rPr>
                            <w:i/>
                            <w:color w:val="000000"/>
                            <w:vertAlign w:val="subscript"/>
                            <w:lang w:eastAsia="lt-LT"/>
                          </w:rPr>
                          <w:t>H,m</w:t>
                        </w:r>
                        <w:r>
                          <w:rPr>
                            <w:color w:val="000000"/>
                            <w:lang w:eastAsia="lt-LT"/>
                          </w:rPr>
                          <w:t xml:space="preserve"> =0;</w:t>
                        </w:r>
                      </w:p>
                    </w:tc>
                    <w:tc>
                      <w:tcPr>
                        <w:tcW w:w="963" w:type="dxa"/>
                        <w:hideMark/>
                      </w:tcPr>
                      <w:p>
                        <w:pPr>
                          <w:tabs>
                            <w:tab w:val="left" w:pos="567"/>
                          </w:tabs>
                          <w:suppressAutoHyphens/>
                          <w:rPr>
                            <w:color w:val="000000"/>
                            <w:sz w:val="10"/>
                            <w:szCs w:val="10"/>
                            <w:lang w:eastAsia="lt-LT"/>
                          </w:rPr>
                        </w:pPr>
                      </w:p>
                      <w:p>
                        <w:pPr>
                          <w:tabs>
                            <w:tab w:val="left" w:pos="567"/>
                          </w:tabs>
                          <w:suppressAutoHyphens/>
                          <w:spacing w:line="360" w:lineRule="auto"/>
                          <w:ind w:left="850" w:hanging="850"/>
                          <w:jc w:val="center"/>
                          <w:rPr>
                            <w:rFonts w:eastAsia="Calibri"/>
                            <w:color w:val="000000"/>
                            <w:szCs w:val="22"/>
                            <w:lang w:eastAsia="lt-LT"/>
                          </w:rPr>
                        </w:pPr>
                        <w:r>
                          <w:rPr>
                            <w:color w:val="000000"/>
                            <w:lang w:eastAsia="lt-LT"/>
                          </w:rPr>
                          <w:t>(2.169)</w:t>
                        </w:r>
                      </w:p>
                    </w:tc>
                  </w:tr>
                </w:tbl>
                <w:p>
                  <w:pPr>
                    <w:tabs>
                      <w:tab w:val="left" w:pos="567"/>
                    </w:tabs>
                    <w:suppressAutoHyphens/>
                    <w:rPr>
                      <w:rFonts w:eastAsia="Calibri"/>
                      <w:color w:val="000000"/>
                      <w:szCs w:val="22"/>
                      <w:lang w:eastAsia="lt-LT"/>
                    </w:rPr>
                  </w:pPr>
                  <w:r>
                    <w:rPr>
                      <w:color w:val="000000"/>
                      <w:lang w:eastAsia="lt-LT"/>
                    </w:rPr>
                    <w:t>čia:</w:t>
                    <w:tab/>
                  </w:r>
                  <w:r>
                    <w:rPr>
                      <w:i/>
                      <w:color w:val="000000"/>
                      <w:lang w:eastAsia="lt-LT"/>
                    </w:rPr>
                    <w:t>Q</w:t>
                  </w:r>
                  <w:r>
                    <w:rPr>
                      <w:i/>
                      <w:color w:val="000000"/>
                      <w:vertAlign w:val="subscript"/>
                      <w:lang w:eastAsia="lt-LT"/>
                    </w:rPr>
                    <w:t>N.H.env,m</w:t>
                  </w:r>
                  <w:r>
                    <w:rPr>
                      <w:color w:val="000000"/>
                      <w:lang w:eastAsia="lt-LT"/>
                    </w:rPr>
                    <w:t xml:space="preserve">, </w:t>
                  </w:r>
                  <w:r>
                    <w:rPr>
                      <w:i/>
                      <w:color w:val="000000"/>
                      <w:lang w:eastAsia="lt-LT"/>
                    </w:rPr>
                    <w:t>Q</w:t>
                  </w:r>
                  <w:r>
                    <w:rPr>
                      <w:i/>
                      <w:color w:val="000000"/>
                      <w:vertAlign w:val="subscript"/>
                      <w:lang w:eastAsia="lt-LT"/>
                    </w:rPr>
                    <w:t>R.H.env,m</w:t>
                  </w:r>
                  <w:r>
                    <w:rPr>
                      <w:color w:val="000000"/>
                      <w:lang w:eastAsia="lt-LT"/>
                    </w:rPr>
                    <w:t xml:space="preserve">, </w:t>
                  </w:r>
                  <w:r>
                    <w:rPr>
                      <w:i/>
                      <w:color w:val="000000"/>
                      <w:lang w:eastAsia="lt-LT"/>
                    </w:rPr>
                    <w:t>Q</w:t>
                  </w:r>
                  <w:r>
                    <w:rPr>
                      <w:i/>
                      <w:color w:val="000000"/>
                      <w:vertAlign w:val="subscript"/>
                      <w:lang w:eastAsia="lt-LT"/>
                    </w:rPr>
                    <w:t>H.env,m</w:t>
                  </w:r>
                  <w:r>
                    <w:rPr>
                      <w:i/>
                      <w:color w:val="000000"/>
                      <w:lang w:eastAsia="lt-LT"/>
                    </w:rPr>
                    <w:t xml:space="preserve"> </w:t>
                  </w:r>
                  <w:r>
                    <w:rPr>
                      <w:color w:val="000000"/>
                      <w:lang w:eastAsia="lt-LT"/>
                    </w:rPr>
                    <w:t>– apskaičiuojama pagal (2.119), (2.120) ir (2.121) formules;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N.H.vent,m</w:t>
                  </w:r>
                  <w:r>
                    <w:rPr>
                      <w:color w:val="000000"/>
                      <w:lang w:eastAsia="lt-LT"/>
                    </w:rPr>
                    <w:t xml:space="preserve">, </w:t>
                  </w:r>
                  <w:r>
                    <w:rPr>
                      <w:i/>
                      <w:color w:val="000000"/>
                      <w:lang w:eastAsia="lt-LT"/>
                    </w:rPr>
                    <w:t>Q</w:t>
                  </w:r>
                  <w:r>
                    <w:rPr>
                      <w:i/>
                      <w:color w:val="000000"/>
                      <w:vertAlign w:val="subscript"/>
                      <w:lang w:eastAsia="lt-LT"/>
                    </w:rPr>
                    <w:t xml:space="preserve">R.H.vent,m </w:t>
                  </w:r>
                  <w:r>
                    <w:rPr>
                      <w:color w:val="000000"/>
                      <w:lang w:eastAsia="lt-LT"/>
                    </w:rPr>
                    <w:t>– apskaičiuojama pagal (2.99) formulę;</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N.e,m</w:t>
                  </w:r>
                  <w:r>
                    <w:rPr>
                      <w:color w:val="000000"/>
                      <w:lang w:eastAsia="lt-LT"/>
                    </w:rPr>
                    <w:t xml:space="preserve">, </w:t>
                  </w:r>
                  <w:r>
                    <w:rPr>
                      <w:i/>
                      <w:color w:val="000000"/>
                      <w:lang w:eastAsia="lt-LT"/>
                    </w:rPr>
                    <w:t>Q</w:t>
                  </w:r>
                  <w:r>
                    <w:rPr>
                      <w:i/>
                      <w:color w:val="000000"/>
                      <w:vertAlign w:val="subscript"/>
                      <w:lang w:eastAsia="lt-LT"/>
                    </w:rPr>
                    <w:t>R.e,m</w:t>
                  </w:r>
                  <w:r>
                    <w:rPr>
                      <w:i/>
                      <w:color w:val="000000"/>
                      <w:lang w:eastAsia="lt-LT"/>
                    </w:rPr>
                    <w:t xml:space="preserve"> </w:t>
                  </w:r>
                  <w:r>
                    <w:rPr>
                      <w:color w:val="000000"/>
                      <w:lang w:eastAsia="lt-LT"/>
                    </w:rPr>
                    <w:t>– apskaičiuojama pagal XVI skyriaus reikalavimus;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N.i,m</w:t>
                  </w:r>
                  <w:r>
                    <w:rPr>
                      <w:i/>
                      <w:color w:val="000000"/>
                      <w:lang w:eastAsia="lt-LT"/>
                    </w:rPr>
                    <w:t xml:space="preserve"> </w:t>
                  </w:r>
                  <w:r>
                    <w:rPr>
                      <w:color w:val="000000"/>
                      <w:lang w:eastAsia="lt-LT"/>
                    </w:rPr>
                    <w:t>– apskaičiuojama pagal (2.164) formulę;</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H.vent,m</w:t>
                  </w:r>
                  <w:r>
                    <w:rPr>
                      <w:i/>
                      <w:color w:val="000000"/>
                      <w:lang w:eastAsia="lt-LT"/>
                    </w:rPr>
                    <w:t xml:space="preserve"> </w:t>
                  </w:r>
                  <w:r>
                    <w:rPr>
                      <w:color w:val="000000"/>
                      <w:lang w:eastAsia="lt-LT"/>
                    </w:rPr>
                    <w:t>– apskaičiuojama vadovaujantis 28.2 ir 28.3 papunkčių reikalavimais pagal (2.100) arba (2.109) formules;</w:t>
                  </w:r>
                </w:p>
                <w:p>
                  <w:pPr>
                    <w:tabs>
                      <w:tab w:val="left" w:pos="567"/>
                    </w:tabs>
                    <w:suppressAutoHyphens/>
                    <w:ind w:firstLine="567"/>
                    <w:jc w:val="both"/>
                    <w:rPr>
                      <w:bCs/>
                      <w:color w:val="000000"/>
                      <w:lang w:eastAsia="lt-LT"/>
                    </w:rPr>
                  </w:pPr>
                  <w:r>
                    <w:rPr>
                      <w:bCs/>
                      <w:i/>
                      <w:color w:val="000000"/>
                      <w:lang w:eastAsia="lt-LT"/>
                    </w:rPr>
                    <w:t>η</w:t>
                  </w:r>
                  <w:r>
                    <w:rPr>
                      <w:bCs/>
                      <w:i/>
                      <w:color w:val="000000"/>
                      <w:vertAlign w:val="subscript"/>
                      <w:lang w:eastAsia="lt-LT"/>
                    </w:rPr>
                    <w:t>N.H.gn,m</w:t>
                  </w:r>
                  <w:r>
                    <w:rPr>
                      <w:bCs/>
                      <w:i/>
                      <w:color w:val="000000"/>
                      <w:lang w:eastAsia="lt-LT"/>
                    </w:rPr>
                    <w:t>, η</w:t>
                  </w:r>
                  <w:r>
                    <w:rPr>
                      <w:bCs/>
                      <w:i/>
                      <w:color w:val="000000"/>
                      <w:vertAlign w:val="subscript"/>
                      <w:lang w:eastAsia="lt-LT"/>
                    </w:rPr>
                    <w:t>R.H.gn,m</w:t>
                  </w:r>
                  <w:r>
                    <w:rPr>
                      <w:bCs/>
                      <w:i/>
                      <w:color w:val="000000"/>
                      <w:lang w:eastAsia="lt-LT"/>
                    </w:rPr>
                    <w:t>,η</w:t>
                  </w:r>
                  <w:r>
                    <w:rPr>
                      <w:bCs/>
                      <w:i/>
                      <w:color w:val="000000"/>
                      <w:vertAlign w:val="subscript"/>
                      <w:lang w:eastAsia="lt-LT"/>
                    </w:rPr>
                    <w:t>H.gn,m</w:t>
                  </w:r>
                  <w:r>
                    <w:rPr>
                      <w:bCs/>
                      <w:color w:val="000000"/>
                      <w:lang w:eastAsia="lt-LT"/>
                    </w:rPr>
                    <w:t xml:space="preserve"> – atitinkamo mėnesio </w:t>
                  </w:r>
                  <w:r>
                    <w:rPr>
                      <w:bCs/>
                      <w:i/>
                      <w:color w:val="000000"/>
                      <w:lang w:eastAsia="lt-LT"/>
                    </w:rPr>
                    <w:t>„m“</w:t>
                  </w:r>
                  <w:r>
                    <w:rPr>
                      <w:bCs/>
                      <w:color w:val="000000"/>
                      <w:lang w:eastAsia="lt-LT"/>
                    </w:rPr>
                    <w:t xml:space="preserve"> šilumos pritekėjimų suvartojimo pastate norminis, atskaitinis ir skaičiuojamasis faktorius, susijęs su </w:t>
                  </w:r>
                  <w:r>
                    <w:rPr>
                      <w:color w:val="000000"/>
                      <w:lang w:eastAsia="lt-LT"/>
                    </w:rPr>
                    <w:t>energijos poreikio pastatui šildyti skaičiavimu (</w:t>
                  </w:r>
                  <w:r>
                    <w:rPr>
                      <w:bCs/>
                      <w:color w:val="000000"/>
                      <w:lang w:eastAsia="lt-LT"/>
                    </w:rPr>
                    <w:t xml:space="preserve">vnt. d.). </w:t>
                  </w:r>
                </w:p>
                <w:p>
                  <w:pPr>
                    <w:tabs>
                      <w:tab w:val="left" w:pos="567"/>
                    </w:tabs>
                    <w:suppressAutoHyphens/>
                    <w:ind w:firstLine="570"/>
                    <w:jc w:val="both"/>
                    <w:rPr>
                      <w:bCs/>
                      <w:color w:val="000000"/>
                      <w:lang w:eastAsia="lt-LT"/>
                    </w:rPr>
                  </w:pPr>
                  <w:r>
                    <w:rPr>
                      <w:color w:val="000000"/>
                      <w:lang w:eastAsia="lt-LT"/>
                    </w:rPr>
                    <w:t xml:space="preserve">Kiekvieno mėnesio </w:t>
                  </w:r>
                  <w:r>
                    <w:rPr>
                      <w:i/>
                      <w:color w:val="000000"/>
                      <w:lang w:eastAsia="lt-LT"/>
                    </w:rPr>
                    <w:t>„m“</w:t>
                  </w:r>
                  <w:r>
                    <w:rPr>
                      <w:b/>
                      <w:color w:val="000000"/>
                      <w:lang w:eastAsia="lt-LT"/>
                    </w:rPr>
                    <w:t xml:space="preserve"> </w:t>
                  </w:r>
                  <w:r>
                    <w:rPr>
                      <w:color w:val="000000"/>
                      <w:lang w:eastAsia="lt-LT"/>
                    </w:rPr>
                    <w:t>skaičiuojamojo</w:t>
                  </w:r>
                  <w:r>
                    <w:rPr>
                      <w:b/>
                      <w:color w:val="000000"/>
                      <w:lang w:eastAsia="lt-LT"/>
                    </w:rPr>
                    <w:t xml:space="preserve"> </w:t>
                  </w:r>
                  <w:r>
                    <w:rPr>
                      <w:bCs/>
                      <w:color w:val="000000"/>
                      <w:lang w:eastAsia="lt-LT"/>
                    </w:rPr>
                    <w:t xml:space="preserve">faktoriaus </w:t>
                  </w:r>
                  <w:r>
                    <w:rPr>
                      <w:bCs/>
                      <w:i/>
                      <w:color w:val="000000"/>
                      <w:lang w:eastAsia="lt-LT"/>
                    </w:rPr>
                    <w:t>η</w:t>
                  </w:r>
                  <w:r>
                    <w:rPr>
                      <w:bCs/>
                      <w:i/>
                      <w:color w:val="000000"/>
                      <w:vertAlign w:val="subscript"/>
                      <w:lang w:eastAsia="lt-LT"/>
                    </w:rPr>
                    <w:t>H.gn,m</w:t>
                  </w:r>
                  <w:r>
                    <w:rPr>
                      <w:bCs/>
                      <w:color w:val="000000"/>
                      <w:lang w:eastAsia="lt-LT"/>
                    </w:rPr>
                    <w:t xml:space="preserve">  vertė apskaičiuojama taip </w:t>
                  </w:r>
                  <w:r>
                    <w:rPr>
                      <w:color w:val="000000"/>
                      <w:lang w:eastAsia="lt-LT"/>
                    </w:rPr>
                    <w:t>[3.20]</w:t>
                  </w:r>
                  <w:r>
                    <w:rPr>
                      <w:bCs/>
                      <w:color w:val="000000"/>
                      <w:lang w:eastAsia="lt-LT"/>
                    </w:rPr>
                    <w:t>:</w:t>
                  </w:r>
                </w:p>
                <w:tbl>
                  <w:tblPr>
                    <w:tblW w:w="0" w:type="auto"/>
                    <w:tblLook w:val="01E0" w:firstRow="1" w:lastRow="1" w:firstColumn="1" w:lastColumn="1" w:noHBand="0" w:noVBand="0"/>
                  </w:tblPr>
                  <w:tblGrid>
                    <w:gridCol w:w="8594"/>
                    <w:gridCol w:w="976"/>
                  </w:tblGrid>
                  <w:tr>
                    <w:tc>
                      <w:tcPr>
                        <w:tcW w:w="8594"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 xml:space="preserve">jei </w:t>
                        </w:r>
                        <w:r>
                          <w:rPr>
                            <w:i/>
                            <w:color w:val="000000"/>
                            <w:lang w:eastAsia="lt-LT"/>
                          </w:rPr>
                          <w:t>γ</w:t>
                        </w:r>
                        <w:r>
                          <w:rPr>
                            <w:i/>
                            <w:color w:val="000000"/>
                            <w:vertAlign w:val="subscript"/>
                            <w:lang w:eastAsia="lt-LT"/>
                          </w:rPr>
                          <w:t>H,m</w:t>
                        </w:r>
                        <w:r>
                          <w:rPr>
                            <w:color w:val="000000"/>
                            <w:lang w:eastAsia="lt-LT"/>
                          </w:rPr>
                          <w:t xml:space="preserve">&gt;0 ir </w:t>
                        </w:r>
                        <w:r>
                          <w:rPr>
                            <w:i/>
                            <w:color w:val="000000"/>
                            <w:lang w:eastAsia="lt-LT"/>
                          </w:rPr>
                          <w:t>γ</w:t>
                        </w:r>
                        <w:r>
                          <w:rPr>
                            <w:i/>
                            <w:color w:val="000000"/>
                            <w:vertAlign w:val="subscript"/>
                            <w:lang w:eastAsia="lt-LT"/>
                          </w:rPr>
                          <w:t>H,m</w:t>
                        </w:r>
                        <w:r>
                          <w:rPr>
                            <w:color w:val="000000"/>
                            <w:lang w:eastAsia="lt-LT"/>
                          </w:rPr>
                          <w:t xml:space="preserve">≠1,  </w:t>
                        </w:r>
                        <w:r>
                          <w:rPr>
                            <w:rFonts w:eastAsia="Calibri"/>
                            <w:color w:val="000000"/>
                            <w:position w:val="-36"/>
                            <w:szCs w:val="22"/>
                            <w:lang w:eastAsia="lt-LT"/>
                          </w:rPr>
                          <w:object w:dxaOrig="1980" w:dyaOrig="840">
                            <v:shape id="_x0000_i1226" type="#_x0000_t75" style="width:100.3pt;height:43.7pt" o:ole="">
                              <v:imagedata r:id="rId680" o:title=""/>
                            </v:shape>
                            <o:OLEObject Type="Embed" ProgID="Equation.3" ShapeID="_x0000_i1226" DrawAspect="Content" ObjectID="_0000000001" r:id="rId681"/>
                          </w:object>
                        </w:r>
                        <w:r>
                          <w:rPr>
                            <w:color w:val="000000"/>
                            <w:lang w:eastAsia="lt-LT"/>
                          </w:rPr>
                          <w:t>,</w:t>
                        </w:r>
                      </w:p>
                    </w:tc>
                    <w:tc>
                      <w:tcPr>
                        <w:tcW w:w="976"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(2.170)</w:t>
                        </w:r>
                      </w:p>
                    </w:tc>
                  </w:tr>
                  <w:tr>
                    <w:tc>
                      <w:tcPr>
                        <w:tcW w:w="8594"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 xml:space="preserve">jei </w:t>
                        </w:r>
                        <w:r>
                          <w:rPr>
                            <w:i/>
                            <w:color w:val="000000"/>
                            <w:lang w:eastAsia="lt-LT"/>
                          </w:rPr>
                          <w:t>γ</w:t>
                        </w:r>
                        <w:r>
                          <w:rPr>
                            <w:i/>
                            <w:color w:val="000000"/>
                            <w:vertAlign w:val="subscript"/>
                            <w:lang w:eastAsia="lt-LT"/>
                          </w:rPr>
                          <w:t>H,m</w:t>
                        </w:r>
                        <w:r>
                          <w:rPr>
                            <w:color w:val="000000"/>
                            <w:lang w:eastAsia="lt-LT"/>
                          </w:rPr>
                          <w:t xml:space="preserve">=1,  </w:t>
                        </w:r>
                        <w:r>
                          <w:rPr>
                            <w:rFonts w:eastAsia="Calibri"/>
                            <w:color w:val="000000"/>
                            <w:position w:val="-30"/>
                            <w:szCs w:val="22"/>
                            <w:lang w:eastAsia="lt-LT"/>
                          </w:rPr>
                          <w:object w:dxaOrig="1752" w:dyaOrig="684">
                            <v:shape id="_x0000_i1227" type="#_x0000_t75" style="width:88.2pt;height:34pt" o:ole="">
                              <v:imagedata r:id="rId682" o:title=""/>
                            </v:shape>
                            <o:OLEObject Type="Embed" ProgID="Equation.3" ShapeID="_x0000_i1227" DrawAspect="Content" ObjectID="_0000000001" r:id="rId683"/>
                          </w:object>
                        </w:r>
                        <w:r>
                          <w:rPr>
                            <w:color w:val="000000"/>
                            <w:lang w:eastAsia="lt-LT"/>
                          </w:rPr>
                          <w:t>,</w:t>
                        </w:r>
                      </w:p>
                    </w:tc>
                    <w:tc>
                      <w:tcPr>
                        <w:tcW w:w="976"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(2.171)</w:t>
                        </w:r>
                      </w:p>
                    </w:tc>
                  </w:tr>
                  <w:tr>
                    <w:tc>
                      <w:tcPr>
                        <w:tcW w:w="8594" w:type="dxa"/>
                        <w:vAlign w:val="center"/>
                        <w:hideMark/>
                      </w:tcPr>
                      <w:p>
                        <w:pPr>
                          <w:tabs>
                            <w:tab w:val="left" w:pos="567"/>
                          </w:tabs>
                          <w:suppressAutoHyphens/>
                          <w:spacing w:line="276" w:lineRule="auto"/>
                          <w:jc w:val="center"/>
                          <w:rPr>
                            <w:rFonts w:eastAsia="Calibri"/>
                            <w:color w:val="000000"/>
                            <w:szCs w:val="22"/>
                            <w:lang w:eastAsia="lt-LT"/>
                          </w:rPr>
                        </w:pPr>
                        <w:r>
                          <w:rPr>
                            <w:szCs w:val="24"/>
                            <w:lang w:eastAsia="lt-LT"/>
                          </w:rPr>
                          <w:t>„</w:t>
                        </w:r>
                        <w:r>
                          <w:rPr>
                            <w:color w:val="000000"/>
                            <w:lang w:eastAsia="lt-LT"/>
                          </w:rPr>
                          <w:t xml:space="preserve">jei </w:t>
                        </w:r>
                        <w:r>
                          <w:rPr>
                            <w:i/>
                            <w:color w:val="000000"/>
                            <w:lang w:eastAsia="lt-LT"/>
                          </w:rPr>
                          <w:t>γ</w:t>
                        </w:r>
                        <w:r>
                          <w:rPr>
                            <w:i/>
                            <w:color w:val="000000"/>
                            <w:vertAlign w:val="subscript"/>
                            <w:lang w:eastAsia="lt-LT"/>
                          </w:rPr>
                          <w:t>H,m</w:t>
                        </w:r>
                        <w:r>
                          <w:rPr>
                            <w:color w:val="000000"/>
                            <w:lang w:eastAsia="lt-LT"/>
                          </w:rPr>
                          <w:t xml:space="preserve">&lt;0,  </w:t>
                        </w:r>
                        <w:r>
                          <w:rPr>
                            <w:rFonts w:eastAsia="Calibri"/>
                            <w:color w:val="000000"/>
                            <w:position w:val="-14"/>
                            <w:szCs w:val="22"/>
                            <w:lang w:eastAsia="lt-LT"/>
                          </w:rPr>
                          <w:object w:dxaOrig="1020" w:dyaOrig="380">
                            <v:shape id="_x0000_i1228" type="#_x0000_t75" style="width:52.6pt;height:19.4pt" o:ole="">
                              <v:imagedata r:id="rId684" o:title=""/>
                            </v:shape>
                            <o:OLEObject Type="Embed" ProgID="Equation.3" ShapeID="_x0000_i1228" DrawAspect="Content" ObjectID="_0000000001" r:id="rId685"/>
                          </w:object>
                        </w:r>
                        <w:r>
                          <w:rPr>
                            <w:rFonts w:eastAsia="Calibri"/>
                            <w:color w:val="000000"/>
                            <w:szCs w:val="22"/>
                            <w:lang w:eastAsia="lt-LT"/>
                          </w:rPr>
                          <w:t>;</w:t>
                        </w:r>
                      </w:p>
                    </w:tc>
                    <w:tc>
                      <w:tcPr>
                        <w:tcW w:w="976"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(2.172)</w:t>
                        </w:r>
                      </w:p>
                    </w:tc>
                  </w:tr>
                  <w:tr>
                    <w:tc>
                      <w:tcPr>
                        <w:tcW w:w="8594" w:type="dxa"/>
                        <w:vAlign w:val="center"/>
                        <w:hideMark/>
                      </w:tcPr>
                      <w:p>
                        <w:pPr>
                          <w:tabs>
                            <w:tab w:val="left" w:pos="567"/>
                          </w:tabs>
                          <w:suppressAutoHyphens/>
                          <w:spacing w:line="276" w:lineRule="auto"/>
                          <w:jc w:val="center"/>
                          <w:rPr>
                            <w:rFonts w:eastAsia="Calibri"/>
                            <w:color w:val="000000"/>
                            <w:szCs w:val="22"/>
                            <w:lang w:eastAsia="lt-LT"/>
                          </w:rPr>
                        </w:pPr>
                        <w:r>
                          <w:rPr>
                            <w:rFonts w:eastAsia="Calibri"/>
                            <w:color w:val="000000"/>
                            <w:szCs w:val="22"/>
                            <w:lang w:eastAsia="lt-LT"/>
                          </w:rPr>
                          <w:object w:dxaOrig="2172" w:dyaOrig="732">
                            <v:shape id="_x0000_i1229" type="#_x0000_t75" style="width:108.4pt;height:36.4pt" o:ole="">
                              <v:imagedata r:id="rId686" o:title=""/>
                            </v:shape>
                            <o:OLEObject Type="Embed" ProgID="Equation.3" ShapeID="_x0000_i1229" DrawAspect="Content" ObjectID="_0000000001" r:id="rId687"/>
                          </w:object>
                        </w:r>
                      </w:p>
                    </w:tc>
                    <w:tc>
                      <w:tcPr>
                        <w:tcW w:w="976" w:type="dxa"/>
                        <w:vAlign w:val="center"/>
                        <w:hideMark/>
                      </w:tcPr>
                      <w:p>
                        <w:pPr>
                          <w:tabs>
                            <w:tab w:val="left" w:pos="567"/>
                          </w:tabs>
                          <w:suppressAutoHyphens/>
                          <w:spacing w:line="276" w:lineRule="auto"/>
                          <w:jc w:val="center"/>
                          <w:rPr>
                            <w:rFonts w:eastAsia="Calibri"/>
                            <w:color w:val="000000"/>
                            <w:szCs w:val="22"/>
                            <w:lang w:eastAsia="lt-LT"/>
                          </w:rPr>
                        </w:pPr>
                        <w:r>
                          <w:rPr>
                            <w:color w:val="000000"/>
                            <w:lang w:eastAsia="lt-LT"/>
                          </w:rPr>
                          <w:t>(2.173)</w:t>
                        </w:r>
                      </w:p>
                    </w:tc>
                  </w:tr>
                  <w:tr>
                    <w:tc>
                      <w:tcPr>
                        <w:tcW w:w="8594" w:type="dxa"/>
                        <w:hideMark/>
                      </w:tcPr>
                      <w:p>
                        <w:pPr>
                          <w:tabs>
                            <w:tab w:val="left" w:pos="567"/>
                          </w:tabs>
                          <w:suppressAutoHyphens/>
                          <w:spacing w:line="276" w:lineRule="auto"/>
                          <w:jc w:val="center"/>
                          <w:rPr>
                            <w:rFonts w:eastAsia="Calibri"/>
                            <w:color w:val="000000"/>
                            <w:szCs w:val="22"/>
                            <w:lang w:eastAsia="lt-LT"/>
                          </w:rPr>
                        </w:pPr>
                        <w:r>
                          <w:rPr>
                            <w:rFonts w:eastAsia="Calibri"/>
                            <w:color w:val="000000"/>
                            <w:szCs w:val="22"/>
                            <w:lang w:eastAsia="lt-LT"/>
                          </w:rPr>
                          <w:object w:dxaOrig="2544" w:dyaOrig="684">
                            <v:shape id="_x0000_i1230" type="#_x0000_t75" style="width:127.8pt;height:34pt" o:ole="">
                              <v:imagedata r:id="rId688" o:title=""/>
                            </v:shape>
                            <o:OLEObject Type="Embed" ProgID="Equation.3" ShapeID="_x0000_i1230" DrawAspect="Content" ObjectID="_0000000001" r:id="rId689"/>
                          </w:object>
                        </w:r>
                        <w:r>
                          <w:rPr>
                            <w:color w:val="000000"/>
                            <w:lang w:eastAsia="lt-LT"/>
                          </w:rPr>
                          <w:t xml:space="preserve">; </w:t>
                        </w:r>
                      </w:p>
                    </w:tc>
                    <w:tc>
                      <w:tcPr>
                        <w:tcW w:w="976" w:type="dxa"/>
                        <w:hideMark/>
                      </w:tcPr>
                      <w:p>
                        <w:pPr>
                          <w:tabs>
                            <w:tab w:val="left" w:pos="567"/>
                          </w:tabs>
                          <w:suppressAutoHyphens/>
                          <w:spacing w:line="276" w:lineRule="auto"/>
                          <w:jc w:val="center"/>
                          <w:rPr>
                            <w:rFonts w:eastAsia="Calibri"/>
                            <w:color w:val="000000"/>
                            <w:szCs w:val="22"/>
                            <w:lang w:eastAsia="lt-LT"/>
                          </w:rPr>
                        </w:pPr>
                        <w:r>
                          <w:rPr>
                            <w:color w:val="000000"/>
                            <w:lang w:eastAsia="lt-LT"/>
                          </w:rPr>
                          <w:t>(2.174)</w:t>
                        </w:r>
                      </w:p>
                    </w:tc>
                  </w:tr>
                </w:tbl>
                <w:p>
                  <w:pPr>
                    <w:tabs>
                      <w:tab w:val="left" w:pos="567"/>
                    </w:tabs>
                    <w:suppressAutoHyphens/>
                    <w:jc w:val="both"/>
                    <w:rPr>
                      <w:rFonts w:eastAsia="Calibri"/>
                      <w:color w:val="000000"/>
                      <w:szCs w:val="22"/>
                      <w:lang w:eastAsia="lt-LT"/>
                    </w:rPr>
                  </w:pPr>
                  <w:r>
                    <w:rPr>
                      <w:color w:val="000000"/>
                      <w:lang w:eastAsia="lt-LT"/>
                    </w:rPr>
                    <w:t>čia:</w:t>
                    <w:tab/>
                  </w:r>
                  <w:r>
                    <w:rPr>
                      <w:i/>
                      <w:color w:val="000000"/>
                      <w:lang w:eastAsia="lt-LT"/>
                    </w:rPr>
                    <w:t>C</w:t>
                  </w:r>
                  <w:r>
                    <w:rPr>
                      <w:i/>
                      <w:color w:val="000000"/>
                      <w:vertAlign w:val="subscript"/>
                      <w:lang w:eastAsia="lt-LT"/>
                    </w:rPr>
                    <w:t>p</w:t>
                  </w:r>
                  <w:r>
                    <w:rPr>
                      <w:color w:val="000000"/>
                      <w:lang w:eastAsia="lt-LT"/>
                    </w:rPr>
                    <w:t xml:space="preserve"> – pastato vidaus šiluminė talpa, J/K [3.20]. Nustatoma pagal 2.36 ir 2.37 lentelėse  pateiktus duomenis;</w:t>
                  </w:r>
                </w:p>
                <w:p>
                  <w:pPr>
                    <w:tabs>
                      <w:tab w:val="left" w:pos="567"/>
                    </w:tabs>
                    <w:suppressAutoHyphens/>
                    <w:ind w:firstLine="567"/>
                    <w:jc w:val="both"/>
                    <w:rPr>
                      <w:color w:val="000000"/>
                      <w:lang w:eastAsia="lt-LT"/>
                    </w:rPr>
                  </w:pPr>
                  <w:r>
                    <w:rPr>
                      <w:i/>
                      <w:color w:val="000000"/>
                      <w:lang w:eastAsia="lt-LT"/>
                    </w:rPr>
                    <w:t>H</w:t>
                  </w:r>
                  <w:r>
                    <w:rPr>
                      <w:i/>
                      <w:color w:val="000000"/>
                      <w:vertAlign w:val="subscript"/>
                      <w:lang w:eastAsia="lt-LT"/>
                    </w:rPr>
                    <w:t>H.p,m</w:t>
                  </w:r>
                  <w:r>
                    <w:rPr>
                      <w:color w:val="000000"/>
                      <w:vertAlign w:val="subscript"/>
                      <w:lang w:eastAsia="lt-LT"/>
                    </w:rPr>
                    <w:t xml:space="preserve"> </w:t>
                  </w:r>
                  <w:r>
                    <w:rPr>
                      <w:color w:val="000000"/>
                      <w:lang w:eastAsia="lt-LT"/>
                    </w:rPr>
                    <w:t xml:space="preserve">– atitinkamo mėnesio „m“ pastato savitieji šilumos nuostoliai (W/K), pagal kuriuos skaičiuojami energijos poreikiai pastatui šildyti. Apskaičiuojami pagal (2.118) formulę. </w:t>
                  </w:r>
                </w:p>
                <w:p>
                  <w:pPr>
                    <w:tabs>
                      <w:tab w:val="left" w:pos="567"/>
                    </w:tabs>
                    <w:suppressAutoHyphens/>
                    <w:ind w:left="567" w:hanging="567"/>
                    <w:jc w:val="both"/>
                    <w:rPr>
                      <w:b/>
                      <w:bCs/>
                      <w:color w:val="000000"/>
                      <w:szCs w:val="24"/>
                      <w:lang w:eastAsia="lt-LT"/>
                    </w:rPr>
                  </w:pPr>
                </w:p>
                <w:p>
                  <w:pPr>
                    <w:tabs>
                      <w:tab w:val="left" w:pos="567"/>
                    </w:tabs>
                    <w:suppressAutoHyphens/>
                    <w:jc w:val="center"/>
                    <w:rPr>
                      <w:b/>
                      <w:bCs/>
                      <w:color w:val="000000"/>
                      <w:lang w:eastAsia="lt-LT"/>
                    </w:rPr>
                  </w:pPr>
                  <w:r>
                    <w:rPr>
                      <w:b/>
                      <w:bCs/>
                      <w:color w:val="000000"/>
                      <w:lang w:eastAsia="lt-LT"/>
                    </w:rPr>
                    <w:t xml:space="preserve">Pastatų vidaus šiluminė talpa </w:t>
                  </w:r>
                  <w:r>
                    <w:rPr>
                      <w:b/>
                      <w:bCs/>
                      <w:i/>
                      <w:color w:val="000000"/>
                      <w:spacing w:val="-6"/>
                      <w:lang w:eastAsia="lt-LT"/>
                    </w:rPr>
                    <w:t>C</w:t>
                  </w:r>
                  <w:r>
                    <w:rPr>
                      <w:b/>
                      <w:bCs/>
                      <w:i/>
                      <w:color w:val="000000"/>
                      <w:spacing w:val="-6"/>
                      <w:vertAlign w:val="subscript"/>
                      <w:lang w:eastAsia="lt-LT"/>
                    </w:rPr>
                    <w:t>p</w:t>
                  </w:r>
                  <w:r>
                    <w:rPr>
                      <w:b/>
                      <w:bCs/>
                      <w:color w:val="000000"/>
                      <w:spacing w:val="-6"/>
                      <w:lang w:eastAsia="lt-LT"/>
                    </w:rPr>
                    <w:t xml:space="preserve"> ( J/K) </w:t>
                  </w:r>
                  <w:r>
                    <w:rPr>
                      <w:color w:val="000000"/>
                      <w:lang w:eastAsia="lt-LT"/>
                    </w:rPr>
                    <w:t>[3.20]</w:t>
                  </w:r>
                </w:p>
                <w:p>
                  <w:pPr>
                    <w:tabs>
                      <w:tab w:val="left" w:pos="567"/>
                    </w:tabs>
                    <w:suppressAutoHyphens/>
                    <w:ind w:left="720"/>
                    <w:jc w:val="right"/>
                    <w:rPr>
                      <w:color w:val="000000"/>
                      <w:lang w:eastAsia="lt-LT"/>
                    </w:rPr>
                  </w:pPr>
                  <w:r>
                    <w:rPr>
                      <w:color w:val="000000"/>
                      <w:lang w:eastAsia="lt-LT"/>
                    </w:rPr>
                    <w:t>2.36 lentelė</w:t>
                  </w:r>
                </w:p>
                <w:tbl>
                  <w:tblPr>
                    <w:tblW w:w="5000" w:type="pct"/>
                    <w:tblLook w:val="01E0" w:firstRow="1" w:lastRow="1" w:firstColumn="1" w:lastColumn="1" w:noHBand="0" w:noVBand="0"/>
                  </w:tblPr>
                  <w:tblGrid>
                    <w:gridCol w:w="5757"/>
                    <w:gridCol w:w="4098"/>
                  </w:tblGrid>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Pastatų klasifikavimas pagal jų vidaus šiluminę talpą</w:t>
                        </w:r>
                      </w:p>
                    </w:tc>
                    <w:tc>
                      <w:tcPr>
                        <w:tcW w:w="20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 xml:space="preserve">Pastato vidaus šiluminė talpa </w:t>
                        </w:r>
                        <w:r>
                          <w:rPr>
                            <w:i/>
                            <w:color w:val="000000"/>
                            <w:spacing w:val="-6"/>
                            <w:lang w:eastAsia="lt-LT"/>
                          </w:rPr>
                          <w:t>C</w:t>
                        </w:r>
                        <w:r>
                          <w:rPr>
                            <w:i/>
                            <w:color w:val="000000"/>
                            <w:spacing w:val="-6"/>
                            <w:vertAlign w:val="subscript"/>
                            <w:lang w:eastAsia="lt-LT"/>
                          </w:rPr>
                          <w:t>p</w:t>
                        </w:r>
                        <w:r>
                          <w:rPr>
                            <w:color w:val="000000"/>
                            <w:spacing w:val="-6"/>
                            <w:lang w:eastAsia="lt-LT"/>
                          </w:rPr>
                          <w:t>, J/K</w:t>
                        </w:r>
                      </w:p>
                    </w:tc>
                  </w:tr>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both"/>
                          <w:rPr>
                            <w:rFonts w:eastAsia="Calibri"/>
                            <w:color w:val="000000"/>
                            <w:spacing w:val="-6"/>
                            <w:szCs w:val="22"/>
                            <w:lang w:eastAsia="lt-LT"/>
                          </w:rPr>
                        </w:pPr>
                        <w:r>
                          <w:rPr>
                            <w:color w:val="000000"/>
                            <w:spacing w:val="-6"/>
                            <w:lang w:eastAsia="lt-LT"/>
                          </w:rPr>
                          <w:t>Labai lengvas pastatas</w:t>
                        </w:r>
                      </w:p>
                    </w:tc>
                    <w:tc>
                      <w:tcPr>
                        <w:tcW w:w="20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851" w:hanging="851"/>
                          <w:jc w:val="center"/>
                          <w:rPr>
                            <w:rFonts w:eastAsia="Calibri"/>
                            <w:color w:val="000000"/>
                            <w:spacing w:val="-6"/>
                            <w:szCs w:val="22"/>
                            <w:vertAlign w:val="subscript"/>
                            <w:lang w:eastAsia="lt-LT"/>
                          </w:rPr>
                        </w:pPr>
                        <w:r>
                          <w:rPr>
                            <w:color w:val="000000"/>
                            <w:spacing w:val="-6"/>
                            <w:lang w:eastAsia="lt-LT"/>
                          </w:rPr>
                          <w:t>80000·</w:t>
                        </w:r>
                        <w:r>
                          <w:rPr>
                            <w:i/>
                            <w:color w:val="000000"/>
                            <w:spacing w:val="-6"/>
                            <w:lang w:eastAsia="lt-LT"/>
                          </w:rPr>
                          <w:t>A</w:t>
                        </w:r>
                        <w:r>
                          <w:rPr>
                            <w:i/>
                            <w:color w:val="000000"/>
                            <w:spacing w:val="-6"/>
                            <w:vertAlign w:val="subscript"/>
                            <w:lang w:eastAsia="lt-LT"/>
                          </w:rPr>
                          <w:t>p</w:t>
                        </w:r>
                      </w:p>
                    </w:tc>
                  </w:tr>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both"/>
                          <w:rPr>
                            <w:rFonts w:eastAsia="Calibri"/>
                            <w:color w:val="000000"/>
                            <w:spacing w:val="-6"/>
                            <w:szCs w:val="22"/>
                            <w:lang w:eastAsia="lt-LT"/>
                          </w:rPr>
                        </w:pPr>
                        <w:r>
                          <w:rPr>
                            <w:color w:val="000000"/>
                            <w:spacing w:val="-6"/>
                            <w:lang w:eastAsia="lt-LT"/>
                          </w:rPr>
                          <w:t xml:space="preserve">Lengvas pastatas </w:t>
                        </w:r>
                      </w:p>
                    </w:tc>
                    <w:tc>
                      <w:tcPr>
                        <w:tcW w:w="20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110000·</w:t>
                        </w:r>
                        <w:r>
                          <w:rPr>
                            <w:i/>
                            <w:color w:val="000000"/>
                            <w:spacing w:val="-6"/>
                            <w:lang w:eastAsia="lt-LT"/>
                          </w:rPr>
                          <w:t>A</w:t>
                        </w:r>
                        <w:r>
                          <w:rPr>
                            <w:i/>
                            <w:color w:val="000000"/>
                            <w:spacing w:val="-6"/>
                            <w:vertAlign w:val="subscript"/>
                            <w:lang w:eastAsia="lt-LT"/>
                          </w:rPr>
                          <w:t>p</w:t>
                        </w:r>
                      </w:p>
                    </w:tc>
                  </w:tr>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both"/>
                          <w:rPr>
                            <w:rFonts w:eastAsia="Calibri"/>
                            <w:color w:val="000000"/>
                            <w:spacing w:val="-6"/>
                            <w:szCs w:val="22"/>
                            <w:lang w:eastAsia="lt-LT"/>
                          </w:rPr>
                        </w:pPr>
                        <w:r>
                          <w:rPr>
                            <w:color w:val="000000"/>
                            <w:spacing w:val="-6"/>
                            <w:lang w:eastAsia="lt-LT"/>
                          </w:rPr>
                          <w:t xml:space="preserve">Vidutinio masyvumo pastatas </w:t>
                        </w:r>
                      </w:p>
                    </w:tc>
                    <w:tc>
                      <w:tcPr>
                        <w:tcW w:w="20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165000·</w:t>
                        </w:r>
                        <w:r>
                          <w:rPr>
                            <w:i/>
                            <w:color w:val="000000"/>
                            <w:spacing w:val="-6"/>
                            <w:lang w:eastAsia="lt-LT"/>
                          </w:rPr>
                          <w:t>A</w:t>
                        </w:r>
                        <w:r>
                          <w:rPr>
                            <w:i/>
                            <w:color w:val="000000"/>
                            <w:spacing w:val="-6"/>
                            <w:vertAlign w:val="subscript"/>
                            <w:lang w:eastAsia="lt-LT"/>
                          </w:rPr>
                          <w:t>p</w:t>
                        </w:r>
                      </w:p>
                    </w:tc>
                  </w:tr>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both"/>
                          <w:rPr>
                            <w:rFonts w:eastAsia="Calibri"/>
                            <w:color w:val="000000"/>
                            <w:spacing w:val="-6"/>
                            <w:szCs w:val="22"/>
                            <w:lang w:eastAsia="lt-LT"/>
                          </w:rPr>
                        </w:pPr>
                        <w:r>
                          <w:rPr>
                            <w:color w:val="000000"/>
                            <w:spacing w:val="-6"/>
                            <w:lang w:eastAsia="lt-LT"/>
                          </w:rPr>
                          <w:t xml:space="preserve">Masyvus pastatas </w:t>
                        </w:r>
                      </w:p>
                    </w:tc>
                    <w:tc>
                      <w:tcPr>
                        <w:tcW w:w="20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260000·</w:t>
                        </w:r>
                        <w:r>
                          <w:rPr>
                            <w:i/>
                            <w:color w:val="000000"/>
                            <w:spacing w:val="-6"/>
                            <w:lang w:eastAsia="lt-LT"/>
                          </w:rPr>
                          <w:t>A</w:t>
                        </w:r>
                        <w:r>
                          <w:rPr>
                            <w:i/>
                            <w:color w:val="000000"/>
                            <w:spacing w:val="-6"/>
                            <w:vertAlign w:val="subscript"/>
                            <w:lang w:eastAsia="lt-LT"/>
                          </w:rPr>
                          <w:t>p</w:t>
                        </w:r>
                      </w:p>
                    </w:tc>
                  </w:tr>
                  <w:tr>
                    <w:tc>
                      <w:tcPr>
                        <w:tcW w:w="2921"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ind w:left="851" w:hanging="851"/>
                          <w:jc w:val="both"/>
                          <w:rPr>
                            <w:rFonts w:eastAsia="Calibri"/>
                            <w:color w:val="000000"/>
                            <w:spacing w:val="-6"/>
                            <w:szCs w:val="22"/>
                            <w:lang w:eastAsia="lt-LT"/>
                          </w:rPr>
                        </w:pPr>
                        <w:r>
                          <w:rPr>
                            <w:color w:val="000000"/>
                            <w:spacing w:val="-6"/>
                            <w:lang w:eastAsia="lt-LT"/>
                          </w:rPr>
                          <w:t xml:space="preserve">Labai masyvus pastatas </w:t>
                        </w:r>
                      </w:p>
                    </w:tc>
                    <w:tc>
                      <w:tcPr>
                        <w:tcW w:w="20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851" w:hanging="851"/>
                          <w:jc w:val="center"/>
                          <w:rPr>
                            <w:rFonts w:eastAsia="Calibri"/>
                            <w:color w:val="000000"/>
                            <w:spacing w:val="-6"/>
                            <w:szCs w:val="22"/>
                            <w:lang w:eastAsia="lt-LT"/>
                          </w:rPr>
                        </w:pPr>
                        <w:r>
                          <w:rPr>
                            <w:color w:val="000000"/>
                            <w:spacing w:val="-6"/>
                            <w:lang w:eastAsia="lt-LT"/>
                          </w:rPr>
                          <w:t>370000·</w:t>
                        </w:r>
                        <w:r>
                          <w:rPr>
                            <w:i/>
                            <w:color w:val="000000"/>
                            <w:spacing w:val="-6"/>
                            <w:lang w:eastAsia="lt-LT"/>
                          </w:rPr>
                          <w:t>A</w:t>
                        </w:r>
                        <w:r>
                          <w:rPr>
                            <w:i/>
                            <w:color w:val="000000"/>
                            <w:spacing w:val="-6"/>
                            <w:vertAlign w:val="subscript"/>
                            <w:lang w:eastAsia="lt-LT"/>
                          </w:rPr>
                          <w:t>p</w:t>
                        </w:r>
                      </w:p>
                    </w:tc>
                  </w:tr>
                </w:tbl>
                <w:p>
                  <w:pPr>
                    <w:tabs>
                      <w:tab w:val="left" w:pos="567"/>
                    </w:tabs>
                    <w:suppressAutoHyphens/>
                    <w:jc w:val="both"/>
                    <w:rPr>
                      <w:rFonts w:eastAsia="Calibri"/>
                      <w:color w:val="000000"/>
                      <w:spacing w:val="-6"/>
                      <w:szCs w:val="22"/>
                      <w:lang w:eastAsia="lt-LT"/>
                    </w:rPr>
                  </w:pPr>
                </w:p>
                <w:p>
                  <w:pPr>
                    <w:tabs>
                      <w:tab w:val="left" w:pos="567"/>
                    </w:tabs>
                    <w:suppressAutoHyphens/>
                    <w:ind w:firstLine="570"/>
                    <w:jc w:val="both"/>
                    <w:rPr>
                      <w:bCs/>
                      <w:color w:val="000000"/>
                      <w:lang w:eastAsia="lt-LT"/>
                    </w:rPr>
                  </w:pPr>
                  <w:r>
                    <w:rPr>
                      <w:color w:val="000000"/>
                      <w:lang w:eastAsia="lt-LT"/>
                    </w:rPr>
                    <w:t xml:space="preserve">Kiekvieno mėnesio </w:t>
                  </w:r>
                  <w:r>
                    <w:rPr>
                      <w:i/>
                      <w:color w:val="000000"/>
                      <w:lang w:eastAsia="lt-LT"/>
                    </w:rPr>
                    <w:t>„m“</w:t>
                  </w:r>
                  <w:r>
                    <w:rPr>
                      <w:b/>
                      <w:color w:val="000000"/>
                      <w:lang w:eastAsia="lt-LT"/>
                    </w:rPr>
                    <w:t xml:space="preserve"> </w:t>
                  </w:r>
                  <w:r>
                    <w:rPr>
                      <w:color w:val="000000"/>
                      <w:lang w:eastAsia="lt-LT"/>
                    </w:rPr>
                    <w:t xml:space="preserve">norminio </w:t>
                  </w:r>
                  <w:r>
                    <w:rPr>
                      <w:bCs/>
                      <w:i/>
                      <w:color w:val="000000"/>
                      <w:lang w:eastAsia="lt-LT"/>
                    </w:rPr>
                    <w:t>η</w:t>
                  </w:r>
                  <w:r>
                    <w:rPr>
                      <w:bCs/>
                      <w:i/>
                      <w:color w:val="000000"/>
                      <w:vertAlign w:val="subscript"/>
                      <w:lang w:eastAsia="lt-LT"/>
                    </w:rPr>
                    <w:t>N.H.gn,m</w:t>
                  </w:r>
                  <w:r>
                    <w:rPr>
                      <w:color w:val="000000"/>
                      <w:lang w:eastAsia="lt-LT"/>
                    </w:rPr>
                    <w:t xml:space="preserve"> </w:t>
                  </w:r>
                  <w:r>
                    <w:rPr>
                      <w:bCs/>
                      <w:color w:val="000000"/>
                      <w:lang w:eastAsia="lt-LT"/>
                    </w:rPr>
                    <w:t xml:space="preserve">faktoriaus vertė apskaičiuojama pagal (2.170)–(2.174) formules taip: (2.173) formulėje vietoje </w:t>
                  </w:r>
                  <w:r>
                    <w:rPr>
                      <w:i/>
                      <w:color w:val="000000"/>
                      <w:lang w:eastAsia="lt-LT"/>
                    </w:rPr>
                    <w:t>H</w:t>
                  </w:r>
                  <w:r>
                    <w:rPr>
                      <w:i/>
                      <w:color w:val="000000"/>
                      <w:vertAlign w:val="subscript"/>
                      <w:lang w:eastAsia="lt-LT"/>
                    </w:rPr>
                    <w:t>H.p,m</w:t>
                  </w:r>
                  <w:r>
                    <w:rPr>
                      <w:color w:val="000000"/>
                      <w:vertAlign w:val="subscript"/>
                      <w:lang w:eastAsia="lt-LT"/>
                    </w:rPr>
                    <w:t xml:space="preserve"> </w:t>
                  </w:r>
                  <w:r>
                    <w:rPr>
                      <w:bCs/>
                      <w:color w:val="000000"/>
                      <w:lang w:eastAsia="lt-LT"/>
                    </w:rPr>
                    <w:t xml:space="preserve">naudojant </w:t>
                  </w:r>
                  <w:r>
                    <w:rPr>
                      <w:i/>
                      <w:color w:val="000000"/>
                      <w:lang w:eastAsia="lt-LT"/>
                    </w:rPr>
                    <w:t>H</w:t>
                  </w:r>
                  <w:r>
                    <w:rPr>
                      <w:i/>
                      <w:color w:val="000000"/>
                      <w:vertAlign w:val="subscript"/>
                      <w:lang w:eastAsia="lt-LT"/>
                    </w:rPr>
                    <w:t>N.H.p,m</w:t>
                  </w:r>
                  <w:r>
                    <w:rPr>
                      <w:bCs/>
                      <w:color w:val="000000"/>
                      <w:lang w:eastAsia="lt-LT"/>
                    </w:rPr>
                    <w:t xml:space="preserve">, apskaičiuotą pagal (2.116) formulę, (2.173) formulėje naudojant </w:t>
                  </w:r>
                  <w:r>
                    <w:rPr>
                      <w:i/>
                      <w:color w:val="000000"/>
                      <w:lang w:eastAsia="lt-LT"/>
                    </w:rPr>
                    <w:t>C</w:t>
                  </w:r>
                  <w:r>
                    <w:rPr>
                      <w:i/>
                      <w:color w:val="000000"/>
                      <w:vertAlign w:val="subscript"/>
                      <w:lang w:eastAsia="lt-LT"/>
                    </w:rPr>
                    <w:t>p</w:t>
                  </w:r>
                  <w:r>
                    <w:rPr>
                      <w:color w:val="000000"/>
                      <w:lang w:eastAsia="lt-LT"/>
                    </w:rPr>
                    <w:t xml:space="preserve"> =80000·</w:t>
                  </w:r>
                  <w:r>
                    <w:rPr>
                      <w:i/>
                      <w:color w:val="000000"/>
                      <w:lang w:eastAsia="lt-LT"/>
                    </w:rPr>
                    <w:t>A</w:t>
                  </w:r>
                  <w:r>
                    <w:rPr>
                      <w:i/>
                      <w:color w:val="000000"/>
                      <w:vertAlign w:val="subscript"/>
                      <w:lang w:eastAsia="lt-LT"/>
                    </w:rPr>
                    <w:t>p</w:t>
                  </w:r>
                  <w:r>
                    <w:rPr>
                      <w:color w:val="000000"/>
                      <w:lang w:eastAsia="lt-LT"/>
                    </w:rPr>
                    <w:t xml:space="preserve"> J/K,</w:t>
                  </w:r>
                  <w:r>
                    <w:rPr>
                      <w:bCs/>
                      <w:color w:val="000000"/>
                      <w:lang w:eastAsia="lt-LT"/>
                    </w:rPr>
                    <w:t xml:space="preserve"> formulėje (2.174) vietoje </w:t>
                  </w:r>
                  <w:r>
                    <w:rPr>
                      <w:bCs/>
                      <w:i/>
                      <w:color w:val="000000"/>
                      <w:lang w:eastAsia="lt-LT"/>
                    </w:rPr>
                    <w:t>Q</w:t>
                  </w:r>
                  <w:r>
                    <w:rPr>
                      <w:bCs/>
                      <w:i/>
                      <w:color w:val="000000"/>
                      <w:vertAlign w:val="subscript"/>
                      <w:lang w:eastAsia="lt-LT"/>
                    </w:rPr>
                    <w:t>i,m</w:t>
                  </w:r>
                  <w:r>
                    <w:rPr>
                      <w:bCs/>
                      <w:color w:val="000000"/>
                      <w:lang w:eastAsia="lt-LT"/>
                    </w:rPr>
                    <w:t xml:space="preserve">, </w:t>
                  </w:r>
                  <w:r>
                    <w:rPr>
                      <w:bCs/>
                      <w:i/>
                      <w:color w:val="000000"/>
                      <w:lang w:eastAsia="lt-LT"/>
                    </w:rPr>
                    <w:t>Q</w:t>
                  </w:r>
                  <w:r>
                    <w:rPr>
                      <w:bCs/>
                      <w:i/>
                      <w:color w:val="000000"/>
                      <w:vertAlign w:val="subscript"/>
                      <w:lang w:eastAsia="lt-LT"/>
                    </w:rPr>
                    <w:t>H.env,m</w:t>
                  </w:r>
                  <w:r>
                    <w:rPr>
                      <w:bCs/>
                      <w:color w:val="000000"/>
                      <w:lang w:eastAsia="lt-LT"/>
                    </w:rPr>
                    <w:t xml:space="preserve"> ir </w:t>
                  </w:r>
                  <w:r>
                    <w:rPr>
                      <w:bCs/>
                      <w:i/>
                      <w:color w:val="000000"/>
                      <w:lang w:eastAsia="lt-LT"/>
                    </w:rPr>
                    <w:t>Q</w:t>
                  </w:r>
                  <w:r>
                    <w:rPr>
                      <w:bCs/>
                      <w:i/>
                      <w:color w:val="000000"/>
                      <w:vertAlign w:val="subscript"/>
                      <w:lang w:eastAsia="lt-LT"/>
                    </w:rPr>
                    <w:t>H.vent,m</w:t>
                  </w:r>
                  <w:r>
                    <w:rPr>
                      <w:bCs/>
                      <w:color w:val="000000"/>
                      <w:lang w:eastAsia="lt-LT"/>
                    </w:rPr>
                    <w:t xml:space="preserve"> naudojant </w:t>
                  </w:r>
                  <w:r>
                    <w:rPr>
                      <w:bCs/>
                      <w:i/>
                      <w:color w:val="000000"/>
                      <w:lang w:eastAsia="lt-LT"/>
                    </w:rPr>
                    <w:t>Q</w:t>
                  </w:r>
                  <w:r>
                    <w:rPr>
                      <w:bCs/>
                      <w:i/>
                      <w:color w:val="000000"/>
                      <w:vertAlign w:val="subscript"/>
                      <w:lang w:eastAsia="lt-LT"/>
                    </w:rPr>
                    <w:t>N.i,m</w:t>
                  </w:r>
                  <w:r>
                    <w:rPr>
                      <w:bCs/>
                      <w:color w:val="000000"/>
                      <w:lang w:eastAsia="lt-LT"/>
                    </w:rPr>
                    <w:t xml:space="preserve">, </w:t>
                  </w:r>
                  <w:r>
                    <w:rPr>
                      <w:bCs/>
                      <w:i/>
                      <w:color w:val="000000"/>
                      <w:lang w:eastAsia="lt-LT"/>
                    </w:rPr>
                    <w:t>Q</w:t>
                  </w:r>
                  <w:r>
                    <w:rPr>
                      <w:bCs/>
                      <w:i/>
                      <w:color w:val="000000"/>
                      <w:vertAlign w:val="subscript"/>
                      <w:lang w:eastAsia="lt-LT"/>
                    </w:rPr>
                    <w:t>N.H.env,m</w:t>
                  </w:r>
                  <w:r>
                    <w:rPr>
                      <w:bCs/>
                      <w:color w:val="000000"/>
                      <w:lang w:eastAsia="lt-LT"/>
                    </w:rPr>
                    <w:t xml:space="preserve"> ir </w:t>
                  </w:r>
                  <w:r>
                    <w:rPr>
                      <w:bCs/>
                      <w:i/>
                      <w:color w:val="000000"/>
                      <w:lang w:eastAsia="lt-LT"/>
                    </w:rPr>
                    <w:t>Q</w:t>
                  </w:r>
                  <w:r>
                    <w:rPr>
                      <w:bCs/>
                      <w:i/>
                      <w:color w:val="000000"/>
                      <w:vertAlign w:val="subscript"/>
                      <w:lang w:eastAsia="lt-LT"/>
                    </w:rPr>
                    <w:t>N.H.vent,m</w:t>
                  </w:r>
                  <w:r>
                    <w:rPr>
                      <w:bCs/>
                      <w:color w:val="000000"/>
                      <w:lang w:eastAsia="lt-LT"/>
                    </w:rPr>
                    <w:t>, apskaičiuotus pagal (2.164), (2.119) ir (2.99) formules.</w:t>
                  </w:r>
                </w:p>
                <w:p>
                  <w:pPr>
                    <w:tabs>
                      <w:tab w:val="left" w:pos="567"/>
                    </w:tabs>
                    <w:suppressAutoHyphens/>
                    <w:ind w:firstLine="570"/>
                    <w:jc w:val="both"/>
                    <w:rPr>
                      <w:szCs w:val="24"/>
                      <w:lang w:eastAsia="lt-LT"/>
                    </w:rPr>
                  </w:pPr>
                  <w:r>
                    <w:rPr>
                      <w:color w:val="000000"/>
                      <w:lang w:eastAsia="lt-LT"/>
                    </w:rPr>
                    <w:t xml:space="preserve">Kiekvieno mėnesio </w:t>
                  </w:r>
                  <w:r>
                    <w:rPr>
                      <w:i/>
                      <w:color w:val="000000"/>
                      <w:lang w:eastAsia="lt-LT"/>
                    </w:rPr>
                    <w:t>„m“</w:t>
                  </w:r>
                  <w:r>
                    <w:rPr>
                      <w:b/>
                      <w:color w:val="000000"/>
                      <w:lang w:eastAsia="lt-LT"/>
                    </w:rPr>
                    <w:t xml:space="preserve"> </w:t>
                  </w:r>
                  <w:r>
                    <w:rPr>
                      <w:color w:val="000000"/>
                      <w:lang w:eastAsia="lt-LT"/>
                    </w:rPr>
                    <w:t xml:space="preserve">atskaitinio </w:t>
                  </w:r>
                  <w:r>
                    <w:rPr>
                      <w:bCs/>
                      <w:i/>
                      <w:color w:val="000000"/>
                      <w:lang w:eastAsia="lt-LT"/>
                    </w:rPr>
                    <w:t>η</w:t>
                  </w:r>
                  <w:r>
                    <w:rPr>
                      <w:bCs/>
                      <w:i/>
                      <w:color w:val="000000"/>
                      <w:vertAlign w:val="subscript"/>
                      <w:lang w:eastAsia="lt-LT"/>
                    </w:rPr>
                    <w:t>R.H.gn,m</w:t>
                  </w:r>
                  <w:r>
                    <w:rPr>
                      <w:color w:val="000000"/>
                      <w:lang w:eastAsia="lt-LT"/>
                    </w:rPr>
                    <w:t xml:space="preserve"> </w:t>
                  </w:r>
                  <w:r>
                    <w:rPr>
                      <w:bCs/>
                      <w:color w:val="000000"/>
                      <w:lang w:eastAsia="lt-LT"/>
                    </w:rPr>
                    <w:t xml:space="preserve">faktoriaus vertė apskaičiuojama pagal (2.170)–(2.174) formules taip: (2.173) formulėje vietoje </w:t>
                  </w:r>
                  <w:r>
                    <w:rPr>
                      <w:i/>
                      <w:color w:val="000000"/>
                      <w:lang w:eastAsia="lt-LT"/>
                    </w:rPr>
                    <w:t>H</w:t>
                  </w:r>
                  <w:r>
                    <w:rPr>
                      <w:i/>
                      <w:color w:val="000000"/>
                      <w:vertAlign w:val="subscript"/>
                      <w:lang w:eastAsia="lt-LT"/>
                    </w:rPr>
                    <w:t>H.p,m</w:t>
                  </w:r>
                  <w:r>
                    <w:rPr>
                      <w:color w:val="000000"/>
                      <w:vertAlign w:val="subscript"/>
                      <w:lang w:eastAsia="lt-LT"/>
                    </w:rPr>
                    <w:t xml:space="preserve"> </w:t>
                  </w:r>
                  <w:r>
                    <w:rPr>
                      <w:bCs/>
                      <w:color w:val="000000"/>
                      <w:lang w:eastAsia="lt-LT"/>
                    </w:rPr>
                    <w:t xml:space="preserve">naudojant </w:t>
                  </w:r>
                  <w:r>
                    <w:rPr>
                      <w:i/>
                      <w:color w:val="000000"/>
                      <w:lang w:eastAsia="lt-LT"/>
                    </w:rPr>
                    <w:t>H</w:t>
                  </w:r>
                  <w:r>
                    <w:rPr>
                      <w:i/>
                      <w:color w:val="000000"/>
                      <w:vertAlign w:val="subscript"/>
                      <w:lang w:eastAsia="lt-LT"/>
                    </w:rPr>
                    <w:t>R.H.p,m</w:t>
                  </w:r>
                  <w:r>
                    <w:rPr>
                      <w:bCs/>
                      <w:color w:val="000000"/>
                      <w:lang w:eastAsia="lt-LT"/>
                    </w:rPr>
                    <w:t xml:space="preserve">, apskaičiuotą pagal (2.117) formulę, (2.173) formulėje naudojant </w:t>
                  </w:r>
                  <w:r>
                    <w:rPr>
                      <w:i/>
                      <w:color w:val="000000"/>
                      <w:lang w:eastAsia="lt-LT"/>
                    </w:rPr>
                    <w:t>C</w:t>
                  </w:r>
                  <w:r>
                    <w:rPr>
                      <w:i/>
                      <w:color w:val="000000"/>
                      <w:vertAlign w:val="subscript"/>
                      <w:lang w:eastAsia="lt-LT"/>
                    </w:rPr>
                    <w:t>p</w:t>
                  </w:r>
                  <w:r>
                    <w:rPr>
                      <w:color w:val="000000"/>
                      <w:lang w:eastAsia="lt-LT"/>
                    </w:rPr>
                    <w:t xml:space="preserve"> =165000·</w:t>
                  </w:r>
                  <w:r>
                    <w:rPr>
                      <w:i/>
                      <w:color w:val="000000"/>
                      <w:lang w:eastAsia="lt-LT"/>
                    </w:rPr>
                    <w:t>A</w:t>
                  </w:r>
                  <w:r>
                    <w:rPr>
                      <w:i/>
                      <w:color w:val="000000"/>
                      <w:vertAlign w:val="subscript"/>
                      <w:lang w:eastAsia="lt-LT"/>
                    </w:rPr>
                    <w:t>p</w:t>
                  </w:r>
                  <w:r>
                    <w:rPr>
                      <w:color w:val="000000"/>
                      <w:lang w:eastAsia="lt-LT"/>
                    </w:rPr>
                    <w:t xml:space="preserve"> J/K</w:t>
                  </w:r>
                  <w:r>
                    <w:rPr>
                      <w:bCs/>
                      <w:color w:val="000000"/>
                      <w:lang w:eastAsia="lt-LT"/>
                    </w:rPr>
                    <w:t xml:space="preserve">, formulėje (2.174) vietoje </w:t>
                  </w:r>
                  <w:r>
                    <w:rPr>
                      <w:bCs/>
                      <w:i/>
                      <w:color w:val="000000"/>
                      <w:lang w:eastAsia="lt-LT"/>
                    </w:rPr>
                    <w:t>Q</w:t>
                  </w:r>
                  <w:r>
                    <w:rPr>
                      <w:bCs/>
                      <w:i/>
                      <w:color w:val="000000"/>
                      <w:vertAlign w:val="subscript"/>
                      <w:lang w:eastAsia="lt-LT"/>
                    </w:rPr>
                    <w:t>i,m</w:t>
                  </w:r>
                  <w:r>
                    <w:rPr>
                      <w:bCs/>
                      <w:color w:val="000000"/>
                      <w:lang w:eastAsia="lt-LT"/>
                    </w:rPr>
                    <w:t xml:space="preserve">, </w:t>
                  </w:r>
                  <w:r>
                    <w:rPr>
                      <w:bCs/>
                      <w:i/>
                      <w:color w:val="000000"/>
                      <w:lang w:eastAsia="lt-LT"/>
                    </w:rPr>
                    <w:t>Q</w:t>
                  </w:r>
                  <w:r>
                    <w:rPr>
                      <w:bCs/>
                      <w:i/>
                      <w:color w:val="000000"/>
                      <w:vertAlign w:val="subscript"/>
                      <w:lang w:eastAsia="lt-LT"/>
                    </w:rPr>
                    <w:t>H.env,m</w:t>
                  </w:r>
                  <w:r>
                    <w:rPr>
                      <w:bCs/>
                      <w:color w:val="000000"/>
                      <w:lang w:eastAsia="lt-LT"/>
                    </w:rPr>
                    <w:t xml:space="preserve"> ir </w:t>
                  </w:r>
                  <w:r>
                    <w:rPr>
                      <w:bCs/>
                      <w:i/>
                      <w:color w:val="000000"/>
                      <w:lang w:eastAsia="lt-LT"/>
                    </w:rPr>
                    <w:t>Q</w:t>
                  </w:r>
                  <w:r>
                    <w:rPr>
                      <w:bCs/>
                      <w:i/>
                      <w:color w:val="000000"/>
                      <w:vertAlign w:val="subscript"/>
                      <w:lang w:eastAsia="lt-LT"/>
                    </w:rPr>
                    <w:t>H.vent,m</w:t>
                  </w:r>
                  <w:r>
                    <w:rPr>
                      <w:bCs/>
                      <w:color w:val="000000"/>
                      <w:lang w:eastAsia="lt-LT"/>
                    </w:rPr>
                    <w:t xml:space="preserve"> naudojant </w:t>
                  </w:r>
                  <w:r>
                    <w:rPr>
                      <w:bCs/>
                      <w:i/>
                      <w:color w:val="000000"/>
                      <w:lang w:eastAsia="lt-LT"/>
                    </w:rPr>
                    <w:t>Q</w:t>
                  </w:r>
                  <w:r>
                    <w:rPr>
                      <w:bCs/>
                      <w:i/>
                      <w:color w:val="000000"/>
                      <w:vertAlign w:val="subscript"/>
                      <w:lang w:eastAsia="lt-LT"/>
                    </w:rPr>
                    <w:t>R.i,m</w:t>
                  </w:r>
                  <w:r>
                    <w:rPr>
                      <w:bCs/>
                      <w:color w:val="000000"/>
                      <w:lang w:eastAsia="lt-LT"/>
                    </w:rPr>
                    <w:t xml:space="preserve">, </w:t>
                  </w:r>
                  <w:r>
                    <w:rPr>
                      <w:bCs/>
                      <w:i/>
                      <w:color w:val="000000"/>
                      <w:lang w:eastAsia="lt-LT"/>
                    </w:rPr>
                    <w:t>Q</w:t>
                  </w:r>
                  <w:r>
                    <w:rPr>
                      <w:bCs/>
                      <w:i/>
                      <w:color w:val="000000"/>
                      <w:vertAlign w:val="subscript"/>
                      <w:lang w:eastAsia="lt-LT"/>
                    </w:rPr>
                    <w:t>R.H.env,m</w:t>
                  </w:r>
                  <w:r>
                    <w:rPr>
                      <w:bCs/>
                      <w:color w:val="000000"/>
                      <w:lang w:eastAsia="lt-LT"/>
                    </w:rPr>
                    <w:t xml:space="preserve"> ir </w:t>
                  </w:r>
                  <w:r>
                    <w:rPr>
                      <w:bCs/>
                      <w:i/>
                      <w:color w:val="000000"/>
                      <w:lang w:eastAsia="lt-LT"/>
                    </w:rPr>
                    <w:t>Q</w:t>
                  </w:r>
                  <w:r>
                    <w:rPr>
                      <w:bCs/>
                      <w:i/>
                      <w:color w:val="000000"/>
                      <w:vertAlign w:val="subscript"/>
                      <w:lang w:eastAsia="lt-LT"/>
                    </w:rPr>
                    <w:t>R.H.vent,m</w:t>
                  </w:r>
                  <w:r>
                    <w:rPr>
                      <w:bCs/>
                      <w:color w:val="000000"/>
                      <w:lang w:eastAsia="lt-LT"/>
                    </w:rPr>
                    <w:t>, apskaičiuotus pagal (2.165), (2.120) ir (2.99) formules.</w:t>
                  </w:r>
                </w:p>
                <w:p>
                  <w:pPr>
                    <w:tabs>
                      <w:tab w:val="left" w:pos="567"/>
                      <w:tab w:val="left" w:pos="851"/>
                      <w:tab w:val="left" w:pos="1134"/>
                      <w:tab w:val="left" w:pos="1418"/>
                    </w:tabs>
                    <w:suppressAutoHyphens/>
                    <w:ind w:left="567"/>
                    <w:jc w:val="both"/>
                    <w:rPr>
                      <w:szCs w:val="24"/>
                      <w:lang w:eastAsia="lt-LT"/>
                    </w:rPr>
                    <w:sectPr>
                      <w:headerReference w:type="even" r:id="rId690"/>
                      <w:headerReference w:type="default" r:id="rId691"/>
                      <w:footerReference w:type="even" r:id="rId692"/>
                      <w:footerReference w:type="default" r:id="rId693"/>
                      <w:headerReference w:type="first" r:id="rId694"/>
                      <w:footerReference w:type="first" r:id="rId695"/>
                      <w:pgSz w:w="11905" w:h="16837"/>
                      <w:pgMar w:top="1135" w:right="565" w:bottom="851" w:left="1701" w:header="567" w:footer="567" w:gutter="0"/>
                      <w:pgNumType w:start="1"/>
                      <w:cols w:space="1296"/>
                      <w:titlePg/>
                      <w:docGrid w:linePitch="326"/>
                    </w:sectPr>
                  </w:pPr>
                </w:p>
                <w:p>
                  <w:pPr>
                    <w:tabs>
                      <w:tab w:val="center" w:pos="4986"/>
                      <w:tab w:val="right" w:pos="9972"/>
                    </w:tabs>
                    <w:spacing w:line="259" w:lineRule="auto"/>
                    <w:rPr>
                      <w:sz w:val="22"/>
                      <w:szCs w:val="22"/>
                      <w:lang w:eastAsia="lt-LT"/>
                    </w:rPr>
                  </w:pPr>
                </w:p>
                <w:p>
                  <w:pPr>
                    <w:rPr>
                      <w:sz w:val="14"/>
                      <w:szCs w:val="14"/>
                    </w:rPr>
                  </w:pPr>
                </w:p>
                <w:p>
                  <w:pPr>
                    <w:tabs>
                      <w:tab w:val="left" w:pos="567"/>
                    </w:tabs>
                    <w:suppressAutoHyphens/>
                    <w:ind w:firstLine="930"/>
                    <w:jc w:val="center"/>
                    <w:rPr>
                      <w:b/>
                      <w:color w:val="000000"/>
                      <w:spacing w:val="-6"/>
                      <w:lang w:eastAsia="lt-LT"/>
                    </w:rPr>
                  </w:pPr>
                  <w:r>
                    <w:rPr>
                      <w:b/>
                      <w:color w:val="000000"/>
                      <w:spacing w:val="-6"/>
                      <w:lang w:eastAsia="lt-LT"/>
                    </w:rPr>
                    <w:t>Įvairios vidaus šiluminės talpos pastatų lauko sienų, pertvarų, perdenginių ir grindų konstrukcijos</w:t>
                  </w:r>
                </w:p>
                <w:p>
                  <w:pPr>
                    <w:tabs>
                      <w:tab w:val="left" w:pos="567"/>
                      <w:tab w:val="left" w:pos="14190"/>
                    </w:tabs>
                    <w:suppressAutoHyphens/>
                    <w:ind w:firstLine="13325"/>
                    <w:jc w:val="right"/>
                    <w:rPr>
                      <w:bCs/>
                      <w:color w:val="000000"/>
                      <w:spacing w:val="-6"/>
                      <w:lang w:eastAsia="lt-LT"/>
                    </w:rPr>
                  </w:pPr>
                  <w:r>
                    <w:rPr>
                      <w:bCs/>
                      <w:color w:val="000000"/>
                      <w:spacing w:val="-6"/>
                      <w:lang w:val="en-US" w:eastAsia="lt-LT"/>
                    </w:rPr>
                    <w:t>2.37 lentel</w:t>
                  </w:r>
                  <w:r>
                    <w:rPr>
                      <w:bCs/>
                      <w:color w:val="000000"/>
                      <w:spacing w:val="-6"/>
                      <w:lang w:eastAsia="lt-LT"/>
                    </w:rPr>
                    <w:t>ė</w:t>
                    <w:tab/>
                  </w:r>
                </w:p>
                <w:tbl>
                  <w:tblPr>
                    <w:tblW w:w="0" w:type="auto"/>
                    <w:tblLook w:val="04A0" w:firstRow="1" w:lastRow="0" w:firstColumn="1" w:lastColumn="0" w:noHBand="0" w:noVBand="1"/>
                  </w:tblPr>
                  <w:tblGrid>
                    <w:gridCol w:w="416"/>
                    <w:gridCol w:w="1439"/>
                    <w:gridCol w:w="1184"/>
                    <w:gridCol w:w="1240"/>
                    <w:gridCol w:w="1238"/>
                    <w:gridCol w:w="1484"/>
                    <w:gridCol w:w="1492"/>
                    <w:gridCol w:w="1506"/>
                    <w:gridCol w:w="1386"/>
                    <w:gridCol w:w="1772"/>
                    <w:gridCol w:w="2194"/>
                  </w:tblGrid>
                  <w:tr>
                    <w:trPr>
                      <w:trHeight w:val="1405"/>
                    </w:trPr>
                    <w:tc>
                      <w:tcPr>
                        <w:tcW w:w="0" w:type="auto"/>
                        <w:tcBorders>
                          <w:top w:val="nil"/>
                          <w:left w:val="nil"/>
                          <w:bottom w:val="single" w:sz="4" w:space="0" w:color="auto"/>
                          <w:right w:val="nil"/>
                        </w:tcBorders>
                        <w:noWrap/>
                        <w:vAlign w:val="center"/>
                      </w:tcPr>
                      <w:p>
                        <w:pPr>
                          <w:tabs>
                            <w:tab w:val="left" w:pos="567"/>
                          </w:tabs>
                          <w:suppressAutoHyphens/>
                          <w:spacing w:line="276" w:lineRule="auto"/>
                          <w:jc w:val="center"/>
                          <w:rPr>
                            <w:rFonts w:eastAsia="Calibri"/>
                            <w:color w:val="000000"/>
                            <w:sz w:val="20"/>
                            <w:lang w:eastAsia="lt-LT"/>
                          </w:rPr>
                        </w:pPr>
                      </w:p>
                    </w:tc>
                    <w:tc>
                      <w:tcPr>
                        <w:tcW w:w="0" w:type="auto"/>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Karkasinės arba iš vidaus apšiltintos lauko sienos</w:t>
                        </w:r>
                      </w:p>
                    </w:tc>
                    <w:tc>
                      <w:tcPr>
                        <w:tcW w:w="1184" w:type="dxa"/>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Mūrinės arba betoninės lauko sienos</w:t>
                        </w:r>
                      </w:p>
                    </w:tc>
                    <w:tc>
                      <w:tcPr>
                        <w:tcW w:w="1240" w:type="dxa"/>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Karkasinės pertvaros</w:t>
                        </w:r>
                      </w:p>
                    </w:tc>
                    <w:tc>
                      <w:tcPr>
                        <w:tcW w:w="0" w:type="auto"/>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Betoninės ir (arba) mūrinės pertvaros</w:t>
                        </w:r>
                      </w:p>
                    </w:tc>
                    <w:tc>
                      <w:tcPr>
                        <w:tcW w:w="0" w:type="auto"/>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Įvairios (betoninės, mūrinės ir karkasinės) pertvaros</w:t>
                        </w:r>
                      </w:p>
                    </w:tc>
                    <w:tc>
                      <w:tcPr>
                        <w:tcW w:w="0" w:type="auto"/>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Visi arba daugiau kaip pusė perdenginių mediniai</w:t>
                        </w:r>
                      </w:p>
                    </w:tc>
                    <w:tc>
                      <w:tcPr>
                        <w:tcW w:w="0" w:type="auto"/>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Visi arba daugiau kaip pusė perdenginių betoniniai</w:t>
                        </w:r>
                      </w:p>
                    </w:tc>
                    <w:tc>
                      <w:tcPr>
                        <w:tcW w:w="1386" w:type="dxa"/>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Visos arba daugiau kaip pusė grindų medinės, laminuotos ir pan.</w:t>
                        </w:r>
                      </w:p>
                    </w:tc>
                    <w:tc>
                      <w:tcPr>
                        <w:tcW w:w="1772" w:type="dxa"/>
                        <w:tcBorders>
                          <w:top w:val="single" w:sz="4" w:space="0" w:color="auto"/>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Visos arba daugiau kaip pusė grindų betoninės, keraminių plytelių, linoleumo ant betono ir pan.</w:t>
                        </w:r>
                      </w:p>
                    </w:tc>
                    <w:tc>
                      <w:tcPr>
                        <w:tcW w:w="0" w:type="auto"/>
                        <w:tcBorders>
                          <w:top w:val="single" w:sz="4" w:space="0" w:color="auto"/>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Pastato klasifikavimas</w:t>
                        </w:r>
                      </w:p>
                      <w:p>
                        <w:pPr>
                          <w:tabs>
                            <w:tab w:val="left" w:pos="567"/>
                          </w:tabs>
                          <w:suppressAutoHyphens/>
                          <w:spacing w:line="276" w:lineRule="auto"/>
                          <w:jc w:val="center"/>
                          <w:rPr>
                            <w:color w:val="000000"/>
                            <w:sz w:val="18"/>
                            <w:szCs w:val="18"/>
                            <w:lang w:eastAsia="lt-LT"/>
                          </w:rPr>
                        </w:pPr>
                        <w:r>
                          <w:rPr>
                            <w:color w:val="000000"/>
                            <w:sz w:val="18"/>
                            <w:szCs w:val="18"/>
                            <w:lang w:eastAsia="lt-LT"/>
                          </w:rPr>
                          <w:t>pagal jo vidaus šiluminę</w:t>
                        </w:r>
                      </w:p>
                      <w:p>
                        <w:pPr>
                          <w:tabs>
                            <w:tab w:val="left" w:pos="567"/>
                          </w:tabs>
                          <w:suppressAutoHyphens/>
                          <w:spacing w:line="276" w:lineRule="auto"/>
                          <w:ind w:firstLine="53"/>
                          <w:jc w:val="center"/>
                          <w:rPr>
                            <w:rFonts w:eastAsia="Calibri"/>
                            <w:color w:val="000000"/>
                            <w:sz w:val="18"/>
                            <w:szCs w:val="18"/>
                            <w:lang w:eastAsia="lt-LT"/>
                          </w:rPr>
                        </w:pPr>
                        <w:r>
                          <w:rPr>
                            <w:color w:val="000000"/>
                            <w:sz w:val="18"/>
                            <w:szCs w:val="18"/>
                            <w:lang w:eastAsia="lt-LT"/>
                          </w:rPr>
                          <w:t>talpą</w:t>
                        </w:r>
                      </w:p>
                    </w:tc>
                  </w:tr>
                  <w:tr>
                    <w:trPr>
                      <w:trHeight w:val="264"/>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w:t>
                        </w:r>
                      </w:p>
                    </w:tc>
                    <w:tc>
                      <w:tcPr>
                        <w:tcW w:w="0" w:type="auto"/>
                        <w:tcBorders>
                          <w:top w:val="nil"/>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Labai lengvas pastatas</w:t>
                        </w:r>
                      </w:p>
                    </w:tc>
                  </w:tr>
                  <w:tr>
                    <w:trPr>
                      <w:trHeight w:val="264"/>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w:t>
                        </w:r>
                      </w:p>
                    </w:tc>
                    <w:tc>
                      <w:tcPr>
                        <w:tcW w:w="0" w:type="auto"/>
                        <w:tcBorders>
                          <w:top w:val="nil"/>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Labai lengvas pastatas</w:t>
                        </w:r>
                      </w:p>
                    </w:tc>
                  </w:tr>
                  <w:tr>
                    <w:trPr>
                      <w:trHeight w:val="264"/>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3</w:t>
                        </w:r>
                      </w:p>
                    </w:tc>
                    <w:tc>
                      <w:tcPr>
                        <w:tcW w:w="0" w:type="auto"/>
                        <w:tcBorders>
                          <w:top w:val="nil"/>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Labai lengvas pastatas</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4</w:t>
                        </w:r>
                      </w:p>
                    </w:tc>
                    <w:tc>
                      <w:tcPr>
                        <w:tcW w:w="0" w:type="auto"/>
                        <w:tcBorders>
                          <w:top w:val="nil"/>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Lengvas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5</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6</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7</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8</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Labai 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9</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Lengvas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10</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11</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12</w:t>
                        </w:r>
                      </w:p>
                    </w:tc>
                    <w:tc>
                      <w:tcPr>
                        <w:tcW w:w="0" w:type="auto"/>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184"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Masyvus pastatas </w:t>
                        </w:r>
                      </w:p>
                    </w:tc>
                  </w:tr>
                  <w:tr>
                    <w:trPr>
                      <w:trHeight w:val="264"/>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13</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Labai lengvas pastatas</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14</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Lengvas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15</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 xml:space="preserve">Lengvas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16</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z w:val="18"/>
                            <w:szCs w:val="18"/>
                            <w:lang w:eastAsia="lt-LT"/>
                          </w:rPr>
                          <w:t xml:space="preserve">Lengvas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17</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18</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Labai 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19</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Labai 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20</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Labai masyvus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21</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22</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nil"/>
                        </w:tcBorders>
                        <w:vAlign w:val="center"/>
                      </w:tcPr>
                      <w:p>
                        <w:pPr>
                          <w:tabs>
                            <w:tab w:val="left" w:pos="567"/>
                          </w:tabs>
                          <w:suppressAutoHyphens/>
                          <w:spacing w:line="276" w:lineRule="auto"/>
                          <w:jc w:val="center"/>
                          <w:rPr>
                            <w:rFonts w:eastAsia="Calibri"/>
                            <w:color w:val="000000"/>
                            <w:sz w:val="18"/>
                            <w:szCs w:val="18"/>
                            <w:lang w:eastAsia="lt-LT"/>
                          </w:rPr>
                        </w:pP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23</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772" w:type="dxa"/>
                        <w:tcBorders>
                          <w:top w:val="nil"/>
                          <w:left w:val="nil"/>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 xml:space="preserve">Vidutinio masyvumo pastatas </w:t>
                        </w:r>
                      </w:p>
                    </w:tc>
                  </w:tr>
                  <w:tr>
                    <w:trPr>
                      <w:trHeight w:val="312"/>
                    </w:trPr>
                    <w:tc>
                      <w:tcPr>
                        <w:tcW w:w="0" w:type="auto"/>
                        <w:tcBorders>
                          <w:top w:val="single" w:sz="4" w:space="0" w:color="auto"/>
                          <w:left w:val="single" w:sz="4" w:space="0" w:color="auto"/>
                          <w:bottom w:val="single" w:sz="4" w:space="0" w:color="auto"/>
                          <w:right w:val="nil"/>
                        </w:tcBorders>
                        <w:noWrap/>
                        <w:vAlign w:val="center"/>
                        <w:hideMark/>
                      </w:tcPr>
                      <w:p>
                        <w:pPr>
                          <w:tabs>
                            <w:tab w:val="left" w:pos="567"/>
                          </w:tabs>
                          <w:suppressAutoHyphens/>
                          <w:spacing w:line="276" w:lineRule="auto"/>
                          <w:jc w:val="center"/>
                          <w:rPr>
                            <w:rFonts w:eastAsia="Calibri"/>
                            <w:color w:val="000000"/>
                            <w:sz w:val="20"/>
                            <w:lang w:eastAsia="lt-LT"/>
                          </w:rPr>
                        </w:pPr>
                        <w:r>
                          <w:rPr>
                            <w:color w:val="000000"/>
                            <w:sz w:val="20"/>
                            <w:lang w:eastAsia="lt-LT"/>
                          </w:rPr>
                          <w:t>24</w:t>
                        </w:r>
                      </w:p>
                    </w:tc>
                    <w:tc>
                      <w:tcPr>
                        <w:tcW w:w="0" w:type="auto"/>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184" w:type="dxa"/>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240" w:type="dxa"/>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nil"/>
                          <w:left w:val="nil"/>
                          <w:bottom w:val="single" w:sz="4" w:space="0" w:color="auto"/>
                          <w:right w:val="single" w:sz="4" w:space="0" w:color="auto"/>
                        </w:tcBorders>
                        <w:vAlign w:val="center"/>
                      </w:tcPr>
                      <w:p>
                        <w:pPr>
                          <w:tabs>
                            <w:tab w:val="left" w:pos="567"/>
                          </w:tabs>
                          <w:suppressAutoHyphens/>
                          <w:spacing w:line="276" w:lineRule="auto"/>
                          <w:jc w:val="center"/>
                          <w:rPr>
                            <w:rFonts w:eastAsia="Calibri"/>
                            <w:color w:val="000000"/>
                            <w:sz w:val="18"/>
                            <w:szCs w:val="18"/>
                            <w:lang w:eastAsia="lt-LT"/>
                          </w:rPr>
                        </w:pPr>
                      </w:p>
                    </w:tc>
                    <w:tc>
                      <w:tcPr>
                        <w:tcW w:w="0" w:type="auto"/>
                        <w:tcBorders>
                          <w:top w:val="nil"/>
                          <w:left w:val="nil"/>
                          <w:bottom w:val="single" w:sz="4" w:space="0" w:color="auto"/>
                          <w:right w:val="nil"/>
                        </w:tcBorders>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1386" w:type="dxa"/>
                        <w:tcBorders>
                          <w:top w:val="nil"/>
                          <w:left w:val="single" w:sz="4" w:space="0" w:color="auto"/>
                          <w:bottom w:val="single" w:sz="4" w:space="0" w:color="auto"/>
                          <w:right w:val="single" w:sz="4" w:space="0" w:color="auto"/>
                        </w:tcBorders>
                        <w:noWrap/>
                        <w:vAlign w:val="center"/>
                      </w:tcPr>
                      <w:p>
                        <w:pPr>
                          <w:tabs>
                            <w:tab w:val="left" w:pos="567"/>
                          </w:tabs>
                          <w:suppressAutoHyphens/>
                          <w:spacing w:line="276" w:lineRule="auto"/>
                          <w:jc w:val="center"/>
                          <w:rPr>
                            <w:rFonts w:eastAsia="Calibri"/>
                            <w:color w:val="000000"/>
                            <w:sz w:val="18"/>
                            <w:szCs w:val="18"/>
                            <w:lang w:eastAsia="lt-LT"/>
                          </w:rPr>
                        </w:pPr>
                      </w:p>
                    </w:tc>
                    <w:tc>
                      <w:tcPr>
                        <w:tcW w:w="1772" w:type="dxa"/>
                        <w:tcBorders>
                          <w:top w:val="nil"/>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 w:val="18"/>
                            <w:szCs w:val="18"/>
                            <w:lang w:eastAsia="lt-LT"/>
                          </w:rPr>
                        </w:pPr>
                        <w:r>
                          <w:rPr>
                            <w:color w:val="000000"/>
                            <w:sz w:val="18"/>
                            <w:szCs w:val="18"/>
                            <w:lang w:eastAsia="lt-LT"/>
                          </w:rPr>
                          <w:t>+</w:t>
                        </w:r>
                      </w:p>
                    </w:tc>
                    <w:tc>
                      <w:tcPr>
                        <w:tcW w:w="0" w:type="auto"/>
                        <w:tcBorders>
                          <w:top w:val="single" w:sz="4" w:space="0" w:color="auto"/>
                          <w:left w:val="nil"/>
                          <w:bottom w:val="single" w:sz="4" w:space="0" w:color="auto"/>
                          <w:right w:val="single" w:sz="4" w:space="0" w:color="auto"/>
                        </w:tcBorders>
                        <w:noWrap/>
                        <w:hideMark/>
                      </w:tcPr>
                      <w:p>
                        <w:pPr>
                          <w:tabs>
                            <w:tab w:val="left" w:pos="567"/>
                          </w:tabs>
                          <w:suppressAutoHyphens/>
                          <w:spacing w:line="276" w:lineRule="auto"/>
                          <w:jc w:val="both"/>
                          <w:rPr>
                            <w:rFonts w:eastAsia="Calibri"/>
                            <w:color w:val="000000"/>
                            <w:sz w:val="18"/>
                            <w:szCs w:val="18"/>
                            <w:lang w:eastAsia="lt-LT"/>
                          </w:rPr>
                        </w:pPr>
                        <w:r>
                          <w:rPr>
                            <w:color w:val="000000"/>
                            <w:spacing w:val="-6"/>
                            <w:sz w:val="18"/>
                            <w:szCs w:val="18"/>
                            <w:lang w:eastAsia="lt-LT"/>
                          </w:rPr>
                          <w:t>Masyvus pastatas</w:t>
                        </w:r>
                      </w:p>
                    </w:tc>
                  </w:tr>
                </w:tbl>
                <w:p>
                  <w:pPr>
                    <w:tabs>
                      <w:tab w:val="left" w:pos="567"/>
                      <w:tab w:val="left" w:pos="851"/>
                      <w:tab w:val="left" w:pos="1134"/>
                      <w:tab w:val="left" w:pos="1418"/>
                    </w:tabs>
                    <w:suppressAutoHyphens/>
                    <w:jc w:val="both"/>
                    <w:rPr>
                      <w:szCs w:val="24"/>
                      <w:lang w:eastAsia="lt-LT"/>
                    </w:rPr>
                    <w:sectPr>
                      <w:headerReference w:type="first" r:id="rId696"/>
                      <w:pgSz w:w="16837" w:h="11905" w:orient="landscape"/>
                      <w:pgMar w:top="227" w:right="851" w:bottom="567" w:left="851" w:header="567" w:footer="567" w:gutter="0"/>
                      <w:pgNumType w:start="14"/>
                      <w:cols w:space="1296"/>
                      <w:titlePg/>
                      <w:docGrid w:linePitch="326"/>
                    </w:sectPr>
                  </w:pPr>
                </w:p>
                <w:p>
                  <w:pPr>
                    <w:tabs>
                      <w:tab w:val="left" w:pos="567"/>
                      <w:tab w:val="left" w:pos="851"/>
                      <w:tab w:val="left" w:pos="1134"/>
                      <w:tab w:val="left" w:pos="1418"/>
                    </w:tabs>
                    <w:suppressAutoHyphens/>
                    <w:jc w:val="both"/>
                    <w:rPr>
                      <w:sz w:val="14"/>
                      <w:szCs w:val="1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8de4e0412307488a8443a2290cd09d20"/>
            <w:lock w:val="sdtLocked"/>
            <w:richText/>
          </w:sdtPr>
          <w:sdtContent>
            <w:p>
              <w:pPr>
                <w:keepNext/>
                <w:keepLines/>
                <w:jc w:val="center"/>
                <w:outlineLvl w:val="2"/>
                <w:rPr>
                  <w:b/>
                  <w:bCs/>
                  <w:szCs w:val="24"/>
                  <w:lang w:eastAsia="lt-LT"/>
                </w:rPr>
              </w:pPr>
              <w:sdt>
                <w:sdtPr>
                  <w:alias w:val="Numeris"/>
                  <w:tag w:val="nr_8de4e0412307488a8443a2290cd09d20"/>
                  <w:lock w:val="sdtLocked"/>
                  <w:richText/>
                </w:sdtPr>
                <w:sdtContent>
                  <w:r>
                    <w:rPr>
                      <w:b/>
                      <w:bCs/>
                    </w:rPr>
                    <w:t>XIX</w:t>
                  </w:r>
                </w:sdtContent>
              </w:sdt>
              <w:r>
                <w:rPr>
                  <w:b/>
                  <w:bCs/>
                </w:rPr>
                <w:t xml:space="preserve"> skyrius</w:t>
              </w:r>
            </w:p>
            <w:p>
              <w:pPr>
                <w:keepNext/>
                <w:keepLines/>
                <w:jc w:val="center"/>
                <w:outlineLvl w:val="2"/>
                <w:rPr>
                  <w:b/>
                  <w:bCs/>
                </w:rPr>
              </w:pPr>
              <w:sdt>
                <w:sdtPr>
                  <w:alias w:val="Pavadinimas"/>
                  <w:tag w:val="title_8de4e0412307488a8443a2290cd09d20"/>
                  <w:lock w:val="sdtLocked"/>
                  <w:richText/>
                </w:sdtPr>
                <w:sdtContent>
                  <w:r>
                    <w:rPr>
                      <w:b/>
                      <w:bCs/>
                    </w:rPr>
                    <w:t>Mėnesinių šiluminės energijos poreikių pastatui vėsinti skaičiavimas</w:t>
                  </w:r>
                </w:sdtContent>
              </w:sdt>
            </w:p>
            <w:p>
              <w:pPr>
                <w:ind w:firstLine="570"/>
              </w:pPr>
            </w:p>
            <w:sdt>
              <w:sdtPr>
                <w:alias w:val="2 pr. 50 p."/>
                <w:tag w:val="part_dfbac3330b16456aa6ba46fedf8883db"/>
                <w:lock w:val="sdtLocked"/>
                <w:richText/>
              </w:sdtPr>
              <w:sdtContent>
                <w:p>
                  <w:pPr>
                    <w:ind w:firstLine="570"/>
                    <w:jc w:val="both"/>
                    <w:rPr>
                      <w:color w:val="000000"/>
                    </w:rPr>
                  </w:pPr>
                  <w:sdt>
                    <w:sdtPr>
                      <w:alias w:val="Numeris"/>
                      <w:tag w:val="nr_dfbac3330b16456aa6ba46fedf8883db"/>
                      <w:lock w:val="sdtLocked"/>
                      <w:richText/>
                    </w:sdtPr>
                    <w:sdtContent>
                      <w:r>
                        <w:rPr>
                          <w:color w:val="000000"/>
                        </w:rPr>
                        <w:t>50</w:t>
                      </w:r>
                    </w:sdtContent>
                  </w:sdt>
                  <w:r>
                    <w:rPr>
                      <w:color w:val="000000"/>
                    </w:rPr>
                    <w:t xml:space="preserve">. Kiekvieno mėnesio </w:t>
                  </w:r>
                  <w:r>
                    <w:rPr>
                      <w:i/>
                      <w:color w:val="000000"/>
                    </w:rPr>
                    <w:t>„m“</w:t>
                  </w:r>
                  <w:r>
                    <w:rPr>
                      <w:b/>
                      <w:color w:val="000000"/>
                    </w:rPr>
                    <w:t xml:space="preserve"> </w:t>
                  </w:r>
                  <w:r>
                    <w:rPr>
                      <w:color w:val="000000"/>
                    </w:rPr>
                    <w:t xml:space="preserve">norminiai </w:t>
                  </w:r>
                  <w:r>
                    <w:rPr>
                      <w:i/>
                      <w:color w:val="000000"/>
                    </w:rPr>
                    <w:t>Q</w:t>
                  </w:r>
                  <w:r>
                    <w:rPr>
                      <w:i/>
                      <w:color w:val="000000"/>
                      <w:vertAlign w:val="subscript"/>
                    </w:rPr>
                    <w:t>N.C,m</w:t>
                  </w:r>
                  <w:r>
                    <w:rPr>
                      <w:color w:val="000000"/>
                    </w:rPr>
                    <w:t xml:space="preserve"> (kWh/(m</w:t>
                  </w:r>
                  <w:r>
                    <w:rPr>
                      <w:color w:val="000000"/>
                      <w:vertAlign w:val="superscript"/>
                    </w:rPr>
                    <w:t>2</w:t>
                  </w:r>
                  <w:r>
                    <w:rPr>
                      <w:color w:val="000000"/>
                    </w:rPr>
                    <w:t xml:space="preserve">·mėn.)) ir atskaitiniai </w:t>
                  </w:r>
                  <w:r>
                    <w:rPr>
                      <w:i/>
                      <w:color w:val="000000"/>
                    </w:rPr>
                    <w:t>Q</w:t>
                  </w:r>
                  <w:r>
                    <w:rPr>
                      <w:i/>
                      <w:color w:val="000000"/>
                      <w:vertAlign w:val="subscript"/>
                    </w:rPr>
                    <w:t>R.C,m</w:t>
                  </w:r>
                  <w:r>
                    <w:rPr>
                      <w:color w:val="000000"/>
                    </w:rPr>
                    <w:t xml:space="preserve"> (kWh/(m</w:t>
                  </w:r>
                  <w:r>
                    <w:rPr>
                      <w:color w:val="000000"/>
                      <w:vertAlign w:val="superscript"/>
                    </w:rPr>
                    <w:t>2</w:t>
                  </w:r>
                  <w:r>
                    <w:rPr>
                      <w:color w:val="000000"/>
                    </w:rPr>
                    <w:t>·mėn.)) šiluminės energijos poreikiai pastatui vėsinti lygūs nuliui:</w:t>
                  </w:r>
                </w:p>
                <w:tbl>
                  <w:tblPr>
                    <w:tblW w:w="0" w:type="auto"/>
                    <w:tblLook w:val="01E0" w:firstRow="1" w:lastRow="1" w:firstColumn="1" w:lastColumn="1" w:noHBand="0" w:noVBand="0"/>
                  </w:tblPr>
                  <w:tblGrid>
                    <w:gridCol w:w="8607"/>
                    <w:gridCol w:w="963"/>
                  </w:tblGrid>
                  <w:tr>
                    <w:tc>
                      <w:tcPr>
                        <w:tcW w:w="8607" w:type="dxa"/>
                        <w:vAlign w:val="center"/>
                      </w:tcPr>
                      <w:p>
                        <w:pPr>
                          <w:rPr>
                            <w:color w:val="000000"/>
                            <w:sz w:val="10"/>
                            <w:szCs w:val="10"/>
                          </w:rPr>
                        </w:pPr>
                      </w:p>
                      <w:p>
                        <w:pPr>
                          <w:spacing w:line="360" w:lineRule="auto"/>
                          <w:ind w:left="850" w:hanging="850"/>
                          <w:jc w:val="center"/>
                          <w:rPr>
                            <w:rFonts w:eastAsia="Calibri"/>
                            <w:color w:val="000000"/>
                            <w:szCs w:val="22"/>
                          </w:rPr>
                        </w:pPr>
                        <w:r>
                          <w:rPr>
                            <w:rFonts w:eastAsia="Calibri"/>
                            <w:color w:val="000000"/>
                            <w:position w:val="-14"/>
                            <w:szCs w:val="22"/>
                          </w:rPr>
                          <w:object w:dxaOrig="1840" w:dyaOrig="400">
                            <v:shape id="_x0000_i1231" type="#_x0000_t75" style="width:92.2pt;height:20.2pt" o:ole="">
                              <v:imagedata r:id="rId697" o:title=""/>
                            </v:shape>
                            <o:OLEObject Type="Embed" ProgID="Equation.3" ShapeID="_x0000_i1231" DrawAspect="Content" ObjectID="_0000000001" r:id="rId698"/>
                          </w:object>
                        </w:r>
                        <w:r>
                          <w:rPr>
                            <w:color w:val="000000"/>
                          </w:rPr>
                          <w:t>.</w:t>
                        </w:r>
                      </w:p>
                    </w:tc>
                    <w:tc>
                      <w:tcPr>
                        <w:tcW w:w="963" w:type="dxa"/>
                        <w:vAlign w:val="center"/>
                      </w:tcPr>
                      <w:p>
                        <w:pPr>
                          <w:rPr>
                            <w:color w:val="000000"/>
                            <w:sz w:val="10"/>
                            <w:szCs w:val="10"/>
                          </w:rPr>
                        </w:pPr>
                      </w:p>
                      <w:p>
                        <w:pPr>
                          <w:spacing w:line="360" w:lineRule="auto"/>
                          <w:ind w:left="850" w:hanging="850"/>
                          <w:jc w:val="center"/>
                          <w:rPr>
                            <w:rFonts w:eastAsia="Calibri"/>
                            <w:color w:val="000000"/>
                            <w:szCs w:val="22"/>
                          </w:rPr>
                        </w:pPr>
                        <w:r>
                          <w:rPr>
                            <w:color w:val="000000"/>
                          </w:rPr>
                          <w:t>(2.175)</w:t>
                        </w:r>
                      </w:p>
                    </w:tc>
                  </w:tr>
                </w:tbl>
                <w:p>
                  <w:pPr>
                    <w:ind w:firstLine="570"/>
                    <w:jc w:val="both"/>
                    <w:rPr>
                      <w:rFonts w:eastAsia="Calibri"/>
                      <w:color w:val="000000"/>
                      <w:szCs w:val="22"/>
                    </w:rPr>
                  </w:pPr>
                  <w:r>
                    <w:rPr>
                      <w:color w:val="000000"/>
                    </w:rPr>
                    <w:t xml:space="preserve">Kiekvieno mėnesio </w:t>
                  </w:r>
                  <w:r>
                    <w:rPr>
                      <w:i/>
                      <w:color w:val="000000"/>
                    </w:rPr>
                    <w:t>„m“</w:t>
                  </w:r>
                  <w:r>
                    <w:rPr>
                      <w:b/>
                      <w:color w:val="000000"/>
                    </w:rPr>
                    <w:t xml:space="preserve"> </w:t>
                  </w:r>
                  <w:r>
                    <w:rPr>
                      <w:color w:val="000000"/>
                    </w:rPr>
                    <w:t xml:space="preserve"> skaičiuojamieji šiluminės energijos poreikiai pastatui vėsinti </w:t>
                  </w:r>
                  <w:r>
                    <w:rPr>
                      <w:i/>
                      <w:color w:val="000000"/>
                    </w:rPr>
                    <w:t>Q</w:t>
                  </w:r>
                  <w:r>
                    <w:rPr>
                      <w:i/>
                      <w:color w:val="000000"/>
                      <w:vertAlign w:val="subscript"/>
                    </w:rPr>
                    <w:t>C,m</w:t>
                  </w:r>
                  <w:r>
                    <w:rPr>
                      <w:color w:val="000000"/>
                    </w:rPr>
                    <w:t xml:space="preserve"> (kWh/(m</w:t>
                  </w:r>
                  <w:r>
                    <w:rPr>
                      <w:color w:val="000000"/>
                      <w:vertAlign w:val="superscript"/>
                    </w:rPr>
                    <w:t>2</w:t>
                  </w:r>
                  <w:r>
                    <w:rPr>
                      <w:color w:val="000000"/>
                    </w:rPr>
                    <w:t>·mėn.)) apskaičiuojami taip [3.20]:</w:t>
                  </w:r>
                </w:p>
                <w:p>
                  <w:pPr>
                    <w:ind w:firstLine="567"/>
                    <w:jc w:val="both"/>
                    <w:rPr>
                      <w:color w:val="000000"/>
                    </w:rPr>
                  </w:pPr>
                  <w:r>
                    <w:rPr>
                      <w:color w:val="000000"/>
                    </w:rPr>
                    <w:t xml:space="preserve">jei </w:t>
                  </w:r>
                  <w:r>
                    <w:rPr>
                      <w:i/>
                      <w:color w:val="000000"/>
                    </w:rPr>
                    <w:t>Q</w:t>
                  </w:r>
                  <w:r>
                    <w:rPr>
                      <w:i/>
                      <w:color w:val="000000"/>
                      <w:vertAlign w:val="subscript"/>
                    </w:rPr>
                    <w:t>H,m</w:t>
                  </w:r>
                  <w:r>
                    <w:rPr>
                      <w:color w:val="000000"/>
                    </w:rPr>
                    <w:t xml:space="preserve">&gt;0, </w:t>
                  </w:r>
                  <w:r>
                    <w:rPr>
                      <w:i/>
                      <w:color w:val="000000"/>
                      <w:vertAlign w:val="subscript"/>
                    </w:rPr>
                    <w:t xml:space="preserve">  </w:t>
                  </w:r>
                  <w:r>
                    <w:rPr>
                      <w:i/>
                      <w:color w:val="000000"/>
                    </w:rPr>
                    <w:t>Q</w:t>
                  </w:r>
                  <w:r>
                    <w:rPr>
                      <w:i/>
                      <w:color w:val="000000"/>
                      <w:vertAlign w:val="subscript"/>
                    </w:rPr>
                    <w:t>C,m</w:t>
                  </w:r>
                  <w:r>
                    <w:rPr>
                      <w:color w:val="000000"/>
                    </w:rPr>
                    <w:t>=0;</w:t>
                  </w:r>
                </w:p>
                <w:p>
                  <w:pPr>
                    <w:ind w:firstLine="567"/>
                    <w:jc w:val="both"/>
                    <w:rPr>
                      <w:color w:val="000000"/>
                    </w:rPr>
                  </w:pPr>
                  <w:r>
                    <w:rPr>
                      <w:color w:val="000000"/>
                    </w:rPr>
                    <w:t xml:space="preserve">jei </w:t>
                  </w:r>
                  <w:r>
                    <w:rPr>
                      <w:i/>
                      <w:color w:val="000000"/>
                    </w:rPr>
                    <w:t>Q</w:t>
                  </w:r>
                  <w:r>
                    <w:rPr>
                      <w:i/>
                      <w:color w:val="000000"/>
                      <w:vertAlign w:val="subscript"/>
                    </w:rPr>
                    <w:t>C,m</w:t>
                  </w:r>
                  <w:r>
                    <w:rPr>
                      <w:color w:val="000000"/>
                    </w:rPr>
                    <w:t xml:space="preserve">, apskaičiuoto pagal (2.176) formulę, vertė neigiama, </w:t>
                  </w:r>
                  <w:r>
                    <w:rPr>
                      <w:i/>
                      <w:color w:val="000000"/>
                    </w:rPr>
                    <w:t>Q</w:t>
                  </w:r>
                  <w:r>
                    <w:rPr>
                      <w:i/>
                      <w:color w:val="000000"/>
                      <w:vertAlign w:val="subscript"/>
                    </w:rPr>
                    <w:t>C,m</w:t>
                  </w:r>
                  <w:r>
                    <w:rPr>
                      <w:color w:val="000000"/>
                    </w:rPr>
                    <w:t>=0;</w:t>
                  </w:r>
                </w:p>
                <w:p>
                  <w:pPr>
                    <w:ind w:firstLine="567"/>
                    <w:jc w:val="both"/>
                    <w:rPr>
                      <w:color w:val="000000"/>
                    </w:rPr>
                  </w:pPr>
                  <w:r>
                    <w:rPr>
                      <w:color w:val="000000"/>
                    </w:rPr>
                    <w:t>kitais atvejais:</w:t>
                  </w:r>
                </w:p>
                <w:tbl>
                  <w:tblPr>
                    <w:tblW w:w="0" w:type="auto"/>
                    <w:tblLook w:val="01E0" w:firstRow="1" w:lastRow="1" w:firstColumn="1" w:lastColumn="1" w:noHBand="0" w:noVBand="0"/>
                  </w:tblPr>
                  <w:tblGrid>
                    <w:gridCol w:w="8607"/>
                    <w:gridCol w:w="963"/>
                  </w:tblGrid>
                  <w:tr>
                    <w:tc>
                      <w:tcPr>
                        <w:tcW w:w="8607" w:type="dxa"/>
                        <w:vAlign w:val="center"/>
                        <w:hideMark/>
                      </w:tcPr>
                      <w:p>
                        <w:pPr>
                          <w:spacing w:line="276" w:lineRule="auto"/>
                          <w:jc w:val="center"/>
                          <w:rPr>
                            <w:rFonts w:eastAsia="Calibri"/>
                            <w:color w:val="000000"/>
                            <w:szCs w:val="22"/>
                          </w:rPr>
                        </w:pPr>
                        <w:r>
                          <w:rPr>
                            <w:rFonts w:eastAsia="Calibri"/>
                            <w:color w:val="000000"/>
                            <w:szCs w:val="22"/>
                          </w:rPr>
                          <w:object w:dxaOrig="7790" w:dyaOrig="1000">
                            <v:shape id="_x0000_i1232" type="#_x0000_t75" style="width:389.1pt;height:50.15pt" o:ole="">
                              <v:imagedata r:id="rId699" o:title=""/>
                            </v:shape>
                            <o:OLEObject Type="Embed" ProgID="Equation.3" ShapeID="_x0000_i1232" DrawAspect="Content" ObjectID="_0000000001" r:id="rId700"/>
                          </w:object>
                        </w:r>
                        <w:r>
                          <w:rPr>
                            <w:color w:val="000000"/>
                          </w:rPr>
                          <w:t>;</w:t>
                        </w:r>
                      </w:p>
                    </w:tc>
                    <w:tc>
                      <w:tcPr>
                        <w:tcW w:w="963" w:type="dxa"/>
                        <w:vAlign w:val="center"/>
                        <w:hideMark/>
                      </w:tcPr>
                      <w:p>
                        <w:pPr>
                          <w:spacing w:line="276" w:lineRule="auto"/>
                          <w:jc w:val="center"/>
                          <w:rPr>
                            <w:rFonts w:eastAsia="Calibri"/>
                            <w:color w:val="000000"/>
                            <w:szCs w:val="22"/>
                          </w:rPr>
                        </w:pPr>
                        <w:r>
                          <w:rPr>
                            <w:color w:val="000000"/>
                          </w:rPr>
                          <w:t>(2.176)</w:t>
                        </w:r>
                      </w:p>
                    </w:tc>
                  </w:tr>
                </w:tbl>
                <w:p>
                  <w:pPr>
                    <w:tabs>
                      <w:tab w:val="left" w:pos="567"/>
                    </w:tabs>
                    <w:jc w:val="both"/>
                    <w:rPr>
                      <w:rFonts w:eastAsia="Calibri"/>
                      <w:bCs/>
                      <w:color w:val="000000"/>
                      <w:szCs w:val="22"/>
                    </w:rPr>
                  </w:pPr>
                  <w:r>
                    <w:rPr>
                      <w:bCs/>
                      <w:color w:val="000000"/>
                    </w:rPr>
                    <w:t>čia:</w:t>
                    <w:tab/>
                  </w:r>
                  <w:r>
                    <w:rPr>
                      <w:bCs/>
                      <w:i/>
                      <w:color w:val="000000"/>
                    </w:rPr>
                    <w:t>η</w:t>
                  </w:r>
                  <w:r>
                    <w:rPr>
                      <w:bCs/>
                      <w:i/>
                      <w:color w:val="000000"/>
                      <w:vertAlign w:val="subscript"/>
                    </w:rPr>
                    <w:t>C.ls,m</w:t>
                  </w:r>
                  <w:r>
                    <w:rPr>
                      <w:bCs/>
                      <w:color w:val="000000"/>
                    </w:rPr>
                    <w:t xml:space="preserve"> – atitinkamo mėnesio </w:t>
                  </w:r>
                  <w:r>
                    <w:rPr>
                      <w:bCs/>
                      <w:i/>
                      <w:color w:val="000000"/>
                    </w:rPr>
                    <w:t>„m“</w:t>
                  </w:r>
                  <w:r>
                    <w:rPr>
                      <w:bCs/>
                      <w:color w:val="000000"/>
                    </w:rPr>
                    <w:t xml:space="preserve"> pastato šilumos nuostolių skaičiuojamasis faktorius, susijęs su  šiluminės </w:t>
                  </w:r>
                  <w:r>
                    <w:rPr>
                      <w:color w:val="000000"/>
                    </w:rPr>
                    <w:t>energijos poreikių pastatui vėsinti skaičiavimu (</w:t>
                  </w:r>
                  <w:r>
                    <w:rPr>
                      <w:bCs/>
                      <w:color w:val="000000"/>
                    </w:rPr>
                    <w:t xml:space="preserve">vnt. d.). </w:t>
                  </w:r>
                </w:p>
                <w:p>
                  <w:pPr>
                    <w:ind w:firstLine="570"/>
                    <w:rPr>
                      <w:color w:val="000000"/>
                    </w:rPr>
                  </w:pPr>
                  <w:r>
                    <w:rPr>
                      <w:i/>
                      <w:color w:val="000000"/>
                    </w:rPr>
                    <w:t>Q</w:t>
                  </w:r>
                  <w:r>
                    <w:rPr>
                      <w:i/>
                      <w:color w:val="000000"/>
                      <w:vertAlign w:val="subscript"/>
                    </w:rPr>
                    <w:t>H,m</w:t>
                  </w:r>
                  <w:r>
                    <w:rPr>
                      <w:color w:val="000000"/>
                    </w:rPr>
                    <w:t xml:space="preserve"> –</w:t>
                  </w:r>
                  <w:r>
                    <w:rPr>
                      <w:i/>
                      <w:color w:val="000000"/>
                      <w:vertAlign w:val="subscript"/>
                    </w:rPr>
                    <w:t xml:space="preserve"> </w:t>
                  </w:r>
                  <w:r>
                    <w:rPr>
                      <w:color w:val="000000"/>
                    </w:rPr>
                    <w:t xml:space="preserve"> apskaičiuojamas pagal (2.169) formulę;</w:t>
                  </w:r>
                </w:p>
                <w:p>
                  <w:pPr>
                    <w:ind w:firstLine="570"/>
                    <w:jc w:val="both"/>
                    <w:rPr>
                      <w:bCs/>
                      <w:color w:val="000000"/>
                    </w:rPr>
                  </w:pPr>
                  <w:r>
                    <w:rPr>
                      <w:color w:val="000000"/>
                    </w:rPr>
                    <w:t>2 – šiame reglamente nustatytos leistinos energijos sąnaudos pastatui vėsinti (kWh/(m</w:t>
                  </w:r>
                  <w:r>
                    <w:rPr>
                      <w:color w:val="000000"/>
                      <w:vertAlign w:val="superscript"/>
                    </w:rPr>
                    <w:t>2</w:t>
                  </w:r>
                  <w:r>
                    <w:rPr>
                      <w:color w:val="000000"/>
                    </w:rPr>
                    <w:t>·mėn.)), kai skaičiavimams naudojama [3.20] pateikta metodika.</w:t>
                  </w:r>
                  <w:r>
                    <w:rPr>
                      <w:bCs/>
                      <w:color w:val="000000"/>
                    </w:rPr>
                    <w:t xml:space="preserve"> </w:t>
                  </w:r>
                </w:p>
                <w:p>
                  <w:pPr>
                    <w:rPr>
                      <w:color w:val="000000"/>
                    </w:rPr>
                  </w:pPr>
                </w:p>
                <w:p>
                  <w:pPr>
                    <w:ind w:firstLine="570"/>
                    <w:rPr>
                      <w:bCs/>
                      <w:color w:val="000000"/>
                    </w:rPr>
                  </w:pPr>
                  <w:r>
                    <w:rPr>
                      <w:color w:val="000000"/>
                    </w:rPr>
                    <w:t xml:space="preserve">Kiekvieno mėnesio </w:t>
                  </w:r>
                  <w:r>
                    <w:rPr>
                      <w:i/>
                      <w:color w:val="000000"/>
                    </w:rPr>
                    <w:t>„m“</w:t>
                  </w:r>
                  <w:r>
                    <w:rPr>
                      <w:b/>
                      <w:color w:val="000000"/>
                    </w:rPr>
                    <w:t xml:space="preserve"> </w:t>
                  </w:r>
                  <w:r>
                    <w:rPr>
                      <w:color w:val="000000"/>
                    </w:rPr>
                    <w:t>skaičiuojamojo</w:t>
                  </w:r>
                  <w:r>
                    <w:rPr>
                      <w:b/>
                      <w:color w:val="000000"/>
                    </w:rPr>
                    <w:t xml:space="preserve"> </w:t>
                  </w:r>
                  <w:r>
                    <w:rPr>
                      <w:bCs/>
                      <w:color w:val="000000"/>
                    </w:rPr>
                    <w:t xml:space="preserve">faktoriaus </w:t>
                  </w:r>
                  <w:r>
                    <w:rPr>
                      <w:bCs/>
                      <w:i/>
                      <w:color w:val="000000"/>
                    </w:rPr>
                    <w:t>η</w:t>
                  </w:r>
                  <w:r>
                    <w:rPr>
                      <w:bCs/>
                      <w:i/>
                      <w:color w:val="000000"/>
                      <w:vertAlign w:val="subscript"/>
                    </w:rPr>
                    <w:t>C.ls,m</w:t>
                  </w:r>
                  <w:r>
                    <w:rPr>
                      <w:bCs/>
                      <w:color w:val="000000"/>
                    </w:rPr>
                    <w:t xml:space="preserve">  vertė apskaičiuojama taip </w:t>
                  </w:r>
                  <w:r>
                    <w:rPr>
                      <w:color w:val="000000"/>
                    </w:rPr>
                    <w:t>[3.20]</w:t>
                  </w:r>
                  <w:r>
                    <w:rPr>
                      <w:bCs/>
                      <w:color w:val="000000"/>
                    </w:rPr>
                    <w:t>:</w:t>
                  </w:r>
                </w:p>
                <w:tbl>
                  <w:tblPr>
                    <w:tblW w:w="0" w:type="auto"/>
                    <w:tblLook w:val="01E0" w:firstRow="1" w:lastRow="1" w:firstColumn="1" w:lastColumn="1" w:noHBand="0" w:noVBand="0"/>
                  </w:tblPr>
                  <w:tblGrid>
                    <w:gridCol w:w="8594"/>
                    <w:gridCol w:w="976"/>
                  </w:tblGrid>
                  <w:tr>
                    <w:tc>
                      <w:tcPr>
                        <w:tcW w:w="8594" w:type="dxa"/>
                        <w:vAlign w:val="center"/>
                        <w:hideMark/>
                      </w:tcPr>
                      <w:p>
                        <w:pPr>
                          <w:spacing w:line="276" w:lineRule="auto"/>
                          <w:jc w:val="center"/>
                          <w:rPr>
                            <w:rFonts w:eastAsia="Calibri"/>
                            <w:color w:val="000000"/>
                            <w:szCs w:val="22"/>
                          </w:rPr>
                        </w:pPr>
                        <w:r>
                          <w:rPr>
                            <w:color w:val="000000"/>
                          </w:rPr>
                          <w:t xml:space="preserve">jei </w:t>
                        </w:r>
                        <w:r>
                          <w:rPr>
                            <w:i/>
                            <w:color w:val="000000"/>
                          </w:rPr>
                          <w:t>γ</w:t>
                        </w:r>
                        <w:r>
                          <w:rPr>
                            <w:i/>
                            <w:color w:val="000000"/>
                            <w:vertAlign w:val="subscript"/>
                          </w:rPr>
                          <w:t>C,m</w:t>
                        </w:r>
                        <w:r>
                          <w:rPr>
                            <w:color w:val="000000"/>
                          </w:rPr>
                          <w:t xml:space="preserve">&gt;0 ir </w:t>
                        </w:r>
                        <w:r>
                          <w:rPr>
                            <w:i/>
                            <w:color w:val="000000"/>
                          </w:rPr>
                          <w:t>γ</w:t>
                        </w:r>
                        <w:r>
                          <w:rPr>
                            <w:i/>
                            <w:color w:val="000000"/>
                            <w:vertAlign w:val="subscript"/>
                          </w:rPr>
                          <w:t>C,m</w:t>
                        </w:r>
                        <w:r>
                          <w:rPr>
                            <w:color w:val="000000"/>
                          </w:rPr>
                          <w:t xml:space="preserve">≠1, </w:t>
                          <w:object w:dxaOrig="2040" w:dyaOrig="840">
                            <v:shape id="_x0000_i1233" type="#_x0000_t75" style="width:101.95pt;height:42.05pt" o:ole="">
                              <v:imagedata r:id="rId701" o:title=""/>
                            </v:shape>
                            <o:OLEObject Type="Embed" ProgID="Equation.3" ShapeID="_x0000_i1233" DrawAspect="Content" ObjectID="_0000000001" r:id="rId702"/>
                          </w:object>
                          <w:t xml:space="preserve"> ,</w:t>
                        </w:r>
                      </w:p>
                    </w:tc>
                    <w:tc>
                      <w:tcPr>
                        <w:tcW w:w="976" w:type="dxa"/>
                        <w:vAlign w:val="center"/>
                        <w:hideMark/>
                      </w:tcPr>
                      <w:p>
                        <w:pPr>
                          <w:spacing w:line="276" w:lineRule="auto"/>
                          <w:jc w:val="center"/>
                          <w:rPr>
                            <w:rFonts w:eastAsia="Calibri"/>
                            <w:color w:val="000000"/>
                            <w:szCs w:val="22"/>
                          </w:rPr>
                        </w:pPr>
                        <w:r>
                          <w:rPr>
                            <w:color w:val="000000"/>
                          </w:rPr>
                          <w:t>(2.177)</w:t>
                        </w:r>
                      </w:p>
                    </w:tc>
                  </w:tr>
                  <w:tr>
                    <w:tc>
                      <w:tcPr>
                        <w:tcW w:w="8594" w:type="dxa"/>
                        <w:vAlign w:val="center"/>
                        <w:hideMark/>
                      </w:tcPr>
                      <w:p>
                        <w:pPr>
                          <w:spacing w:line="276" w:lineRule="auto"/>
                          <w:jc w:val="center"/>
                          <w:rPr>
                            <w:rFonts w:eastAsia="Calibri"/>
                            <w:color w:val="000000"/>
                            <w:szCs w:val="22"/>
                          </w:rPr>
                        </w:pPr>
                        <w:r>
                          <w:rPr>
                            <w:color w:val="000000"/>
                          </w:rPr>
                          <w:t xml:space="preserve">jei </w:t>
                        </w:r>
                        <w:r>
                          <w:rPr>
                            <w:i/>
                            <w:color w:val="000000"/>
                          </w:rPr>
                          <w:t>γ</w:t>
                        </w:r>
                        <w:r>
                          <w:rPr>
                            <w:i/>
                            <w:color w:val="000000"/>
                            <w:vertAlign w:val="subscript"/>
                          </w:rPr>
                          <w:t>C,m</w:t>
                        </w:r>
                        <w:r>
                          <w:rPr>
                            <w:color w:val="000000"/>
                          </w:rPr>
                          <w:t xml:space="preserve">=1,  </w:t>
                        </w:r>
                        <w:r>
                          <w:rPr>
                            <w:rFonts w:eastAsia="Calibri"/>
                            <w:color w:val="000000"/>
                            <w:szCs w:val="22"/>
                          </w:rPr>
                          <w:object w:dxaOrig="1650" w:dyaOrig="680">
                            <v:shape id="_x0000_i1234" type="#_x0000_t75" style="width:82.5pt;height:34pt" o:ole="">
                              <v:imagedata r:id="rId703" o:title=""/>
                            </v:shape>
                            <o:OLEObject Type="Embed" ProgID="Equation.3" ShapeID="_x0000_i1234" DrawAspect="Content" ObjectID="_0000000001" r:id="rId704"/>
                          </w:object>
                        </w:r>
                        <w:r>
                          <w:rPr>
                            <w:color w:val="000000"/>
                          </w:rPr>
                          <w:t>,</w:t>
                        </w:r>
                      </w:p>
                    </w:tc>
                    <w:tc>
                      <w:tcPr>
                        <w:tcW w:w="976" w:type="dxa"/>
                        <w:vAlign w:val="center"/>
                        <w:hideMark/>
                      </w:tcPr>
                      <w:p>
                        <w:pPr>
                          <w:spacing w:line="276" w:lineRule="auto"/>
                          <w:jc w:val="center"/>
                          <w:rPr>
                            <w:rFonts w:eastAsia="Calibri"/>
                            <w:color w:val="000000"/>
                            <w:szCs w:val="22"/>
                          </w:rPr>
                        </w:pPr>
                        <w:r>
                          <w:rPr>
                            <w:color w:val="000000"/>
                          </w:rPr>
                          <w:t>(2.178)</w:t>
                        </w:r>
                      </w:p>
                    </w:tc>
                  </w:tr>
                  <w:tr>
                    <w:tc>
                      <w:tcPr>
                        <w:tcW w:w="8594" w:type="dxa"/>
                        <w:vAlign w:val="center"/>
                        <w:hideMark/>
                      </w:tcPr>
                      <w:p>
                        <w:pPr>
                          <w:spacing w:line="276" w:lineRule="auto"/>
                          <w:jc w:val="center"/>
                          <w:rPr>
                            <w:rFonts w:eastAsia="Calibri"/>
                            <w:color w:val="000000"/>
                            <w:szCs w:val="22"/>
                          </w:rPr>
                        </w:pPr>
                        <w:r>
                          <w:rPr>
                            <w:color w:val="000000"/>
                          </w:rPr>
                          <w:t xml:space="preserve">jei </w:t>
                        </w:r>
                        <w:r>
                          <w:rPr>
                            <w:i/>
                            <w:color w:val="000000"/>
                          </w:rPr>
                          <w:t>γ</w:t>
                        </w:r>
                        <w:r>
                          <w:rPr>
                            <w:i/>
                            <w:color w:val="000000"/>
                            <w:vertAlign w:val="subscript"/>
                          </w:rPr>
                          <w:t>C,m</w:t>
                        </w:r>
                        <w:r>
                          <w:rPr>
                            <w:color w:val="000000"/>
                          </w:rPr>
                          <w:t xml:space="preserve">&lt;0, </w:t>
                          <w:object w:dxaOrig="950" w:dyaOrig="400">
                            <v:shape id="_x0000_i1235" type="#_x0000_t75" style="width:47.75pt;height:20.2pt" o:ole="">
                              <v:imagedata r:id="rId705" o:title=""/>
                            </v:shape>
                            <o:OLEObject Type="Embed" ProgID="Equation.3" ShapeID="_x0000_i1235" DrawAspect="Content" ObjectID="_0000000001" r:id="rId706"/>
                          </w:object>
                          <w:t xml:space="preserve"> ;</w:t>
                        </w:r>
                      </w:p>
                    </w:tc>
                    <w:tc>
                      <w:tcPr>
                        <w:tcW w:w="976" w:type="dxa"/>
                        <w:vAlign w:val="center"/>
                        <w:hideMark/>
                      </w:tcPr>
                      <w:p>
                        <w:pPr>
                          <w:spacing w:line="276" w:lineRule="auto"/>
                          <w:jc w:val="center"/>
                          <w:rPr>
                            <w:rFonts w:eastAsia="Calibri"/>
                            <w:color w:val="000000"/>
                            <w:szCs w:val="22"/>
                          </w:rPr>
                        </w:pPr>
                        <w:r>
                          <w:rPr>
                            <w:color w:val="000000"/>
                          </w:rPr>
                          <w:t>(2.179)</w:t>
                        </w:r>
                      </w:p>
                    </w:tc>
                  </w:tr>
                  <w:tr>
                    <w:tc>
                      <w:tcPr>
                        <w:tcW w:w="8594" w:type="dxa"/>
                        <w:vAlign w:val="center"/>
                        <w:hideMark/>
                      </w:tcPr>
                      <w:p>
                        <w:pPr>
                          <w:spacing w:line="276" w:lineRule="auto"/>
                          <w:jc w:val="center"/>
                          <w:rPr>
                            <w:rFonts w:eastAsia="Calibri"/>
                            <w:color w:val="000000"/>
                            <w:szCs w:val="22"/>
                          </w:rPr>
                        </w:pPr>
                        <w:r>
                          <w:rPr>
                            <w:rFonts w:eastAsia="Calibri"/>
                            <w:color w:val="000000"/>
                            <w:szCs w:val="22"/>
                          </w:rPr>
                          <w:object w:dxaOrig="2040" w:dyaOrig="730">
                            <v:shape id="_x0000_i1236" type="#_x0000_t75" style="width:101.95pt;height:37.2pt" o:ole="">
                              <v:imagedata r:id="rId707" o:title=""/>
                            </v:shape>
                            <o:OLEObject Type="Embed" ProgID="Equation.3" ShapeID="_x0000_i1236" DrawAspect="Content" ObjectID="_0000000001" r:id="rId708"/>
                          </w:object>
                        </w:r>
                      </w:p>
                    </w:tc>
                    <w:tc>
                      <w:tcPr>
                        <w:tcW w:w="976" w:type="dxa"/>
                        <w:vAlign w:val="center"/>
                        <w:hideMark/>
                      </w:tcPr>
                      <w:p>
                        <w:pPr>
                          <w:spacing w:line="276" w:lineRule="auto"/>
                          <w:jc w:val="center"/>
                          <w:rPr>
                            <w:rFonts w:eastAsia="Calibri"/>
                            <w:color w:val="000000"/>
                            <w:szCs w:val="22"/>
                          </w:rPr>
                        </w:pPr>
                        <w:r>
                          <w:rPr>
                            <w:color w:val="000000"/>
                          </w:rPr>
                          <w:t>(2.180)</w:t>
                        </w:r>
                      </w:p>
                    </w:tc>
                  </w:tr>
                  <w:tr>
                    <w:tc>
                      <w:tcPr>
                        <w:tcW w:w="8594" w:type="dxa"/>
                        <w:hideMark/>
                      </w:tcPr>
                      <w:p>
                        <w:pPr>
                          <w:spacing w:line="276" w:lineRule="auto"/>
                          <w:jc w:val="center"/>
                          <w:rPr>
                            <w:rFonts w:eastAsia="Calibri"/>
                            <w:color w:val="000000"/>
                            <w:szCs w:val="22"/>
                          </w:rPr>
                        </w:pPr>
                        <w:r>
                          <w:rPr>
                            <w:rFonts w:eastAsia="Calibri"/>
                            <w:color w:val="000000"/>
                            <w:szCs w:val="22"/>
                          </w:rPr>
                          <w:object w:dxaOrig="7990" w:dyaOrig="1000">
                            <v:shape id="_x0000_i1237" type="#_x0000_t75" style="width:400.45pt;height:50.15pt" o:ole="">
                              <v:imagedata r:id="rId709" o:title=""/>
                            </v:shape>
                            <o:OLEObject Type="Embed" ProgID="Equation.3" ShapeID="_x0000_i1237" DrawAspect="Content" ObjectID="_0000000001" r:id="rId710"/>
                          </w:object>
                        </w:r>
                        <w:r>
                          <w:rPr>
                            <w:color w:val="000000"/>
                          </w:rPr>
                          <w:t xml:space="preserve">; </w:t>
                        </w:r>
                      </w:p>
                    </w:tc>
                    <w:tc>
                      <w:tcPr>
                        <w:tcW w:w="976" w:type="dxa"/>
                        <w:vAlign w:val="center"/>
                        <w:hideMark/>
                      </w:tcPr>
                      <w:p>
                        <w:pPr>
                          <w:spacing w:line="276" w:lineRule="auto"/>
                          <w:jc w:val="right"/>
                          <w:rPr>
                            <w:rFonts w:eastAsia="Calibri"/>
                            <w:color w:val="000000"/>
                            <w:szCs w:val="22"/>
                          </w:rPr>
                        </w:pPr>
                        <w:r>
                          <w:rPr>
                            <w:color w:val="000000"/>
                          </w:rPr>
                          <w:t>(2.181)</w:t>
                        </w:r>
                      </w:p>
                    </w:tc>
                  </w:tr>
                </w:tbl>
                <w:p>
                  <w:pPr>
                    <w:tabs>
                      <w:tab w:val="left" w:pos="567"/>
                    </w:tabs>
                    <w:jc w:val="both"/>
                    <w:rPr>
                      <w:rFonts w:eastAsia="Calibri"/>
                      <w:color w:val="000000"/>
                      <w:szCs w:val="22"/>
                    </w:rPr>
                  </w:pPr>
                  <w:r>
                    <w:rPr>
                      <w:color w:val="000000"/>
                    </w:rPr>
                    <w:t>čia:</w:t>
                    <w:tab/>
                  </w:r>
                  <w:r>
                    <w:rPr>
                      <w:i/>
                      <w:color w:val="000000"/>
                    </w:rPr>
                    <w:t>C</w:t>
                  </w:r>
                  <w:r>
                    <w:rPr>
                      <w:i/>
                      <w:color w:val="000000"/>
                      <w:vertAlign w:val="subscript"/>
                    </w:rPr>
                    <w:t>p</w:t>
                  </w:r>
                  <w:r>
                    <w:rPr>
                      <w:color w:val="000000"/>
                    </w:rPr>
                    <w:t xml:space="preserve"> – pastato vidaus šiluminė talpa, J/K [3.20]. Nustatoma pagal 2.36 ir 2.37 lentelėse  pateiktus duomenis;</w:t>
                  </w:r>
                </w:p>
                <w:p>
                  <w:pPr>
                    <w:ind w:firstLine="567"/>
                    <w:jc w:val="both"/>
                    <w:rPr>
                      <w:color w:val="000000"/>
                    </w:rPr>
                  </w:pPr>
                  <w:r>
                    <w:rPr>
                      <w:i/>
                      <w:color w:val="000000"/>
                    </w:rPr>
                    <w:t>Q</w:t>
                  </w:r>
                  <w:r>
                    <w:rPr>
                      <w:i/>
                      <w:color w:val="000000"/>
                      <w:vertAlign w:val="subscript"/>
                    </w:rPr>
                    <w:t>C.env,m</w:t>
                  </w:r>
                  <w:r>
                    <w:rPr>
                      <w:color w:val="000000"/>
                    </w:rPr>
                    <w:t xml:space="preserve"> – apskaičiuojama pagal (2.123) formulę (kWh/(m</w:t>
                  </w:r>
                  <w:r>
                    <w:rPr>
                      <w:color w:val="000000"/>
                      <w:vertAlign w:val="superscript"/>
                    </w:rPr>
                    <w:t>2</w:t>
                  </w:r>
                  <w:r>
                    <w:rPr>
                      <w:color w:val="000000"/>
                    </w:rPr>
                    <w:t>·mėn.));</w:t>
                  </w:r>
                </w:p>
                <w:p>
                  <w:pPr>
                    <w:ind w:firstLine="567"/>
                    <w:jc w:val="both"/>
                    <w:rPr>
                      <w:color w:val="000000"/>
                    </w:rPr>
                  </w:pPr>
                  <w:r>
                    <w:rPr>
                      <w:i/>
                      <w:color w:val="000000"/>
                    </w:rPr>
                    <w:t>Q</w:t>
                  </w:r>
                  <w:r>
                    <w:rPr>
                      <w:i/>
                      <w:color w:val="000000"/>
                      <w:vertAlign w:val="subscript"/>
                    </w:rPr>
                    <w:t>C.vent,m</w:t>
                  </w:r>
                  <w:r>
                    <w:rPr>
                      <w:color w:val="000000"/>
                    </w:rPr>
                    <w:t xml:space="preserve"> – apskaičiuojama pagal 29 punkto reikalavimus pagal (2.110) arba (2.111) formules (kWh/(m</w:t>
                  </w:r>
                  <w:r>
                    <w:rPr>
                      <w:color w:val="000000"/>
                      <w:vertAlign w:val="superscript"/>
                    </w:rPr>
                    <w:t>2</w:t>
                  </w:r>
                  <w:r>
                    <w:rPr>
                      <w:color w:val="000000"/>
                    </w:rPr>
                    <w:t>·mėn.));</w:t>
                  </w:r>
                </w:p>
                <w:p>
                  <w:pPr>
                    <w:ind w:firstLine="567"/>
                    <w:jc w:val="both"/>
                    <w:rPr>
                      <w:color w:val="000000"/>
                    </w:rPr>
                  </w:pPr>
                  <w:r>
                    <w:rPr>
                      <w:i/>
                      <w:color w:val="000000"/>
                    </w:rPr>
                    <w:t>H</w:t>
                  </w:r>
                  <w:r>
                    <w:rPr>
                      <w:i/>
                      <w:color w:val="000000"/>
                      <w:vertAlign w:val="subscript"/>
                    </w:rPr>
                    <w:t>C.p,m</w:t>
                  </w:r>
                  <w:r>
                    <w:rPr>
                      <w:color w:val="000000"/>
                      <w:vertAlign w:val="subscript"/>
                    </w:rPr>
                    <w:t xml:space="preserve"> </w:t>
                  </w:r>
                  <w:r>
                    <w:rPr>
                      <w:color w:val="000000"/>
                    </w:rPr>
                    <w:t xml:space="preserve">– atitinkamo mėnesio </w:t>
                  </w:r>
                  <w:r>
                    <w:rPr>
                      <w:i/>
                      <w:color w:val="000000"/>
                    </w:rPr>
                    <w:t>„m“</w:t>
                  </w:r>
                  <w:r>
                    <w:rPr>
                      <w:color w:val="000000"/>
                    </w:rPr>
                    <w:t xml:space="preserve"> pastato savitieji šilumos nuostoliai (W/K), pagal kuriuos skaičiuojami energijos poreikiai pastatui vėsinti. Apskaičiuojami pagal (2.122) formulę;</w:t>
                  </w:r>
                </w:p>
                <w:p>
                  <w:pPr>
                    <w:ind w:firstLine="567"/>
                    <w:jc w:val="both"/>
                    <w:rPr>
                      <w:color w:val="000000"/>
                    </w:rPr>
                  </w:pPr>
                  <w:r>
                    <w:rPr>
                      <w:color w:val="000000"/>
                    </w:rPr>
                    <w:t xml:space="preserve">- kiti paaiškinimai pateikti prie (2.166) formulės. </w:t>
                  </w:r>
                </w:p>
                <w:p>
                  <w:pPr>
                    <w:ind w:firstLine="567"/>
                    <w:jc w:val="both"/>
                    <w:rPr>
                      <w:color w:val="000000"/>
                    </w:rPr>
                  </w:pPr>
                </w:p>
                <w:p>
                  <w:pPr>
                    <w:ind w:firstLine="720"/>
                    <w:jc w:val="both"/>
                    <w:rPr>
                      <w:color w:val="000000"/>
                    </w:rPr>
                  </w:pPr>
                  <w:r>
                    <w:rPr>
                      <w:color w:val="000000"/>
                    </w:rPr>
                    <w:t>Sandėliavimo, garažų, gamybos ir pramonės paskirties pastatams, energijos sąnaudos patalpų vėsinimui neskaičiuojamos.</w:t>
                  </w:r>
                </w:p>
                <w:p>
                  <w:pPr>
                    <w:ind w:left="720"/>
                    <w:rPr>
                      <w:color w:val="000000"/>
                    </w:rPr>
                  </w:pPr>
                </w:p>
              </w:sdtContent>
            </w:sdt>
          </w:sdtContent>
        </w:sdt>
        <w:sdt>
          <w:sdtPr>
            <w:alias w:val="skyrius"/>
            <w:tag w:val="part_5557ce73ce6f4a2ebb88b23798ffab42"/>
            <w:lock w:val="sdtLocked"/>
            <w:richText/>
          </w:sdtPr>
          <w:sdtContent>
            <w:p>
              <w:pPr>
                <w:keepNext/>
                <w:keepLines/>
                <w:jc w:val="center"/>
                <w:outlineLvl w:val="2"/>
                <w:rPr>
                  <w:b/>
                  <w:bCs/>
                  <w:szCs w:val="24"/>
                </w:rPr>
              </w:pPr>
              <w:sdt>
                <w:sdtPr>
                  <w:alias w:val="Numeris"/>
                  <w:tag w:val="nr_5557ce73ce6f4a2ebb88b23798ffab42"/>
                  <w:lock w:val="sdtLocked"/>
                  <w:richText/>
                </w:sdtPr>
                <w:sdtContent>
                  <w:r>
                    <w:rPr>
                      <w:b/>
                      <w:bCs/>
                      <w:szCs w:val="24"/>
                    </w:rPr>
                    <w:t>XX</w:t>
                  </w:r>
                </w:sdtContent>
              </w:sdt>
              <w:r>
                <w:rPr>
                  <w:b/>
                  <w:bCs/>
                  <w:szCs w:val="24"/>
                </w:rPr>
                <w:t xml:space="preserve"> SKYRIUS </w:t>
              </w:r>
            </w:p>
            <w:p>
              <w:pPr>
                <w:keepNext/>
                <w:keepLines/>
                <w:jc w:val="center"/>
                <w:outlineLvl w:val="2"/>
                <w:rPr>
                  <w:b/>
                  <w:bCs/>
                  <w:szCs w:val="24"/>
                </w:rPr>
              </w:pPr>
              <w:sdt>
                <w:sdtPr>
                  <w:alias w:val="Pavadinimas"/>
                  <w:tag w:val="title_5557ce73ce6f4a2ebb88b23798ffab42"/>
                  <w:lock w:val="sdtLocked"/>
                  <w:richText/>
                </w:sdtPr>
                <w:sdtContent>
                  <w:r>
                    <w:rPr>
                      <w:b/>
                      <w:bCs/>
                      <w:szCs w:val="24"/>
                    </w:rPr>
                    <w:t>NEATSINAUJINANČIOS PIRMINĖS ENERGIJOS SĄNAUDŲ PASTATE, SUSIJUSIŲ SU ENERGIJOS GAMYBA SAULĖS KOLEKTORIUOSE IR VĖJO ELEKTRINĖSE, SKAIČIAVIMAS</w:t>
                  </w:r>
                </w:sdtContent>
              </w:sdt>
            </w:p>
            <w:p>
              <w:pPr>
                <w:keepNext/>
                <w:keepLines/>
                <w:jc w:val="center"/>
                <w:outlineLvl w:val="2"/>
                <w:rPr>
                  <w:szCs w:val="24"/>
                </w:rPr>
              </w:pPr>
            </w:p>
            <w:sdt>
              <w:sdtPr>
                <w:alias w:val="2 pr. 51 p."/>
                <w:tag w:val="part_2e70d030de81423883191e8d5fa13292"/>
                <w:lock w:val="sdtLocked"/>
                <w:richText/>
              </w:sdtPr>
              <w:sdtContent>
                <w:p>
                  <w:pPr>
                    <w:ind w:firstLine="600"/>
                    <w:jc w:val="both"/>
                    <w:rPr>
                      <w:color w:val="000000"/>
                      <w:szCs w:val="24"/>
                    </w:rPr>
                  </w:pPr>
                  <w:sdt>
                    <w:sdtPr>
                      <w:alias w:val="Numeris"/>
                      <w:tag w:val="nr_2e70d030de81423883191e8d5fa13292"/>
                      <w:lock w:val="sdtLocked"/>
                      <w:richText/>
                    </w:sdtPr>
                    <w:sdtContent>
                      <w:r>
                        <w:rPr>
                          <w:color w:val="000000"/>
                          <w:szCs w:val="24"/>
                        </w:rPr>
                        <w:t>51</w:t>
                      </w:r>
                    </w:sdtContent>
                  </w:sdt>
                  <w:r>
                    <w:rPr>
                      <w:color w:val="000000"/>
                      <w:szCs w:val="24"/>
                    </w:rPr>
                    <w:t>. Energijos iš vandenį šildančių Saulės kolektorių neatsinaujinančios pirminės energijos sąnaudos pastate, kai ši energija naudojama tik karštam vandeniui ruošti, apskaičiuojamos taip:</w:t>
                  </w:r>
                </w:p>
                <w:sdt>
                  <w:sdtPr>
                    <w:alias w:val="2 pr. 51.1 pp."/>
                    <w:tag w:val="part_e97a4ed85c194909be188c31a33f26fe"/>
                    <w:lock w:val="sdtLocked"/>
                    <w:richText/>
                  </w:sdtPr>
                  <w:sdtContent>
                    <w:p>
                      <w:pPr>
                        <w:ind w:firstLine="600"/>
                        <w:jc w:val="both"/>
                        <w:rPr>
                          <w:color w:val="000000"/>
                          <w:szCs w:val="24"/>
                        </w:rPr>
                      </w:pPr>
                      <w:sdt>
                        <w:sdtPr>
                          <w:alias w:val="Numeris"/>
                          <w:tag w:val="nr_e97a4ed85c194909be188c31a33f26fe"/>
                          <w:lock w:val="sdtLocked"/>
                          <w:richText/>
                        </w:sdtPr>
                        <w:sdtContent>
                          <w:r>
                            <w:rPr>
                              <w:color w:val="000000"/>
                              <w:szCs w:val="24"/>
                            </w:rPr>
                            <w:t>51.1</w:t>
                          </w:r>
                        </w:sdtContent>
                      </w:sdt>
                      <w:r>
                        <w:rPr>
                          <w:color w:val="000000"/>
                          <w:szCs w:val="24"/>
                        </w:rPr>
                        <w:t xml:space="preserve">. kiekvieną mėnesį </w:t>
                      </w:r>
                      <w:r>
                        <w:rPr>
                          <w:i/>
                          <w:color w:val="000000"/>
                          <w:szCs w:val="24"/>
                        </w:rPr>
                        <w:t xml:space="preserve">„m“ </w:t>
                      </w:r>
                      <w:r>
                        <w:rPr>
                          <w:color w:val="000000"/>
                          <w:szCs w:val="24"/>
                        </w:rPr>
                        <w:t xml:space="preserve">visų karšto vandens ruošimo sistemų su vandenį šildančiais Saulės kolektoriais neatsinaujinančios pirminės energijos sąnaudos buitiniam karštam vandeniui ruošti pastato šildomo ploto vienetui </w:t>
                      </w:r>
                      <w:r>
                        <w:rPr>
                          <w:i/>
                          <w:color w:val="000000"/>
                          <w:szCs w:val="24"/>
                        </w:rPr>
                        <w:t>Q</w:t>
                      </w:r>
                      <w:r>
                        <w:rPr>
                          <w:i/>
                          <w:color w:val="000000"/>
                          <w:szCs w:val="24"/>
                          <w:vertAlign w:val="subscript"/>
                        </w:rPr>
                        <w:t>PRn.hw.hwSK,m</w:t>
                      </w:r>
                      <w:r>
                        <w:rPr>
                          <w:color w:val="000000"/>
                          <w:szCs w:val="24"/>
                        </w:rPr>
                        <w:t>(kWh/(m²·mėn.)) apskaičiuojamos taip:</w:t>
                      </w:r>
                    </w:p>
                    <w:tbl>
                      <w:tblPr>
                        <w:tblW w:w="5000" w:type="pct"/>
                        <w:jc w:val="center"/>
                        <w:tblLook w:val="01E0" w:firstRow="1" w:lastRow="1" w:firstColumn="1" w:lastColumn="1" w:noHBand="0" w:noVBand="0"/>
                      </w:tblPr>
                      <w:tblGrid>
                        <w:gridCol w:w="8938"/>
                        <w:gridCol w:w="916"/>
                      </w:tblGrid>
                      <w:tr>
                        <w:trPr>
                          <w:jc w:val="center"/>
                        </w:trPr>
                        <w:tc>
                          <w:tcPr>
                            <w:tcW w:w="4594" w:type="pct"/>
                            <w:vAlign w:val="center"/>
                            <w:hideMark/>
                          </w:tcPr>
                          <w:p>
                            <w:pPr>
                              <w:spacing w:line="276" w:lineRule="auto"/>
                              <w:jc w:val="center"/>
                              <w:rPr>
                                <w:rFonts w:eastAsia="Calibri"/>
                                <w:color w:val="000000"/>
                                <w:szCs w:val="24"/>
                              </w:rPr>
                            </w:pPr>
                            <w:r>
                              <w:rPr>
                                <w:rFonts w:eastAsia="Calibri"/>
                                <w:color w:val="000000"/>
                                <w:szCs w:val="24"/>
                              </w:rPr>
                              <w:object w:dxaOrig="5410" w:dyaOrig="400">
                                <v:shape id="_x0000_i1238" type="#_x0000_t75" style="width:271pt;height:20.2pt" o:ole="">
                                  <v:imagedata r:id="rId711" o:title=""/>
                                </v:shape>
                                <o:OLEObject Type="Embed" ProgID="Equation.3" ShapeID="_x0000_i1238" DrawAspect="Content" ObjectID="_0000000001" r:id="rId712"/>
                              </w:object>
                            </w:r>
                            <w:r>
                              <w:rPr>
                                <w:color w:val="000000"/>
                                <w:szCs w:val="24"/>
                              </w:rPr>
                              <w:t>;</w:t>
                            </w:r>
                          </w:p>
                        </w:tc>
                        <w:tc>
                          <w:tcPr>
                            <w:tcW w:w="406" w:type="pct"/>
                            <w:vAlign w:val="center"/>
                            <w:hideMark/>
                          </w:tcPr>
                          <w:p>
                            <w:pPr>
                              <w:spacing w:line="276" w:lineRule="auto"/>
                              <w:jc w:val="right"/>
                              <w:rPr>
                                <w:rFonts w:eastAsia="Calibri"/>
                                <w:color w:val="000000"/>
                                <w:szCs w:val="24"/>
                              </w:rPr>
                            </w:pPr>
                            <w:r>
                              <w:rPr>
                                <w:color w:val="000000"/>
                                <w:szCs w:val="24"/>
                              </w:rPr>
                              <w:t>(2.182)</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bscript"/>
                        </w:rPr>
                        <w:t xml:space="preserve">hw.hwSK,m </w:t>
                      </w:r>
                      <w:r>
                        <w:rPr>
                          <w:color w:val="000000"/>
                          <w:szCs w:val="24"/>
                        </w:rPr>
                        <w:t xml:space="preserve">– karšto vandens ruošimo sistemose su Saulės kolektoriais Saulės kolektorių pagamintos šiluminės energijos sąnaudos atitinkamą mėnesį </w:t>
                      </w:r>
                      <w:r>
                        <w:rPr>
                          <w:i/>
                          <w:color w:val="000000"/>
                          <w:szCs w:val="24"/>
                        </w:rPr>
                        <w:t>„m“</w:t>
                      </w:r>
                      <w:r>
                        <w:rPr>
                          <w:color w:val="000000"/>
                          <w:szCs w:val="24"/>
                        </w:rPr>
                        <w:t xml:space="preserve"> karštam vandeniui ruošti (kWh/(m²·mėn.)). Apskaičiuojama pagal (2.183) formulę;</w:t>
                      </w:r>
                    </w:p>
                    <w:p>
                      <w:pPr>
                        <w:ind w:firstLine="567"/>
                        <w:jc w:val="both"/>
                        <w:rPr>
                          <w:color w:val="000000"/>
                          <w:szCs w:val="24"/>
                        </w:rPr>
                      </w:pPr>
                      <w:r>
                        <w:rPr>
                          <w:i/>
                          <w:color w:val="000000"/>
                          <w:szCs w:val="24"/>
                        </w:rPr>
                        <w:t>Q</w:t>
                      </w:r>
                      <w:r>
                        <w:rPr>
                          <w:i/>
                          <w:color w:val="000000"/>
                          <w:szCs w:val="24"/>
                          <w:vertAlign w:val="subscript"/>
                        </w:rPr>
                        <w:t xml:space="preserve">E.hw.hwSK,m </w:t>
                      </w:r>
                      <w:r>
                        <w:rPr>
                          <w:color w:val="000000"/>
                          <w:szCs w:val="24"/>
                        </w:rPr>
                        <w:t>– mėnesinės elektros energijos sąnaudos karšto vandens ruošimo sistemoje su Saulės kolektoriais (kWh/(m²·mėn.));</w:t>
                      </w:r>
                    </w:p>
                    <w:p>
                      <w:pPr>
                        <w:ind w:firstLine="567"/>
                        <w:jc w:val="both"/>
                        <w:rPr>
                          <w:bCs/>
                          <w:color w:val="000000"/>
                          <w:szCs w:val="24"/>
                        </w:rPr>
                      </w:pPr>
                      <w:r>
                        <w:rPr>
                          <w:i/>
                          <w:color w:val="000000"/>
                          <w:szCs w:val="24"/>
                        </w:rPr>
                        <w:t>f</w:t>
                      </w:r>
                      <w:r>
                        <w:rPr>
                          <w:i/>
                          <w:color w:val="000000"/>
                          <w:szCs w:val="24"/>
                          <w:vertAlign w:val="subscript"/>
                        </w:rPr>
                        <w:t>PRn.hwSK</w:t>
                      </w:r>
                      <w:r>
                        <w:rPr>
                          <w:color w:val="000000"/>
                          <w:szCs w:val="24"/>
                        </w:rPr>
                        <w:t xml:space="preserve"> – neatsinaujinančios </w:t>
                      </w:r>
                      <w:r>
                        <w:rPr>
                          <w:bCs/>
                          <w:color w:val="000000"/>
                          <w:szCs w:val="24"/>
                        </w:rPr>
                        <w:t>pirminės energijos faktorius,</w:t>
                      </w:r>
                      <w:r>
                        <w:rPr>
                          <w:color w:val="000000"/>
                          <w:szCs w:val="24"/>
                        </w:rPr>
                        <w:t xml:space="preserve"> kai energijai gaminti naudojami vandenį šildantys Saulės kolektoriai (vnt.)</w:t>
                      </w:r>
                      <w:r>
                        <w:rPr>
                          <w:bCs/>
                          <w:color w:val="000000"/>
                          <w:szCs w:val="24"/>
                        </w:rPr>
                        <w:t xml:space="preserve">. Imamas iš 2.18 lentelės; </w:t>
                      </w:r>
                    </w:p>
                    <w:p>
                      <w:pPr>
                        <w:ind w:firstLine="567"/>
                        <w:jc w:val="both"/>
                        <w:rPr>
                          <w:bCs/>
                          <w:color w:val="000000"/>
                          <w:szCs w:val="24"/>
                        </w:rPr>
                      </w:pPr>
                      <w:r>
                        <w:rPr>
                          <w:i/>
                          <w:color w:val="000000"/>
                          <w:szCs w:val="24"/>
                        </w:rPr>
                        <w:t>f</w:t>
                      </w:r>
                      <w:r>
                        <w:rPr>
                          <w:i/>
                          <w:color w:val="000000"/>
                          <w:szCs w:val="24"/>
                          <w:vertAlign w:val="subscript"/>
                        </w:rPr>
                        <w:t>PRn.E</w:t>
                      </w:r>
                      <w:r>
                        <w:rPr>
                          <w:color w:val="000000"/>
                          <w:szCs w:val="24"/>
                        </w:rPr>
                        <w:t xml:space="preserve"> – neatsinaujinančios </w:t>
                      </w:r>
                      <w:r>
                        <w:rPr>
                          <w:bCs/>
                          <w:color w:val="000000"/>
                          <w:szCs w:val="24"/>
                        </w:rPr>
                        <w:t xml:space="preserve">pirminės energijos faktorius, kai energijos šaltinis elektra </w:t>
                      </w:r>
                      <w:r>
                        <w:rPr>
                          <w:color w:val="000000"/>
                          <w:szCs w:val="24"/>
                        </w:rPr>
                        <w:t>(įvairių elektros gamybos būdų vidurkis) (vnt.)</w:t>
                      </w:r>
                      <w:r>
                        <w:rPr>
                          <w:bCs/>
                          <w:color w:val="000000"/>
                          <w:szCs w:val="24"/>
                        </w:rPr>
                        <w:t xml:space="preserve">. Imamas iš 2.18 lentelės. </w:t>
                      </w:r>
                    </w:p>
                  </w:sdtContent>
                </w:sdt>
                <w:sdt>
                  <w:sdtPr>
                    <w:alias w:val="2 pr. 51.2 pp."/>
                    <w:tag w:val="part_6078c4f987244b668126dbda665e1ef7"/>
                    <w:lock w:val="sdtLocked"/>
                    <w:richText/>
                  </w:sdtPr>
                  <w:sdtContent>
                    <w:p>
                      <w:pPr>
                        <w:ind w:firstLine="600"/>
                        <w:jc w:val="both"/>
                        <w:rPr>
                          <w:color w:val="000000"/>
                          <w:szCs w:val="24"/>
                        </w:rPr>
                      </w:pPr>
                      <w:sdt>
                        <w:sdtPr>
                          <w:alias w:val="Numeris"/>
                          <w:tag w:val="nr_6078c4f987244b668126dbda665e1ef7"/>
                          <w:lock w:val="sdtLocked"/>
                          <w:richText/>
                        </w:sdtPr>
                        <w:sdtContent>
                          <w:r>
                            <w:rPr>
                              <w:color w:val="000000"/>
                              <w:szCs w:val="24"/>
                            </w:rPr>
                            <w:t>51.2</w:t>
                          </w:r>
                        </w:sdtContent>
                      </w:sdt>
                      <w:r>
                        <w:rPr>
                          <w:color w:val="000000"/>
                          <w:szCs w:val="24"/>
                        </w:rPr>
                        <w:t xml:space="preserve">. kiekvieną mėnesį </w:t>
                      </w:r>
                      <w:r>
                        <w:rPr>
                          <w:i/>
                          <w:color w:val="000000"/>
                          <w:szCs w:val="24"/>
                        </w:rPr>
                        <w:t>„m“</w:t>
                      </w:r>
                      <w:r>
                        <w:rPr>
                          <w:color w:val="000000"/>
                          <w:szCs w:val="24"/>
                        </w:rPr>
                        <w:t xml:space="preserve"> karšto vandens ruošimo sistemose su Saulės kolektoriais pagamintos šiluminės energijos sąnaudoms karštam vandeniui ruošti </w:t>
                      </w:r>
                      <w:r>
                        <w:rPr>
                          <w:i/>
                          <w:color w:val="000000"/>
                          <w:szCs w:val="24"/>
                        </w:rPr>
                        <w:t>Q</w:t>
                      </w:r>
                      <w:r>
                        <w:rPr>
                          <w:i/>
                          <w:color w:val="000000"/>
                          <w:szCs w:val="24"/>
                          <w:vertAlign w:val="subscript"/>
                        </w:rPr>
                        <w:t xml:space="preserve">hw.hwSK,m </w:t>
                      </w:r>
                      <w:r>
                        <w:rPr>
                          <w:color w:val="000000"/>
                          <w:szCs w:val="24"/>
                        </w:rPr>
                        <w:t>(kWh/(m²·mėn.)) skaičiuoti naudojama 2.183 formulė ir jos taikymo sąlygos [3.25]:</w:t>
                      </w:r>
                    </w:p>
                    <w:p>
                      <w:pPr>
                        <w:ind w:firstLine="600"/>
                        <w:rPr>
                          <w:color w:val="000000"/>
                          <w:szCs w:val="24"/>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szCs w:val="24"/>
                                <w:lang w:eastAsia="lt-LT"/>
                              </w:rPr>
                              <w:object w:dxaOrig="5890" w:dyaOrig="730">
                                <v:shape id="_x0000_i1239" type="#_x0000_t75" style="width:295.3pt;height:37.2pt" o:ole="">
                                  <v:imagedata r:id="rId713" o:title=""/>
                                </v:shape>
                                <o:OLEObject Type="Embed" ProgID="Equation.3" ShapeID="_x0000_i1239" DrawAspect="Content" ObjectID="_0000000001" r:id="rId714"/>
                              </w:objec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(2.183)</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bscript"/>
                        </w:rPr>
                        <w:t>hw.hwSK.out,m,x</w:t>
                      </w:r>
                      <w:r>
                        <w:rPr>
                          <w:color w:val="000000"/>
                          <w:szCs w:val="24"/>
                        </w:rPr>
                        <w:t xml:space="preserve">– kiekvieno mėnesio </w:t>
                      </w:r>
                      <w:r>
                        <w:rPr>
                          <w:i/>
                          <w:color w:val="000000"/>
                          <w:szCs w:val="24"/>
                        </w:rPr>
                        <w:t xml:space="preserve">„m“ </w:t>
                      </w:r>
                      <w:r>
                        <w:rPr>
                          <w:color w:val="000000"/>
                          <w:szCs w:val="24"/>
                        </w:rPr>
                        <w:t xml:space="preserve">šiluminės energijos kiekis, kurį pagamina atitinkamoje </w:t>
                      </w:r>
                      <w:r>
                        <w:rPr>
                          <w:i/>
                          <w:color w:val="000000"/>
                          <w:szCs w:val="24"/>
                        </w:rPr>
                        <w:t>„x“</w:t>
                      </w:r>
                      <w:r>
                        <w:rPr>
                          <w:color w:val="000000"/>
                          <w:szCs w:val="24"/>
                        </w:rPr>
                        <w:t xml:space="preserve"> karšto vandens ruošimo sistemoje įrengti vandenį šildantys Saulės kolektoriai (kWh/(m²·mėn.)). Apskaičiuojamas pagal (2.186) formulę;</w:t>
                      </w:r>
                    </w:p>
                    <w:p>
                      <w:pPr>
                        <w:ind w:firstLine="567"/>
                        <w:jc w:val="both"/>
                        <w:rPr>
                          <w:color w:val="000000"/>
                          <w:szCs w:val="24"/>
                        </w:rPr>
                      </w:pPr>
                      <w:r>
                        <w:rPr>
                          <w:i/>
                          <w:color w:val="000000"/>
                          <w:szCs w:val="24"/>
                        </w:rPr>
                        <w:t>Q</w:t>
                      </w:r>
                      <w:r>
                        <w:rPr>
                          <w:i/>
                          <w:color w:val="000000"/>
                          <w:szCs w:val="24"/>
                          <w:vertAlign w:val="subscript"/>
                        </w:rPr>
                        <w:t>hw.hwSK.dis,m,x</w:t>
                      </w:r>
                      <w:r>
                        <w:rPr>
                          <w:color w:val="000000"/>
                          <w:szCs w:val="24"/>
                        </w:rPr>
                        <w:t xml:space="preserve">– kiekvieno mėnesio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karšto vandens ruošimo sistemos šilumos nuostoliai vamzdynuose nuo Saulės kolektoriaus ir karšto vandens talpos (kWh/(m²·mėn.)). Jei vamzdynai apšiltinti </w:t>
                      </w:r>
                      <w:r>
                        <w:rPr>
                          <w:i/>
                          <w:color w:val="000000"/>
                          <w:szCs w:val="24"/>
                        </w:rPr>
                        <w:t>Q</w:t>
                      </w:r>
                      <w:r>
                        <w:rPr>
                          <w:i/>
                          <w:color w:val="000000"/>
                          <w:szCs w:val="24"/>
                          <w:vertAlign w:val="subscript"/>
                        </w:rPr>
                        <w:t>hw.hwSK.dis,m,x</w:t>
                      </w:r>
                      <w:r>
                        <w:rPr>
                          <w:color w:val="000000"/>
                          <w:szCs w:val="24"/>
                        </w:rPr>
                        <w:t>=0,02·</w:t>
                      </w:r>
                      <w:r>
                        <w:rPr>
                          <w:i/>
                          <w:color w:val="000000"/>
                          <w:szCs w:val="24"/>
                        </w:rPr>
                        <w:t>Q</w:t>
                      </w:r>
                      <w:r>
                        <w:rPr>
                          <w:i/>
                          <w:color w:val="000000"/>
                          <w:szCs w:val="24"/>
                          <w:vertAlign w:val="subscript"/>
                        </w:rPr>
                        <w:t>hw.hwSK.out,m,x</w:t>
                      </w:r>
                      <w:r>
                        <w:rPr>
                          <w:color w:val="000000"/>
                          <w:szCs w:val="24"/>
                        </w:rPr>
                        <w:t xml:space="preserve">, jei neapšiltinti – </w:t>
                      </w:r>
                      <w:r>
                        <w:rPr>
                          <w:i/>
                          <w:color w:val="000000"/>
                          <w:szCs w:val="24"/>
                        </w:rPr>
                        <w:t>Q</w:t>
                      </w:r>
                      <w:r>
                        <w:rPr>
                          <w:i/>
                          <w:color w:val="000000"/>
                          <w:szCs w:val="24"/>
                          <w:vertAlign w:val="subscript"/>
                        </w:rPr>
                        <w:t>hw.hwSK.dis,m,x</w:t>
                      </w:r>
                      <w:r>
                        <w:rPr>
                          <w:color w:val="000000"/>
                          <w:szCs w:val="24"/>
                        </w:rPr>
                        <w:t>= 0,05·</w:t>
                      </w:r>
                      <w:r>
                        <w:rPr>
                          <w:i/>
                          <w:color w:val="000000"/>
                          <w:szCs w:val="24"/>
                        </w:rPr>
                        <w:t>Q</w:t>
                      </w:r>
                      <w:r>
                        <w:rPr>
                          <w:i/>
                          <w:color w:val="000000"/>
                          <w:szCs w:val="24"/>
                          <w:vertAlign w:val="subscript"/>
                        </w:rPr>
                        <w:t>hw.hwSK.out,m,x</w:t>
                      </w:r>
                      <w:r>
                        <w:rPr>
                          <w:color w:val="000000"/>
                          <w:szCs w:val="24"/>
                        </w:rPr>
                        <w:t xml:space="preserve"> [3.25];</w:t>
                      </w:r>
                    </w:p>
                    <w:p>
                      <w:pPr>
                        <w:ind w:firstLine="567"/>
                        <w:jc w:val="both"/>
                        <w:rPr>
                          <w:color w:val="000000"/>
                          <w:szCs w:val="24"/>
                        </w:rPr>
                      </w:pPr>
                      <w:r>
                        <w:rPr>
                          <w:i/>
                          <w:szCs w:val="24"/>
                        </w:rPr>
                        <w:t>Q</w:t>
                      </w:r>
                      <w:r>
                        <w:rPr>
                          <w:i/>
                          <w:szCs w:val="24"/>
                          <w:vertAlign w:val="subscript"/>
                        </w:rPr>
                        <w:t>hw.hwSK.SW,m,x</w:t>
                      </w:r>
                      <w:r>
                        <w:rPr>
                          <w:color w:val="000000"/>
                          <w:szCs w:val="24"/>
                        </w:rPr>
                        <w:t xml:space="preserve">– kiekvieno mėnesio </w:t>
                      </w:r>
                      <w:r>
                        <w:rPr>
                          <w:i/>
                          <w:color w:val="000000"/>
                          <w:szCs w:val="24"/>
                        </w:rPr>
                        <w:t xml:space="preserve">„m“ </w:t>
                      </w:r>
                      <w:r>
                        <w:rPr>
                          <w:color w:val="000000"/>
                          <w:szCs w:val="24"/>
                        </w:rPr>
                        <w:t xml:space="preserve">šilumos nuostoliai karšto vandens talpose, esančiose atitinkamoje </w:t>
                      </w:r>
                      <w:r>
                        <w:rPr>
                          <w:i/>
                          <w:color w:val="000000"/>
                          <w:szCs w:val="24"/>
                        </w:rPr>
                        <w:t>„x“</w:t>
                      </w:r>
                      <w:r>
                        <w:rPr>
                          <w:color w:val="000000"/>
                          <w:szCs w:val="24"/>
                        </w:rPr>
                        <w:t xml:space="preserve"> karšto vandens ruošimo sistemoje su vandenį šildančiais Saulės kolektoriais (kWh/(m²·mėn.)). Apskaičiuojama pagal (2.189) formulę; </w:t>
                      </w:r>
                    </w:p>
                    <w:p>
                      <w:pPr>
                        <w:ind w:firstLine="567"/>
                        <w:rPr>
                          <w:color w:val="000000"/>
                          <w:szCs w:val="24"/>
                        </w:rPr>
                      </w:pPr>
                      <w:r>
                        <w:rPr>
                          <w:color w:val="000000"/>
                          <w:szCs w:val="24"/>
                        </w:rPr>
                        <w:t xml:space="preserve">(2.183) formulės taikymo sąlygos:   </w:t>
                      </w:r>
                    </w:p>
                    <w:p>
                      <w:pPr>
                        <w:tabs>
                          <w:tab w:val="left" w:pos="1200"/>
                        </w:tabs>
                        <w:ind w:left="1200" w:hanging="360"/>
                        <w:jc w:val="both"/>
                        <w:rPr>
                          <w:color w:val="000000"/>
                          <w:szCs w:val="24"/>
                        </w:rPr>
                      </w:pPr>
                      <w:r>
                        <w:rPr>
                          <w:color w:val="000000"/>
                          <w:szCs w:val="24"/>
                        </w:rPr>
                        <w:t>-</w:t>
                        <w:tab/>
                        <w:t xml:space="preserve">jei </w:t>
                      </w:r>
                      <w:r>
                        <w:rPr>
                          <w:i/>
                          <w:color w:val="000000"/>
                          <w:szCs w:val="24"/>
                        </w:rPr>
                        <w:t>Q</w:t>
                      </w:r>
                      <w:r>
                        <w:rPr>
                          <w:i/>
                          <w:color w:val="000000"/>
                          <w:szCs w:val="24"/>
                          <w:vertAlign w:val="subscript"/>
                        </w:rPr>
                        <w:t>hw.hwSK,m</w:t>
                      </w:r>
                      <w:r>
                        <w:rPr>
                          <w:color w:val="000000"/>
                          <w:szCs w:val="24"/>
                        </w:rPr>
                        <w:t xml:space="preserve">&lt;0, tai </w:t>
                      </w:r>
                      <w:r>
                        <w:rPr>
                          <w:i/>
                          <w:color w:val="000000"/>
                          <w:szCs w:val="24"/>
                        </w:rPr>
                        <w:t>Q</w:t>
                      </w:r>
                      <w:r>
                        <w:rPr>
                          <w:i/>
                          <w:color w:val="000000"/>
                          <w:szCs w:val="24"/>
                          <w:vertAlign w:val="subscript"/>
                        </w:rPr>
                        <w:t>hw.hwSK,m</w:t>
                      </w:r>
                      <w:r>
                        <w:rPr>
                          <w:color w:val="000000"/>
                          <w:szCs w:val="24"/>
                        </w:rPr>
                        <w:t>=0;</w:t>
                      </w:r>
                    </w:p>
                    <w:p>
                      <w:pPr>
                        <w:tabs>
                          <w:tab w:val="left" w:pos="1200"/>
                        </w:tabs>
                        <w:ind w:left="1200" w:hanging="360"/>
                        <w:jc w:val="both"/>
                        <w:rPr>
                          <w:color w:val="000000"/>
                          <w:szCs w:val="24"/>
                        </w:rPr>
                      </w:pPr>
                      <w:r>
                        <w:rPr>
                          <w:color w:val="000000"/>
                          <w:szCs w:val="24"/>
                        </w:rPr>
                        <w:t>-</w:t>
                        <w:tab/>
                        <w:t>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position w:val="-14"/>
                                <w:szCs w:val="24"/>
                              </w:rPr>
                              <w:object w:dxaOrig="1770" w:dyaOrig="400">
                                <v:shape id="_x0000_i1240" type="#_x0000_t75" style="width:88.2pt;height:20.2pt" o:ole="">
                                  <v:imagedata r:id="rId715" o:title=""/>
                                </v:shape>
                                <o:OLEObject Type="Embed" ProgID="Equation.3" ShapeID="_x0000_i1240" DrawAspect="Content" ObjectID="_0000000001" r:id="rId716"/>
                              </w:objec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(2.184)</w:t>
                            </w:r>
                          </w:p>
                        </w:tc>
                      </w:tr>
                    </w:tbl>
                    <w:p>
                      <w:pPr>
                        <w:ind w:left="840"/>
                        <w:rPr>
                          <w:rFonts w:eastAsia="Calibri"/>
                          <w:color w:val="000000"/>
                          <w:szCs w:val="24"/>
                        </w:rPr>
                      </w:pPr>
                      <w:r>
                        <w:rPr>
                          <w:color w:val="000000"/>
                          <w:szCs w:val="24"/>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position w:val="-14"/>
                                <w:szCs w:val="24"/>
                              </w:rPr>
                              <w:object w:dxaOrig="1720" w:dyaOrig="400">
                                <v:shape id="_x0000_i1241" type="#_x0000_t75" style="width:86.55pt;height:20.2pt" o:ole="">
                                  <v:imagedata r:id="rId717" o:title=""/>
                                </v:shape>
                                <o:OLEObject Type="Embed" ProgID="Equation.3" ShapeID="_x0000_i1241" DrawAspect="Content" ObjectID="_0000000001" r:id="rId718"/>
                              </w:objec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(2.185)</w:t>
                            </w:r>
                          </w:p>
                        </w:tc>
                      </w:tr>
                    </w:tbl>
                    <w:p>
                      <w:pPr>
                        <w:jc w:val="both"/>
                        <w:rPr>
                          <w:color w:val="000000"/>
                          <w:szCs w:val="24"/>
                        </w:rPr>
                      </w:pPr>
                    </w:p>
                    <w:p>
                      <w:pPr>
                        <w:jc w:val="both"/>
                        <w:rPr>
                          <w:color w:val="000000"/>
                          <w:szCs w:val="24"/>
                        </w:rPr>
                      </w:pPr>
                    </w:p>
                    <w:p>
                      <w:pPr>
                        <w:jc w:val="both"/>
                        <w:rPr>
                          <w:rFonts w:eastAsia="Calibri"/>
                          <w:color w:val="000000"/>
                          <w:szCs w:val="24"/>
                        </w:rPr>
                      </w:pPr>
                      <w:r>
                        <w:rPr>
                          <w:color w:val="000000"/>
                          <w:szCs w:val="24"/>
                        </w:rPr>
                        <w:t>o</w:t>
                      </w:r>
                      <w:r>
                        <w:rPr>
                          <w:b/>
                          <w:color w:val="000000"/>
                          <w:szCs w:val="24"/>
                        </w:rPr>
                        <w:t xml:space="preserve"> </w:t>
                      </w:r>
                      <w:r>
                        <w:rPr>
                          <w:color w:val="000000"/>
                          <w:szCs w:val="24"/>
                        </w:rPr>
                        <w:t xml:space="preserve">kitu atveju </w:t>
                      </w:r>
                      <w:r>
                        <w:rPr>
                          <w:i/>
                          <w:color w:val="000000"/>
                          <w:szCs w:val="24"/>
                        </w:rPr>
                        <w:t>Q</w:t>
                      </w:r>
                      <w:r>
                        <w:rPr>
                          <w:i/>
                          <w:color w:val="000000"/>
                          <w:szCs w:val="24"/>
                          <w:vertAlign w:val="subscript"/>
                        </w:rPr>
                        <w:t>hw.hwSK,m</w:t>
                      </w:r>
                      <w:r>
                        <w:rPr>
                          <w:color w:val="000000"/>
                          <w:szCs w:val="24"/>
                        </w:rPr>
                        <w:t>atitinka skaičiavimo rezultatui, gautam pagal (2.183) formulę;</w:t>
                      </w:r>
                    </w:p>
                    <w:p>
                      <w:pPr>
                        <w:tabs>
                          <w:tab w:val="left" w:pos="567"/>
                        </w:tabs>
                        <w:jc w:val="both"/>
                        <w:rPr>
                          <w:color w:val="000000"/>
                          <w:szCs w:val="24"/>
                        </w:rPr>
                      </w:pPr>
                      <w:r>
                        <w:rPr>
                          <w:color w:val="000000"/>
                          <w:szCs w:val="24"/>
                        </w:rPr>
                        <w:t>čia:</w:t>
                        <w:tab/>
                      </w:r>
                      <w:r>
                        <w:rPr>
                          <w:i/>
                          <w:color w:val="000000"/>
                          <w:szCs w:val="24"/>
                        </w:rPr>
                        <w:t>Q</w:t>
                      </w:r>
                      <w:r>
                        <w:rPr>
                          <w:i/>
                          <w:color w:val="000000"/>
                          <w:szCs w:val="24"/>
                          <w:vertAlign w:val="subscript"/>
                        </w:rPr>
                        <w:t>hw,m</w:t>
                      </w:r>
                      <w:r>
                        <w:rPr>
                          <w:color w:val="000000"/>
                          <w:szCs w:val="24"/>
                        </w:rPr>
                        <w:t>– apskaičiuojama pagal XV skyriuje nurodytą tvarką.</w:t>
                      </w:r>
                    </w:p>
                    <w:p>
                      <w:pPr>
                        <w:jc w:val="both"/>
                        <w:rPr>
                          <w:color w:val="000000"/>
                          <w:szCs w:val="24"/>
                        </w:rPr>
                      </w:pPr>
                      <w:r>
                        <w:rPr>
                          <w:color w:val="000000"/>
                          <w:szCs w:val="24"/>
                        </w:rPr>
                        <w:t xml:space="preserve">(2.185) formulėje karšto vandens ruošimo sistemos įrenginio efektyvumas </w:t>
                      </w:r>
                      <w:r>
                        <w:rPr>
                          <w:i/>
                          <w:color w:val="000000"/>
                          <w:szCs w:val="24"/>
                        </w:rPr>
                        <w:t>η</w:t>
                      </w:r>
                      <w:r>
                        <w:rPr>
                          <w:i/>
                          <w:color w:val="000000"/>
                          <w:szCs w:val="24"/>
                          <w:vertAlign w:val="subscript"/>
                        </w:rPr>
                        <w:t xml:space="preserve">hw.eq </w:t>
                      </w:r>
                      <w:r>
                        <w:rPr>
                          <w:color w:val="000000"/>
                          <w:szCs w:val="24"/>
                        </w:rPr>
                        <w:t>priimamas</w:t>
                      </w:r>
                      <w:r>
                        <w:rPr>
                          <w:b/>
                          <w:color w:val="000000"/>
                          <w:szCs w:val="24"/>
                        </w:rPr>
                        <w:t xml:space="preserve"> </w:t>
                      </w:r>
                      <w:r>
                        <w:rPr>
                          <w:color w:val="000000"/>
                          <w:szCs w:val="24"/>
                        </w:rPr>
                        <w:t xml:space="preserve">lygus1, nes vandenį šildantys Saulės kolektoriai į karšto vandens ruošimo sistemą energiją tiekia tiesiogiai ir jų energijos gamybos efektyvumas įvertintas kolektorių detaliuose skaičiavimuose. </w:t>
                      </w:r>
                    </w:p>
                  </w:sdtContent>
                </w:sdt>
                <w:sdt>
                  <w:sdtPr>
                    <w:alias w:val="2 pr. 51.3 pp."/>
                    <w:tag w:val="part_e5000ce7f45748baa755805d3a7265d9"/>
                    <w:lock w:val="sdtLocked"/>
                    <w:richText/>
                  </w:sdtPr>
                  <w:sdtContent>
                    <w:p>
                      <w:pPr>
                        <w:ind w:firstLine="600"/>
                        <w:jc w:val="both"/>
                        <w:rPr>
                          <w:color w:val="000000"/>
                          <w:szCs w:val="24"/>
                        </w:rPr>
                      </w:pPr>
                      <w:sdt>
                        <w:sdtPr>
                          <w:alias w:val="Numeris"/>
                          <w:tag w:val="nr_e5000ce7f45748baa755805d3a7265d9"/>
                          <w:lock w:val="sdtLocked"/>
                          <w:richText/>
                        </w:sdtPr>
                        <w:sdtContent>
                          <w:r>
                            <w:rPr>
                              <w:color w:val="000000"/>
                              <w:szCs w:val="24"/>
                            </w:rPr>
                            <w:t>51.3</w:t>
                          </w:r>
                        </w:sdtContent>
                      </w:sdt>
                      <w:r>
                        <w:rPr>
                          <w:color w:val="000000"/>
                          <w:szCs w:val="24"/>
                        </w:rPr>
                        <w:t xml:space="preserve">. kiekvieną mėnesį </w:t>
                      </w:r>
                      <w:r>
                        <w:rPr>
                          <w:i/>
                          <w:color w:val="000000"/>
                          <w:szCs w:val="24"/>
                        </w:rPr>
                        <w:t xml:space="preserve">„m“ </w:t>
                      </w:r>
                      <w:r>
                        <w:rPr>
                          <w:color w:val="000000"/>
                          <w:szCs w:val="24"/>
                        </w:rPr>
                        <w:t xml:space="preserve">atitinkamoje </w:t>
                      </w:r>
                      <w:r>
                        <w:rPr>
                          <w:i/>
                          <w:color w:val="000000"/>
                          <w:szCs w:val="24"/>
                        </w:rPr>
                        <w:t>„x“</w:t>
                      </w:r>
                      <w:r>
                        <w:rPr>
                          <w:color w:val="000000"/>
                          <w:szCs w:val="24"/>
                        </w:rPr>
                        <w:t xml:space="preserve"> karšto vandens ruošimo sistemoje įrengtų vandenį šildančių Saulės kolektorių pagamintas šiluminės energijos kiekis </w:t>
                      </w:r>
                      <w:r>
                        <w:rPr>
                          <w:i/>
                          <w:color w:val="000000"/>
                          <w:szCs w:val="24"/>
                        </w:rPr>
                        <w:t>Q</w:t>
                      </w:r>
                      <w:r>
                        <w:rPr>
                          <w:i/>
                          <w:color w:val="000000"/>
                          <w:szCs w:val="24"/>
                          <w:vertAlign w:val="subscript"/>
                        </w:rPr>
                        <w:t>hw.hwSK.out,m,x</w:t>
                      </w:r>
                      <w:r>
                        <w:rPr>
                          <w:color w:val="000000"/>
                          <w:szCs w:val="24"/>
                        </w:rPr>
                        <w:t>(kWh/(m²·mėn.)) apskaičiuojamas taip [3.25]:</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250" w:dyaOrig="1200">
                                <v:shape id="_x0000_i1242" type="#_x0000_t75" style="width:262.1pt;height:59.85pt" o:ole="">
                                  <v:imagedata r:id="rId719" o:title=""/>
                                </v:shape>
                                <o:OLEObject Type="Embed" ProgID="Equation.3" ShapeID="_x0000_i1242" DrawAspect="Content" ObjectID="_0000000001" r:id="rId720"/>
                              </w:object>
                            </w:r>
                          </w:p>
                        </w:tc>
                        <w:tc>
                          <w:tcPr>
                            <w:tcW w:w="1062" w:type="dxa"/>
                            <w:vAlign w:val="center"/>
                            <w:hideMark/>
                          </w:tcPr>
                          <w:p>
                            <w:pPr>
                              <w:spacing w:line="276" w:lineRule="auto"/>
                              <w:jc w:val="right"/>
                              <w:rPr>
                                <w:rFonts w:eastAsia="Calibri"/>
                                <w:color w:val="000000"/>
                                <w:szCs w:val="24"/>
                              </w:rPr>
                            </w:pPr>
                            <w:r>
                              <w:rPr>
                                <w:color w:val="000000"/>
                                <w:szCs w:val="24"/>
                              </w:rPr>
                              <w:t>(2.186)</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color w:val="000000"/>
                          <w:szCs w:val="24"/>
                        </w:rPr>
                      </w:pPr>
                      <w:r>
                        <w:rPr>
                          <w:color w:val="000000"/>
                          <w:szCs w:val="24"/>
                        </w:rPr>
                        <w:t>čia:</w:t>
                        <w:tab/>
                      </w:r>
                      <w:r>
                        <w:rPr>
                          <w:i/>
                          <w:color w:val="000000"/>
                          <w:szCs w:val="24"/>
                        </w:rPr>
                        <w:t>X</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Apskaičiuojamas pagal (2.187) formulę (vnt. dalys);</w:t>
                      </w:r>
                    </w:p>
                    <w:p>
                      <w:pPr>
                        <w:ind w:firstLine="567"/>
                        <w:jc w:val="both"/>
                        <w:rPr>
                          <w:color w:val="000000"/>
                          <w:szCs w:val="24"/>
                        </w:rPr>
                      </w:pPr>
                      <w:r>
                        <w:rPr>
                          <w:i/>
                          <w:color w:val="000000"/>
                          <w:szCs w:val="24"/>
                        </w:rPr>
                        <w:t>Y</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Apskaičiuojamas pagal (2.188) formulę (vnt. dalys);</w:t>
                      </w:r>
                    </w:p>
                    <w:p>
                      <w:pPr>
                        <w:ind w:firstLine="567"/>
                        <w:rPr>
                          <w:color w:val="000000"/>
                          <w:szCs w:val="24"/>
                        </w:rPr>
                      </w:pPr>
                      <w:r>
                        <w:rPr>
                          <w:i/>
                          <w:color w:val="000000"/>
                          <w:szCs w:val="24"/>
                        </w:rPr>
                        <w:t>1,029; 0,065; 0,245; 0,0018; 0,0215</w:t>
                      </w:r>
                      <w:r>
                        <w:rPr>
                          <w:color w:val="000000"/>
                          <w:szCs w:val="24"/>
                        </w:rPr>
                        <w:t xml:space="preserve"> – Saulės kolektorių koreliacijos faktoriai [3.25];</w:t>
                      </w:r>
                    </w:p>
                  </w:sdtContent>
                </w:sdt>
                <w:sdt>
                  <w:sdtPr>
                    <w:alias w:val="2 pr. 51.4 pp."/>
                    <w:tag w:val="part_69576d2dc1354fa88415fd683a62c281"/>
                    <w:lock w:val="sdtLocked"/>
                    <w:richText/>
                  </w:sdtPr>
                  <w:sdtContent>
                    <w:p>
                      <w:pPr>
                        <w:ind w:firstLine="601"/>
                        <w:jc w:val="both"/>
                        <w:rPr>
                          <w:color w:val="000000"/>
                          <w:szCs w:val="24"/>
                        </w:rPr>
                      </w:pPr>
                      <w:sdt>
                        <w:sdtPr>
                          <w:alias w:val="Numeris"/>
                          <w:tag w:val="nr_69576d2dc1354fa88415fd683a62c281"/>
                          <w:lock w:val="sdtLocked"/>
                          <w:richText/>
                        </w:sdtPr>
                        <w:sdtContent>
                          <w:r>
                            <w:rPr>
                              <w:color w:val="000000"/>
                              <w:szCs w:val="24"/>
                            </w:rPr>
                            <w:t>51.4</w:t>
                          </w:r>
                        </w:sdtContent>
                      </w:sdt>
                      <w:r>
                        <w:rPr>
                          <w:color w:val="000000"/>
                          <w:szCs w:val="24"/>
                        </w:rPr>
                        <w:t xml:space="preserve">.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w:t>
                      </w:r>
                      <w:r>
                        <w:rPr>
                          <w:i/>
                          <w:color w:val="000000"/>
                          <w:szCs w:val="24"/>
                        </w:rPr>
                        <w:t>X</w:t>
                      </w:r>
                      <w:r>
                        <w:rPr>
                          <w:i/>
                          <w:color w:val="000000"/>
                          <w:szCs w:val="24"/>
                          <w:vertAlign w:val="subscript"/>
                        </w:rPr>
                        <w:t>m,x,y</w:t>
                      </w:r>
                      <w:r>
                        <w:rPr>
                          <w:color w:val="000000"/>
                          <w:szCs w:val="24"/>
                        </w:rPr>
                        <w:t xml:space="preserve"> (vnt. dalys) apskaičiuojamas taip:</w:t>
                      </w:r>
                    </w:p>
                    <w:p>
                      <w:pPr>
                        <w:rPr>
                          <w:sz w:val="20"/>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strike/>
                                <w:color w:val="000000"/>
                                <w:szCs w:val="24"/>
                              </w:rPr>
                            </w:pPr>
                            <w:r>
                              <w:rPr>
                                <w:szCs w:val="24"/>
                                <w:lang w:eastAsia="lt-LT"/>
                              </w:rPr>
                              <w:object w:dxaOrig="6140" w:dyaOrig="1230">
                                <v:shape id="_x0000_i1243" type="#_x0000_t75" style="width:305.8pt;height:61.5pt" o:ole="">
                                  <v:imagedata r:id="rId721" o:title=""/>
                                </v:shape>
                                <o:OLEObject Type="Embed" ProgID="Equation.3" ShapeID="_x0000_i1243" DrawAspect="Content" ObjectID="_0000000001" r:id="rId722"/>
                              </w:object>
                            </w:r>
                            <w:r>
                              <w:rPr>
                                <w:szCs w:val="24"/>
                              </w:rPr>
                              <w:t>;</w:t>
                            </w:r>
                          </w:p>
                        </w:tc>
                        <w:tc>
                          <w:tcPr>
                            <w:tcW w:w="1062" w:type="dxa"/>
                            <w:vAlign w:val="center"/>
                            <w:hideMark/>
                          </w:tcPr>
                          <w:p>
                            <w:pPr>
                              <w:spacing w:line="276" w:lineRule="auto"/>
                              <w:jc w:val="right"/>
                              <w:rPr>
                                <w:rFonts w:eastAsia="Calibri"/>
                                <w:color w:val="000000"/>
                                <w:szCs w:val="24"/>
                              </w:rPr>
                            </w:pPr>
                            <w:r>
                              <w:rPr>
                                <w:color w:val="000000"/>
                                <w:szCs w:val="24"/>
                              </w:rPr>
                              <w:t>(2.187)</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A</w:t>
                      </w:r>
                      <w:r>
                        <w:rPr>
                          <w:i/>
                          <w:color w:val="000000"/>
                          <w:szCs w:val="24"/>
                          <w:vertAlign w:val="subscript"/>
                        </w:rPr>
                        <w:t>hwSK,x</w:t>
                      </w:r>
                      <w:r>
                        <w:rPr>
                          <w:color w:val="000000"/>
                          <w:szCs w:val="24"/>
                        </w:rPr>
                        <w:t xml:space="preserve">– atitinkamoje </w:t>
                      </w:r>
                      <w:r>
                        <w:rPr>
                          <w:i/>
                          <w:color w:val="000000"/>
                          <w:szCs w:val="24"/>
                        </w:rPr>
                        <w:t>„x“</w:t>
                      </w:r>
                      <w:r>
                        <w:rPr>
                          <w:color w:val="000000"/>
                          <w:szCs w:val="24"/>
                        </w:rPr>
                        <w:t xml:space="preserve"> karšto vandens ruošimo sistemoje esančių vandenį šildančių Saulės kolektorių suminis vidinis plotas (m²) [3.34];</w:t>
                      </w:r>
                    </w:p>
                    <w:p>
                      <w:pPr>
                        <w:ind w:firstLine="567"/>
                        <w:jc w:val="both"/>
                        <w:rPr>
                          <w:color w:val="000000"/>
                          <w:szCs w:val="24"/>
                        </w:rPr>
                      </w:pPr>
                      <w:r>
                        <w:rPr>
                          <w:i/>
                          <w:color w:val="000000"/>
                          <w:szCs w:val="24"/>
                        </w:rPr>
                        <w:t>A</w:t>
                      </w:r>
                      <w:r>
                        <w:rPr>
                          <w:i/>
                          <w:color w:val="000000"/>
                          <w:szCs w:val="24"/>
                          <w:vertAlign w:val="subscript"/>
                        </w:rPr>
                        <w:t>hwSK,x,y</w:t>
                      </w:r>
                      <w:r>
                        <w:rPr>
                          <w:color w:val="000000"/>
                          <w:szCs w:val="24"/>
                        </w:rPr>
                        <w:t>– atitinkamoje</w:t>
                      </w:r>
                      <w:r>
                        <w:rPr>
                          <w:b/>
                          <w:color w:val="000000"/>
                          <w:szCs w:val="24"/>
                        </w:rPr>
                        <w:t xml:space="preserve"> </w:t>
                      </w:r>
                      <w:r>
                        <w:rPr>
                          <w:i/>
                          <w:color w:val="000000"/>
                          <w:szCs w:val="24"/>
                        </w:rPr>
                        <w:t>„x“</w:t>
                      </w:r>
                      <w:r>
                        <w:rPr>
                          <w:color w:val="000000"/>
                          <w:szCs w:val="24"/>
                        </w:rPr>
                        <w:t xml:space="preserve"> karšto vandens ruošimo sistemoje esančio </w:t>
                      </w:r>
                      <w:r>
                        <w:rPr>
                          <w:i/>
                          <w:color w:val="000000"/>
                          <w:szCs w:val="24"/>
                        </w:rPr>
                        <w:t>„y“</w:t>
                      </w:r>
                      <w:r>
                        <w:rPr>
                          <w:color w:val="000000"/>
                          <w:szCs w:val="24"/>
                        </w:rPr>
                        <w:t xml:space="preserve"> vandenį šildančio Saulės kolektoriaus vidinis plotas (m²) [3.34];</w:t>
                      </w:r>
                    </w:p>
                    <w:p>
                      <w:pPr>
                        <w:ind w:firstLine="567"/>
                        <w:jc w:val="both"/>
                        <w:rPr>
                          <w:color w:val="000000"/>
                          <w:szCs w:val="24"/>
                        </w:rPr>
                      </w:pPr>
                      <w:r>
                        <w:rPr>
                          <w:i/>
                          <w:color w:val="000000"/>
                          <w:szCs w:val="24"/>
                        </w:rPr>
                        <w:t xml:space="preserve">75 </w:t>
                      </w:r>
                      <w:r>
                        <w:rPr>
                          <w:color w:val="000000"/>
                          <w:szCs w:val="24"/>
                        </w:rPr>
                        <w:t>– projektinis karšto vandens talpos tūris, vienam m² Saulės kolektoriaus ploto (l) [3.25];</w:t>
                      </w:r>
                    </w:p>
                    <w:p>
                      <w:pPr>
                        <w:ind w:firstLine="567"/>
                        <w:jc w:val="both"/>
                        <w:rPr>
                          <w:color w:val="000000"/>
                          <w:szCs w:val="24"/>
                        </w:rPr>
                      </w:pPr>
                      <w:r>
                        <w:rPr>
                          <w:i/>
                          <w:color w:val="000000"/>
                          <w:szCs w:val="24"/>
                        </w:rPr>
                        <w:t>V</w:t>
                      </w:r>
                      <w:r>
                        <w:rPr>
                          <w:i/>
                          <w:color w:val="000000"/>
                          <w:szCs w:val="24"/>
                          <w:vertAlign w:val="subscript"/>
                        </w:rPr>
                        <w:t>hwSW,x</w:t>
                      </w:r>
                      <w:r>
                        <w:rPr>
                          <w:color w:val="000000"/>
                          <w:szCs w:val="24"/>
                        </w:rPr>
                        <w:t xml:space="preserve">– suminis karšto vandens talpų tūris, prie kurių prijungti visi atitinkamos </w:t>
                      </w:r>
                      <w:r>
                        <w:rPr>
                          <w:i/>
                          <w:color w:val="000000"/>
                          <w:szCs w:val="24"/>
                        </w:rPr>
                        <w:t>„x“</w:t>
                      </w:r>
                      <w:r>
                        <w:rPr>
                          <w:color w:val="000000"/>
                          <w:szCs w:val="24"/>
                        </w:rPr>
                        <w:t xml:space="preserve"> karšto vandens ruošimo sistemos vandenį šildantys Saulės kolektoriai(l);</w:t>
                      </w:r>
                    </w:p>
                    <w:p>
                      <w:pPr>
                        <w:ind w:firstLine="567"/>
                        <w:jc w:val="both"/>
                        <w:rPr>
                          <w:color w:val="000000"/>
                          <w:szCs w:val="24"/>
                        </w:rPr>
                      </w:pPr>
                      <w:r>
                        <w:rPr>
                          <w:i/>
                          <w:color w:val="000000"/>
                          <w:szCs w:val="24"/>
                        </w:rPr>
                        <w:t>a</w:t>
                      </w:r>
                      <w:r>
                        <w:rPr>
                          <w:i/>
                          <w:color w:val="000000"/>
                          <w:szCs w:val="24"/>
                          <w:vertAlign w:val="subscript"/>
                        </w:rPr>
                        <w:t>1,x,y</w:t>
                      </w:r>
                      <w:r>
                        <w:rPr>
                          <w:color w:val="000000"/>
                          <w:szCs w:val="24"/>
                        </w:rPr>
                        <w:t xml:space="preserve"> –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vandenį šildančio Saulės kolektoriaus šilumos nuostolių koeficientas (W/(m²·K)). Imamas iš 2.38 lentelės;</w:t>
                      </w:r>
                    </w:p>
                    <w:p>
                      <w:pPr>
                        <w:ind w:firstLine="567"/>
                        <w:jc w:val="both"/>
                        <w:rPr>
                          <w:color w:val="000000"/>
                          <w:szCs w:val="24"/>
                        </w:rPr>
                      </w:pPr>
                      <w:r>
                        <w:rPr>
                          <w:i/>
                          <w:color w:val="000000"/>
                          <w:szCs w:val="24"/>
                        </w:rPr>
                        <w:t>η</w:t>
                      </w:r>
                      <w:r>
                        <w:rPr>
                          <w:i/>
                          <w:color w:val="000000"/>
                          <w:szCs w:val="24"/>
                          <w:vertAlign w:val="subscript"/>
                        </w:rPr>
                        <w:t xml:space="preserve">loop </w:t>
                      </w:r>
                      <w:r>
                        <w:rPr>
                          <w:i/>
                          <w:color w:val="000000"/>
                          <w:szCs w:val="24"/>
                        </w:rPr>
                        <w:t xml:space="preserve">– </w:t>
                      </w:r>
                      <w:r>
                        <w:rPr>
                          <w:color w:val="000000"/>
                          <w:szCs w:val="24"/>
                        </w:rPr>
                        <w:t xml:space="preserve">Saulės kolektoriaus kontūro efektyvumo faktorius [3.25]. Imama </w:t>
                      </w:r>
                      <w:r>
                        <w:rPr>
                          <w:i/>
                          <w:color w:val="000000"/>
                          <w:szCs w:val="24"/>
                        </w:rPr>
                        <w:t>η</w:t>
                      </w:r>
                      <w:r>
                        <w:rPr>
                          <w:i/>
                          <w:color w:val="000000"/>
                          <w:szCs w:val="24"/>
                          <w:vertAlign w:val="subscript"/>
                        </w:rPr>
                        <w:t xml:space="preserve">loop </w:t>
                      </w:r>
                      <w:r>
                        <w:rPr>
                          <w:color w:val="000000"/>
                          <w:szCs w:val="24"/>
                        </w:rPr>
                        <w:t>=0,9.</w:t>
                      </w:r>
                    </w:p>
                    <w:p>
                      <w:pPr>
                        <w:jc w:val="center"/>
                        <w:rPr>
                          <w:b/>
                          <w:szCs w:val="24"/>
                        </w:rPr>
                      </w:pPr>
                    </w:p>
                    <w:p>
                      <w:pPr>
                        <w:jc w:val="center"/>
                      </w:pPr>
                      <w:r>
                        <w:rPr>
                          <w:szCs w:val="24"/>
                        </w:rPr>
                        <w:t>Atitinkamos rūšies</w:t>
                      </w:r>
                      <w:r>
                        <w:rPr>
                          <w:b/>
                          <w:szCs w:val="24"/>
                        </w:rPr>
                        <w:t xml:space="preserve"> </w:t>
                      </w:r>
                      <w:r>
                        <w:rPr>
                          <w:szCs w:val="24"/>
                        </w:rPr>
                        <w:t xml:space="preserve">Saulės kolektorių šilumos nuostolių koeficientų </w:t>
                      </w:r>
                      <w:r>
                        <w:rPr>
                          <w:i/>
                          <w:szCs w:val="24"/>
                        </w:rPr>
                        <w:t>a</w:t>
                      </w:r>
                      <w:r>
                        <w:rPr>
                          <w:i/>
                          <w:szCs w:val="24"/>
                          <w:vertAlign w:val="subscript"/>
                        </w:rPr>
                        <w:t xml:space="preserve">1 </w:t>
                      </w:r>
                      <w:r>
                        <w:rPr>
                          <w:szCs w:val="24"/>
                        </w:rPr>
                        <w:t>(W/(m²·K))vertės</w:t>
                      </w:r>
                    </w:p>
                    <w:p>
                      <w:pPr>
                        <w:ind w:left="720"/>
                        <w:jc w:val="right"/>
                        <w:rPr>
                          <w:szCs w:val="24"/>
                        </w:rPr>
                      </w:pPr>
                      <w:r>
                        <w:rPr>
                          <w:szCs w:val="24"/>
                        </w:rPr>
                        <w:t>2.38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5930"/>
                        <w:gridCol w:w="3140"/>
                      </w:tblGrid>
                      <w:tr>
                        <w:tc>
                          <w:tcPr>
                            <w:tcW w:w="295"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Eil. Nr.</w:t>
                            </w:r>
                          </w:p>
                        </w:tc>
                        <w:tc>
                          <w:tcPr>
                            <w:tcW w:w="307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Saulės kolektoriaus apibūdinimas</w:t>
                            </w:r>
                          </w:p>
                        </w:tc>
                        <w:tc>
                          <w:tcPr>
                            <w:tcW w:w="163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i/>
                                <w:szCs w:val="24"/>
                              </w:rPr>
                            </w:pPr>
                            <w:r>
                              <w:rPr>
                                <w:szCs w:val="24"/>
                              </w:rPr>
                              <w:t xml:space="preserve">Saulės kolektoriaus šilumos nuostolių koeficientas </w:t>
                            </w:r>
                            <w:r>
                              <w:rPr>
                                <w:i/>
                                <w:szCs w:val="24"/>
                              </w:rPr>
                              <w:t>a</w:t>
                            </w:r>
                            <w:r>
                              <w:rPr>
                                <w:i/>
                                <w:szCs w:val="24"/>
                                <w:vertAlign w:val="subscript"/>
                              </w:rPr>
                              <w:t>1</w:t>
                            </w:r>
                            <w:r>
                              <w:rPr>
                                <w:i/>
                                <w:szCs w:val="24"/>
                              </w:rPr>
                              <w:t>,</w:t>
                            </w:r>
                          </w:p>
                          <w:p>
                            <w:pPr>
                              <w:spacing w:line="276" w:lineRule="auto"/>
                              <w:jc w:val="center"/>
                              <w:rPr>
                                <w:rFonts w:eastAsia="Calibri"/>
                                <w:szCs w:val="24"/>
                              </w:rPr>
                            </w:pPr>
                            <w:r>
                              <w:rPr>
                                <w:szCs w:val="24"/>
                              </w:rPr>
                              <w:t>W/(m²·K)</w:t>
                            </w:r>
                          </w:p>
                        </w:tc>
                      </w:tr>
                      <w:tr>
                        <w:tc>
                          <w:tcPr>
                            <w:tcW w:w="295"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1.</w:t>
                            </w:r>
                          </w:p>
                        </w:tc>
                        <w:tc>
                          <w:tcPr>
                            <w:tcW w:w="307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Vamzdinis vakuuminis kolektorius</w:t>
                            </w:r>
                          </w:p>
                        </w:tc>
                        <w:tc>
                          <w:tcPr>
                            <w:tcW w:w="163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1,8</w:t>
                            </w:r>
                          </w:p>
                        </w:tc>
                      </w:tr>
                      <w:tr>
                        <w:tc>
                          <w:tcPr>
                            <w:tcW w:w="295"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2.</w:t>
                            </w:r>
                          </w:p>
                        </w:tc>
                        <w:tc>
                          <w:tcPr>
                            <w:tcW w:w="307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Stiklu dengtas plokščiasis kolektorius</w:t>
                            </w:r>
                          </w:p>
                        </w:tc>
                        <w:tc>
                          <w:tcPr>
                            <w:tcW w:w="163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3,5</w:t>
                            </w:r>
                          </w:p>
                        </w:tc>
                      </w:tr>
                      <w:tr>
                        <w:tc>
                          <w:tcPr>
                            <w:tcW w:w="295"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3.</w:t>
                            </w:r>
                          </w:p>
                        </w:tc>
                        <w:tc>
                          <w:tcPr>
                            <w:tcW w:w="307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Stiklu nedengtas plokščiasis kolektorius</w:t>
                            </w:r>
                          </w:p>
                        </w:tc>
                        <w:tc>
                          <w:tcPr>
                            <w:tcW w:w="163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15</w:t>
                            </w:r>
                          </w:p>
                        </w:tc>
                      </w:tr>
                    </w:tbl>
                    <w:p/>
                  </w:sdtContent>
                </w:sdt>
                <w:sdt>
                  <w:sdtPr>
                    <w:alias w:val="2 pr. 51.5 pp."/>
                    <w:tag w:val="part_2682897b4c6946b8a07650148c9ec837"/>
                    <w:lock w:val="sdtLocked"/>
                    <w:richText/>
                  </w:sdtPr>
                  <w:sdtContent>
                    <w:p>
                      <w:pPr>
                        <w:ind w:firstLine="600"/>
                        <w:jc w:val="both"/>
                        <w:rPr>
                          <w:color w:val="000000"/>
                          <w:szCs w:val="24"/>
                        </w:rPr>
                      </w:pPr>
                      <w:sdt>
                        <w:sdtPr>
                          <w:alias w:val="Numeris"/>
                          <w:tag w:val="nr_2682897b4c6946b8a07650148c9ec837"/>
                          <w:lock w:val="sdtLocked"/>
                          <w:richText/>
                        </w:sdtPr>
                        <w:sdtContent>
                          <w:r>
                            <w:rPr>
                              <w:color w:val="000000"/>
                              <w:szCs w:val="24"/>
                            </w:rPr>
                            <w:t>51.5</w:t>
                          </w:r>
                        </w:sdtContent>
                      </w:sdt>
                      <w:r>
                        <w:rPr>
                          <w:color w:val="000000"/>
                          <w:szCs w:val="24"/>
                        </w:rPr>
                        <w:t xml:space="preserve">.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vandenį šildančio Saulės kolektoriaus mėnesinis </w:t>
                      </w:r>
                      <w:r>
                        <w:rPr>
                          <w:i/>
                          <w:color w:val="000000"/>
                          <w:szCs w:val="24"/>
                        </w:rPr>
                        <w:t>Y</w:t>
                      </w:r>
                      <w:r>
                        <w:rPr>
                          <w:color w:val="000000"/>
                          <w:szCs w:val="24"/>
                        </w:rPr>
                        <w:t xml:space="preserve"> faktorius </w:t>
                      </w:r>
                      <w:r>
                        <w:rPr>
                          <w:i/>
                          <w:color w:val="000000"/>
                          <w:szCs w:val="24"/>
                        </w:rPr>
                        <w:t>Y</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20"/>
                              </w:rPr>
                            </w:pPr>
                          </w:p>
                          <w:p>
                            <w:pPr>
                              <w:spacing w:line="276" w:lineRule="auto"/>
                              <w:jc w:val="center"/>
                              <w:rPr>
                                <w:rFonts w:eastAsia="Calibri"/>
                                <w:color w:val="000000"/>
                                <w:szCs w:val="24"/>
                              </w:rPr>
                            </w:pPr>
                            <w:r>
                              <w:rPr>
                                <w:color w:val="000000"/>
                                <w:szCs w:val="24"/>
                              </w:rPr>
                              <w:object w:dxaOrig="5850" w:dyaOrig="730">
                                <v:shape id="_x0000_i1244" type="#_x0000_t75" style="width:292.85pt;height:37.2pt" o:ole="">
                                  <v:imagedata r:id="rId723" o:title=""/>
                                </v:shape>
                                <o:OLEObject Type="Embed" ProgID="Equation.3" ShapeID="_x0000_i1244" DrawAspect="Content" ObjectID="_0000000001" r:id="rId724"/>
                              </w:object>
                              <w:t>;</w:t>
                            </w:r>
                          </w:p>
                        </w:tc>
                        <w:tc>
                          <w:tcPr>
                            <w:tcW w:w="1062" w:type="dxa"/>
                            <w:vAlign w:val="center"/>
                            <w:hideMark/>
                          </w:tcPr>
                          <w:p>
                            <w:pPr>
                              <w:spacing w:line="276" w:lineRule="auto"/>
                              <w:jc w:val="right"/>
                              <w:rPr>
                                <w:rFonts w:eastAsia="Calibri"/>
                                <w:color w:val="000000"/>
                                <w:szCs w:val="24"/>
                              </w:rPr>
                            </w:pPr>
                            <w:r>
                              <w:rPr>
                                <w:color w:val="000000"/>
                                <w:szCs w:val="24"/>
                              </w:rPr>
                              <w:t>(2.188)</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IAM</w:t>
                      </w:r>
                      <w:r>
                        <w:rPr>
                          <w:i/>
                          <w:color w:val="000000"/>
                          <w:szCs w:val="24"/>
                          <w:vertAlign w:val="subscript"/>
                        </w:rPr>
                        <w:t>x,y</w:t>
                      </w:r>
                      <w:r>
                        <w:rPr>
                          <w:color w:val="000000"/>
                          <w:szCs w:val="24"/>
                        </w:rPr>
                        <w:t xml:space="preserve"> – atitinkamoje </w:t>
                      </w:r>
                      <w:r>
                        <w:rPr>
                          <w:i/>
                          <w:color w:val="000000"/>
                          <w:szCs w:val="24"/>
                        </w:rPr>
                        <w:t>„x“</w:t>
                      </w:r>
                      <w:r>
                        <w:rPr>
                          <w:color w:val="000000"/>
                          <w:szCs w:val="24"/>
                        </w:rPr>
                        <w:t xml:space="preserve"> karšto vandens ruošimo sistemoje esančio </w:t>
                      </w:r>
                      <w:r>
                        <w:rPr>
                          <w:i/>
                          <w:color w:val="000000"/>
                          <w:szCs w:val="24"/>
                        </w:rPr>
                        <w:t>„y“</w:t>
                      </w:r>
                      <w:r>
                        <w:rPr>
                          <w:color w:val="000000"/>
                          <w:szCs w:val="24"/>
                        </w:rPr>
                        <w:t xml:space="preserve"> vandenį šildančio Saulės kolektoriaus Saulės kritimo kampo pataisos koeficientas. Imamas iš 2.39 lentelės [3.25]. </w:t>
                      </w:r>
                    </w:p>
                    <w:p>
                      <w:pPr>
                        <w:ind w:firstLine="567"/>
                        <w:jc w:val="both"/>
                        <w:rPr>
                          <w:color w:val="000000"/>
                          <w:szCs w:val="24"/>
                        </w:rPr>
                      </w:pPr>
                      <w:r>
                        <w:rPr>
                          <w:i/>
                          <w:color w:val="000000"/>
                          <w:szCs w:val="24"/>
                        </w:rPr>
                        <w:t>I</w:t>
                      </w:r>
                      <w:r>
                        <w:rPr>
                          <w:i/>
                          <w:color w:val="000000"/>
                          <w:szCs w:val="24"/>
                          <w:vertAlign w:val="subscript"/>
                        </w:rPr>
                        <w:t>sol,m,x,y</w:t>
                      </w:r>
                      <w:r>
                        <w:rPr>
                          <w:color w:val="000000"/>
                          <w:szCs w:val="24"/>
                        </w:rPr>
                        <w:t xml:space="preserve"> – mėnesinis Saulės bendrosios spinduliuotės srauto tankis į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vandenį šildančio Saulės kolektoriaus paviršių (W/m²). Apskaičiuojamas pagal atitinkamo </w:t>
                      </w:r>
                      <w:r>
                        <w:rPr>
                          <w:i/>
                          <w:color w:val="000000"/>
                          <w:szCs w:val="24"/>
                        </w:rPr>
                        <w:t>„y“</w:t>
                      </w:r>
                      <w:r>
                        <w:rPr>
                          <w:color w:val="000000"/>
                          <w:szCs w:val="24"/>
                        </w:rPr>
                        <w:t xml:space="preserve"> kolektoriaus orientaciją pasaulio šalių atžvilgiu ir kolektoriaus pasvirimo kampą pagal 2.33–2.35 lentelėse pateiktus duomenis.</w:t>
                      </w:r>
                    </w:p>
                    <w:p>
                      <w:pPr>
                        <w:jc w:val="center"/>
                        <w:rPr>
                          <w:b/>
                          <w:color w:val="000000"/>
                          <w:szCs w:val="24"/>
                        </w:rPr>
                      </w:pPr>
                    </w:p>
                    <w:p>
                      <w:pPr>
                        <w:jc w:val="center"/>
                        <w:rPr>
                          <w:szCs w:val="24"/>
                        </w:rPr>
                      </w:pPr>
                      <w:r>
                        <w:rPr>
                          <w:szCs w:val="24"/>
                        </w:rPr>
                        <w:t>Atitinkamos rūšies</w:t>
                      </w:r>
                      <w:r>
                        <w:rPr>
                          <w:b/>
                          <w:szCs w:val="24"/>
                        </w:rPr>
                        <w:t xml:space="preserve"> </w:t>
                      </w:r>
                      <w:r>
                        <w:rPr>
                          <w:szCs w:val="24"/>
                        </w:rPr>
                        <w:t>Saulės kolektorių Saulės kritimo kampo pataisos koeficiento IAM (vnt. dalys) vertės</w:t>
                      </w:r>
                    </w:p>
                    <w:p>
                      <w:pPr>
                        <w:ind w:left="720"/>
                        <w:jc w:val="right"/>
                        <w:rPr>
                          <w:szCs w:val="24"/>
                        </w:rPr>
                      </w:pPr>
                      <w:r>
                        <w:rPr>
                          <w:szCs w:val="24"/>
                        </w:rPr>
                        <w:t>2.39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5972"/>
                        <w:gridCol w:w="3111"/>
                      </w:tblGrid>
                      <w:tr>
                        <w:tc>
                          <w:tcPr>
                            <w:tcW w:w="232"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Eil. Nr.</w:t>
                            </w:r>
                          </w:p>
                        </w:tc>
                        <w:tc>
                          <w:tcPr>
                            <w:tcW w:w="312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Saulės kolektoriaus apibūdinimas</w:t>
                            </w:r>
                          </w:p>
                        </w:tc>
                        <w:tc>
                          <w:tcPr>
                            <w:tcW w:w="164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 xml:space="preserve">Saulės kritimo kampo pataisos koeficientas, vnt. dalys </w:t>
                            </w:r>
                          </w:p>
                        </w:tc>
                      </w:tr>
                      <w:tr>
                        <w:tc>
                          <w:tcPr>
                            <w:tcW w:w="232"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1.</w:t>
                            </w:r>
                          </w:p>
                        </w:tc>
                        <w:tc>
                          <w:tcPr>
                            <w:tcW w:w="312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 xml:space="preserve">Vamzdinis vakuuminis kolektorius su plokščiu šilumos sugėrikliu </w:t>
                            </w:r>
                          </w:p>
                        </w:tc>
                        <w:tc>
                          <w:tcPr>
                            <w:tcW w:w="164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0,97</w:t>
                            </w:r>
                          </w:p>
                        </w:tc>
                      </w:tr>
                      <w:tr>
                        <w:tc>
                          <w:tcPr>
                            <w:tcW w:w="232"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2.</w:t>
                            </w:r>
                          </w:p>
                        </w:tc>
                        <w:tc>
                          <w:tcPr>
                            <w:tcW w:w="312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Vamzdinis vakuuminis kolektorius su žiediniu šilumos sugėrikliu</w:t>
                            </w:r>
                          </w:p>
                        </w:tc>
                        <w:tc>
                          <w:tcPr>
                            <w:tcW w:w="164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w:t>
                            </w:r>
                          </w:p>
                        </w:tc>
                      </w:tr>
                      <w:tr>
                        <w:tc>
                          <w:tcPr>
                            <w:tcW w:w="232"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3.</w:t>
                            </w:r>
                          </w:p>
                        </w:tc>
                        <w:tc>
                          <w:tcPr>
                            <w:tcW w:w="312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Stiklu dengtas plokščiasis kolektorius</w:t>
                            </w:r>
                          </w:p>
                        </w:tc>
                        <w:tc>
                          <w:tcPr>
                            <w:tcW w:w="164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0,94</w:t>
                            </w:r>
                          </w:p>
                        </w:tc>
                      </w:tr>
                      <w:tr>
                        <w:tc>
                          <w:tcPr>
                            <w:tcW w:w="232" w:type="pc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rPr>
                            </w:pPr>
                            <w:r>
                              <w:rPr>
                                <w:szCs w:val="24"/>
                              </w:rPr>
                              <w:t>4.</w:t>
                            </w:r>
                          </w:p>
                        </w:tc>
                        <w:tc>
                          <w:tcPr>
                            <w:tcW w:w="3126"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Stiklu nedengtas plokščiasis kolektorius</w:t>
                            </w:r>
                          </w:p>
                        </w:tc>
                        <w:tc>
                          <w:tcPr>
                            <w:tcW w:w="1642"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w:t>
                            </w:r>
                          </w:p>
                        </w:tc>
                      </w:tr>
                    </w:tbl>
                    <w:p/>
                  </w:sdtContent>
                </w:sdt>
                <w:sdt>
                  <w:sdtPr>
                    <w:alias w:val="2 pr. 51.6 pp."/>
                    <w:tag w:val="part_4dd2b5c2b5434075b9ccec495c5c724f"/>
                    <w:lock w:val="sdtLocked"/>
                    <w:richText/>
                  </w:sdtPr>
                  <w:sdtContent>
                    <w:p>
                      <w:pPr>
                        <w:ind w:firstLine="600"/>
                        <w:jc w:val="both"/>
                        <w:rPr>
                          <w:color w:val="000000"/>
                          <w:szCs w:val="24"/>
                        </w:rPr>
                      </w:pPr>
                      <w:sdt>
                        <w:sdtPr>
                          <w:alias w:val="Numeris"/>
                          <w:tag w:val="nr_4dd2b5c2b5434075b9ccec495c5c724f"/>
                          <w:lock w:val="sdtLocked"/>
                          <w:richText/>
                        </w:sdtPr>
                        <w:sdtContent>
                          <w:r>
                            <w:rPr>
                              <w:color w:val="000000"/>
                              <w:szCs w:val="24"/>
                            </w:rPr>
                            <w:t>51.6</w:t>
                          </w:r>
                        </w:sdtContent>
                      </w:sdt>
                      <w:r>
                        <w:rPr>
                          <w:color w:val="000000"/>
                          <w:szCs w:val="24"/>
                        </w:rPr>
                        <w:t xml:space="preserve">. kiekvieno mėnesio </w:t>
                      </w:r>
                      <w:r>
                        <w:rPr>
                          <w:i/>
                          <w:color w:val="000000"/>
                          <w:szCs w:val="24"/>
                        </w:rPr>
                        <w:t xml:space="preserve">„m“ </w:t>
                      </w:r>
                      <w:r>
                        <w:rPr>
                          <w:color w:val="000000"/>
                          <w:szCs w:val="24"/>
                        </w:rPr>
                        <w:t xml:space="preserve">šilumos nuostoliai karšto vandens talpose </w:t>
                      </w:r>
                      <w:r>
                        <w:rPr>
                          <w:i/>
                          <w:szCs w:val="24"/>
                        </w:rPr>
                        <w:t>Q</w:t>
                      </w:r>
                      <w:r>
                        <w:rPr>
                          <w:i/>
                          <w:szCs w:val="24"/>
                          <w:vertAlign w:val="subscript"/>
                        </w:rPr>
                        <w:t xml:space="preserve">hw.hwSK.SW,m,x </w:t>
                      </w:r>
                      <w:r>
                        <w:rPr>
                          <w:color w:val="000000"/>
                          <w:szCs w:val="24"/>
                        </w:rPr>
                        <w:t xml:space="preserve">(kWh/(m²·mėn.)), esančiose atitinkamoje </w:t>
                      </w:r>
                      <w:r>
                        <w:rPr>
                          <w:i/>
                          <w:color w:val="000000"/>
                          <w:szCs w:val="24"/>
                        </w:rPr>
                        <w:t>„x“</w:t>
                      </w:r>
                      <w:r>
                        <w:rPr>
                          <w:color w:val="000000"/>
                          <w:szCs w:val="24"/>
                        </w:rPr>
                        <w:t xml:space="preserve"> karšto vandens ruošimo sistemoje su vandenį šildančiais Saulės kolektoriais, apskaičiuojami taip: </w:t>
                      </w:r>
                    </w:p>
                    <w:p>
                      <w:pPr>
                        <w:ind w:firstLine="600"/>
                        <w:jc w:val="both"/>
                        <w:rPr>
                          <w:color w:val="000000"/>
                          <w:szCs w:val="24"/>
                        </w:rPr>
                      </w:pPr>
                    </w:p>
                    <w:tbl>
                      <w:tblPr>
                        <w:tblW w:w="5000" w:type="pct"/>
                        <w:tblLook w:val="01E0" w:firstRow="1" w:lastRow="1" w:firstColumn="1" w:lastColumn="1" w:noHBand="0" w:noVBand="0"/>
                      </w:tblPr>
                      <w:tblGrid>
                        <w:gridCol w:w="8553"/>
                        <w:gridCol w:w="1301"/>
                      </w:tblGrid>
                      <w:tr>
                        <w:tc>
                          <w:tcPr>
                            <w:tcW w:w="4340" w:type="pct"/>
                            <w:vAlign w:val="center"/>
                            <w:hideMark/>
                          </w:tcPr>
                          <w:p>
                            <w:pPr>
                              <w:spacing w:line="360" w:lineRule="auto"/>
                              <w:ind w:left="850" w:hanging="850"/>
                              <w:jc w:val="center"/>
                              <w:rPr>
                                <w:rFonts w:eastAsia="Calibri"/>
                                <w:bCs/>
                                <w:color w:val="000000"/>
                                <w:szCs w:val="24"/>
                              </w:rPr>
                            </w:pPr>
                            <w:r>
                              <w:rPr>
                                <w:szCs w:val="24"/>
                                <w:lang w:eastAsia="lt-LT"/>
                              </w:rPr>
                              <w:object w:dxaOrig="6110" w:dyaOrig="730">
                                <v:shape id="_x0000_i1245" type="#_x0000_t75" style="width:304.2pt;height:37.2pt" o:ole="">
                                  <v:imagedata r:id="rId725" o:title=""/>
                                </v:shape>
                                <o:OLEObject Type="Embed" ProgID="Equation.3" ShapeID="_x0000_i1245" DrawAspect="Content" ObjectID="_0000000001" r:id="rId726"/>
                              </w:object>
                            </w:r>
                            <w:r>
                              <w:rPr>
                                <w:szCs w:val="24"/>
                              </w:rPr>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(2.189)</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θ</w:t>
                      </w:r>
                      <w:r>
                        <w:rPr>
                          <w:i/>
                          <w:color w:val="000000"/>
                          <w:szCs w:val="24"/>
                          <w:vertAlign w:val="subscript"/>
                        </w:rPr>
                        <w:t xml:space="preserve">i,x,y </w:t>
                      </w:r>
                      <w:r>
                        <w:rPr>
                          <w:color w:val="000000"/>
                          <w:szCs w:val="24"/>
                        </w:rPr>
                        <w:t xml:space="preserve">– patalpų, kuriose įrengta atitinkama </w:t>
                      </w:r>
                      <w:r>
                        <w:rPr>
                          <w:i/>
                          <w:color w:val="000000"/>
                          <w:szCs w:val="24"/>
                        </w:rPr>
                        <w:t>„y“</w:t>
                      </w:r>
                      <w:r>
                        <w:rPr>
                          <w:color w:val="000000"/>
                          <w:szCs w:val="24"/>
                        </w:rPr>
                        <w:t xml:space="preserve"> karšto vandens talpa, temperatūra (°C). Jei talpa įrengta šildomose patalpose, </w:t>
                      </w:r>
                      <w:r>
                        <w:rPr>
                          <w:i/>
                          <w:color w:val="000000"/>
                          <w:szCs w:val="24"/>
                        </w:rPr>
                        <w:t>θ</w:t>
                      </w:r>
                      <w:r>
                        <w:rPr>
                          <w:i/>
                          <w:color w:val="000000"/>
                          <w:szCs w:val="24"/>
                          <w:vertAlign w:val="subscript"/>
                        </w:rPr>
                        <w:t>i,x,y</w:t>
                      </w:r>
                      <w:r>
                        <w:rPr>
                          <w:color w:val="000000"/>
                          <w:szCs w:val="24"/>
                        </w:rPr>
                        <w:t xml:space="preserve"> =</w:t>
                      </w:r>
                      <w:r>
                        <w:rPr>
                          <w:i/>
                          <w:color w:val="000000"/>
                          <w:szCs w:val="24"/>
                        </w:rPr>
                        <w:t xml:space="preserve"> θ</w:t>
                      </w:r>
                      <w:r>
                        <w:rPr>
                          <w:i/>
                          <w:color w:val="000000"/>
                          <w:szCs w:val="24"/>
                          <w:vertAlign w:val="subscript"/>
                        </w:rPr>
                        <w:t>iH</w:t>
                      </w:r>
                      <w:r>
                        <w:rPr>
                          <w:color w:val="000000"/>
                          <w:szCs w:val="24"/>
                        </w:rPr>
                        <w:t xml:space="preserve">, jei nešildomose patalpose, – </w:t>
                      </w:r>
                      <w:r>
                        <w:rPr>
                          <w:i/>
                          <w:color w:val="000000"/>
                          <w:szCs w:val="24"/>
                        </w:rPr>
                        <w:t>θ</w:t>
                      </w:r>
                      <w:r>
                        <w:rPr>
                          <w:i/>
                          <w:color w:val="000000"/>
                          <w:szCs w:val="24"/>
                          <w:vertAlign w:val="subscript"/>
                        </w:rPr>
                        <w:t>i,x,y</w:t>
                      </w:r>
                      <w:r>
                        <w:rPr>
                          <w:color w:val="000000"/>
                          <w:szCs w:val="24"/>
                        </w:rPr>
                        <w:t xml:space="preserve"> =13 °C [3.23];</w:t>
                      </w:r>
                    </w:p>
                    <w:p>
                      <w:pPr>
                        <w:ind w:firstLine="570"/>
                        <w:jc w:val="both"/>
                        <w:rPr>
                          <w:color w:val="000000"/>
                          <w:szCs w:val="24"/>
                        </w:rPr>
                      </w:pPr>
                      <w:r>
                        <w:rPr>
                          <w:i/>
                          <w:color w:val="000000"/>
                          <w:szCs w:val="24"/>
                        </w:rPr>
                        <w:t>K</w:t>
                      </w:r>
                      <w:r>
                        <w:rPr>
                          <w:i/>
                          <w:color w:val="000000"/>
                          <w:szCs w:val="24"/>
                          <w:vertAlign w:val="subscript"/>
                        </w:rPr>
                        <w:t>SW50,x,y</w:t>
                      </w:r>
                      <w:r>
                        <w:rPr>
                          <w:color w:val="000000"/>
                          <w:szCs w:val="24"/>
                        </w:rPr>
                        <w:t xml:space="preserve"> – šilumos nuostoliai per parą atitinkamoje</w:t>
                      </w:r>
                      <w:r>
                        <w:rPr>
                          <w:b/>
                          <w:color w:val="000000"/>
                          <w:szCs w:val="24"/>
                        </w:rPr>
                        <w:t xml:space="preserve"> </w:t>
                      </w:r>
                      <w:r>
                        <w:rPr>
                          <w:i/>
                          <w:color w:val="000000"/>
                          <w:szCs w:val="24"/>
                        </w:rPr>
                        <w:t>„y“</w:t>
                      </w:r>
                      <w:r>
                        <w:rPr>
                          <w:color w:val="000000"/>
                          <w:szCs w:val="24"/>
                        </w:rPr>
                        <w:t xml:space="preserve"> karšto vandens talpoje, esant vandens temperatūrai 50 °C ir aplinkos temperatūrai </w:t>
                      </w:r>
                      <w:r>
                        <w:rPr>
                          <w:i/>
                          <w:color w:val="000000"/>
                          <w:szCs w:val="24"/>
                        </w:rPr>
                        <w:t>θ</w:t>
                      </w:r>
                      <w:r>
                        <w:rPr>
                          <w:i/>
                          <w:color w:val="000000"/>
                          <w:szCs w:val="24"/>
                          <w:vertAlign w:val="subscript"/>
                        </w:rPr>
                        <w:t>i,x,y</w:t>
                      </w:r>
                      <w:r>
                        <w:rPr>
                          <w:color w:val="000000"/>
                          <w:szCs w:val="24"/>
                        </w:rPr>
                        <w:t xml:space="preserve"> (kWh/para). Apskaičiuojami pagal 42.2 ir 42.3 papunkčių reikalavimus.</w:t>
                      </w:r>
                    </w:p>
                  </w:sdtContent>
                </w:sdt>
                <w:sdt>
                  <w:sdtPr>
                    <w:alias w:val="2 pr. 51.7 pp."/>
                    <w:tag w:val="part_2b87c2388ebc40ddbb3c3b7239a2c750"/>
                    <w:lock w:val="sdtLocked"/>
                    <w:richText/>
                  </w:sdtPr>
                  <w:sdtContent>
                    <w:p>
                      <w:pPr>
                        <w:ind w:firstLine="570"/>
                        <w:jc w:val="both"/>
                        <w:rPr>
                          <w:color w:val="000000"/>
                          <w:szCs w:val="24"/>
                        </w:rPr>
                      </w:pPr>
                      <w:sdt>
                        <w:sdtPr>
                          <w:alias w:val="Numeris"/>
                          <w:tag w:val="nr_2b87c2388ebc40ddbb3c3b7239a2c750"/>
                          <w:lock w:val="sdtLocked"/>
                          <w:richText/>
                        </w:sdtPr>
                        <w:sdtContent>
                          <w:r>
                            <w:rPr>
                              <w:color w:val="000000"/>
                              <w:szCs w:val="24"/>
                            </w:rPr>
                            <w:t>51.7</w:t>
                          </w:r>
                        </w:sdtContent>
                      </w:sdt>
                      <w:r>
                        <w:rPr>
                          <w:color w:val="000000"/>
                          <w:szCs w:val="24"/>
                        </w:rPr>
                        <w:t>. mėnesinės elektros energijos sąnaudos atitinkamoje</w:t>
                      </w:r>
                      <w:r>
                        <w:rPr>
                          <w:b/>
                          <w:color w:val="000000"/>
                          <w:szCs w:val="24"/>
                        </w:rPr>
                        <w:t xml:space="preserve"> </w:t>
                      </w:r>
                      <w:r>
                        <w:rPr>
                          <w:i/>
                          <w:color w:val="000000"/>
                          <w:szCs w:val="24"/>
                        </w:rPr>
                        <w:t xml:space="preserve">„x“ </w:t>
                      </w:r>
                      <w:r>
                        <w:rPr>
                          <w:color w:val="000000"/>
                          <w:szCs w:val="24"/>
                        </w:rPr>
                        <w:t xml:space="preserve">karšto vandens ruošimo sistemoje su vandenį šildančiais Saulės kolektoriais </w:t>
                      </w:r>
                      <w:r>
                        <w:rPr>
                          <w:i/>
                          <w:color w:val="000000"/>
                          <w:szCs w:val="24"/>
                        </w:rPr>
                        <w:t>Q</w:t>
                      </w:r>
                      <w:r>
                        <w:rPr>
                          <w:i/>
                          <w:color w:val="000000"/>
                          <w:szCs w:val="24"/>
                          <w:vertAlign w:val="subscript"/>
                        </w:rPr>
                        <w:t xml:space="preserve">E.hw.hwSK,m,x </w:t>
                      </w:r>
                      <w:r>
                        <w:rPr>
                          <w:color w:val="000000"/>
                          <w:szCs w:val="24"/>
                        </w:rPr>
                        <w:t>(kWh/(m²·mėn.)) apskaičiuojamos taip [3.25]:</w:t>
                      </w:r>
                    </w:p>
                    <w:tbl>
                      <w:tblPr>
                        <w:tblW w:w="5000" w:type="pct"/>
                        <w:tblLook w:val="01E0" w:firstRow="1" w:lastRow="1" w:firstColumn="1" w:lastColumn="1" w:noHBand="0" w:noVBand="0"/>
                      </w:tblPr>
                      <w:tblGrid>
                        <w:gridCol w:w="8553"/>
                        <w:gridCol w:w="1301"/>
                      </w:tblGrid>
                      <w:tr>
                        <w:tc>
                          <w:tcPr>
                            <w:tcW w:w="4340" w:type="pct"/>
                            <w:vAlign w:val="center"/>
                            <w:hideMark/>
                          </w:tcPr>
                          <w:p>
                            <w:pPr>
                              <w:spacing w:line="360" w:lineRule="auto"/>
                              <w:ind w:left="850" w:hanging="850"/>
                              <w:jc w:val="center"/>
                              <w:rPr>
                                <w:rFonts w:eastAsia="Calibri"/>
                                <w:bCs/>
                                <w:color w:val="000000"/>
                                <w:szCs w:val="24"/>
                              </w:rPr>
                            </w:pPr>
                            <w:r>
                              <w:rPr>
                                <w:color w:val="000000"/>
                                <w:szCs w:val="24"/>
                              </w:rPr>
                              <w:object w:dxaOrig="5360" w:dyaOrig="710">
                                <v:shape id="_x0000_i1246" type="#_x0000_t75" style="width:267.8pt;height:35.6pt" o:ole="">
                                  <v:imagedata r:id="rId727" o:title=""/>
                                </v:shape>
                                <o:OLEObject Type="Embed" ProgID="Equation.3" ShapeID="_x0000_i1246" DrawAspect="Content" ObjectID="_0000000001" r:id="rId728"/>
                              </w:object>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(2.190)</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t</w:t>
                      </w:r>
                      <w:r>
                        <w:rPr>
                          <w:i/>
                          <w:color w:val="000000"/>
                          <w:szCs w:val="24"/>
                          <w:vertAlign w:val="subscript"/>
                        </w:rPr>
                        <w:t xml:space="preserve">cp.hw.hwSK,m,x </w:t>
                      </w:r>
                      <w:r>
                        <w:rPr>
                          <w:color w:val="000000"/>
                          <w:szCs w:val="24"/>
                        </w:rPr>
                        <w:t>– cirkuliacinių siurblių darbo laikas per atitinkamą</w:t>
                      </w:r>
                      <w:r>
                        <w:rPr>
                          <w:b/>
                          <w:color w:val="000000"/>
                          <w:szCs w:val="24"/>
                        </w:rPr>
                        <w:t xml:space="preserve"> </w:t>
                      </w:r>
                      <w:r>
                        <w:rPr>
                          <w:color w:val="000000"/>
                          <w:szCs w:val="24"/>
                        </w:rPr>
                        <w:t xml:space="preserve">mėnesį </w:t>
                      </w:r>
                      <w:r>
                        <w:rPr>
                          <w:i/>
                          <w:color w:val="000000"/>
                          <w:szCs w:val="24"/>
                        </w:rPr>
                        <w:t>„m“</w:t>
                      </w:r>
                      <w:r>
                        <w:rPr>
                          <w:color w:val="000000"/>
                          <w:szCs w:val="24"/>
                        </w:rPr>
                        <w:t xml:space="preserve"> atitinkamoje </w:t>
                      </w:r>
                      <w:r>
                        <w:rPr>
                          <w:i/>
                          <w:color w:val="000000"/>
                          <w:szCs w:val="24"/>
                        </w:rPr>
                        <w:t>„x“</w:t>
                      </w:r>
                      <w:r>
                        <w:rPr>
                          <w:color w:val="000000"/>
                          <w:szCs w:val="24"/>
                        </w:rPr>
                        <w:t xml:space="preserve"> karšto vandens ruošimo sistemoje su vandenį šildančiais Saulės kolektoriais (h). Apskaičiuojamas pagal (2.191) formulę [3.25]:</w:t>
                      </w:r>
                    </w:p>
                    <w:tbl>
                      <w:tblPr>
                        <w:tblW w:w="5000" w:type="pct"/>
                        <w:tblLook w:val="01E0" w:firstRow="1" w:lastRow="1" w:firstColumn="1" w:lastColumn="1" w:noHBand="0" w:noVBand="0"/>
                      </w:tblPr>
                      <w:tblGrid>
                        <w:gridCol w:w="8553"/>
                        <w:gridCol w:w="1301"/>
                      </w:tblGrid>
                      <w:tr>
                        <w:tc>
                          <w:tcPr>
                            <w:tcW w:w="4340" w:type="pct"/>
                            <w:vAlign w:val="center"/>
                            <w:hideMark/>
                          </w:tcPr>
                          <w:p>
                            <w:pPr>
                              <w:spacing w:line="360" w:lineRule="auto"/>
                              <w:ind w:left="850" w:hanging="850"/>
                              <w:jc w:val="center"/>
                              <w:rPr>
                                <w:rFonts w:eastAsia="Calibri"/>
                                <w:bCs/>
                                <w:color w:val="000000"/>
                                <w:szCs w:val="24"/>
                              </w:rPr>
                            </w:pPr>
                            <w:r>
                              <w:rPr>
                                <w:color w:val="000000"/>
                                <w:szCs w:val="24"/>
                              </w:rPr>
                              <w:object w:dxaOrig="5000" w:dyaOrig="1330">
                                <v:shape id="_x0000_i1247" type="#_x0000_t75" style="width:250.8pt;height:67.15pt" o:ole="">
                                  <v:imagedata r:id="rId729" o:title=""/>
                                </v:shape>
                                <o:OLEObject Type="Embed" ProgID="Equation.3" ShapeID="_x0000_i1247" DrawAspect="Content" ObjectID="_0000000001" r:id="rId730"/>
                              </w:object>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(2.191)</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t</w:t>
                      </w:r>
                      <w:r>
                        <w:rPr>
                          <w:i/>
                          <w:color w:val="000000"/>
                          <w:szCs w:val="24"/>
                          <w:vertAlign w:val="subscript"/>
                        </w:rPr>
                        <w:t xml:space="preserve">cp.hw.hwSK.an </w:t>
                      </w:r>
                      <w:r>
                        <w:rPr>
                          <w:color w:val="000000"/>
                          <w:szCs w:val="24"/>
                        </w:rPr>
                        <w:t xml:space="preserve">– cirkuliacinių siurblių darbo laikas per metus karšto vandens ruošimo sistemose su vandenį šildančiais Saulės kolektoriais, kai šie kolektoriai naudojami tik karštam vandeniui ruošti (h). Imama </w:t>
                      </w:r>
                      <w:r>
                        <w:rPr>
                          <w:i/>
                          <w:color w:val="000000"/>
                          <w:szCs w:val="24"/>
                        </w:rPr>
                        <w:t>t</w:t>
                      </w:r>
                      <w:r>
                        <w:rPr>
                          <w:i/>
                          <w:color w:val="000000"/>
                          <w:szCs w:val="24"/>
                          <w:vertAlign w:val="subscript"/>
                        </w:rPr>
                        <w:t>cp.hw.hwSK.an</w:t>
                      </w:r>
                      <w:r>
                        <w:rPr>
                          <w:color w:val="000000"/>
                          <w:szCs w:val="24"/>
                        </w:rPr>
                        <w:t xml:space="preserve"> =2000 h [3.25].</w:t>
                      </w:r>
                    </w:p>
                  </w:sdtContent>
                </w:sdt>
              </w:sdtContent>
            </w:sdt>
            <w:sdt>
              <w:sdtPr>
                <w:alias w:val="2 pr. 52 p."/>
                <w:tag w:val="part_abfce0aa08c24ec384bca2b12972ba40"/>
                <w:lock w:val="sdtLocked"/>
                <w:richText/>
              </w:sdtPr>
              <w:sdtContent>
                <w:p>
                  <w:pPr>
                    <w:ind w:firstLine="600"/>
                    <w:jc w:val="both"/>
                    <w:rPr>
                      <w:color w:val="000000"/>
                      <w:szCs w:val="24"/>
                    </w:rPr>
                  </w:pPr>
                  <w:sdt>
                    <w:sdtPr>
                      <w:alias w:val="Numeris"/>
                      <w:tag w:val="nr_abfce0aa08c24ec384bca2b12972ba40"/>
                      <w:lock w:val="sdtLocked"/>
                      <w:richText/>
                    </w:sdtPr>
                    <w:sdtContent>
                      <w:r>
                        <w:rPr>
                          <w:color w:val="000000"/>
                          <w:szCs w:val="24"/>
                        </w:rPr>
                        <w:t>52</w:t>
                      </w:r>
                    </w:sdtContent>
                  </w:sdt>
                  <w:r>
                    <w:rPr>
                      <w:color w:val="000000"/>
                      <w:szCs w:val="24"/>
                    </w:rPr>
                    <w:t>. Energijos iš vandenį šildančių Saulės kolektorių neatsinaujinančios pirminės energijos sąnaudos pastate, kai ši energija naudojama tik pastatui šildyti, apskaičiuojamos taip:</w:t>
                  </w:r>
                </w:p>
                <w:sdt>
                  <w:sdtPr>
                    <w:alias w:val="2 pr. 52.1 pp."/>
                    <w:tag w:val="part_f08eb87c811149bfb172c76525bc1824"/>
                    <w:lock w:val="sdtLocked"/>
                    <w:richText/>
                  </w:sdtPr>
                  <w:sdtContent>
                    <w:p>
                      <w:pPr>
                        <w:ind w:firstLine="600"/>
                        <w:jc w:val="both"/>
                        <w:rPr>
                          <w:color w:val="000000"/>
                          <w:szCs w:val="24"/>
                        </w:rPr>
                      </w:pPr>
                      <w:sdt>
                        <w:sdtPr>
                          <w:alias w:val="Numeris"/>
                          <w:tag w:val="nr_f08eb87c811149bfb172c76525bc1824"/>
                          <w:lock w:val="sdtLocked"/>
                          <w:richText/>
                        </w:sdtPr>
                        <w:sdtContent>
                          <w:r>
                            <w:rPr>
                              <w:color w:val="000000"/>
                              <w:szCs w:val="24"/>
                            </w:rPr>
                            <w:t>52.1</w:t>
                          </w:r>
                        </w:sdtContent>
                      </w:sdt>
                      <w:r>
                        <w:rPr>
                          <w:color w:val="000000"/>
                          <w:szCs w:val="24"/>
                        </w:rPr>
                        <w:t xml:space="preserve">. kiekvieną mėnesį </w:t>
                      </w:r>
                      <w:r>
                        <w:rPr>
                          <w:i/>
                          <w:color w:val="000000"/>
                          <w:szCs w:val="24"/>
                        </w:rPr>
                        <w:t xml:space="preserve">„m“ </w:t>
                      </w:r>
                      <w:r>
                        <w:rPr>
                          <w:color w:val="000000"/>
                          <w:szCs w:val="24"/>
                        </w:rPr>
                        <w:t xml:space="preserve">visų pastato šildymo sistemų su Saulės kolektoriais neatsinaujinančios pirminės energijos sąnaudos pastatui šildyti pastato šildomo ploto vienetui </w:t>
                      </w:r>
                      <w:r>
                        <w:rPr>
                          <w:i/>
                          <w:color w:val="000000"/>
                          <w:szCs w:val="24"/>
                        </w:rPr>
                        <w:t>Q</w:t>
                      </w:r>
                      <w:r>
                        <w:rPr>
                          <w:i/>
                          <w:color w:val="000000"/>
                          <w:szCs w:val="24"/>
                          <w:vertAlign w:val="subscript"/>
                        </w:rPr>
                        <w:t>PRn.H.hwSK,m</w:t>
                      </w:r>
                      <w:r>
                        <w:rPr>
                          <w:color w:val="000000"/>
                          <w:szCs w:val="24"/>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color w:val="000000"/>
                                <w:szCs w:val="24"/>
                              </w:rPr>
                              <w:object w:dxaOrig="5360" w:dyaOrig="400">
                                <v:shape id="_x0000_i1248" type="#_x0000_t75" style="width:267.8pt;height:20.2pt" o:ole="">
                                  <v:imagedata r:id="rId731" o:title=""/>
                                </v:shape>
                                <o:OLEObject Type="Embed" ProgID="Equation.3" ShapeID="_x0000_i1248" DrawAspect="Content" ObjectID="_0000000001" r:id="rId732"/>
                              </w:object>
                              <w:t>;</w:t>
                            </w:r>
                          </w:p>
                        </w:tc>
                        <w:tc>
                          <w:tcPr>
                            <w:tcW w:w="1062" w:type="dxa"/>
                            <w:vAlign w:val="center"/>
                            <w:hideMark/>
                          </w:tcPr>
                          <w:p>
                            <w:pPr>
                              <w:spacing w:line="276" w:lineRule="auto"/>
                              <w:jc w:val="right"/>
                              <w:rPr>
                                <w:rFonts w:eastAsia="Calibri"/>
                                <w:color w:val="000000"/>
                                <w:szCs w:val="24"/>
                              </w:rPr>
                            </w:pPr>
                            <w:r>
                              <w:rPr>
                                <w:color w:val="000000"/>
                                <w:szCs w:val="24"/>
                              </w:rPr>
                              <w:t>(2.192)</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bscript"/>
                        </w:rPr>
                        <w:t xml:space="preserve">H.hwSK,m </w:t>
                      </w:r>
                      <w:r>
                        <w:rPr>
                          <w:color w:val="000000"/>
                          <w:szCs w:val="24"/>
                        </w:rPr>
                        <w:t xml:space="preserve">– pastato šildymo sistemų su Saulės kolektoriais Saulės kolektorių pagamintos šiluminės energijos sąnaudos atitinkamą mėnesį </w:t>
                      </w:r>
                      <w:r>
                        <w:rPr>
                          <w:i/>
                          <w:color w:val="000000"/>
                          <w:szCs w:val="24"/>
                        </w:rPr>
                        <w:t>„m“</w:t>
                      </w:r>
                      <w:r>
                        <w:rPr>
                          <w:color w:val="000000"/>
                          <w:szCs w:val="24"/>
                        </w:rPr>
                        <w:t xml:space="preserve"> pastatui šildyti (kWh/(m²·mėn.)). Apskaičiuojama pagal (2.193) formulę;</w:t>
                      </w:r>
                    </w:p>
                    <w:p>
                      <w:pPr>
                        <w:ind w:firstLine="567"/>
                        <w:jc w:val="both"/>
                        <w:rPr>
                          <w:color w:val="000000"/>
                          <w:szCs w:val="24"/>
                        </w:rPr>
                      </w:pPr>
                      <w:r>
                        <w:rPr>
                          <w:i/>
                          <w:color w:val="000000"/>
                          <w:szCs w:val="24"/>
                        </w:rPr>
                        <w:t>Q</w:t>
                      </w:r>
                      <w:r>
                        <w:rPr>
                          <w:i/>
                          <w:color w:val="000000"/>
                          <w:szCs w:val="24"/>
                          <w:vertAlign w:val="subscript"/>
                        </w:rPr>
                        <w:t xml:space="preserve">E.H.hwSK,m </w:t>
                      </w:r>
                      <w:r>
                        <w:rPr>
                          <w:color w:val="000000"/>
                          <w:szCs w:val="24"/>
                        </w:rPr>
                        <w:t>– mėnesinės elektros energijos sąnaudos pastato šildymo sistemose su Saulės kolektoriais (kWh/(m²·mėn.));</w:t>
                      </w:r>
                    </w:p>
                    <w:p>
                      <w:pPr>
                        <w:ind w:firstLine="567"/>
                        <w:jc w:val="both"/>
                        <w:rPr>
                          <w:bCs/>
                          <w:color w:val="000000"/>
                          <w:szCs w:val="24"/>
                        </w:rPr>
                      </w:pPr>
                      <w:r>
                        <w:rPr>
                          <w:i/>
                          <w:color w:val="000000"/>
                          <w:szCs w:val="24"/>
                        </w:rPr>
                        <w:t>f</w:t>
                      </w:r>
                      <w:r>
                        <w:rPr>
                          <w:i/>
                          <w:color w:val="000000"/>
                          <w:szCs w:val="24"/>
                          <w:vertAlign w:val="subscript"/>
                        </w:rPr>
                        <w:t>PRn.hwSK</w:t>
                      </w:r>
                      <w:r>
                        <w:rPr>
                          <w:color w:val="000000"/>
                          <w:szCs w:val="24"/>
                        </w:rPr>
                        <w:t xml:space="preserve"> – neatsinaujinančios </w:t>
                      </w:r>
                      <w:r>
                        <w:rPr>
                          <w:bCs/>
                          <w:color w:val="000000"/>
                          <w:szCs w:val="24"/>
                        </w:rPr>
                        <w:t>pirminės energijos faktorius,</w:t>
                      </w:r>
                      <w:r>
                        <w:rPr>
                          <w:color w:val="000000"/>
                          <w:szCs w:val="24"/>
                        </w:rPr>
                        <w:t xml:space="preserve"> kai energijai gaminti naudojami karšto vandens ruošimo Saulės kolektoriai (vnt.)</w:t>
                      </w:r>
                      <w:r>
                        <w:rPr>
                          <w:bCs/>
                          <w:color w:val="000000"/>
                          <w:szCs w:val="24"/>
                        </w:rPr>
                        <w:t xml:space="preserve">. Imamas iš 2.18 lentelės; </w:t>
                      </w:r>
                    </w:p>
                    <w:p>
                      <w:pPr>
                        <w:ind w:firstLine="567"/>
                        <w:jc w:val="both"/>
                        <w:rPr>
                          <w:bCs/>
                          <w:color w:val="000000"/>
                          <w:szCs w:val="24"/>
                        </w:rPr>
                      </w:pPr>
                      <w:r>
                        <w:rPr>
                          <w:i/>
                          <w:color w:val="000000"/>
                          <w:szCs w:val="24"/>
                        </w:rPr>
                        <w:t>f</w:t>
                      </w:r>
                      <w:r>
                        <w:rPr>
                          <w:i/>
                          <w:color w:val="000000"/>
                          <w:szCs w:val="24"/>
                          <w:vertAlign w:val="subscript"/>
                        </w:rPr>
                        <w:t>PRn.E</w:t>
                      </w:r>
                      <w:r>
                        <w:rPr>
                          <w:color w:val="000000"/>
                          <w:szCs w:val="24"/>
                        </w:rPr>
                        <w:t xml:space="preserve"> – neatsinaujinančios </w:t>
                      </w:r>
                      <w:r>
                        <w:rPr>
                          <w:bCs/>
                          <w:color w:val="000000"/>
                          <w:szCs w:val="24"/>
                        </w:rPr>
                        <w:t xml:space="preserve">pirminės energijos faktorius, kai energijos šaltinis elektra </w:t>
                      </w:r>
                      <w:r>
                        <w:rPr>
                          <w:color w:val="000000"/>
                          <w:szCs w:val="24"/>
                        </w:rPr>
                        <w:t>(įvairių elektros gamybos būdų vidurkis) (vnt.)</w:t>
                      </w:r>
                      <w:r>
                        <w:rPr>
                          <w:bCs/>
                          <w:color w:val="000000"/>
                          <w:szCs w:val="24"/>
                        </w:rPr>
                        <w:t xml:space="preserve">. Imamas iš 2.18 lentelės; </w:t>
                      </w:r>
                    </w:p>
                  </w:sdtContent>
                </w:sdt>
                <w:sdt>
                  <w:sdtPr>
                    <w:alias w:val="2 pr. 52.2 pp."/>
                    <w:tag w:val="part_78c616419560478ba7e04932117212df"/>
                    <w:lock w:val="sdtLocked"/>
                    <w:richText/>
                  </w:sdtPr>
                  <w:sdtContent>
                    <w:p>
                      <w:pPr>
                        <w:ind w:firstLine="600"/>
                        <w:jc w:val="both"/>
                        <w:rPr>
                          <w:color w:val="000000"/>
                          <w:szCs w:val="24"/>
                        </w:rPr>
                      </w:pPr>
                      <w:sdt>
                        <w:sdtPr>
                          <w:alias w:val="Numeris"/>
                          <w:tag w:val="nr_78c616419560478ba7e04932117212df"/>
                          <w:lock w:val="sdtLocked"/>
                          <w:richText/>
                        </w:sdtPr>
                        <w:sdtContent>
                          <w:r>
                            <w:rPr>
                              <w:color w:val="000000"/>
                              <w:szCs w:val="24"/>
                            </w:rPr>
                            <w:t>52.2</w:t>
                          </w:r>
                        </w:sdtContent>
                      </w:sdt>
                      <w:r>
                        <w:rPr>
                          <w:color w:val="000000"/>
                          <w:szCs w:val="24"/>
                        </w:rPr>
                        <w:t xml:space="preserve">. kiekvieną mėnesį </w:t>
                      </w:r>
                      <w:r>
                        <w:rPr>
                          <w:i/>
                          <w:color w:val="000000"/>
                          <w:szCs w:val="24"/>
                        </w:rPr>
                        <w:t>„m“</w:t>
                      </w:r>
                      <w:r>
                        <w:rPr>
                          <w:color w:val="000000"/>
                          <w:szCs w:val="24"/>
                        </w:rPr>
                        <w:t xml:space="preserve"> pastato šildymo sistemų su Saulės kolektoriais pagamintos šiluminės energijos sąnaudoms pastatui šildyti </w:t>
                      </w:r>
                      <w:r>
                        <w:rPr>
                          <w:i/>
                          <w:color w:val="000000"/>
                          <w:szCs w:val="24"/>
                        </w:rPr>
                        <w:t>Q</w:t>
                      </w:r>
                      <w:r>
                        <w:rPr>
                          <w:i/>
                          <w:color w:val="000000"/>
                          <w:szCs w:val="24"/>
                          <w:vertAlign w:val="subscript"/>
                        </w:rPr>
                        <w:t>H.hwSK,m</w:t>
                      </w:r>
                      <w:r>
                        <w:rPr>
                          <w:color w:val="000000"/>
                          <w:szCs w:val="24"/>
                        </w:rPr>
                        <w:t>(kWh/(m²·mėn.)) skaičiuoti naudojama žemiau pateikta formulė ir jos taikymo sąlygos [3.25]: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8"/>
                        <w:gridCol w:w="1062"/>
                      </w:tblGrid>
                      <w:tr>
                        <w:tc>
                          <w:tcPr>
                            <w:tcW w:w="8508" w:type="dxa"/>
                            <w:tcBorders>
                              <w:top w:val="nil"/>
                              <w:left w:val="nil"/>
                              <w:bottom w:val="nil"/>
                              <w:right w:val="nil"/>
                            </w:tcBorders>
                            <w:hideMark/>
                          </w:tcPr>
                          <w:p>
                            <w:pPr>
                              <w:spacing w:line="276" w:lineRule="auto"/>
                              <w:jc w:val="center"/>
                              <w:rPr>
                                <w:rFonts w:eastAsia="Calibri"/>
                                <w:color w:val="000000"/>
                                <w:szCs w:val="24"/>
                              </w:rPr>
                            </w:pPr>
                            <w:r>
                              <w:rPr>
                                <w:szCs w:val="24"/>
                                <w:lang w:eastAsia="lt-LT"/>
                              </w:rPr>
                              <w:object w:dxaOrig="4320" w:dyaOrig="730">
                                <v:shape id="_x0000_i1249" type="#_x0000_t75" style="width:3in;height:37.2pt" o:ole="">
                                  <v:imagedata r:id="rId733" o:title=""/>
                                </v:shape>
                                <o:OLEObject Type="Embed" ProgID="Equation.3" ShapeID="_x0000_i1249" DrawAspect="Content" ObjectID="_0000000001" r:id="rId734"/>
                              </w:object>
                            </w:r>
                            <w:r>
                              <w:rPr>
                                <w:color w:val="000000"/>
                                <w:szCs w:val="24"/>
                              </w:rPr>
                              <w:t>;</w:t>
                            </w:r>
                          </w:p>
                        </w:tc>
                        <w:tc>
                          <w:tcPr>
                            <w:tcW w:w="1062" w:type="dxa"/>
                            <w:tcBorders>
                              <w:top w:val="nil"/>
                              <w:left w:val="nil"/>
                              <w:bottom w:val="nil"/>
                              <w:right w:val="nil"/>
                            </w:tcBorders>
                            <w:vAlign w:val="center"/>
                            <w:hideMark/>
                          </w:tcPr>
                          <w:p>
                            <w:pPr>
                              <w:spacing w:line="276" w:lineRule="auto"/>
                              <w:jc w:val="right"/>
                              <w:rPr>
                                <w:rFonts w:eastAsia="Calibri"/>
                                <w:color w:val="000000"/>
                                <w:szCs w:val="24"/>
                              </w:rPr>
                            </w:pPr>
                            <w:r>
                              <w:rPr>
                                <w:color w:val="000000"/>
                                <w:szCs w:val="24"/>
                              </w:rPr>
                              <w:t>(2.193)</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bscript"/>
                        </w:rPr>
                        <w:t>H.hwSK.out,m,x</w:t>
                      </w:r>
                      <w:r>
                        <w:rPr>
                          <w:color w:val="000000"/>
                          <w:szCs w:val="24"/>
                        </w:rPr>
                        <w:t xml:space="preserve">- kiekvieno mėnesio </w:t>
                      </w:r>
                      <w:r>
                        <w:rPr>
                          <w:i/>
                          <w:color w:val="000000"/>
                          <w:szCs w:val="24"/>
                        </w:rPr>
                        <w:t xml:space="preserve">„m“ </w:t>
                      </w:r>
                      <w:r>
                        <w:rPr>
                          <w:color w:val="000000"/>
                          <w:szCs w:val="24"/>
                        </w:rPr>
                        <w:t xml:space="preserve">šiluminės energijos kiekis, kurį pagamina atitinkamoje </w:t>
                      </w:r>
                      <w:r>
                        <w:rPr>
                          <w:i/>
                          <w:color w:val="000000"/>
                          <w:szCs w:val="24"/>
                        </w:rPr>
                        <w:t>„x“</w:t>
                      </w:r>
                      <w:r>
                        <w:rPr>
                          <w:color w:val="000000"/>
                          <w:szCs w:val="24"/>
                        </w:rPr>
                        <w:t xml:space="preserve"> pastato šildymo sistemoje įrengti Saulės kolektoriai (kWh/(m²·mėn.)). Apskaičiuojamas pagal (2.196) formulę;</w:t>
                      </w:r>
                    </w:p>
                    <w:p>
                      <w:pPr>
                        <w:ind w:firstLine="567"/>
                        <w:jc w:val="both"/>
                        <w:rPr>
                          <w:color w:val="000000"/>
                          <w:szCs w:val="24"/>
                        </w:rPr>
                      </w:pPr>
                      <w:r>
                        <w:rPr>
                          <w:i/>
                          <w:szCs w:val="24"/>
                        </w:rPr>
                        <w:t>Q</w:t>
                      </w:r>
                      <w:r>
                        <w:rPr>
                          <w:i/>
                          <w:szCs w:val="24"/>
                          <w:vertAlign w:val="subscript"/>
                        </w:rPr>
                        <w:t>H.hwSK.SW,m,x</w:t>
                      </w:r>
                      <w:r>
                        <w:rPr>
                          <w:color w:val="000000"/>
                          <w:szCs w:val="24"/>
                        </w:rPr>
                        <w:t xml:space="preserve">–kiekvieno mėnesio </w:t>
                      </w:r>
                      <w:r>
                        <w:rPr>
                          <w:i/>
                          <w:color w:val="000000"/>
                          <w:szCs w:val="24"/>
                        </w:rPr>
                        <w:t xml:space="preserve">„m“ </w:t>
                      </w:r>
                      <w:r>
                        <w:rPr>
                          <w:color w:val="000000"/>
                          <w:szCs w:val="24"/>
                        </w:rPr>
                        <w:t xml:space="preserve">šilumos nuostoliai pastato šildymo tikslams naudojamose karšto vandens talpose, esančiose atitinkamoje </w:t>
                      </w:r>
                      <w:r>
                        <w:rPr>
                          <w:i/>
                          <w:color w:val="000000"/>
                          <w:szCs w:val="24"/>
                        </w:rPr>
                        <w:t>„x“</w:t>
                      </w:r>
                      <w:r>
                        <w:rPr>
                          <w:color w:val="000000"/>
                          <w:szCs w:val="24"/>
                        </w:rPr>
                        <w:t xml:space="preserve"> pastato šildymo sistemoje su vandenį šildančiais Saulės kolektoriais (kWh/(m²·mėn.)). Apskaičiuojama pagal (2.199) formulę; </w:t>
                      </w:r>
                    </w:p>
                    <w:p>
                      <w:pPr>
                        <w:ind w:firstLine="567"/>
                        <w:rPr>
                          <w:color w:val="000000"/>
                          <w:szCs w:val="24"/>
                        </w:rPr>
                      </w:pPr>
                      <w:r>
                        <w:rPr>
                          <w:color w:val="000000"/>
                          <w:szCs w:val="24"/>
                        </w:rPr>
                        <w:t>(2.193) formulės taikymo sąlygos:</w:t>
                      </w:r>
                    </w:p>
                    <w:p>
                      <w:pPr>
                        <w:ind w:firstLine="567"/>
                        <w:rPr>
                          <w:color w:val="000000"/>
                          <w:szCs w:val="24"/>
                        </w:rPr>
                      </w:pPr>
                      <w:r>
                        <w:rPr>
                          <w:color w:val="000000"/>
                          <w:szCs w:val="24"/>
                        </w:rPr>
                        <w:t xml:space="preserve">- jei </w:t>
                      </w:r>
                      <w:r>
                        <w:rPr>
                          <w:i/>
                          <w:color w:val="000000"/>
                          <w:szCs w:val="24"/>
                        </w:rPr>
                        <w:t>Q</w:t>
                      </w:r>
                      <w:r>
                        <w:rPr>
                          <w:i/>
                          <w:color w:val="000000"/>
                          <w:szCs w:val="24"/>
                          <w:vertAlign w:val="subscript"/>
                        </w:rPr>
                        <w:t>H.hwSK,m</w:t>
                      </w:r>
                      <w:r>
                        <w:rPr>
                          <w:color w:val="000000"/>
                          <w:szCs w:val="24"/>
                        </w:rPr>
                        <w:t xml:space="preserve">&lt;0 arba </w:t>
                      </w:r>
                      <w:r>
                        <w:rPr>
                          <w:i/>
                          <w:color w:val="000000"/>
                          <w:szCs w:val="24"/>
                        </w:rPr>
                        <w:t>Q</w:t>
                      </w:r>
                      <w:r>
                        <w:rPr>
                          <w:i/>
                          <w:color w:val="000000"/>
                          <w:szCs w:val="24"/>
                          <w:vertAlign w:val="subscript"/>
                        </w:rPr>
                        <w:t>H,m</w:t>
                      </w:r>
                      <w:r>
                        <w:rPr>
                          <w:color w:val="000000"/>
                          <w:szCs w:val="24"/>
                        </w:rPr>
                        <w:t xml:space="preserve">=0, tai </w:t>
                      </w:r>
                      <w:r>
                        <w:rPr>
                          <w:i/>
                          <w:color w:val="000000"/>
                          <w:szCs w:val="24"/>
                        </w:rPr>
                        <w:t>Q</w:t>
                      </w:r>
                      <w:r>
                        <w:rPr>
                          <w:i/>
                          <w:color w:val="000000"/>
                          <w:szCs w:val="24"/>
                          <w:vertAlign w:val="subscript"/>
                        </w:rPr>
                        <w:t>H.hwSK,m</w:t>
                      </w:r>
                      <w:r>
                        <w:rPr>
                          <w:color w:val="000000"/>
                          <w:szCs w:val="24"/>
                        </w:rPr>
                        <w:t>=0,</w:t>
                      </w:r>
                    </w:p>
                    <w:p>
                      <w:pPr>
                        <w:ind w:firstLine="567"/>
                        <w:rPr>
                          <w:color w:val="000000"/>
                          <w:szCs w:val="24"/>
                        </w:rPr>
                      </w:pPr>
                      <w:r>
                        <w:rPr>
                          <w:color w:val="000000"/>
                          <w:szCs w:val="24"/>
                        </w:rPr>
                        <w:t>-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i/>
                                <w:color w:val="000000"/>
                                <w:szCs w:val="24"/>
                              </w:rPr>
                              <w:t>Q</w:t>
                            </w:r>
                            <w:r>
                              <w:rPr>
                                <w:i/>
                                <w:color w:val="000000"/>
                                <w:szCs w:val="24"/>
                                <w:vertAlign w:val="subscript"/>
                              </w:rPr>
                              <w:t>H.hwSK,m</w:t>
                            </w:r>
                            <w:r>
                              <w:rPr>
                                <w:i/>
                                <w:color w:val="000000"/>
                                <w:szCs w:val="24"/>
                              </w:rPr>
                              <w:t>≥Q</w:t>
                            </w:r>
                            <w:r>
                              <w:rPr>
                                <w:i/>
                                <w:color w:val="000000"/>
                                <w:szCs w:val="24"/>
                                <w:vertAlign w:val="subscript"/>
                              </w:rPr>
                              <w:t xml:space="preserve">H,m </w:t>
                            </w:r>
                            <w:r>
                              <w:rPr>
                                <w:i/>
                                <w:color w:val="000000"/>
                                <w:szCs w:val="24"/>
                              </w:rPr>
                              <w:t>/ η</w:t>
                            </w:r>
                            <w:r>
                              <w:rPr>
                                <w:i/>
                                <w:color w:val="000000"/>
                                <w:szCs w:val="24"/>
                                <w:vertAlign w:val="subscript"/>
                              </w:rPr>
                              <w:t>1</w: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(2.194)</w:t>
                            </w:r>
                          </w:p>
                        </w:tc>
                      </w:tr>
                    </w:tbl>
                    <w:p>
                      <w:pPr>
                        <w:ind w:left="840"/>
                        <w:rPr>
                          <w:rFonts w:eastAsia="Calibri"/>
                          <w:color w:val="000000"/>
                          <w:szCs w:val="24"/>
                        </w:rPr>
                      </w:pPr>
                      <w:r>
                        <w:rPr>
                          <w:color w:val="000000"/>
                          <w:szCs w:val="24"/>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i/>
                                <w:color w:val="000000"/>
                                <w:szCs w:val="24"/>
                              </w:rPr>
                              <w:t>Q</w:t>
                            </w:r>
                            <w:r>
                              <w:rPr>
                                <w:i/>
                                <w:color w:val="000000"/>
                                <w:szCs w:val="24"/>
                                <w:vertAlign w:val="subscript"/>
                              </w:rPr>
                              <w:t>H.hwSK,m</w:t>
                            </w:r>
                            <w:r>
                              <w:rPr>
                                <w:i/>
                                <w:color w:val="000000"/>
                                <w:szCs w:val="24"/>
                              </w:rPr>
                              <w:t>=Q</w:t>
                            </w:r>
                            <w:r>
                              <w:rPr>
                                <w:i/>
                                <w:color w:val="000000"/>
                                <w:szCs w:val="24"/>
                                <w:vertAlign w:val="subscript"/>
                              </w:rPr>
                              <w:t xml:space="preserve">H,m  </w:t>
                            </w:r>
                            <w:r>
                              <w:rPr>
                                <w:i/>
                                <w:color w:val="000000"/>
                                <w:szCs w:val="24"/>
                              </w:rPr>
                              <w:t>/ η</w:t>
                            </w:r>
                            <w:r>
                              <w:rPr>
                                <w:i/>
                                <w:color w:val="000000"/>
                                <w:szCs w:val="24"/>
                                <w:vertAlign w:val="subscript"/>
                              </w:rPr>
                              <w:t>1</w: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(2.195)</w:t>
                            </w:r>
                          </w:p>
                        </w:tc>
                      </w:tr>
                    </w:tbl>
                    <w:p>
                      <w:pPr>
                        <w:rPr>
                          <w:color w:val="000000"/>
                          <w:szCs w:val="24"/>
                        </w:rPr>
                      </w:pPr>
                    </w:p>
                    <w:p>
                      <w:pPr>
                        <w:rPr>
                          <w:rFonts w:eastAsia="Calibri"/>
                          <w:color w:val="000000"/>
                          <w:szCs w:val="24"/>
                        </w:rPr>
                      </w:pPr>
                      <w:r>
                        <w:rPr>
                          <w:color w:val="000000"/>
                          <w:szCs w:val="24"/>
                        </w:rPr>
                        <w:t xml:space="preserve">o kitu atveju </w:t>
                      </w:r>
                      <w:r>
                        <w:rPr>
                          <w:i/>
                          <w:color w:val="000000"/>
                          <w:szCs w:val="24"/>
                        </w:rPr>
                        <w:t>Q</w:t>
                      </w:r>
                      <w:r>
                        <w:rPr>
                          <w:i/>
                          <w:color w:val="000000"/>
                          <w:szCs w:val="24"/>
                          <w:vertAlign w:val="subscript"/>
                        </w:rPr>
                        <w:t>H.hwSK,m</w:t>
                      </w:r>
                      <w:r>
                        <w:rPr>
                          <w:color w:val="000000"/>
                          <w:szCs w:val="24"/>
                        </w:rPr>
                        <w:t>atitinka skaičiavimo rezultatą, gautam</w:t>
                      </w:r>
                      <w:r>
                        <w:rPr>
                          <w:b/>
                          <w:color w:val="000000"/>
                          <w:szCs w:val="24"/>
                        </w:rPr>
                        <w:t xml:space="preserve"> </w:t>
                      </w:r>
                      <w:r>
                        <w:rPr>
                          <w:color w:val="000000"/>
                          <w:szCs w:val="24"/>
                        </w:rPr>
                        <w:t>pagal (2.193) formulę.</w:t>
                      </w:r>
                    </w:p>
                    <w:p>
                      <w:pPr>
                        <w:tabs>
                          <w:tab w:val="left" w:pos="567"/>
                        </w:tabs>
                        <w:rPr>
                          <w:color w:val="000000"/>
                          <w:szCs w:val="24"/>
                        </w:rPr>
                      </w:pPr>
                      <w:r>
                        <w:rPr>
                          <w:color w:val="000000"/>
                          <w:szCs w:val="24"/>
                        </w:rPr>
                        <w:t>čia:</w:t>
                        <w:tab/>
                      </w:r>
                      <w:r>
                        <w:rPr>
                          <w:i/>
                          <w:color w:val="000000"/>
                          <w:szCs w:val="24"/>
                        </w:rPr>
                        <w:t>Q</w:t>
                      </w:r>
                      <w:r>
                        <w:rPr>
                          <w:i/>
                          <w:color w:val="000000"/>
                          <w:szCs w:val="24"/>
                          <w:vertAlign w:val="subscript"/>
                        </w:rPr>
                        <w:t>H,m</w:t>
                      </w:r>
                      <w:r>
                        <w:rPr>
                          <w:color w:val="000000"/>
                          <w:szCs w:val="24"/>
                        </w:rPr>
                        <w:t xml:space="preserve"> –apskaičiuojamas pagal (2.169) formulę);</w:t>
                      </w:r>
                    </w:p>
                    <w:p>
                      <w:pPr>
                        <w:ind w:firstLine="567"/>
                        <w:rPr>
                          <w:color w:val="000000"/>
                          <w:szCs w:val="24"/>
                        </w:rPr>
                      </w:pPr>
                      <w:r>
                        <w:rPr>
                          <w:i/>
                          <w:color w:val="000000"/>
                          <w:szCs w:val="24"/>
                        </w:rPr>
                        <w:t>η</w:t>
                      </w:r>
                      <w:r>
                        <w:rPr>
                          <w:i/>
                          <w:color w:val="000000"/>
                          <w:szCs w:val="24"/>
                          <w:vertAlign w:val="subscript"/>
                        </w:rPr>
                        <w:t>1</w:t>
                      </w:r>
                      <w:r>
                        <w:rPr>
                          <w:color w:val="000000"/>
                          <w:szCs w:val="24"/>
                        </w:rPr>
                        <w:t xml:space="preserve"> – imamas iš 2.44 lentelės;</w:t>
                      </w:r>
                    </w:p>
                  </w:sdtContent>
                </w:sdt>
                <w:sdt>
                  <w:sdtPr>
                    <w:alias w:val="2 pr. 52.3 pp."/>
                    <w:tag w:val="part_875eed4cdcff459fb7acea619e0bdd3d"/>
                    <w:lock w:val="sdtLocked"/>
                    <w:richText/>
                  </w:sdtPr>
                  <w:sdtContent>
                    <w:p>
                      <w:pPr>
                        <w:ind w:firstLine="600"/>
                        <w:jc w:val="both"/>
                        <w:rPr>
                          <w:color w:val="000000"/>
                          <w:szCs w:val="24"/>
                        </w:rPr>
                      </w:pPr>
                      <w:sdt>
                        <w:sdtPr>
                          <w:alias w:val="Numeris"/>
                          <w:tag w:val="nr_875eed4cdcff459fb7acea619e0bdd3d"/>
                          <w:lock w:val="sdtLocked"/>
                          <w:richText/>
                        </w:sdtPr>
                        <w:sdtContent>
                          <w:r>
                            <w:rPr>
                              <w:color w:val="000000"/>
                              <w:szCs w:val="24"/>
                            </w:rPr>
                            <w:t>52.3</w:t>
                          </w:r>
                        </w:sdtContent>
                      </w:sdt>
                      <w:r>
                        <w:rPr>
                          <w:color w:val="000000"/>
                          <w:szCs w:val="24"/>
                        </w:rPr>
                        <w:t xml:space="preserve">. kiekvieną mėnesį </w:t>
                      </w:r>
                      <w:r>
                        <w:rPr>
                          <w:i/>
                          <w:color w:val="000000"/>
                          <w:szCs w:val="24"/>
                        </w:rPr>
                        <w:t xml:space="preserve">„m“ </w:t>
                      </w:r>
                      <w:r>
                        <w:rPr>
                          <w:color w:val="000000"/>
                          <w:szCs w:val="24"/>
                        </w:rPr>
                        <w:t xml:space="preserve">atitinkamoje </w:t>
                      </w:r>
                      <w:r>
                        <w:rPr>
                          <w:i/>
                          <w:color w:val="000000"/>
                          <w:szCs w:val="24"/>
                        </w:rPr>
                        <w:t>„x“</w:t>
                      </w:r>
                      <w:r>
                        <w:rPr>
                          <w:color w:val="000000"/>
                          <w:szCs w:val="24"/>
                        </w:rPr>
                        <w:t xml:space="preserve"> pastato šildymo sistemoje įrengtų Saulės kolektorių pagamintas šiluminės energijos kiekis </w:t>
                      </w:r>
                      <w:r>
                        <w:rPr>
                          <w:i/>
                          <w:color w:val="000000"/>
                          <w:szCs w:val="24"/>
                        </w:rPr>
                        <w:t>Q</w:t>
                      </w:r>
                      <w:r>
                        <w:rPr>
                          <w:i/>
                          <w:color w:val="000000"/>
                          <w:szCs w:val="24"/>
                          <w:vertAlign w:val="subscript"/>
                        </w:rPr>
                        <w:t xml:space="preserve">H.hwSK.out,m,x </w:t>
                      </w:r>
                      <w:r>
                        <w:rPr>
                          <w:color w:val="000000"/>
                          <w:szCs w:val="24"/>
                        </w:rPr>
                        <w:t>(kWh/(m²·mėn.)) apskaičiuojamas taip [3.25]:</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strike/>
                                <w:color w:val="000000"/>
                                <w:szCs w:val="24"/>
                              </w:rPr>
                            </w:pPr>
                            <w:r>
                              <w:rPr>
                                <w:position w:val="-52"/>
                                <w:szCs w:val="24"/>
                                <w:lang w:eastAsia="lt-LT"/>
                              </w:rPr>
                              <w:object w:dxaOrig="5280" w:dyaOrig="1120">
                                <v:shape id="_x0000_i1250" type="#_x0000_t75" style="width:263.75pt;height:55.8pt" o:ole="">
                                  <v:imagedata r:id="rId735" o:title=""/>
                                </v:shape>
                                <o:OLEObject Type="Embed" ProgID="Equation.3" ShapeID="_x0000_i1250" DrawAspect="Content" ObjectID="_0000000001" r:id="rId736"/>
                              </w:object>
                              <w:t>;</w:t>
                            </w:r>
                          </w:p>
                        </w:tc>
                        <w:tc>
                          <w:tcPr>
                            <w:tcW w:w="1062" w:type="dxa"/>
                            <w:vAlign w:val="center"/>
                            <w:hideMark/>
                          </w:tcPr>
                          <w:p>
                            <w:pPr>
                              <w:spacing w:line="276" w:lineRule="auto"/>
                              <w:jc w:val="right"/>
                              <w:rPr>
                                <w:rFonts w:eastAsia="Calibri"/>
                                <w:color w:val="000000"/>
                                <w:szCs w:val="24"/>
                              </w:rPr>
                            </w:pPr>
                            <w:r>
                              <w:rPr>
                                <w:color w:val="000000"/>
                                <w:szCs w:val="24"/>
                              </w:rPr>
                              <w:t>(2.196)</w:t>
                            </w:r>
                          </w:p>
                        </w:tc>
                      </w:tr>
                    </w:tbl>
                    <w:p>
                      <w:pPr>
                        <w:tabs>
                          <w:tab w:val="left" w:pos="567"/>
                        </w:tabs>
                        <w:rPr>
                          <w:color w:val="000000"/>
                          <w:szCs w:val="24"/>
                        </w:rPr>
                      </w:pPr>
                    </w:p>
                    <w:p>
                      <w:pPr>
                        <w:tabs>
                          <w:tab w:val="left" w:pos="567"/>
                        </w:tabs>
                        <w:rPr>
                          <w:rFonts w:eastAsia="Calibri"/>
                          <w:color w:val="000000"/>
                          <w:szCs w:val="24"/>
                        </w:rPr>
                      </w:pPr>
                      <w:r>
                        <w:rPr>
                          <w:color w:val="000000"/>
                          <w:szCs w:val="24"/>
                        </w:rPr>
                        <w:t>čia:</w:t>
                        <w:tab/>
                      </w:r>
                      <w:r>
                        <w:rPr>
                          <w:i/>
                          <w:color w:val="000000"/>
                          <w:szCs w:val="24"/>
                        </w:rPr>
                        <w:t>Q</w:t>
                      </w:r>
                      <w:r>
                        <w:rPr>
                          <w:i/>
                          <w:color w:val="000000"/>
                          <w:szCs w:val="24"/>
                          <w:vertAlign w:val="subscript"/>
                        </w:rPr>
                        <w:t>H,m</w:t>
                      </w:r>
                      <w:r>
                        <w:rPr>
                          <w:color w:val="000000"/>
                          <w:szCs w:val="24"/>
                        </w:rPr>
                        <w:t xml:space="preserve"> – šilumos poreikis pastatui šildyti atitinkamą „m“ mėnesį (kWh/(m</w:t>
                      </w:r>
                      <w:r>
                        <w:rPr>
                          <w:color w:val="000000"/>
                          <w:szCs w:val="24"/>
                          <w:vertAlign w:val="superscript"/>
                        </w:rPr>
                        <w:t>2</w:t>
                      </w:r>
                      <w:r>
                        <w:rPr>
                          <w:color w:val="000000"/>
                          <w:szCs w:val="24"/>
                        </w:rPr>
                        <w:t>·mėn.)). Apskaičiuojamas Apskaičiuojami pagal (2.169) formulę;</w:t>
                      </w:r>
                    </w:p>
                    <w:p>
                      <w:pPr>
                        <w:ind w:firstLine="567"/>
                        <w:jc w:val="both"/>
                        <w:rPr>
                          <w:color w:val="000000"/>
                          <w:szCs w:val="24"/>
                        </w:rPr>
                      </w:pPr>
                      <w:r>
                        <w:rPr>
                          <w:i/>
                          <w:color w:val="000000"/>
                          <w:szCs w:val="24"/>
                        </w:rPr>
                        <w:t>X</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Apskaičiuojamas pagal (2.197) formulę (vnt. dalys);</w:t>
                      </w:r>
                    </w:p>
                    <w:p>
                      <w:pPr>
                        <w:ind w:firstLine="567"/>
                        <w:jc w:val="both"/>
                        <w:rPr>
                          <w:color w:val="000000"/>
                          <w:szCs w:val="24"/>
                        </w:rPr>
                      </w:pPr>
                      <w:r>
                        <w:rPr>
                          <w:i/>
                          <w:color w:val="000000"/>
                          <w:szCs w:val="24"/>
                        </w:rPr>
                        <w:t>Y</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Apskaičiuojamas pagal (2.198) formulę (vnt. dalys);</w:t>
                      </w:r>
                    </w:p>
                  </w:sdtContent>
                </w:sdt>
                <w:sdt>
                  <w:sdtPr>
                    <w:alias w:val="2 pr. 52.4 pp."/>
                    <w:tag w:val="part_f695a98e4ded4cbc9ad48ca552728973"/>
                    <w:lock w:val="sdtLocked"/>
                    <w:richText/>
                  </w:sdtPr>
                  <w:sdtContent>
                    <w:p>
                      <w:pPr>
                        <w:ind w:firstLine="600"/>
                        <w:jc w:val="both"/>
                        <w:rPr>
                          <w:color w:val="000000"/>
                          <w:szCs w:val="24"/>
                        </w:rPr>
                      </w:pPr>
                      <w:sdt>
                        <w:sdtPr>
                          <w:alias w:val="Numeris"/>
                          <w:tag w:val="nr_f695a98e4ded4cbc9ad48ca552728973"/>
                          <w:lock w:val="sdtLocked"/>
                          <w:richText/>
                        </w:sdtPr>
                        <w:sdtContent>
                          <w:r>
                            <w:rPr>
                              <w:color w:val="000000"/>
                              <w:szCs w:val="24"/>
                            </w:rPr>
                            <w:t>52.4</w:t>
                          </w:r>
                        </w:sdtContent>
                      </w:sdt>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w:t>
                      </w:r>
                      <w:r>
                        <w:rPr>
                          <w:i/>
                          <w:color w:val="000000"/>
                          <w:szCs w:val="24"/>
                        </w:rPr>
                        <w:t>X</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strike/>
                                <w:color w:val="000000"/>
                                <w:szCs w:val="24"/>
                              </w:rPr>
                            </w:pPr>
                            <w:r>
                              <w:rPr>
                                <w:position w:val="-56"/>
                                <w:szCs w:val="24"/>
                                <w:lang w:eastAsia="lt-LT"/>
                              </w:rPr>
                              <w:object w:dxaOrig="5360" w:dyaOrig="1230">
                                <v:shape id="_x0000_i1251" type="#_x0000_t75" style="width:267.8pt;height:61.5pt" o:ole="">
                                  <v:imagedata r:id="rId737" o:title=""/>
                                </v:shape>
                                <o:OLEObject Type="Embed" ProgID="Equation.3" ShapeID="_x0000_i1251" DrawAspect="Content" ObjectID="_0000000001" r:id="rId738"/>
                              </w:object>
                              <w:t>;</w:t>
                            </w:r>
                          </w:p>
                        </w:tc>
                        <w:tc>
                          <w:tcPr>
                            <w:tcW w:w="1062" w:type="dxa"/>
                            <w:vAlign w:val="center"/>
                            <w:hideMark/>
                          </w:tcPr>
                          <w:p>
                            <w:pPr>
                              <w:spacing w:line="276" w:lineRule="auto"/>
                              <w:jc w:val="right"/>
                              <w:rPr>
                                <w:rFonts w:eastAsia="Calibri"/>
                                <w:color w:val="000000"/>
                                <w:szCs w:val="24"/>
                              </w:rPr>
                            </w:pPr>
                            <w:r>
                              <w:rPr>
                                <w:color w:val="000000"/>
                                <w:szCs w:val="24"/>
                              </w:rPr>
                              <w:t>(2.197)</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A</w:t>
                      </w:r>
                      <w:r>
                        <w:rPr>
                          <w:i/>
                          <w:color w:val="000000"/>
                          <w:szCs w:val="24"/>
                          <w:vertAlign w:val="subscript"/>
                        </w:rPr>
                        <w:t>hwSK,x</w:t>
                      </w:r>
                      <w:r>
                        <w:rPr>
                          <w:color w:val="000000"/>
                          <w:szCs w:val="24"/>
                        </w:rPr>
                        <w:t xml:space="preserve"> – atitinkamoje </w:t>
                      </w:r>
                      <w:r>
                        <w:rPr>
                          <w:i/>
                          <w:color w:val="000000"/>
                          <w:szCs w:val="24"/>
                        </w:rPr>
                        <w:t xml:space="preserve">„x“ </w:t>
                      </w:r>
                      <w:r>
                        <w:rPr>
                          <w:color w:val="000000"/>
                          <w:szCs w:val="24"/>
                        </w:rPr>
                        <w:t>pastato šildymo sistemoje esančių Saulės kolektorių suminis vidinis plotas (m²) [3.34];</w:t>
                      </w:r>
                    </w:p>
                    <w:p>
                      <w:pPr>
                        <w:ind w:firstLine="567"/>
                        <w:jc w:val="both"/>
                        <w:rPr>
                          <w:color w:val="000000"/>
                          <w:szCs w:val="24"/>
                        </w:rPr>
                      </w:pPr>
                      <w:r>
                        <w:rPr>
                          <w:i/>
                          <w:color w:val="000000"/>
                          <w:szCs w:val="24"/>
                        </w:rPr>
                        <w:t>A</w:t>
                      </w:r>
                      <w:r>
                        <w:rPr>
                          <w:i/>
                          <w:color w:val="000000"/>
                          <w:szCs w:val="24"/>
                          <w:vertAlign w:val="subscript"/>
                        </w:rPr>
                        <w:t>hwSK,x,y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vidinis plotas (m²) [3.34];</w:t>
                      </w:r>
                    </w:p>
                    <w:p>
                      <w:pPr>
                        <w:ind w:firstLine="567"/>
                        <w:jc w:val="both"/>
                        <w:rPr>
                          <w:color w:val="000000"/>
                          <w:szCs w:val="24"/>
                        </w:rPr>
                      </w:pPr>
                      <w:r>
                        <w:rPr>
                          <w:i/>
                          <w:color w:val="000000"/>
                          <w:szCs w:val="24"/>
                        </w:rPr>
                        <w:t xml:space="preserve">100 </w:t>
                      </w:r>
                      <w:r>
                        <w:rPr>
                          <w:color w:val="000000"/>
                          <w:szCs w:val="24"/>
                        </w:rPr>
                        <w:t>– projektinė temperatūra cirkuliaciniame kontūre tarp Saulės kolektoriaus ir akumuliacinės talpos (°C) [3.25];</w:t>
                      </w:r>
                    </w:p>
                    <w:p>
                      <w:pPr>
                        <w:ind w:firstLine="567"/>
                        <w:jc w:val="both"/>
                        <w:rPr>
                          <w:color w:val="000000"/>
                          <w:szCs w:val="24"/>
                        </w:rPr>
                      </w:pPr>
                      <w:r>
                        <w:rPr>
                          <w:i/>
                          <w:color w:val="000000"/>
                          <w:szCs w:val="24"/>
                        </w:rPr>
                        <w:t>V</w:t>
                      </w:r>
                      <w:r>
                        <w:rPr>
                          <w:i/>
                          <w:color w:val="000000"/>
                          <w:szCs w:val="24"/>
                          <w:vertAlign w:val="subscript"/>
                        </w:rPr>
                        <w:t xml:space="preserve">HSW,x </w:t>
                      </w:r>
                      <w:r>
                        <w:rPr>
                          <w:color w:val="000000"/>
                          <w:szCs w:val="24"/>
                        </w:rPr>
                        <w:t xml:space="preserve">– suminis pastato šildymo reikmėms naudojamų karšto vandens talpų tūris, prie kurių prijungti visi atitinkamos </w:t>
                      </w:r>
                      <w:r>
                        <w:rPr>
                          <w:i/>
                          <w:color w:val="000000"/>
                          <w:szCs w:val="24"/>
                        </w:rPr>
                        <w:t>„x“</w:t>
                      </w:r>
                      <w:r>
                        <w:rPr>
                          <w:color w:val="000000"/>
                          <w:szCs w:val="24"/>
                        </w:rPr>
                        <w:t xml:space="preserve"> pastato šildymo sistemos vandenį šildantys Saulės kolektoriai(l);</w:t>
                      </w:r>
                    </w:p>
                    <w:p>
                      <w:pPr>
                        <w:ind w:firstLine="567"/>
                        <w:jc w:val="both"/>
                        <w:rPr>
                          <w:color w:val="000000"/>
                          <w:szCs w:val="24"/>
                        </w:rPr>
                      </w:pPr>
                      <w:r>
                        <w:rPr>
                          <w:i/>
                          <w:color w:val="000000"/>
                          <w:szCs w:val="24"/>
                        </w:rPr>
                        <w:t>a</w:t>
                      </w:r>
                      <w:r>
                        <w:rPr>
                          <w:i/>
                          <w:color w:val="000000"/>
                          <w:szCs w:val="24"/>
                          <w:vertAlign w:val="subscript"/>
                        </w:rPr>
                        <w:t>1,x,y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šilumos nuostolių koeficientas (W/(m²·K)). Imamas iš 2.38 lentelės.</w:t>
                      </w:r>
                    </w:p>
                  </w:sdtContent>
                </w:sdt>
                <w:sdt>
                  <w:sdtPr>
                    <w:alias w:val="2 pr. 52.5 pp."/>
                    <w:tag w:val="part_3775422a2a8143c88ccbd2d5d5540044"/>
                    <w:lock w:val="sdtLocked"/>
                    <w:richText/>
                  </w:sdtPr>
                  <w:sdtContent>
                    <w:p>
                      <w:pPr>
                        <w:ind w:firstLine="600"/>
                        <w:jc w:val="both"/>
                        <w:rPr>
                          <w:color w:val="000000"/>
                          <w:szCs w:val="24"/>
                        </w:rPr>
                      </w:pPr>
                      <w:sdt>
                        <w:sdtPr>
                          <w:alias w:val="Numeris"/>
                          <w:tag w:val="nr_3775422a2a8143c88ccbd2d5d5540044"/>
                          <w:lock w:val="sdtLocked"/>
                          <w:richText/>
                        </w:sdtPr>
                        <w:sdtContent>
                          <w:r>
                            <w:rPr>
                              <w:color w:val="000000"/>
                              <w:szCs w:val="24"/>
                            </w:rPr>
                            <w:t>52.5</w:t>
                          </w:r>
                        </w:sdtContent>
                      </w:sdt>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w:t>
                      </w:r>
                      <w:r>
                        <w:rPr>
                          <w:i/>
                          <w:color w:val="000000"/>
                          <w:szCs w:val="24"/>
                        </w:rPr>
                        <w:t>Y</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szCs w:val="24"/>
                                <w:lang w:eastAsia="lt-LT"/>
                              </w:rPr>
                              <w:object w:dxaOrig="5630" w:dyaOrig="730">
                                <v:shape id="_x0000_i1252" type="#_x0000_t75" style="width:280.7pt;height:37.2pt" o:ole="">
                                  <v:imagedata r:id="rId739" o:title=""/>
                                </v:shape>
                                <o:OLEObject Type="Embed" ProgID="Equation.3" ShapeID="_x0000_i1252" DrawAspect="Content" ObjectID="_0000000001" r:id="rId740"/>
                              </w:object>
                              <w:t>,</w:t>
                            </w:r>
                          </w:p>
                        </w:tc>
                        <w:tc>
                          <w:tcPr>
                            <w:tcW w:w="1062" w:type="dxa"/>
                            <w:vAlign w:val="center"/>
                            <w:hideMark/>
                          </w:tcPr>
                          <w:p>
                            <w:pPr>
                              <w:spacing w:line="276" w:lineRule="auto"/>
                              <w:jc w:val="right"/>
                              <w:rPr>
                                <w:rFonts w:eastAsia="Calibri"/>
                                <w:color w:val="000000"/>
                                <w:szCs w:val="24"/>
                              </w:rPr>
                            </w:pPr>
                            <w:r>
                              <w:rPr>
                                <w:color w:val="000000"/>
                                <w:szCs w:val="24"/>
                              </w:rPr>
                              <w:t>(2.198)</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IAM</w:t>
                      </w:r>
                      <w:r>
                        <w:rPr>
                          <w:i/>
                          <w:color w:val="000000"/>
                          <w:szCs w:val="24"/>
                          <w:vertAlign w:val="subscript"/>
                        </w:rPr>
                        <w:t>x,y</w:t>
                      </w:r>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Saulės kritimo kampo pataisos koeficientas. Imamas iš 2.39 lentelės [3.25]. </w:t>
                      </w:r>
                    </w:p>
                    <w:p>
                      <w:pPr>
                        <w:ind w:firstLine="567"/>
                        <w:jc w:val="both"/>
                        <w:rPr>
                          <w:color w:val="000000"/>
                          <w:szCs w:val="24"/>
                        </w:rPr>
                      </w:pPr>
                      <w:r>
                        <w:rPr>
                          <w:i/>
                          <w:color w:val="000000"/>
                          <w:szCs w:val="24"/>
                        </w:rPr>
                        <w:t>I</w:t>
                      </w:r>
                      <w:r>
                        <w:rPr>
                          <w:i/>
                          <w:color w:val="000000"/>
                          <w:szCs w:val="24"/>
                          <w:vertAlign w:val="subscript"/>
                        </w:rPr>
                        <w:t>sol,m,x,y</w:t>
                      </w:r>
                      <w:r>
                        <w:rPr>
                          <w:color w:val="000000"/>
                          <w:szCs w:val="24"/>
                        </w:rPr>
                        <w:t xml:space="preserve"> – mėnesinis Saulės bendrosios spinduliuotės srauto tankis į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paviršių (W/m²). Apskaičiuojamas pagal atitinkamo </w:t>
                      </w:r>
                      <w:r>
                        <w:rPr>
                          <w:i/>
                          <w:color w:val="000000"/>
                          <w:szCs w:val="24"/>
                        </w:rPr>
                        <w:t>„y“</w:t>
                      </w:r>
                      <w:r>
                        <w:rPr>
                          <w:color w:val="000000"/>
                          <w:szCs w:val="24"/>
                        </w:rPr>
                        <w:t xml:space="preserve"> kolektoriaus orientaciją pasaulio šalių atžvilgiu ir kolektoriaus pasvirimo kampą pagal 2.33–2.35 lentelėse pateiktus duomenis.</w:t>
                      </w:r>
                    </w:p>
                  </w:sdtContent>
                </w:sdt>
                <w:sdt>
                  <w:sdtPr>
                    <w:alias w:val="2 pr. 52.6 pp."/>
                    <w:tag w:val="part_addb8295000d461697b666cf443e975e"/>
                    <w:lock w:val="sdtLocked"/>
                    <w:richText/>
                  </w:sdtPr>
                  <w:sdtContent>
                    <w:p>
                      <w:pPr>
                        <w:ind w:firstLine="600"/>
                        <w:jc w:val="both"/>
                        <w:rPr>
                          <w:color w:val="000000"/>
                          <w:szCs w:val="24"/>
                        </w:rPr>
                      </w:pPr>
                      <w:sdt>
                        <w:sdtPr>
                          <w:alias w:val="Numeris"/>
                          <w:tag w:val="nr_addb8295000d461697b666cf443e975e"/>
                          <w:lock w:val="sdtLocked"/>
                          <w:richText/>
                        </w:sdtPr>
                        <w:sdtContent>
                          <w:r>
                            <w:rPr>
                              <w:color w:val="000000"/>
                              <w:szCs w:val="24"/>
                            </w:rPr>
                            <w:t>52.6</w:t>
                          </w:r>
                        </w:sdtContent>
                      </w:sdt>
                      <w:r>
                        <w:rPr>
                          <w:color w:val="000000"/>
                          <w:szCs w:val="24"/>
                        </w:rPr>
                        <w:t xml:space="preserve">. kiekvieno mėnesio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pastato šildymo sistemos su Saulės kolektoriais šilumos nuostoliai </w:t>
                      </w:r>
                      <w:r>
                        <w:rPr>
                          <w:i/>
                          <w:szCs w:val="24"/>
                        </w:rPr>
                        <w:t>Q</w:t>
                      </w:r>
                      <w:r>
                        <w:rPr>
                          <w:i/>
                          <w:szCs w:val="24"/>
                          <w:vertAlign w:val="subscript"/>
                        </w:rPr>
                        <w:t>H.hwSK.SW,m,x</w:t>
                      </w:r>
                      <w:r>
                        <w:rPr>
                          <w:b/>
                          <w:i/>
                          <w:szCs w:val="24"/>
                          <w:vertAlign w:val="subscript"/>
                        </w:rPr>
                        <w:t xml:space="preserve"> </w:t>
                      </w:r>
                      <w:r>
                        <w:rPr>
                          <w:color w:val="000000"/>
                          <w:szCs w:val="24"/>
                        </w:rPr>
                        <w:t xml:space="preserve">(kWh/(m²·mėn.)) pastato šildymo reikmėms naudojamose akumuliacinėse vandens talposeapskaičiuojami taip: </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Cs w:val="24"/>
                              </w:rPr>
                            </w:pPr>
                          </w:p>
                          <w:p>
                            <w:pPr>
                              <w:spacing w:line="360" w:lineRule="auto"/>
                              <w:ind w:left="850" w:hanging="850"/>
                              <w:jc w:val="center"/>
                              <w:rPr>
                                <w:rFonts w:eastAsia="Calibri"/>
                                <w:bCs/>
                                <w:color w:val="000000"/>
                                <w:szCs w:val="24"/>
                              </w:rPr>
                            </w:pPr>
                            <w:r>
                              <w:rPr>
                                <w:szCs w:val="24"/>
                              </w:rPr>
                              <w:object w:dxaOrig="5870" w:dyaOrig="730">
                                <v:shape id="_x0000_i1253" type="#_x0000_t75" style="width:292.05pt;height:37.2pt" o:ole="">
                                  <v:imagedata r:id="rId741" o:title=""/>
                                </v:shape>
                                <o:OLEObject Type="Embed" ProgID="Equation.3" ShapeID="_x0000_i1253" DrawAspect="Content" ObjectID="_0000000001" r:id="rId742"/>
                              </w:object>
                              <w:t>;</w:t>
                            </w:r>
                          </w:p>
                        </w:tc>
                        <w:tc>
                          <w:tcPr>
                            <w:tcW w:w="660" w:type="pct"/>
                            <w:vAlign w:val="center"/>
                          </w:tcPr>
                          <w:p>
                            <w:pPr>
                              <w:rPr>
                                <w:color w:val="000000"/>
                                <w:szCs w:val="24"/>
                              </w:rPr>
                            </w:pPr>
                          </w:p>
                          <w:p>
                            <w:pPr>
                              <w:spacing w:line="360" w:lineRule="auto"/>
                              <w:ind w:left="850" w:hanging="850"/>
                              <w:jc w:val="right"/>
                              <w:rPr>
                                <w:color w:val="000000"/>
                                <w:szCs w:val="24"/>
                              </w:rPr>
                            </w:pPr>
                          </w:p>
                          <w:p>
                            <w:pPr>
                              <w:spacing w:line="360" w:lineRule="auto"/>
                              <w:ind w:left="850" w:hanging="850"/>
                              <w:jc w:val="right"/>
                              <w:rPr>
                                <w:rFonts w:eastAsia="Calibri"/>
                                <w:bCs/>
                                <w:color w:val="000000"/>
                                <w:szCs w:val="24"/>
                              </w:rPr>
                            </w:pPr>
                            <w:r>
                              <w:rPr>
                                <w:color w:val="000000"/>
                                <w:szCs w:val="24"/>
                              </w:rPr>
                              <w:t>(2.199)</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čia:</w:t>
                        <w:tab/>
                      </w:r>
                      <w:r>
                        <w:rPr>
                          <w:i/>
                          <w:color w:val="000000"/>
                          <w:szCs w:val="24"/>
                        </w:rPr>
                        <w:t>η</w:t>
                      </w:r>
                      <w:r>
                        <w:rPr>
                          <w:i/>
                          <w:color w:val="000000"/>
                          <w:szCs w:val="24"/>
                          <w:vertAlign w:val="subscript"/>
                        </w:rPr>
                        <w:t>1</w:t>
                      </w:r>
                      <w:r>
                        <w:rPr>
                          <w:color w:val="000000"/>
                          <w:szCs w:val="24"/>
                        </w:rPr>
                        <w:t xml:space="preserve"> – imamas iš 2.44 lentelės;</w:t>
                      </w:r>
                    </w:p>
                    <w:p>
                      <w:pPr>
                        <w:ind w:firstLine="570"/>
                        <w:jc w:val="both"/>
                        <w:rPr>
                          <w:color w:val="000000"/>
                          <w:szCs w:val="24"/>
                        </w:rPr>
                      </w:pPr>
                      <w:r>
                        <w:rPr>
                          <w:i/>
                          <w:color w:val="000000"/>
                          <w:szCs w:val="24"/>
                        </w:rPr>
                        <w:t>θ</w:t>
                      </w:r>
                      <w:r>
                        <w:rPr>
                          <w:i/>
                          <w:color w:val="000000"/>
                          <w:szCs w:val="24"/>
                          <w:vertAlign w:val="subscript"/>
                        </w:rPr>
                        <w:t xml:space="preserve">i,x,y </w:t>
                      </w:r>
                      <w:r>
                        <w:rPr>
                          <w:color w:val="000000"/>
                          <w:szCs w:val="24"/>
                        </w:rPr>
                        <w:t xml:space="preserve">– patalpų, kuriose įrengta atitinkama </w:t>
                      </w:r>
                      <w:r>
                        <w:rPr>
                          <w:i/>
                          <w:color w:val="000000"/>
                          <w:szCs w:val="24"/>
                        </w:rPr>
                        <w:t>„y“</w:t>
                      </w:r>
                      <w:r>
                        <w:rPr>
                          <w:color w:val="000000"/>
                          <w:szCs w:val="24"/>
                        </w:rPr>
                        <w:t xml:space="preserve"> karšto vandens akumuliacinė talpa, temperatūra (°C). Jei talpa įrengta šildomose patalpose, </w:t>
                      </w:r>
                      <w:r>
                        <w:rPr>
                          <w:i/>
                          <w:color w:val="000000"/>
                          <w:szCs w:val="24"/>
                        </w:rPr>
                        <w:t>θ</w:t>
                      </w:r>
                      <w:r>
                        <w:rPr>
                          <w:i/>
                          <w:color w:val="000000"/>
                          <w:szCs w:val="24"/>
                          <w:vertAlign w:val="subscript"/>
                        </w:rPr>
                        <w:t>i,x,y</w:t>
                      </w:r>
                      <w:r>
                        <w:rPr>
                          <w:color w:val="000000"/>
                          <w:szCs w:val="24"/>
                        </w:rPr>
                        <w:t xml:space="preserve"> =</w:t>
                      </w:r>
                      <w:r>
                        <w:rPr>
                          <w:i/>
                          <w:color w:val="000000"/>
                          <w:szCs w:val="24"/>
                        </w:rPr>
                        <w:t xml:space="preserve"> θ</w:t>
                      </w:r>
                      <w:r>
                        <w:rPr>
                          <w:i/>
                          <w:color w:val="000000"/>
                          <w:szCs w:val="24"/>
                          <w:vertAlign w:val="subscript"/>
                        </w:rPr>
                        <w:t>iH</w:t>
                      </w:r>
                      <w:r>
                        <w:rPr>
                          <w:color w:val="000000"/>
                          <w:szCs w:val="24"/>
                        </w:rPr>
                        <w:t xml:space="preserve">, jei nešildomose patalpose, – </w:t>
                      </w:r>
                      <w:r>
                        <w:rPr>
                          <w:i/>
                          <w:color w:val="000000"/>
                          <w:szCs w:val="24"/>
                        </w:rPr>
                        <w:t>θ</w:t>
                      </w:r>
                      <w:r>
                        <w:rPr>
                          <w:i/>
                          <w:color w:val="000000"/>
                          <w:szCs w:val="24"/>
                          <w:vertAlign w:val="subscript"/>
                        </w:rPr>
                        <w:t>i,x,y</w:t>
                      </w:r>
                      <w:r>
                        <w:rPr>
                          <w:color w:val="000000"/>
                          <w:szCs w:val="24"/>
                        </w:rPr>
                        <w:t xml:space="preserve"> = 13 °C [3.23];</w:t>
                      </w:r>
                    </w:p>
                    <w:p>
                      <w:pPr>
                        <w:ind w:firstLine="570"/>
                        <w:jc w:val="both"/>
                        <w:rPr>
                          <w:color w:val="000000"/>
                          <w:szCs w:val="24"/>
                        </w:rPr>
                      </w:pPr>
                      <w:r>
                        <w:rPr>
                          <w:i/>
                          <w:color w:val="000000"/>
                          <w:szCs w:val="24"/>
                        </w:rPr>
                        <w:t>K</w:t>
                      </w:r>
                      <w:r>
                        <w:rPr>
                          <w:i/>
                          <w:color w:val="000000"/>
                          <w:szCs w:val="24"/>
                          <w:vertAlign w:val="subscript"/>
                        </w:rPr>
                        <w:t>SW50,x,y</w:t>
                      </w:r>
                      <w:r>
                        <w:rPr>
                          <w:color w:val="000000"/>
                          <w:szCs w:val="24"/>
                        </w:rPr>
                        <w:t xml:space="preserve"> – šilumos nuostoliai per parą atitinkamoje </w:t>
                      </w:r>
                      <w:r>
                        <w:rPr>
                          <w:i/>
                          <w:color w:val="000000"/>
                          <w:szCs w:val="24"/>
                        </w:rPr>
                        <w:t>„y“</w:t>
                      </w:r>
                      <w:r>
                        <w:rPr>
                          <w:color w:val="000000"/>
                          <w:szCs w:val="24"/>
                        </w:rPr>
                        <w:t xml:space="preserve"> pastato šildymo reikmėms naudojamoje karšto vandens talpoje, esant vandens temperatūra temperatūrai 50 °C ir aplinkos temperatūrai 20 °C (kWh/para). Apskaičiuojami pagal 42.2 ir 42.3 papunkčių reikalavimus;</w:t>
                      </w:r>
                    </w:p>
                    <w:p>
                      <w:pPr>
                        <w:ind w:firstLine="570"/>
                        <w:jc w:val="both"/>
                        <w:rPr>
                          <w:color w:val="000000"/>
                          <w:szCs w:val="24"/>
                        </w:rPr>
                      </w:pPr>
                      <w:r>
                        <w:rPr>
                          <w:i/>
                          <w:color w:val="000000"/>
                          <w:szCs w:val="24"/>
                        </w:rPr>
                        <w:t xml:space="preserve">70 </w:t>
                      </w:r>
                      <w:r>
                        <w:rPr>
                          <w:color w:val="000000"/>
                          <w:szCs w:val="24"/>
                        </w:rPr>
                        <w:t>– vidutinė temperatūra akumuliacinėse talpose šildymo sezono metu (°C);</w:t>
                      </w:r>
                    </w:p>
                    <w:p>
                      <w:pPr>
                        <w:ind w:firstLine="570"/>
                        <w:jc w:val="both"/>
                        <w:rPr>
                          <w:color w:val="000000"/>
                          <w:szCs w:val="24"/>
                        </w:rPr>
                      </w:pPr>
                      <w:r>
                        <w:rPr>
                          <w:i/>
                          <w:color w:val="000000"/>
                          <w:szCs w:val="24"/>
                        </w:rPr>
                        <w:t xml:space="preserve">30 </w:t>
                      </w:r>
                      <w:r>
                        <w:rPr>
                          <w:color w:val="000000"/>
                          <w:szCs w:val="24"/>
                        </w:rPr>
                        <w:t xml:space="preserve">– temperatūrų skirtumas, kuriam esant nustatyta </w:t>
                      </w:r>
                      <w:r>
                        <w:rPr>
                          <w:i/>
                          <w:color w:val="000000"/>
                          <w:szCs w:val="24"/>
                        </w:rPr>
                        <w:t>K</w:t>
                      </w:r>
                      <w:r>
                        <w:rPr>
                          <w:i/>
                          <w:color w:val="000000"/>
                          <w:szCs w:val="24"/>
                          <w:vertAlign w:val="subscript"/>
                        </w:rPr>
                        <w:t>SW50,x,y</w:t>
                      </w:r>
                      <w:r>
                        <w:rPr>
                          <w:color w:val="000000"/>
                          <w:szCs w:val="24"/>
                        </w:rPr>
                        <w:t xml:space="preserve"> (°C);</w:t>
                      </w:r>
                    </w:p>
                  </w:sdtContent>
                </w:sdt>
                <w:sdt>
                  <w:sdtPr>
                    <w:alias w:val="2 pr. 52.7 pp."/>
                    <w:tag w:val="part_b2ed941419d04e589f86eb1b47e87b16"/>
                    <w:lock w:val="sdtLocked"/>
                    <w:richText/>
                  </w:sdtPr>
                  <w:sdtContent>
                    <w:p>
                      <w:pPr>
                        <w:ind w:firstLine="570"/>
                        <w:jc w:val="both"/>
                        <w:rPr>
                          <w:color w:val="000000"/>
                          <w:szCs w:val="24"/>
                        </w:rPr>
                      </w:pPr>
                      <w:sdt>
                        <w:sdtPr>
                          <w:alias w:val="Numeris"/>
                          <w:tag w:val="nr_b2ed941419d04e589f86eb1b47e87b16"/>
                          <w:lock w:val="sdtLocked"/>
                          <w:richText/>
                        </w:sdtPr>
                        <w:sdtContent>
                          <w:r>
                            <w:rPr>
                              <w:color w:val="000000"/>
                              <w:szCs w:val="24"/>
                            </w:rPr>
                            <w:t>52.7</w:t>
                          </w:r>
                        </w:sdtContent>
                      </w:sdt>
                      <w:r>
                        <w:rPr>
                          <w:color w:val="000000"/>
                          <w:szCs w:val="24"/>
                        </w:rPr>
                        <w:t xml:space="preserve">. mėnesinės elektros energijos sąnaudos </w:t>
                      </w:r>
                      <w:r>
                        <w:rPr>
                          <w:i/>
                          <w:color w:val="000000"/>
                          <w:szCs w:val="24"/>
                        </w:rPr>
                        <w:t>Q</w:t>
                      </w:r>
                      <w:r>
                        <w:rPr>
                          <w:i/>
                          <w:color w:val="000000"/>
                          <w:szCs w:val="24"/>
                          <w:vertAlign w:val="subscript"/>
                        </w:rPr>
                        <w:t xml:space="preserve">E.H.hwSK,m,x </w:t>
                      </w:r>
                      <w:r>
                        <w:rPr>
                          <w:color w:val="000000"/>
                          <w:szCs w:val="24"/>
                        </w:rPr>
                        <w:t>(kWh/(m²·mėn.)) atitinkamoje</w:t>
                      </w:r>
                      <w:r>
                        <w:rPr>
                          <w:b/>
                          <w:color w:val="000000"/>
                          <w:szCs w:val="24"/>
                        </w:rPr>
                        <w:t xml:space="preserve"> </w:t>
                      </w:r>
                      <w:r>
                        <w:rPr>
                          <w:i/>
                          <w:color w:val="000000"/>
                          <w:szCs w:val="24"/>
                        </w:rPr>
                        <w:t xml:space="preserve">„x“ </w:t>
                      </w:r>
                      <w:r>
                        <w:rPr>
                          <w:color w:val="000000"/>
                          <w:szCs w:val="24"/>
                        </w:rPr>
                        <w:t>pastato šildymo sistemoje su Saulės kolektoriais apskaičiuojamos taip [3.25]:</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Cs w:val="24"/>
                              </w:rPr>
                            </w:pPr>
                          </w:p>
                          <w:p>
                            <w:pPr>
                              <w:spacing w:line="360" w:lineRule="auto"/>
                              <w:ind w:left="850" w:hanging="850"/>
                              <w:jc w:val="center"/>
                              <w:rPr>
                                <w:rFonts w:eastAsia="Calibri"/>
                                <w:bCs/>
                                <w:color w:val="000000"/>
                                <w:szCs w:val="24"/>
                              </w:rPr>
                            </w:pPr>
                            <w:r>
                              <w:rPr>
                                <w:color w:val="000000"/>
                                <w:szCs w:val="24"/>
                              </w:rPr>
                              <w:object w:dxaOrig="5280" w:dyaOrig="710">
                                <v:shape id="_x0000_i1254" type="#_x0000_t75" style="width:263.75pt;height:35.6pt" o:ole="">
                                  <v:imagedata r:id="rId743" o:title=""/>
                                </v:shape>
                                <o:OLEObject Type="Embed" ProgID="Equation.3" ShapeID="_x0000_i1254" DrawAspect="Content" ObjectID="_0000000001" r:id="rId744"/>
                              </w:object>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(2.200)</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t</w:t>
                      </w:r>
                      <w:r>
                        <w:rPr>
                          <w:i/>
                          <w:color w:val="000000"/>
                          <w:szCs w:val="24"/>
                          <w:vertAlign w:val="subscript"/>
                        </w:rPr>
                        <w:t>cp.H.hwSK,m,x</w:t>
                      </w:r>
                      <w:r>
                        <w:rPr>
                          <w:color w:val="000000"/>
                          <w:szCs w:val="24"/>
                        </w:rPr>
                        <w:t>– cirkuliacinių siurblių darbo laikas per atitinkamą</w:t>
                      </w:r>
                      <w:r>
                        <w:rPr>
                          <w:b/>
                          <w:color w:val="000000"/>
                          <w:szCs w:val="24"/>
                        </w:rPr>
                        <w:t xml:space="preserve"> </w:t>
                      </w:r>
                      <w:r>
                        <w:rPr>
                          <w:color w:val="000000"/>
                          <w:szCs w:val="24"/>
                        </w:rPr>
                        <w:t xml:space="preserve">mėnesį </w:t>
                      </w:r>
                      <w:r>
                        <w:rPr>
                          <w:i/>
                          <w:color w:val="000000"/>
                          <w:szCs w:val="24"/>
                        </w:rPr>
                        <w:t>„m“</w:t>
                      </w:r>
                      <w:r>
                        <w:rPr>
                          <w:color w:val="000000"/>
                          <w:szCs w:val="24"/>
                        </w:rPr>
                        <w:t xml:space="preserve"> atitinkamoje </w:t>
                      </w:r>
                      <w:r>
                        <w:rPr>
                          <w:i/>
                          <w:color w:val="000000"/>
                          <w:szCs w:val="24"/>
                        </w:rPr>
                        <w:t>„x“</w:t>
                      </w:r>
                      <w:r>
                        <w:rPr>
                          <w:color w:val="000000"/>
                          <w:szCs w:val="24"/>
                        </w:rPr>
                        <w:t xml:space="preserve"> pastato šildymo sistemoje su Saulės kolektoriais (h). Apskaičiuojamas pagal (2.201) formulę;</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Cs w:val="24"/>
                              </w:rPr>
                            </w:pPr>
                          </w:p>
                          <w:p>
                            <w:pPr>
                              <w:spacing w:line="360" w:lineRule="auto"/>
                              <w:ind w:left="850" w:hanging="850"/>
                              <w:jc w:val="center"/>
                              <w:rPr>
                                <w:rFonts w:eastAsia="Calibri"/>
                                <w:bCs/>
                                <w:color w:val="000000"/>
                                <w:szCs w:val="24"/>
                              </w:rPr>
                            </w:pPr>
                            <w:r>
                              <w:rPr>
                                <w:rFonts w:eastAsia="Calibri"/>
                                <w:color w:val="000000"/>
                                <w:szCs w:val="24"/>
                              </w:rPr>
                              <w:object w:dxaOrig="4930" w:dyaOrig="1330">
                                <v:shape id="_x0000_i1255" type="#_x0000_t75" style="width:246.75pt;height:67.15pt" o:ole="">
                                  <v:imagedata r:id="rId745" o:title=""/>
                                </v:shape>
                                <o:OLEObject Type="Embed" ProgID="Equation.3" ShapeID="_x0000_i1255" DrawAspect="Content" ObjectID="_0000000001" r:id="rId746"/>
                              </w:object>
                            </w:r>
                            <w:r>
                              <w:rPr>
                                <w:color w:val="000000"/>
                                <w:szCs w:val="24"/>
                              </w:rPr>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(2.201)</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čia:</w:t>
                        <w:tab/>
                      </w:r>
                      <w:r>
                        <w:rPr>
                          <w:i/>
                          <w:color w:val="000000"/>
                          <w:szCs w:val="24"/>
                        </w:rPr>
                        <w:t>t</w:t>
                      </w:r>
                      <w:r>
                        <w:rPr>
                          <w:i/>
                          <w:color w:val="000000"/>
                          <w:szCs w:val="24"/>
                          <w:vertAlign w:val="subscript"/>
                        </w:rPr>
                        <w:t>cp.H.hwSK.an</w:t>
                      </w:r>
                      <w:r>
                        <w:rPr>
                          <w:color w:val="000000"/>
                          <w:szCs w:val="24"/>
                        </w:rPr>
                        <w:t xml:space="preserve"> – cirkuliacinių siurblių darbo laikas per metus pastato šildymo sistemose su Saulės kolektoriais, kai šie kolektoriai naudojami tik pastatui šildyti (h). Imama </w:t>
                      </w:r>
                      <w:r>
                        <w:rPr>
                          <w:i/>
                          <w:color w:val="000000"/>
                          <w:szCs w:val="24"/>
                        </w:rPr>
                        <w:t>t</w:t>
                      </w:r>
                      <w:r>
                        <w:rPr>
                          <w:i/>
                          <w:color w:val="000000"/>
                          <w:szCs w:val="24"/>
                          <w:vertAlign w:val="subscript"/>
                        </w:rPr>
                        <w:t>cp.H.hwSK.an</w:t>
                      </w:r>
                      <w:r>
                        <w:rPr>
                          <w:color w:val="000000"/>
                          <w:szCs w:val="24"/>
                        </w:rPr>
                        <w:t xml:space="preserve"> = 2000 h [3.25].</w:t>
                      </w:r>
                    </w:p>
                  </w:sdtContent>
                </w:sdt>
              </w:sdtContent>
            </w:sdt>
            <w:sdt>
              <w:sdtPr>
                <w:alias w:val="2 pr. 53 p."/>
                <w:tag w:val="part_f615497f9da843ebbfcc0aebb37381ad"/>
                <w:lock w:val="sdtLocked"/>
                <w:richText/>
              </w:sdtPr>
              <w:sdtContent>
                <w:p>
                  <w:pPr>
                    <w:ind w:firstLine="600"/>
                    <w:jc w:val="both"/>
                    <w:rPr>
                      <w:color w:val="000000"/>
                      <w:szCs w:val="24"/>
                    </w:rPr>
                  </w:pPr>
                  <w:sdt>
                    <w:sdtPr>
                      <w:alias w:val="Numeris"/>
                      <w:tag w:val="nr_f615497f9da843ebbfcc0aebb37381ad"/>
                      <w:lock w:val="sdtLocked"/>
                      <w:richText/>
                    </w:sdtPr>
                    <w:sdtContent>
                      <w:r>
                        <w:rPr>
                          <w:color w:val="000000"/>
                          <w:szCs w:val="24"/>
                        </w:rPr>
                        <w:t>53</w:t>
                      </w:r>
                    </w:sdtContent>
                  </w:sdt>
                  <w:r>
                    <w:rPr>
                      <w:color w:val="000000"/>
                      <w:szCs w:val="24"/>
                    </w:rPr>
                    <w:t>. Energijos iš vandenį šildančių Saulės kolektorių neatsinaujinančios pirminės energijos sąnaudos pastate, kai ši energija naudojama pastatui šildyti ir karštam vandeniui ruošti, apskaičiuojamos taip:</w:t>
                  </w:r>
                </w:p>
                <w:sdt>
                  <w:sdtPr>
                    <w:alias w:val="2 pr. 53.1 pp."/>
                    <w:tag w:val="part_bd9f872246d3454ca906049afbeb38da"/>
                    <w:lock w:val="sdtLocked"/>
                    <w:richText/>
                  </w:sdtPr>
                  <w:sdtContent>
                    <w:p>
                      <w:pPr>
                        <w:ind w:firstLine="600"/>
                        <w:jc w:val="both"/>
                        <w:rPr>
                          <w:color w:val="000000"/>
                          <w:szCs w:val="24"/>
                        </w:rPr>
                      </w:pPr>
                      <w:sdt>
                        <w:sdtPr>
                          <w:alias w:val="Numeris"/>
                          <w:tag w:val="nr_bd9f872246d3454ca906049afbeb38da"/>
                          <w:lock w:val="sdtLocked"/>
                          <w:richText/>
                        </w:sdtPr>
                        <w:sdtContent>
                          <w:r>
                            <w:rPr>
                              <w:color w:val="000000"/>
                              <w:szCs w:val="24"/>
                            </w:rPr>
                            <w:t>53.1</w:t>
                          </w:r>
                        </w:sdtContent>
                      </w:sdt>
                      <w:r>
                        <w:rPr>
                          <w:color w:val="000000"/>
                          <w:szCs w:val="24"/>
                        </w:rPr>
                        <w:t xml:space="preserve">. kiekvieną mėnesį </w:t>
                      </w:r>
                      <w:r>
                        <w:rPr>
                          <w:i/>
                          <w:color w:val="000000"/>
                          <w:szCs w:val="24"/>
                        </w:rPr>
                        <w:t xml:space="preserve">„m“ </w:t>
                      </w:r>
                      <w:r>
                        <w:rPr>
                          <w:color w:val="000000"/>
                          <w:szCs w:val="24"/>
                        </w:rPr>
                        <w:t xml:space="preserve">visų Saulės kolektorių sistemų su vandenį šildančiais Saulės kolektoriais neatsinaujinančios pirminės energijos sąnaudos karštam vandeniui ruošti ir pastatui šildyti pastato šildomo ploto vienetui </w:t>
                      </w:r>
                      <w:r>
                        <w:rPr>
                          <w:i/>
                          <w:color w:val="000000"/>
                          <w:szCs w:val="24"/>
                        </w:rPr>
                        <w:t>Q</w:t>
                      </w:r>
                      <w:r>
                        <w:rPr>
                          <w:i/>
                          <w:color w:val="000000"/>
                          <w:szCs w:val="24"/>
                          <w:vertAlign w:val="subscript"/>
                        </w:rPr>
                        <w:t>PRn.(hw+H).hwSK,m</w:t>
                      </w:r>
                      <w:r>
                        <w:rPr>
                          <w:color w:val="000000"/>
                          <w:szCs w:val="24"/>
                        </w:rPr>
                        <w:t>(kWh/(m²·mėn.)) apskaičiuojamos taip:</w:t>
                      </w:r>
                    </w:p>
                    <w:tbl>
                      <w:tblPr>
                        <w:tblW w:w="5000" w:type="pct"/>
                        <w:jc w:val="center"/>
                        <w:tblLook w:val="01E0" w:firstRow="1" w:lastRow="1" w:firstColumn="1" w:lastColumn="1" w:noHBand="0" w:noVBand="0"/>
                      </w:tblPr>
                      <w:tblGrid>
                        <w:gridCol w:w="8938"/>
                        <w:gridCol w:w="916"/>
                      </w:tblGrid>
                      <w:tr>
                        <w:trPr>
                          <w:jc w:val="center"/>
                        </w:trPr>
                        <w:tc>
                          <w:tcPr>
                            <w:tcW w:w="4560" w:type="pct"/>
                            <w:vAlign w:val="center"/>
                            <w:hideMark/>
                          </w:tcPr>
                          <w:p>
                            <w:pPr>
                              <w:spacing w:line="276" w:lineRule="auto"/>
                              <w:jc w:val="center"/>
                              <w:rPr>
                                <w:rFonts w:eastAsia="Calibri"/>
                                <w:color w:val="000000"/>
                                <w:szCs w:val="24"/>
                              </w:rPr>
                            </w:pPr>
                            <w:r>
                              <w:rPr>
                                <w:color w:val="000000"/>
                                <w:szCs w:val="24"/>
                              </w:rPr>
                              <w:object w:dxaOrig="6500" w:dyaOrig="400">
                                <v:shape id="_x0000_i1256" type="#_x0000_t75" style="width:324.4pt;height:20.2pt" o:ole="">
                                  <v:imagedata r:id="rId747" o:title=""/>
                                </v:shape>
                                <o:OLEObject Type="Embed" ProgID="Equation.3" ShapeID="_x0000_i1256" DrawAspect="Content" ObjectID="_0000000001" r:id="rId748"/>
                              </w:object>
                              <w:t>;</w:t>
                            </w:r>
                          </w:p>
                        </w:tc>
                        <w:tc>
                          <w:tcPr>
                            <w:tcW w:w="440" w:type="pct"/>
                            <w:vAlign w:val="center"/>
                            <w:hideMark/>
                          </w:tcPr>
                          <w:p>
                            <w:pPr>
                              <w:spacing w:line="276" w:lineRule="auto"/>
                              <w:jc w:val="right"/>
                              <w:rPr>
                                <w:rFonts w:eastAsia="Calibri"/>
                                <w:color w:val="000000"/>
                                <w:szCs w:val="24"/>
                              </w:rPr>
                            </w:pPr>
                            <w:r>
                              <w:rPr>
                                <w:color w:val="000000"/>
                                <w:szCs w:val="24"/>
                              </w:rPr>
                              <w:t xml:space="preserve">(2.202) </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bscript"/>
                        </w:rPr>
                        <w:t>(hw+H).hwSK,m</w:t>
                      </w:r>
                      <w:r>
                        <w:rPr>
                          <w:color w:val="000000"/>
                          <w:szCs w:val="24"/>
                        </w:rPr>
                        <w:t xml:space="preserve">– Saulės kolektorių pagamintos šiluminės energijos sąnaudos atitinkamą mėnesį </w:t>
                      </w:r>
                      <w:r>
                        <w:rPr>
                          <w:i/>
                          <w:color w:val="000000"/>
                          <w:szCs w:val="24"/>
                        </w:rPr>
                        <w:t>„m“</w:t>
                      </w:r>
                      <w:r>
                        <w:rPr>
                          <w:color w:val="000000"/>
                          <w:szCs w:val="24"/>
                        </w:rPr>
                        <w:t xml:space="preserve"> karštam vandeniui ruošti ir pastatui šildyti (kWh/(m²·mėn.)). Apskaičiuojama pagal (2.205) formulę;</w:t>
                      </w:r>
                    </w:p>
                    <w:p>
                      <w:pPr>
                        <w:ind w:firstLine="567"/>
                        <w:jc w:val="both"/>
                        <w:rPr>
                          <w:color w:val="000000"/>
                          <w:szCs w:val="24"/>
                        </w:rPr>
                      </w:pPr>
                      <w:r>
                        <w:rPr>
                          <w:i/>
                          <w:color w:val="000000"/>
                          <w:szCs w:val="24"/>
                        </w:rPr>
                        <w:t>Q</w:t>
                      </w:r>
                      <w:r>
                        <w:rPr>
                          <w:i/>
                          <w:color w:val="000000"/>
                          <w:szCs w:val="24"/>
                          <w:vertAlign w:val="subscript"/>
                        </w:rPr>
                        <w:t xml:space="preserve">E.(hw+H).hwSK,m </w:t>
                      </w:r>
                      <w:r>
                        <w:rPr>
                          <w:color w:val="000000"/>
                          <w:szCs w:val="24"/>
                        </w:rPr>
                        <w:t>– mėnesinės elektros energijos sąnaudos sistemose su Saulės kolektoriais, kurios naudojamos karštam vandeniui ruošti ir pastatui šildyti (kWh/(m²·mėn.)). Apskaičiuojamos pagal (2.220) formulę;</w:t>
                      </w:r>
                    </w:p>
                    <w:p>
                      <w:pPr>
                        <w:ind w:firstLine="567"/>
                        <w:jc w:val="both"/>
                        <w:rPr>
                          <w:bCs/>
                          <w:color w:val="000000"/>
                          <w:szCs w:val="24"/>
                        </w:rPr>
                      </w:pPr>
                      <w:r>
                        <w:rPr>
                          <w:i/>
                          <w:color w:val="000000"/>
                          <w:szCs w:val="24"/>
                        </w:rPr>
                        <w:t>f</w:t>
                      </w:r>
                      <w:r>
                        <w:rPr>
                          <w:i/>
                          <w:color w:val="000000"/>
                          <w:szCs w:val="24"/>
                          <w:vertAlign w:val="subscript"/>
                        </w:rPr>
                        <w:t>PRn.hwSK</w:t>
                      </w:r>
                      <w:r>
                        <w:rPr>
                          <w:color w:val="000000"/>
                          <w:szCs w:val="24"/>
                        </w:rPr>
                        <w:t xml:space="preserve"> – neatsinaujinančios </w:t>
                      </w:r>
                      <w:r>
                        <w:rPr>
                          <w:bCs/>
                          <w:color w:val="000000"/>
                          <w:szCs w:val="24"/>
                        </w:rPr>
                        <w:t>pirminės energijos faktorius,</w:t>
                      </w:r>
                      <w:r>
                        <w:rPr>
                          <w:color w:val="000000"/>
                          <w:szCs w:val="24"/>
                        </w:rPr>
                        <w:t xml:space="preserve"> kai energijai gaminti naudojami vandenį šildantys Saulės kolektoriai (vnt.)</w:t>
                      </w:r>
                      <w:r>
                        <w:rPr>
                          <w:bCs/>
                          <w:color w:val="000000"/>
                          <w:szCs w:val="24"/>
                        </w:rPr>
                        <w:t>. Imamas iš 2.18 lentelės;</w:t>
                      </w:r>
                    </w:p>
                    <w:p>
                      <w:pPr>
                        <w:ind w:firstLine="629"/>
                        <w:jc w:val="both"/>
                        <w:rPr>
                          <w:bCs/>
                          <w:color w:val="000000"/>
                          <w:szCs w:val="24"/>
                        </w:rPr>
                      </w:pPr>
                      <w:r>
                        <w:rPr>
                          <w:i/>
                          <w:color w:val="000000"/>
                          <w:szCs w:val="24"/>
                        </w:rPr>
                        <w:t>f</w:t>
                      </w:r>
                      <w:r>
                        <w:rPr>
                          <w:i/>
                          <w:color w:val="000000"/>
                          <w:szCs w:val="24"/>
                          <w:vertAlign w:val="subscript"/>
                        </w:rPr>
                        <w:t>PRn.E</w:t>
                      </w:r>
                      <w:r>
                        <w:rPr>
                          <w:color w:val="000000"/>
                          <w:szCs w:val="24"/>
                        </w:rPr>
                        <w:t xml:space="preserve"> – neatsinaujinančios </w:t>
                      </w:r>
                      <w:r>
                        <w:rPr>
                          <w:bCs/>
                          <w:color w:val="000000"/>
                          <w:szCs w:val="24"/>
                        </w:rPr>
                        <w:t xml:space="preserve">pirminės energijos faktorius, kai energijos šaltinis – elektra </w:t>
                      </w:r>
                      <w:r>
                        <w:rPr>
                          <w:color w:val="000000"/>
                          <w:szCs w:val="24"/>
                        </w:rPr>
                        <w:t>(įvairių elektros gamybos būdų vidurkis) (vnt.)</w:t>
                      </w:r>
                      <w:r>
                        <w:rPr>
                          <w:bCs/>
                          <w:color w:val="000000"/>
                          <w:szCs w:val="24"/>
                        </w:rPr>
                        <w:t xml:space="preserve">. Imamas iš 2.18 lentelės; </w:t>
                      </w:r>
                    </w:p>
                  </w:sdtContent>
                </w:sdt>
                <w:sdt>
                  <w:sdtPr>
                    <w:alias w:val="2 pr. 53.2 pp."/>
                    <w:tag w:val="part_7a42308a69064ef1bf3ad44c8cda7177"/>
                    <w:lock w:val="sdtLocked"/>
                    <w:richText/>
                  </w:sdtPr>
                  <w:sdtContent>
                    <w:p>
                      <w:pPr>
                        <w:ind w:firstLine="600"/>
                        <w:jc w:val="both"/>
                        <w:rPr>
                          <w:color w:val="000000"/>
                          <w:szCs w:val="24"/>
                        </w:rPr>
                      </w:pPr>
                      <w:sdt>
                        <w:sdtPr>
                          <w:alias w:val="Numeris"/>
                          <w:tag w:val="nr_7a42308a69064ef1bf3ad44c8cda7177"/>
                          <w:lock w:val="sdtLocked"/>
                          <w:richText/>
                        </w:sdtPr>
                        <w:sdtContent>
                          <w:r>
                            <w:rPr>
                              <w:color w:val="000000"/>
                              <w:szCs w:val="24"/>
                            </w:rPr>
                            <w:t>53.2</w:t>
                          </w:r>
                        </w:sdtContent>
                      </w:sdt>
                      <w:r>
                        <w:rPr>
                          <w:color w:val="000000"/>
                          <w:szCs w:val="24"/>
                        </w:rPr>
                        <w:t xml:space="preserve">. karštą vandenį ruošiančių Saulės kolektorių sistemų, naudojamų pastatui šildyti ir karštam buitiniam vandeniui ruošti, per atitinkamą mėnesį </w:t>
                      </w:r>
                      <w:r>
                        <w:rPr>
                          <w:i/>
                          <w:color w:val="000000"/>
                          <w:szCs w:val="24"/>
                        </w:rPr>
                        <w:t>„m“</w:t>
                      </w:r>
                      <w:r>
                        <w:rPr>
                          <w:color w:val="000000"/>
                          <w:szCs w:val="24"/>
                        </w:rPr>
                        <w:t xml:space="preserve"> pagamintos šiluminės energijos dalys, tenkančios karštam vandeniui ruošti </w:t>
                      </w:r>
                      <w:r>
                        <w:rPr>
                          <w:i/>
                          <w:color w:val="000000"/>
                          <w:szCs w:val="24"/>
                        </w:rPr>
                        <w:t>f</w:t>
                      </w:r>
                      <w:r>
                        <w:rPr>
                          <w:i/>
                          <w:color w:val="000000"/>
                          <w:szCs w:val="24"/>
                          <w:vertAlign w:val="subscript"/>
                        </w:rPr>
                        <w:t>hw.hwSK,m</w:t>
                      </w:r>
                      <w:r>
                        <w:rPr>
                          <w:color w:val="000000"/>
                          <w:szCs w:val="24"/>
                        </w:rPr>
                        <w:t xml:space="preserve"> (vnt. dalis) ir pastatui šildyti </w:t>
                      </w:r>
                      <w:r>
                        <w:rPr>
                          <w:i/>
                          <w:color w:val="000000"/>
                          <w:szCs w:val="24"/>
                        </w:rPr>
                        <w:t>f</w:t>
                      </w:r>
                      <w:r>
                        <w:rPr>
                          <w:i/>
                          <w:color w:val="000000"/>
                          <w:szCs w:val="24"/>
                          <w:vertAlign w:val="subscript"/>
                        </w:rPr>
                        <w:t>H.hwSK,m</w:t>
                      </w:r>
                      <w:r>
                        <w:rPr>
                          <w:color w:val="000000"/>
                          <w:szCs w:val="24"/>
                        </w:rPr>
                        <w:t xml:space="preserve"> (vnt. dalis)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color w:val="000000"/>
                                <w:szCs w:val="24"/>
                              </w:rPr>
                              <w:object w:dxaOrig="5000" w:dyaOrig="710">
                                <v:shape id="_x0000_i1257" type="#_x0000_t75" style="width:250.8pt;height:35.6pt" o:ole="">
                                  <v:imagedata r:id="rId749" o:title=""/>
                                </v:shape>
                                <o:OLEObject Type="Embed" ProgID="Equation.3" ShapeID="_x0000_i1257" DrawAspect="Content" ObjectID="_0000000001" r:id="rId750"/>
                              </w:object>
                              <w:t>;</w:t>
                            </w:r>
                          </w:p>
                        </w:tc>
                        <w:tc>
                          <w:tcPr>
                            <w:tcW w:w="1062" w:type="dxa"/>
                            <w:vAlign w:val="center"/>
                            <w:hideMark/>
                          </w:tcPr>
                          <w:p>
                            <w:pPr>
                              <w:spacing w:line="276" w:lineRule="auto"/>
                              <w:jc w:val="right"/>
                              <w:rPr>
                                <w:rFonts w:eastAsia="Calibri"/>
                                <w:color w:val="000000"/>
                                <w:szCs w:val="24"/>
                              </w:rPr>
                            </w:pPr>
                            <w:r>
                              <w:rPr>
                                <w:color w:val="000000"/>
                                <w:szCs w:val="24"/>
                              </w:rPr>
                              <w:t>(2.203)</w:t>
                            </w:r>
                          </w:p>
                        </w:tc>
                      </w:tr>
                      <w:tr>
                        <w:trPr>
                          <w:jc w:val="center"/>
                        </w:trPr>
                        <w:tc>
                          <w:tcPr>
                            <w:tcW w:w="8508" w:type="dxa"/>
                            <w:vAlign w:val="center"/>
                            <w:hideMark/>
                          </w:tcPr>
                          <w:p>
                            <w:pPr>
                              <w:spacing w:line="276" w:lineRule="auto"/>
                              <w:jc w:val="center"/>
                              <w:rPr>
                                <w:rFonts w:eastAsia="Calibri"/>
                                <w:color w:val="000000"/>
                                <w:szCs w:val="24"/>
                              </w:rPr>
                            </w:pPr>
                            <w:r>
                              <w:rPr>
                                <w:color w:val="000000"/>
                                <w:szCs w:val="24"/>
                              </w:rPr>
                              <w:object w:dxaOrig="4940" w:dyaOrig="710">
                                <v:shape id="_x0000_i1258" type="#_x0000_t75" style="width:246.75pt;height:35.6pt" o:ole="">
                                  <v:imagedata r:id="rId751" o:title=""/>
                                </v:shape>
                                <o:OLEObject Type="Embed" ProgID="Equation.3" ShapeID="_x0000_i1258" DrawAspect="Content" ObjectID="_0000000001" r:id="rId752"/>
                              </w:object>
                              <w:t>;</w:t>
                            </w:r>
                          </w:p>
                        </w:tc>
                        <w:tc>
                          <w:tcPr>
                            <w:tcW w:w="1062" w:type="dxa"/>
                            <w:vAlign w:val="center"/>
                            <w:hideMark/>
                          </w:tcPr>
                          <w:p>
                            <w:pPr>
                              <w:spacing w:line="276" w:lineRule="auto"/>
                              <w:jc w:val="right"/>
                              <w:rPr>
                                <w:rFonts w:eastAsia="Calibri"/>
                                <w:color w:val="000000"/>
                                <w:szCs w:val="24"/>
                              </w:rPr>
                            </w:pPr>
                            <w:r>
                              <w:rPr>
                                <w:color w:val="000000"/>
                                <w:szCs w:val="24"/>
                              </w:rPr>
                              <w:t>(2.204)</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 xml:space="preserve">čia: </w:t>
                        <w:tab/>
                      </w:r>
                      <w:r>
                        <w:rPr>
                          <w:i/>
                          <w:color w:val="000000"/>
                          <w:szCs w:val="24"/>
                        </w:rPr>
                        <w:t>η</w:t>
                      </w:r>
                      <w:r>
                        <w:rPr>
                          <w:i/>
                          <w:color w:val="000000"/>
                          <w:szCs w:val="24"/>
                          <w:vertAlign w:val="subscript"/>
                        </w:rPr>
                        <w:t>1</w:t>
                      </w:r>
                      <w:r>
                        <w:rPr>
                          <w:color w:val="000000"/>
                          <w:szCs w:val="24"/>
                        </w:rPr>
                        <w:t xml:space="preserve"> – imamas iš 2.44 lentelės;</w:t>
                      </w:r>
                    </w:p>
                  </w:sdtContent>
                </w:sdt>
                <w:sdt>
                  <w:sdtPr>
                    <w:alias w:val="2 pr. 53.3 pp."/>
                    <w:tag w:val="part_e9487d8743df4140b7ecd4f0c1e993af"/>
                    <w:lock w:val="sdtLocked"/>
                    <w:richText/>
                  </w:sdtPr>
                  <w:sdtContent>
                    <w:p>
                      <w:pPr>
                        <w:ind w:firstLine="600"/>
                        <w:jc w:val="both"/>
                        <w:rPr>
                          <w:color w:val="000000"/>
                          <w:szCs w:val="24"/>
                        </w:rPr>
                      </w:pPr>
                      <w:sdt>
                        <w:sdtPr>
                          <w:alias w:val="Numeris"/>
                          <w:tag w:val="nr_e9487d8743df4140b7ecd4f0c1e993af"/>
                          <w:lock w:val="sdtLocked"/>
                          <w:richText/>
                        </w:sdtPr>
                        <w:sdtContent>
                          <w:r>
                            <w:rPr>
                              <w:color w:val="000000"/>
                              <w:szCs w:val="24"/>
                            </w:rPr>
                            <w:t>53.3</w:t>
                          </w:r>
                        </w:sdtContent>
                      </w:sdt>
                      <w:r>
                        <w:rPr>
                          <w:color w:val="000000"/>
                          <w:szCs w:val="24"/>
                        </w:rPr>
                        <w:t xml:space="preserve">. kiekvieną mėnesį </w:t>
                      </w:r>
                      <w:r>
                        <w:rPr>
                          <w:i/>
                          <w:color w:val="000000"/>
                          <w:szCs w:val="24"/>
                        </w:rPr>
                        <w:t xml:space="preserve">„m“ </w:t>
                      </w:r>
                      <w:r>
                        <w:rPr>
                          <w:color w:val="000000"/>
                          <w:szCs w:val="24"/>
                        </w:rPr>
                        <w:t xml:space="preserve">sistemų su Saulės kolektoriais pagamintos šiluminės energijos sąnaudos pastatui šildyti ir karštam vandeniui ruošti </w:t>
                      </w:r>
                      <w:r>
                        <w:rPr>
                          <w:i/>
                          <w:color w:val="000000"/>
                          <w:szCs w:val="24"/>
                        </w:rPr>
                        <w:t>Q</w:t>
                      </w:r>
                      <w:r>
                        <w:rPr>
                          <w:i/>
                          <w:color w:val="000000"/>
                          <w:szCs w:val="24"/>
                          <w:vertAlign w:val="subscript"/>
                        </w:rPr>
                        <w:t>(hw+H).hwSK,m</w:t>
                      </w:r>
                      <w:r>
                        <w:rPr>
                          <w:color w:val="000000"/>
                          <w:szCs w:val="24"/>
                        </w:rPr>
                        <w:t>(kWh/(m²·mėn.)) apskaičiuojamos taip [3.25]:</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color w:val="000000"/>
                                <w:szCs w:val="24"/>
                              </w:rPr>
                              <w:object w:dxaOrig="3810" w:dyaOrig="400">
                                <v:shape id="_x0000_i1259" type="#_x0000_t75" style="width:190.1pt;height:20.2pt" o:ole="">
                                  <v:imagedata r:id="rId753" o:title=""/>
                                </v:shape>
                                <o:OLEObject Type="Embed" ProgID="Equation.3" ShapeID="_x0000_i1259" DrawAspect="Content" ObjectID="_0000000001" r:id="rId754"/>
                              </w:object>
                              <w:t>;</w:t>
                            </w:r>
                          </w:p>
                        </w:tc>
                        <w:tc>
                          <w:tcPr>
                            <w:tcW w:w="1062" w:type="dxa"/>
                            <w:vAlign w:val="center"/>
                            <w:hideMark/>
                          </w:tcPr>
                          <w:p>
                            <w:pPr>
                              <w:spacing w:line="276" w:lineRule="auto"/>
                              <w:jc w:val="right"/>
                              <w:rPr>
                                <w:rFonts w:eastAsia="Calibri"/>
                                <w:color w:val="000000"/>
                                <w:szCs w:val="24"/>
                              </w:rPr>
                            </w:pPr>
                            <w:r>
                              <w:rPr>
                                <w:color w:val="000000"/>
                                <w:szCs w:val="24"/>
                              </w:rPr>
                              <w:t>(2.205)</w:t>
                            </w:r>
                          </w:p>
                        </w:tc>
                      </w:tr>
                    </w:tbl>
                    <w:p/>
                  </w:sdtContent>
                </w:sdt>
                <w:sdt>
                  <w:sdtPr>
                    <w:alias w:val="2 pr. 53.4 pp."/>
                    <w:tag w:val="part_5465cdae4ccd44329e3ebdf9668099b0"/>
                    <w:lock w:val="sdtLocked"/>
                    <w:richText/>
                  </w:sdtPr>
                  <w:sdtContent>
                    <w:p>
                      <w:pPr>
                        <w:ind w:firstLine="600"/>
                        <w:jc w:val="both"/>
                        <w:rPr>
                          <w:rFonts w:eastAsia="Calibri"/>
                          <w:color w:val="000000"/>
                          <w:szCs w:val="24"/>
                        </w:rPr>
                      </w:pPr>
                      <w:sdt>
                        <w:sdtPr>
                          <w:alias w:val="Numeris"/>
                          <w:tag w:val="nr_5465cdae4ccd44329e3ebdf9668099b0"/>
                          <w:lock w:val="sdtLocked"/>
                          <w:richText/>
                        </w:sdtPr>
                        <w:sdtContent>
                          <w:r>
                            <w:rPr>
                              <w:color w:val="000000"/>
                              <w:szCs w:val="24"/>
                            </w:rPr>
                            <w:t>53.4</w:t>
                          </w:r>
                        </w:sdtContent>
                      </w:sdt>
                      <w:r>
                        <w:rPr>
                          <w:color w:val="000000"/>
                          <w:szCs w:val="24"/>
                        </w:rPr>
                        <w:t xml:space="preserve">. kiekvieną mėnesį </w:t>
                      </w:r>
                      <w:r>
                        <w:rPr>
                          <w:i/>
                          <w:color w:val="000000"/>
                          <w:szCs w:val="24"/>
                        </w:rPr>
                        <w:t>„m“</w:t>
                      </w:r>
                      <w:r>
                        <w:rPr>
                          <w:color w:val="000000"/>
                          <w:szCs w:val="24"/>
                        </w:rPr>
                        <w:t xml:space="preserve"> atitinkamos </w:t>
                      </w:r>
                      <w:r>
                        <w:rPr>
                          <w:i/>
                          <w:color w:val="000000"/>
                          <w:szCs w:val="24"/>
                        </w:rPr>
                        <w:t>„x“</w:t>
                      </w:r>
                      <w:r>
                        <w:rPr>
                          <w:color w:val="000000"/>
                          <w:szCs w:val="24"/>
                        </w:rPr>
                        <w:t xml:space="preserve"> sistemos su Saulės kolektoriais pagamintos šiluminės energijos sąnaudos karštam vandeniui ruošti </w:t>
                      </w:r>
                      <w:r>
                        <w:rPr>
                          <w:i/>
                          <w:color w:val="000000"/>
                          <w:szCs w:val="24"/>
                        </w:rPr>
                        <w:t>Q</w:t>
                      </w:r>
                      <w:r>
                        <w:rPr>
                          <w:i/>
                          <w:color w:val="000000"/>
                          <w:szCs w:val="24"/>
                          <w:vertAlign w:val="superscript"/>
                        </w:rPr>
                        <w:t>I</w:t>
                      </w:r>
                      <w:r>
                        <w:rPr>
                          <w:i/>
                          <w:color w:val="000000"/>
                          <w:szCs w:val="24"/>
                          <w:vertAlign w:val="subscript"/>
                        </w:rPr>
                        <w:t>hw.hwSK,m,x</w:t>
                      </w:r>
                      <w:r>
                        <w:rPr>
                          <w:color w:val="000000"/>
                          <w:szCs w:val="24"/>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szCs w:val="24"/>
                                <w:lang w:eastAsia="lt-LT"/>
                              </w:rPr>
                              <w:object w:dxaOrig="6250" w:dyaOrig="730">
                                <v:shape id="_x0000_i1260" type="#_x0000_t75" style="width:313.1pt;height:37.2pt" o:ole="">
                                  <v:imagedata r:id="rId755" o:title=""/>
                                </v:shape>
                                <o:OLEObject Type="Embed" ProgID="Equation.3" ShapeID="_x0000_i1260" DrawAspect="Content" ObjectID="_0000000001" r:id="rId756"/>
                              </w:object>
                            </w:r>
                            <w:r>
                              <w:rPr>
                                <w:szCs w:val="24"/>
                              </w:rPr>
                              <w:t>,</w:t>
                            </w:r>
                          </w:p>
                        </w:tc>
                        <w:tc>
                          <w:tcPr>
                            <w:tcW w:w="1062" w:type="dxa"/>
                            <w:vAlign w:val="center"/>
                            <w:hideMark/>
                          </w:tcPr>
                          <w:p>
                            <w:pPr>
                              <w:spacing w:line="276" w:lineRule="auto"/>
                              <w:jc w:val="right"/>
                              <w:rPr>
                                <w:rFonts w:eastAsia="Calibri"/>
                                <w:color w:val="000000"/>
                                <w:szCs w:val="24"/>
                              </w:rPr>
                            </w:pPr>
                            <w:r>
                              <w:rPr>
                                <w:color w:val="000000"/>
                                <w:szCs w:val="24"/>
                              </w:rPr>
                              <w:t>(2.206)</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w:t>
                      </w:r>
                      <w:r>
                        <w:rPr>
                          <w:i/>
                          <w:color w:val="000000"/>
                          <w:szCs w:val="24"/>
                          <w:vertAlign w:val="subscript"/>
                        </w:rPr>
                        <w:t>hw.hwSK.out,m,x</w:t>
                      </w:r>
                      <w:r>
                        <w:rPr>
                          <w:color w:val="000000"/>
                          <w:szCs w:val="24"/>
                        </w:rPr>
                        <w:t xml:space="preserve">– kiekvieną mėnesį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sistemos Saulės kolektorių pagamintas energijos kiekis karštam vandeniui ruošti (kWh/(m²·mėn.)). Apskaičiuojamas pagal (2.212) formulę;</w:t>
                      </w:r>
                    </w:p>
                    <w:p>
                      <w:pPr>
                        <w:ind w:firstLine="567"/>
                        <w:jc w:val="both"/>
                        <w:rPr>
                          <w:color w:val="000000"/>
                          <w:szCs w:val="24"/>
                        </w:rPr>
                      </w:pPr>
                      <w:r>
                        <w:rPr>
                          <w:i/>
                          <w:color w:val="000000"/>
                          <w:szCs w:val="24"/>
                        </w:rPr>
                        <w:t>Q</w:t>
                      </w:r>
                      <w:r>
                        <w:rPr>
                          <w:i/>
                          <w:color w:val="000000"/>
                          <w:szCs w:val="24"/>
                          <w:vertAlign w:val="superscript"/>
                        </w:rPr>
                        <w:t>I</w:t>
                      </w:r>
                      <w:r>
                        <w:rPr>
                          <w:i/>
                          <w:color w:val="000000"/>
                          <w:szCs w:val="24"/>
                          <w:vertAlign w:val="subscript"/>
                        </w:rPr>
                        <w:t>hw.hwSK.dis,m,x</w:t>
                      </w:r>
                      <w:r>
                        <w:rPr>
                          <w:color w:val="000000"/>
                          <w:szCs w:val="24"/>
                        </w:rPr>
                        <w:t xml:space="preserve">– kiekvieno mėnesio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sistemos su vandenį šildančiais Saulės kolektoriais šilumos nuostoliai vamzdynuose tarp Saulės kolektoriaus ir karšto vandens talpos (kWh/(m²·mėn.)). Jei vamzdynai apšiltinti </w:t>
                      </w:r>
                      <w:r>
                        <w:rPr>
                          <w:i/>
                          <w:color w:val="000000"/>
                          <w:szCs w:val="24"/>
                        </w:rPr>
                        <w:t>Q</w:t>
                      </w:r>
                      <w:r>
                        <w:rPr>
                          <w:i/>
                          <w:color w:val="000000"/>
                          <w:szCs w:val="24"/>
                          <w:vertAlign w:val="superscript"/>
                        </w:rPr>
                        <w:t>I</w:t>
                      </w:r>
                      <w:r>
                        <w:rPr>
                          <w:i/>
                          <w:color w:val="000000"/>
                          <w:szCs w:val="24"/>
                          <w:vertAlign w:val="subscript"/>
                        </w:rPr>
                        <w:t xml:space="preserve">hw.hwSK.dis,m,x </w:t>
                      </w:r>
                      <w:r>
                        <w:rPr>
                          <w:color w:val="000000"/>
                          <w:szCs w:val="24"/>
                        </w:rPr>
                        <w:t>= 0,02·</w:t>
                      </w:r>
                      <w:r>
                        <w:rPr>
                          <w:i/>
                          <w:color w:val="000000"/>
                          <w:szCs w:val="24"/>
                        </w:rPr>
                        <w:t>Q</w:t>
                      </w:r>
                      <w:r>
                        <w:rPr>
                          <w:i/>
                          <w:color w:val="000000"/>
                          <w:szCs w:val="24"/>
                          <w:vertAlign w:val="superscript"/>
                        </w:rPr>
                        <w:t>I</w:t>
                      </w:r>
                      <w:r>
                        <w:rPr>
                          <w:i/>
                          <w:color w:val="000000"/>
                          <w:szCs w:val="24"/>
                          <w:vertAlign w:val="subscript"/>
                        </w:rPr>
                        <w:t>hw.hwSK.out,m,x</w:t>
                      </w:r>
                      <w:r>
                        <w:rPr>
                          <w:color w:val="000000"/>
                          <w:szCs w:val="24"/>
                        </w:rPr>
                        <w:t xml:space="preserve">, jei neapšiltinti, – </w:t>
                      </w:r>
                      <w:r>
                        <w:rPr>
                          <w:i/>
                          <w:color w:val="000000"/>
                          <w:szCs w:val="24"/>
                        </w:rPr>
                        <w:t>Q</w:t>
                      </w:r>
                      <w:r>
                        <w:rPr>
                          <w:i/>
                          <w:color w:val="000000"/>
                          <w:szCs w:val="24"/>
                          <w:vertAlign w:val="superscript"/>
                        </w:rPr>
                        <w:t>I</w:t>
                      </w:r>
                      <w:r>
                        <w:rPr>
                          <w:i/>
                          <w:color w:val="000000"/>
                          <w:szCs w:val="24"/>
                          <w:vertAlign w:val="subscript"/>
                        </w:rPr>
                        <w:t>hw.hwSK.dis,m,x</w:t>
                      </w:r>
                      <w:r>
                        <w:rPr>
                          <w:color w:val="000000"/>
                          <w:szCs w:val="24"/>
                        </w:rPr>
                        <w:t>= 0,05·</w:t>
                      </w:r>
                      <w:r>
                        <w:rPr>
                          <w:i/>
                          <w:color w:val="000000"/>
                          <w:szCs w:val="24"/>
                        </w:rPr>
                        <w:t>Q</w:t>
                      </w:r>
                      <w:r>
                        <w:rPr>
                          <w:i/>
                          <w:color w:val="000000"/>
                          <w:szCs w:val="24"/>
                          <w:vertAlign w:val="superscript"/>
                        </w:rPr>
                        <w:t>I</w:t>
                      </w:r>
                      <w:r>
                        <w:rPr>
                          <w:i/>
                          <w:color w:val="000000"/>
                          <w:szCs w:val="24"/>
                          <w:vertAlign w:val="subscript"/>
                        </w:rPr>
                        <w:t>hw.hwSK.out,m,x</w:t>
                      </w:r>
                      <w:r>
                        <w:rPr>
                          <w:color w:val="000000"/>
                          <w:szCs w:val="24"/>
                        </w:rPr>
                        <w:t xml:space="preserve"> [3.25];</w:t>
                      </w:r>
                    </w:p>
                    <w:p>
                      <w:pPr>
                        <w:ind w:firstLine="567"/>
                        <w:jc w:val="both"/>
                        <w:rPr>
                          <w:color w:val="000000"/>
                          <w:szCs w:val="24"/>
                        </w:rPr>
                      </w:pPr>
                      <w:r>
                        <w:rPr>
                          <w:i/>
                          <w:szCs w:val="24"/>
                        </w:rPr>
                        <w:t>Q</w:t>
                      </w:r>
                      <w:r>
                        <w:rPr>
                          <w:i/>
                          <w:szCs w:val="24"/>
                          <w:vertAlign w:val="superscript"/>
                        </w:rPr>
                        <w:t>I</w:t>
                      </w:r>
                      <w:r>
                        <w:rPr>
                          <w:i/>
                          <w:szCs w:val="24"/>
                          <w:vertAlign w:val="subscript"/>
                        </w:rPr>
                        <w:t>hw.hwSK.SW,m,x</w:t>
                      </w:r>
                      <w:r>
                        <w:rPr>
                          <w:color w:val="000000"/>
                          <w:szCs w:val="24"/>
                        </w:rPr>
                        <w:t xml:space="preserve">– kiekvieno mėnesio </w:t>
                      </w:r>
                      <w:r>
                        <w:rPr>
                          <w:i/>
                          <w:color w:val="000000"/>
                          <w:szCs w:val="24"/>
                        </w:rPr>
                        <w:t xml:space="preserve">„m“ </w:t>
                      </w:r>
                      <w:r>
                        <w:rPr>
                          <w:color w:val="000000"/>
                          <w:szCs w:val="24"/>
                        </w:rPr>
                        <w:t xml:space="preserve">šilumos nuostoliai karšto vandens talpose atitinkamoje </w:t>
                      </w:r>
                      <w:r>
                        <w:rPr>
                          <w:i/>
                          <w:color w:val="000000"/>
                          <w:szCs w:val="24"/>
                        </w:rPr>
                        <w:t>„x“</w:t>
                      </w:r>
                      <w:r>
                        <w:rPr>
                          <w:color w:val="000000"/>
                          <w:szCs w:val="24"/>
                        </w:rPr>
                        <w:t xml:space="preserve"> sistemoje su vandenį šildančiais Saulės kolektoriais (kWh/(m²·mėn.)). Apskaičiuojami pagal (2.215) formulę;</w:t>
                      </w:r>
                    </w:p>
                    <w:p>
                      <w:pPr>
                        <w:ind w:firstLine="567"/>
                        <w:rPr>
                          <w:color w:val="000000"/>
                          <w:szCs w:val="24"/>
                        </w:rPr>
                      </w:pPr>
                      <w:r>
                        <w:rPr>
                          <w:color w:val="000000"/>
                          <w:szCs w:val="24"/>
                        </w:rPr>
                        <w:t>(2.206) formulės taikymo sąlygos:</w:t>
                      </w:r>
                    </w:p>
                    <w:tbl>
                      <w:tblPr>
                        <w:tblW w:w="0" w:type="auto"/>
                        <w:tblLook w:val="01E0" w:firstRow="1" w:lastRow="1" w:firstColumn="1" w:lastColumn="1" w:noHBand="0" w:noVBand="0"/>
                      </w:tblPr>
                      <w:tblGrid>
                        <w:gridCol w:w="8508"/>
                        <w:gridCol w:w="1062"/>
                      </w:tblGrid>
                      <w:tr>
                        <w:tc>
                          <w:tcPr>
                            <w:tcW w:w="8508" w:type="dxa"/>
                            <w:vAlign w:val="center"/>
                            <w:hideMark/>
                          </w:tcPr>
                          <w:p>
                            <w:pPr>
                              <w:tabs>
                                <w:tab w:val="left" w:pos="1134"/>
                              </w:tabs>
                              <w:spacing w:line="276" w:lineRule="auto"/>
                              <w:ind w:firstLine="851"/>
                              <w:jc w:val="both"/>
                              <w:rPr>
                                <w:rFonts w:eastAsia="Calibri"/>
                                <w:color w:val="000000"/>
                                <w:szCs w:val="24"/>
                              </w:rPr>
                            </w:pPr>
                            <w:r>
                              <w:rPr>
                                <w:color w:val="000000"/>
                                <w:szCs w:val="24"/>
                              </w:rPr>
                              <w:t xml:space="preserve">-jei </w:t>
                            </w:r>
                            <w:r>
                              <w:rPr>
                                <w:i/>
                                <w:szCs w:val="24"/>
                              </w:rPr>
                              <w:t>Q</w:t>
                            </w:r>
                            <w:r>
                              <w:rPr>
                                <w:i/>
                                <w:szCs w:val="24"/>
                                <w:vertAlign w:val="superscript"/>
                              </w:rPr>
                              <w:t>I</w:t>
                            </w:r>
                            <w:r>
                              <w:rPr>
                                <w:i/>
                                <w:szCs w:val="24"/>
                                <w:vertAlign w:val="subscript"/>
                              </w:rPr>
                              <w:t>hw.hwSK,m</w:t>
                            </w:r>
                            <w:r>
                              <w:rPr>
                                <w:szCs w:val="24"/>
                              </w:rPr>
                              <w:t xml:space="preserve">&lt;0, tada </w:t>
                            </w:r>
                            <w:r>
                              <w:rPr>
                                <w:i/>
                                <w:szCs w:val="24"/>
                              </w:rPr>
                              <w:t>Q</w:t>
                            </w:r>
                            <w:r>
                              <w:rPr>
                                <w:i/>
                                <w:szCs w:val="24"/>
                                <w:vertAlign w:val="superscript"/>
                              </w:rPr>
                              <w:t>I</w:t>
                            </w:r>
                            <w:r>
                              <w:rPr>
                                <w:i/>
                                <w:szCs w:val="24"/>
                                <w:vertAlign w:val="subscript"/>
                              </w:rPr>
                              <w:t>hw.hwSK,m</w:t>
                            </w:r>
                            <w:r>
                              <w:rPr>
                                <w:szCs w:val="24"/>
                              </w:rPr>
                              <w:t>=0</w:t>
                            </w:r>
                          </w:p>
                        </w:tc>
                        <w:tc>
                          <w:tcPr>
                            <w:tcW w:w="1062" w:type="dxa"/>
                            <w:vAlign w:val="center"/>
                            <w:hideMark/>
                          </w:tcPr>
                          <w:p>
                            <w:pPr>
                              <w:spacing w:line="276" w:lineRule="auto"/>
                              <w:jc w:val="right"/>
                              <w:rPr>
                                <w:rFonts w:eastAsia="Calibri"/>
                                <w:color w:val="000000"/>
                                <w:szCs w:val="24"/>
                              </w:rPr>
                            </w:pPr>
                            <w:r>
                              <w:rPr>
                                <w:color w:val="000000"/>
                                <w:szCs w:val="24"/>
                              </w:rPr>
                              <w:t>(2.207)</w:t>
                            </w:r>
                          </w:p>
                        </w:tc>
                      </w:tr>
                    </w:tbl>
                    <w:p>
                      <w:pPr>
                        <w:tabs>
                          <w:tab w:val="left" w:pos="1200"/>
                        </w:tabs>
                        <w:ind w:left="1200" w:hanging="360"/>
                        <w:jc w:val="both"/>
                        <w:rPr>
                          <w:rFonts w:eastAsia="Calibri"/>
                          <w:color w:val="000000"/>
                          <w:szCs w:val="24"/>
                        </w:rPr>
                      </w:pPr>
                      <w:r>
                        <w:rPr>
                          <w:color w:val="000000"/>
                          <w:szCs w:val="24"/>
                        </w:rPr>
                        <w:t>-</w:t>
                        <w:tab/>
                        <w:t>jei</w:t>
                      </w:r>
                      <w:r>
                        <w:rPr>
                          <w:b/>
                          <w:color w:val="000000"/>
                          <w:szCs w:val="24"/>
                        </w:rPr>
                        <w:t xml:space="preserve"> </w:t>
                      </w:r>
                      <w:r>
                        <w:rPr>
                          <w:position w:val="-14"/>
                          <w:szCs w:val="24"/>
                          <w:lang w:eastAsia="lt-LT"/>
                        </w:rPr>
                        <w:object w:dxaOrig="2880" w:dyaOrig="400">
                          <v:shape id="_x0000_i1261" type="#_x0000_t75" style="width:2in;height:20.2pt" o:ole="">
                            <v:imagedata r:id="rId757" o:title=""/>
                          </v:shape>
                          <o:OLEObject Type="Embed" ProgID="Equation.3" ShapeID="_x0000_i1261" DrawAspect="Content" ObjectID="_0000000001" r:id="rId758"/>
                        </w:object>
                      </w:r>
                      <w:r>
                        <w:rPr>
                          <w:szCs w:val="24"/>
                        </w:rPr>
                        <w:t>,</w:t>
                      </w:r>
                    </w:p>
                    <w:p>
                      <w:pPr>
                        <w:ind w:left="840"/>
                        <w:rPr>
                          <w:color w:val="000000"/>
                          <w:szCs w:val="24"/>
                        </w:rPr>
                      </w:pPr>
                      <w:r>
                        <w:rPr>
                          <w:color w:val="000000"/>
                          <w:szCs w:val="24"/>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2880" w:dyaOrig="400">
                                <v:shape id="_x0000_i1262" type="#_x0000_t75" style="width:2in;height:20.2pt" o:ole="">
                                  <v:imagedata r:id="rId759" o:title=""/>
                                </v:shape>
                                <o:OLEObject Type="Embed" ProgID="Equation.3" ShapeID="_x0000_i1262" DrawAspect="Content" ObjectID="_0000000001" r:id="rId760"/>
                              </w:objec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(2.208)</w:t>
                            </w:r>
                          </w:p>
                        </w:tc>
                      </w:tr>
                    </w:tbl>
                    <w:p>
                      <w:pPr>
                        <w:jc w:val="both"/>
                        <w:rPr>
                          <w:color w:val="000000"/>
                          <w:szCs w:val="24"/>
                        </w:rPr>
                      </w:pPr>
                    </w:p>
                    <w:p>
                      <w:pPr>
                        <w:jc w:val="both"/>
                        <w:rPr>
                          <w:rFonts w:eastAsia="Calibri"/>
                          <w:color w:val="000000"/>
                          <w:szCs w:val="24"/>
                        </w:rPr>
                      </w:pPr>
                      <w:r>
                        <w:rPr>
                          <w:color w:val="000000"/>
                          <w:szCs w:val="24"/>
                        </w:rPr>
                        <w:t xml:space="preserve">o kitu atveju </w:t>
                      </w:r>
                      <w:r>
                        <w:rPr>
                          <w:i/>
                          <w:color w:val="000000"/>
                          <w:szCs w:val="24"/>
                        </w:rPr>
                        <w:t>Q</w:t>
                      </w:r>
                      <w:r>
                        <w:rPr>
                          <w:i/>
                          <w:color w:val="000000"/>
                          <w:szCs w:val="24"/>
                          <w:vertAlign w:val="subscript"/>
                        </w:rPr>
                        <w:t xml:space="preserve">hw.hwSK,m </w:t>
                      </w:r>
                      <w:r>
                        <w:rPr>
                          <w:color w:val="000000"/>
                          <w:szCs w:val="24"/>
                        </w:rPr>
                        <w:t>atitinka skaičiavimo rezultatui, gautam pagal (2.206) formulę;</w:t>
                      </w:r>
                    </w:p>
                    <w:p>
                      <w:pPr>
                        <w:tabs>
                          <w:tab w:val="left" w:pos="567"/>
                        </w:tabs>
                        <w:jc w:val="both"/>
                        <w:rPr>
                          <w:color w:val="000000"/>
                          <w:szCs w:val="24"/>
                        </w:rPr>
                      </w:pPr>
                      <w:r>
                        <w:rPr>
                          <w:color w:val="000000"/>
                          <w:szCs w:val="24"/>
                        </w:rPr>
                        <w:t>čia:</w:t>
                        <w:tab/>
                      </w:r>
                      <w:r>
                        <w:rPr>
                          <w:i/>
                          <w:color w:val="000000"/>
                          <w:szCs w:val="24"/>
                        </w:rPr>
                        <w:t>Q</w:t>
                      </w:r>
                      <w:r>
                        <w:rPr>
                          <w:i/>
                          <w:color w:val="000000"/>
                          <w:szCs w:val="24"/>
                          <w:vertAlign w:val="subscript"/>
                        </w:rPr>
                        <w:t>hw.hwSK,m,x</w:t>
                      </w:r>
                      <w:r>
                        <w:rPr>
                          <w:color w:val="000000"/>
                          <w:szCs w:val="24"/>
                        </w:rPr>
                        <w:t xml:space="preserve"> – atitinkamos </w:t>
                      </w:r>
                      <w:r>
                        <w:rPr>
                          <w:i/>
                          <w:color w:val="000000"/>
                          <w:szCs w:val="24"/>
                        </w:rPr>
                        <w:t>„x“</w:t>
                      </w:r>
                      <w:r>
                        <w:rPr>
                          <w:color w:val="000000"/>
                          <w:szCs w:val="24"/>
                        </w:rPr>
                        <w:t xml:space="preserve"> vandenį šildančių Saulės kolektorių sistemos pagamintos energijos sąnaudos karštam vandeniui ruošti (kWh/(m²·mėn.)). Apskaičiuojama pagal (2.183) formulę; </w:t>
                      </w:r>
                    </w:p>
                  </w:sdtContent>
                </w:sdt>
                <w:sdt>
                  <w:sdtPr>
                    <w:alias w:val="2 pr. 53.5 pp."/>
                    <w:tag w:val="part_a5a4e62591a9445b8bd8fb65bef0e0ee"/>
                    <w:lock w:val="sdtLocked"/>
                    <w:richText/>
                  </w:sdtPr>
                  <w:sdtContent>
                    <w:p>
                      <w:pPr>
                        <w:ind w:firstLine="600"/>
                        <w:jc w:val="both"/>
                        <w:rPr>
                          <w:color w:val="000000"/>
                          <w:szCs w:val="24"/>
                        </w:rPr>
                      </w:pPr>
                      <w:sdt>
                        <w:sdtPr>
                          <w:alias w:val="Numeris"/>
                          <w:tag w:val="nr_a5a4e62591a9445b8bd8fb65bef0e0ee"/>
                          <w:lock w:val="sdtLocked"/>
                          <w:richText/>
                        </w:sdtPr>
                        <w:sdtContent>
                          <w:r>
                            <w:rPr>
                              <w:color w:val="000000"/>
                              <w:szCs w:val="24"/>
                            </w:rPr>
                            <w:t>53.5</w:t>
                          </w:r>
                        </w:sdtContent>
                      </w:sdt>
                      <w:r>
                        <w:rPr>
                          <w:color w:val="000000"/>
                          <w:szCs w:val="24"/>
                        </w:rPr>
                        <w:t xml:space="preserve">. kiekvieną mėnesį </w:t>
                      </w:r>
                      <w:r>
                        <w:rPr>
                          <w:i/>
                          <w:color w:val="000000"/>
                          <w:szCs w:val="24"/>
                        </w:rPr>
                        <w:t>„m“</w:t>
                      </w:r>
                      <w:r>
                        <w:rPr>
                          <w:color w:val="000000"/>
                          <w:szCs w:val="24"/>
                        </w:rPr>
                        <w:t xml:space="preserve"> sistemų su Saulės kolektoriais pagamintos šiluminės energijos sąnaudos pastatui šildyti </w:t>
                      </w:r>
                      <w:r>
                        <w:rPr>
                          <w:i/>
                          <w:color w:val="000000"/>
                          <w:szCs w:val="24"/>
                        </w:rPr>
                        <w:t>Q</w:t>
                      </w:r>
                      <w:r>
                        <w:rPr>
                          <w:i/>
                          <w:color w:val="000000"/>
                          <w:szCs w:val="24"/>
                          <w:vertAlign w:val="superscript"/>
                        </w:rPr>
                        <w:t>I</w:t>
                      </w:r>
                      <w:r>
                        <w:rPr>
                          <w:i/>
                          <w:color w:val="000000"/>
                          <w:szCs w:val="24"/>
                          <w:vertAlign w:val="subscript"/>
                        </w:rPr>
                        <w:t>H.hwSK,m</w:t>
                      </w:r>
                      <w:r>
                        <w:rPr>
                          <w:color w:val="000000"/>
                          <w:szCs w:val="24"/>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szCs w:val="24"/>
                              </w:rPr>
                              <w:object w:dxaOrig="4720" w:dyaOrig="730">
                                <v:shape id="_x0000_i1263" type="#_x0000_t75" style="width:236.2pt;height:37.2pt" o:ole="">
                                  <v:imagedata r:id="rId761" o:title=""/>
                                </v:shape>
                                <o:OLEObject Type="Embed" ProgID="Equation.3" ShapeID="_x0000_i1263" DrawAspect="Content" ObjectID="_0000000001" r:id="rId762"/>
                              </w:object>
                              <w:t>;</w:t>
                            </w:r>
                          </w:p>
                        </w:tc>
                        <w:tc>
                          <w:tcPr>
                            <w:tcW w:w="1062" w:type="dxa"/>
                            <w:vAlign w:val="center"/>
                            <w:hideMark/>
                          </w:tcPr>
                          <w:p>
                            <w:pPr>
                              <w:spacing w:line="276" w:lineRule="auto"/>
                              <w:jc w:val="right"/>
                              <w:rPr>
                                <w:rFonts w:eastAsia="Calibri"/>
                                <w:color w:val="000000"/>
                                <w:szCs w:val="24"/>
                              </w:rPr>
                            </w:pPr>
                            <w:r>
                              <w:rPr>
                                <w:color w:val="000000"/>
                                <w:szCs w:val="24"/>
                              </w:rPr>
                              <w:t>(2.209)</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w:t>
                      </w:r>
                      <w:r>
                        <w:rPr>
                          <w:i/>
                          <w:color w:val="000000"/>
                          <w:szCs w:val="24"/>
                          <w:vertAlign w:val="subscript"/>
                        </w:rPr>
                        <w:t>H.hwSK.out,m,x</w:t>
                      </w:r>
                      <w:r>
                        <w:rPr>
                          <w:color w:val="000000"/>
                          <w:szCs w:val="24"/>
                        </w:rPr>
                        <w:t xml:space="preserve">– kiekvieną mėnesį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sistemos Saulės kolektorių pagamintas energijos kiekis pastatui šildyti (kWh/(m²·mėn.)). Apskaičiuojamas pagal (2.216) formulę;</w:t>
                      </w:r>
                    </w:p>
                    <w:p>
                      <w:pPr>
                        <w:ind w:firstLine="567"/>
                        <w:jc w:val="both"/>
                        <w:rPr>
                          <w:color w:val="000000"/>
                          <w:szCs w:val="24"/>
                        </w:rPr>
                      </w:pPr>
                      <w:r>
                        <w:rPr>
                          <w:i/>
                          <w:szCs w:val="24"/>
                        </w:rPr>
                        <w:t>Q</w:t>
                      </w:r>
                      <w:r>
                        <w:rPr>
                          <w:i/>
                          <w:szCs w:val="24"/>
                          <w:vertAlign w:val="superscript"/>
                        </w:rPr>
                        <w:t>I</w:t>
                      </w:r>
                      <w:r>
                        <w:rPr>
                          <w:i/>
                          <w:szCs w:val="24"/>
                          <w:vertAlign w:val="subscript"/>
                        </w:rPr>
                        <w:t>H.hwSK.SW,m,x</w:t>
                      </w:r>
                      <w:r>
                        <w:rPr>
                          <w:b/>
                          <w:i/>
                          <w:szCs w:val="24"/>
                          <w:vertAlign w:val="subscript"/>
                        </w:rPr>
                        <w:t xml:space="preserve"> </w:t>
                      </w:r>
                      <w:r>
                        <w:rPr>
                          <w:color w:val="000000"/>
                          <w:szCs w:val="24"/>
                        </w:rPr>
                        <w:t xml:space="preserve">– kiekvieno mėnesio </w:t>
                      </w:r>
                      <w:r>
                        <w:rPr>
                          <w:i/>
                          <w:color w:val="000000"/>
                          <w:szCs w:val="24"/>
                        </w:rPr>
                        <w:t xml:space="preserve">„m“ </w:t>
                      </w:r>
                      <w:r>
                        <w:rPr>
                          <w:color w:val="000000"/>
                          <w:szCs w:val="24"/>
                        </w:rPr>
                        <w:t xml:space="preserve">šilumos nuostoliai buitinio karšto vandens talpose, esančiose atitinkamoje </w:t>
                      </w:r>
                      <w:r>
                        <w:rPr>
                          <w:i/>
                          <w:color w:val="000000"/>
                          <w:szCs w:val="24"/>
                        </w:rPr>
                        <w:t>„x“</w:t>
                      </w:r>
                      <w:r>
                        <w:rPr>
                          <w:color w:val="000000"/>
                          <w:szCs w:val="24"/>
                        </w:rPr>
                        <w:t xml:space="preserve"> pastato šildymo sistemoje su vandenį šildančiais Saulės kolektoriais (kWh/(m²·mėn.)). Apskaičiuojama pagal (2.219) formulę; </w:t>
                      </w:r>
                    </w:p>
                    <w:p>
                      <w:pPr>
                        <w:ind w:firstLine="629"/>
                        <w:rPr>
                          <w:color w:val="000000"/>
                          <w:szCs w:val="24"/>
                        </w:rPr>
                      </w:pPr>
                      <w:r>
                        <w:rPr>
                          <w:color w:val="000000"/>
                          <w:szCs w:val="24"/>
                        </w:rPr>
                        <w:t>(2.209) formulės taikymo sąlygos:</w:t>
                      </w:r>
                    </w:p>
                    <w:p>
                      <w:pPr>
                        <w:ind w:firstLine="567"/>
                        <w:rPr>
                          <w:color w:val="000000"/>
                          <w:szCs w:val="24"/>
                        </w:rPr>
                      </w:pPr>
                      <w:r>
                        <w:rPr>
                          <w:color w:val="000000"/>
                          <w:szCs w:val="24"/>
                        </w:rPr>
                        <w:t xml:space="preserve">- jei </w:t>
                      </w:r>
                      <w:r>
                        <w:rPr>
                          <w:i/>
                          <w:color w:val="000000"/>
                          <w:szCs w:val="24"/>
                        </w:rPr>
                        <w:t>Q</w:t>
                      </w:r>
                      <w:r>
                        <w:rPr>
                          <w:i/>
                          <w:color w:val="000000"/>
                          <w:szCs w:val="24"/>
                          <w:vertAlign w:val="superscript"/>
                        </w:rPr>
                        <w:t>I</w:t>
                      </w:r>
                      <w:r>
                        <w:rPr>
                          <w:i/>
                          <w:color w:val="000000"/>
                          <w:szCs w:val="24"/>
                          <w:vertAlign w:val="subscript"/>
                        </w:rPr>
                        <w:t>H.hwSK,m</w:t>
                      </w:r>
                      <w:r>
                        <w:rPr>
                          <w:color w:val="000000"/>
                          <w:szCs w:val="24"/>
                        </w:rPr>
                        <w:t xml:space="preserve">&lt; 0 arba </w:t>
                      </w:r>
                      <w:r>
                        <w:rPr>
                          <w:i/>
                          <w:color w:val="000000"/>
                          <w:szCs w:val="24"/>
                        </w:rPr>
                        <w:t>Q</w:t>
                      </w:r>
                      <w:r>
                        <w:rPr>
                          <w:i/>
                          <w:color w:val="000000"/>
                          <w:szCs w:val="24"/>
                          <w:vertAlign w:val="subscript"/>
                        </w:rPr>
                        <w:t>H,m</w:t>
                      </w:r>
                      <w:r>
                        <w:rPr>
                          <w:color w:val="000000"/>
                          <w:szCs w:val="24"/>
                        </w:rPr>
                        <w:t xml:space="preserve">=0, tai </w:t>
                      </w:r>
                      <w:r>
                        <w:rPr>
                          <w:i/>
                          <w:color w:val="000000"/>
                          <w:szCs w:val="24"/>
                        </w:rPr>
                        <w:t>Q</w:t>
                      </w:r>
                      <w:r>
                        <w:rPr>
                          <w:i/>
                          <w:color w:val="000000"/>
                          <w:szCs w:val="24"/>
                          <w:vertAlign w:val="superscript"/>
                        </w:rPr>
                        <w:t>I</w:t>
                      </w:r>
                      <w:r>
                        <w:rPr>
                          <w:i/>
                          <w:color w:val="000000"/>
                          <w:szCs w:val="24"/>
                          <w:vertAlign w:val="subscript"/>
                        </w:rPr>
                        <w:t>H.hwSK,m</w:t>
                      </w:r>
                      <w:r>
                        <w:rPr>
                          <w:color w:val="000000"/>
                          <w:szCs w:val="24"/>
                        </w:rPr>
                        <w:t>= 0,</w:t>
                      </w:r>
                    </w:p>
                    <w:p>
                      <w:pPr>
                        <w:ind w:firstLine="567"/>
                        <w:rPr>
                          <w:color w:val="000000"/>
                          <w:szCs w:val="24"/>
                        </w:rPr>
                      </w:pPr>
                      <w:r>
                        <w:rPr>
                          <w:color w:val="000000"/>
                          <w:szCs w:val="24"/>
                        </w:rPr>
                        <w:t>- jei</w:t>
                      </w:r>
                    </w:p>
                    <w:tbl>
                      <w:tblPr>
                        <w:tblW w:w="5000" w:type="pct"/>
                        <w:jc w:val="center"/>
                        <w:tblLook w:val="01E0" w:firstRow="1" w:lastRow="1" w:firstColumn="1" w:lastColumn="1" w:noHBand="0" w:noVBand="0"/>
                      </w:tblPr>
                      <w:tblGrid>
                        <w:gridCol w:w="7944"/>
                        <w:gridCol w:w="1910"/>
                      </w:tblGrid>
                      <w:tr>
                        <w:trPr>
                          <w:jc w:val="center"/>
                        </w:trPr>
                        <w:tc>
                          <w:tcPr>
                            <w:tcW w:w="4031" w:type="pct"/>
                            <w:vAlign w:val="center"/>
                            <w:hideMark/>
                          </w:tcPr>
                          <w:p>
                            <w:pPr>
                              <w:spacing w:line="276" w:lineRule="auto"/>
                              <w:jc w:val="center"/>
                              <w:rPr>
                                <w:rFonts w:eastAsia="Calibri"/>
                                <w:color w:val="000000"/>
                                <w:szCs w:val="24"/>
                              </w:rPr>
                            </w:pPr>
                            <w:r>
                              <w:rPr>
                                <w:rFonts w:eastAsia="Calibri"/>
                                <w:color w:val="000000"/>
                                <w:szCs w:val="24"/>
                              </w:rPr>
                              <w:object w:dxaOrig="2720" w:dyaOrig="620">
                                <v:shape id="_x0000_i1264" type="#_x0000_t75" style="width:134.3pt;height:31.55pt" o:ole="">
                                  <v:imagedata r:id="rId763" o:title=""/>
                                </v:shape>
                                <o:OLEObject Type="Embed" ProgID="Equation.3" ShapeID="_x0000_i1264" DrawAspect="Content" ObjectID="_0000000001" r:id="rId764"/>
                              </w:object>
                            </w:r>
                          </w:p>
                        </w:tc>
                        <w:tc>
                          <w:tcPr>
                            <w:tcW w:w="969" w:type="pct"/>
                            <w:vAlign w:val="center"/>
                            <w:hideMark/>
                          </w:tcPr>
                          <w:p>
                            <w:pPr>
                              <w:spacing w:line="276" w:lineRule="auto"/>
                              <w:jc w:val="right"/>
                              <w:rPr>
                                <w:rFonts w:eastAsia="Calibri"/>
                                <w:color w:val="000000"/>
                                <w:szCs w:val="24"/>
                              </w:rPr>
                            </w:pPr>
                            <w:r>
                              <w:rPr>
                                <w:color w:val="000000"/>
                                <w:szCs w:val="24"/>
                              </w:rPr>
                              <w:t>(2.210)</w:t>
                            </w:r>
                          </w:p>
                        </w:tc>
                      </w:tr>
                    </w:tbl>
                    <w:p>
                      <w:pPr>
                        <w:ind w:firstLine="720"/>
                        <w:rPr>
                          <w:rFonts w:eastAsia="Calibri"/>
                          <w:color w:val="000000"/>
                          <w:szCs w:val="24"/>
                        </w:rPr>
                      </w:pPr>
                      <w:r>
                        <w:rPr>
                          <w:color w:val="000000"/>
                          <w:szCs w:val="24"/>
                        </w:rPr>
                        <w:t>tai</w:t>
                      </w:r>
                    </w:p>
                    <w:tbl>
                      <w:tblPr>
                        <w:tblW w:w="5000" w:type="pct"/>
                        <w:jc w:val="center"/>
                        <w:tblLook w:val="01E0" w:firstRow="1" w:lastRow="1" w:firstColumn="1" w:lastColumn="1" w:noHBand="0" w:noVBand="0"/>
                      </w:tblPr>
                      <w:tblGrid>
                        <w:gridCol w:w="7895"/>
                        <w:gridCol w:w="1959"/>
                      </w:tblGrid>
                      <w:tr>
                        <w:trPr>
                          <w:jc w:val="center"/>
                        </w:trPr>
                        <w:tc>
                          <w:tcPr>
                            <w:tcW w:w="4006" w:type="pct"/>
                            <w:vAlign w:val="center"/>
                            <w:hideMark/>
                          </w:tcPr>
                          <w:p>
                            <w:pPr>
                              <w:spacing w:line="276" w:lineRule="auto"/>
                              <w:jc w:val="center"/>
                              <w:rPr>
                                <w:rFonts w:eastAsia="Calibri"/>
                                <w:color w:val="000000"/>
                                <w:szCs w:val="24"/>
                              </w:rPr>
                            </w:pPr>
                            <w:r>
                              <w:rPr>
                                <w:color w:val="000000"/>
                                <w:szCs w:val="24"/>
                              </w:rPr>
                              <w:object w:dxaOrig="2720" w:dyaOrig="620">
                                <v:shape id="_x0000_i1265" type="#_x0000_t75" style="width:134.3pt;height:31.55pt" o:ole="">
                                  <v:imagedata r:id="rId765" o:title=""/>
                                </v:shape>
                                <o:OLEObject Type="Embed" ProgID="Equation.3" ShapeID="_x0000_i1265" DrawAspect="Content" ObjectID="_0000000001" r:id="rId766"/>
                              </w:object>
                              <w:t>,</w:t>
                            </w:r>
                          </w:p>
                        </w:tc>
                        <w:tc>
                          <w:tcPr>
                            <w:tcW w:w="994" w:type="pct"/>
                            <w:vAlign w:val="center"/>
                            <w:hideMark/>
                          </w:tcPr>
                          <w:p>
                            <w:pPr>
                              <w:spacing w:line="276" w:lineRule="auto"/>
                              <w:jc w:val="right"/>
                              <w:rPr>
                                <w:rFonts w:eastAsia="Calibri"/>
                                <w:color w:val="000000"/>
                                <w:szCs w:val="24"/>
                              </w:rPr>
                            </w:pPr>
                            <w:r>
                              <w:rPr>
                                <w:color w:val="000000"/>
                                <w:szCs w:val="24"/>
                              </w:rPr>
                              <w:t>(2.211)</w:t>
                            </w:r>
                          </w:p>
                        </w:tc>
                      </w:tr>
                    </w:tbl>
                    <w:p>
                      <w:pPr>
                        <w:jc w:val="both"/>
                        <w:rPr>
                          <w:color w:val="000000"/>
                          <w:szCs w:val="24"/>
                        </w:rPr>
                      </w:pPr>
                    </w:p>
                    <w:p>
                      <w:pPr>
                        <w:jc w:val="both"/>
                        <w:rPr>
                          <w:rFonts w:eastAsia="Calibri"/>
                          <w:color w:val="000000"/>
                          <w:szCs w:val="24"/>
                        </w:rPr>
                      </w:pPr>
                      <w:r>
                        <w:rPr>
                          <w:color w:val="000000"/>
                          <w:szCs w:val="24"/>
                        </w:rPr>
                        <w:t xml:space="preserve">kitu atveju </w:t>
                      </w:r>
                      <w:r>
                        <w:rPr>
                          <w:i/>
                          <w:color w:val="000000"/>
                          <w:szCs w:val="24"/>
                        </w:rPr>
                        <w:t>Q</w:t>
                      </w:r>
                      <w:r>
                        <w:rPr>
                          <w:i/>
                          <w:color w:val="000000"/>
                          <w:szCs w:val="24"/>
                          <w:vertAlign w:val="superscript"/>
                        </w:rPr>
                        <w:t>I</w:t>
                      </w:r>
                      <w:r>
                        <w:rPr>
                          <w:i/>
                          <w:color w:val="000000"/>
                          <w:szCs w:val="24"/>
                          <w:vertAlign w:val="subscript"/>
                        </w:rPr>
                        <w:t>H.hwSK,m</w:t>
                      </w:r>
                      <w:r>
                        <w:rPr>
                          <w:color w:val="000000"/>
                          <w:szCs w:val="24"/>
                        </w:rPr>
                        <w:t>atitinka skaičiavimo rezultatui, gautam pagal (2.209) formulę; (</w:t>
                      </w:r>
                      <w:r>
                        <w:rPr>
                          <w:i/>
                          <w:color w:val="000000"/>
                          <w:szCs w:val="24"/>
                        </w:rPr>
                        <w:t>Q</w:t>
                      </w:r>
                      <w:r>
                        <w:rPr>
                          <w:i/>
                          <w:color w:val="000000"/>
                          <w:szCs w:val="24"/>
                          <w:vertAlign w:val="subscript"/>
                        </w:rPr>
                        <w:t>H,m</w:t>
                      </w:r>
                      <w:r>
                        <w:rPr>
                          <w:color w:val="000000"/>
                          <w:szCs w:val="24"/>
                        </w:rPr>
                        <w:t xml:space="preserve"> apskaičiuojamas pagal (2.169) formulę);</w:t>
                      </w:r>
                    </w:p>
                  </w:sdtContent>
                </w:sdt>
                <w:sdt>
                  <w:sdtPr>
                    <w:alias w:val="2 pr. 53.6 pp."/>
                    <w:tag w:val="part_f1fd7305f6c24d5b850c4585f2e282eb"/>
                    <w:lock w:val="sdtLocked"/>
                    <w:richText/>
                  </w:sdtPr>
                  <w:sdtContent>
                    <w:p>
                      <w:pPr>
                        <w:ind w:firstLine="600"/>
                        <w:jc w:val="both"/>
                        <w:rPr>
                          <w:color w:val="000000"/>
                          <w:szCs w:val="24"/>
                        </w:rPr>
                      </w:pPr>
                      <w:sdt>
                        <w:sdtPr>
                          <w:alias w:val="Numeris"/>
                          <w:tag w:val="nr_f1fd7305f6c24d5b850c4585f2e282eb"/>
                          <w:lock w:val="sdtLocked"/>
                          <w:richText/>
                        </w:sdtPr>
                        <w:sdtContent>
                          <w:r>
                            <w:rPr>
                              <w:color w:val="000000"/>
                              <w:szCs w:val="24"/>
                            </w:rPr>
                            <w:t>53.6</w:t>
                          </w:r>
                        </w:sdtContent>
                      </w:sdt>
                      <w:r>
                        <w:rPr>
                          <w:color w:val="000000"/>
                          <w:szCs w:val="24"/>
                        </w:rPr>
                        <w:t xml:space="preserve">. kiekvieną mėnesį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sistemos su Saulės kolektoriais pagamintas šiluminės energijos kiekis karštam vandeniui ruošti </w:t>
                      </w:r>
                      <w:r>
                        <w:rPr>
                          <w:i/>
                          <w:color w:val="000000"/>
                          <w:szCs w:val="24"/>
                        </w:rPr>
                        <w:t>Q</w:t>
                      </w:r>
                      <w:r>
                        <w:rPr>
                          <w:i/>
                          <w:color w:val="000000"/>
                          <w:szCs w:val="24"/>
                          <w:vertAlign w:val="superscript"/>
                        </w:rPr>
                        <w:t>I</w:t>
                      </w:r>
                      <w:r>
                        <w:rPr>
                          <w:i/>
                          <w:color w:val="000000"/>
                          <w:szCs w:val="24"/>
                          <w:vertAlign w:val="subscript"/>
                        </w:rPr>
                        <w:t>hw.hwSK.out,m,x</w:t>
                      </w:r>
                      <w:r>
                        <w:rPr>
                          <w:color w:val="000000"/>
                          <w:szCs w:val="24"/>
                        </w:rPr>
                        <w:t>(kWh/(m²·mėn.)) apskaičiuojamas taip [3.25]:</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strike/>
                                <w:color w:val="000000"/>
                                <w:szCs w:val="24"/>
                              </w:rPr>
                            </w:pPr>
                            <w:r>
                              <w:rPr>
                                <w:szCs w:val="24"/>
                              </w:rPr>
                              <w:object w:dxaOrig="6530" w:dyaOrig="1120">
                                <v:shape id="_x0000_i1266" type="#_x0000_t75" style="width:326pt;height:55.8pt" o:ole="">
                                  <v:imagedata r:id="rId767" o:title=""/>
                                </v:shape>
                                <o:OLEObject Type="Embed" ProgID="Equation.3" ShapeID="_x0000_i1266" DrawAspect="Content" ObjectID="_0000000001" r:id="rId768"/>
                              </w:object>
                              <w:t>;</w:t>
                            </w:r>
                          </w:p>
                        </w:tc>
                        <w:tc>
                          <w:tcPr>
                            <w:tcW w:w="1062" w:type="dxa"/>
                            <w:vAlign w:val="center"/>
                            <w:hideMark/>
                          </w:tcPr>
                          <w:p>
                            <w:pPr>
                              <w:spacing w:line="276" w:lineRule="auto"/>
                              <w:jc w:val="right"/>
                              <w:rPr>
                                <w:rFonts w:eastAsia="Calibri"/>
                                <w:color w:val="000000"/>
                                <w:szCs w:val="24"/>
                              </w:rPr>
                            </w:pPr>
                            <w:r>
                              <w:rPr>
                                <w:color w:val="000000"/>
                                <w:szCs w:val="24"/>
                              </w:rPr>
                              <w:t>(2.212)</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X</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sistemoje su Saulės kolektoriais esančio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Apskaičiuojamas pagal (2.213) formulę (vnt. dalys);</w:t>
                      </w:r>
                    </w:p>
                    <w:p>
                      <w:pPr>
                        <w:ind w:firstLine="567"/>
                        <w:jc w:val="both"/>
                        <w:rPr>
                          <w:color w:val="000000"/>
                          <w:szCs w:val="24"/>
                        </w:rPr>
                      </w:pPr>
                      <w:r>
                        <w:rPr>
                          <w:i/>
                          <w:color w:val="000000"/>
                          <w:szCs w:val="24"/>
                        </w:rPr>
                        <w:t>Y</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sistemoje su Saulės kolektoriais esančio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Apskaičiuojamas pagal (2.214) formulę (vnt. dalys);</w:t>
                      </w:r>
                    </w:p>
                  </w:sdtContent>
                </w:sdt>
                <w:sdt>
                  <w:sdtPr>
                    <w:alias w:val="2 pr. 53.7 pp."/>
                    <w:tag w:val="part_42764c4ec34647dd96c88dd288cd446b"/>
                    <w:lock w:val="sdtLocked"/>
                    <w:richText/>
                  </w:sdtPr>
                  <w:sdtContent>
                    <w:p>
                      <w:pPr>
                        <w:ind w:firstLine="600"/>
                        <w:jc w:val="both"/>
                        <w:rPr>
                          <w:color w:val="000000"/>
                          <w:szCs w:val="24"/>
                        </w:rPr>
                      </w:pPr>
                      <w:sdt>
                        <w:sdtPr>
                          <w:alias w:val="Numeris"/>
                          <w:tag w:val="nr_42764c4ec34647dd96c88dd288cd446b"/>
                          <w:lock w:val="sdtLocked"/>
                          <w:richText/>
                        </w:sdtPr>
                        <w:sdtContent>
                          <w:r>
                            <w:rPr>
                              <w:color w:val="000000"/>
                              <w:szCs w:val="24"/>
                            </w:rPr>
                            <w:t>53.7</w:t>
                          </w:r>
                        </w:sdtContent>
                      </w:sdt>
                      <w:r>
                        <w:rPr>
                          <w:color w:val="000000"/>
                          <w:szCs w:val="24"/>
                        </w:rPr>
                        <w:t xml:space="preserve">.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w:t>
                      </w:r>
                      <w:r>
                        <w:rPr>
                          <w:i/>
                          <w:color w:val="000000"/>
                          <w:szCs w:val="24"/>
                        </w:rPr>
                        <w:t>X</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spacing w:line="276" w:lineRule="auto"/>
                              <w:jc w:val="center"/>
                              <w:rPr>
                                <w:rFonts w:eastAsia="Calibri"/>
                                <w:strike/>
                                <w:color w:val="000000"/>
                                <w:szCs w:val="24"/>
                              </w:rPr>
                            </w:pPr>
                          </w:p>
                          <w:p>
                            <w:pPr>
                              <w:spacing w:line="276" w:lineRule="auto"/>
                              <w:jc w:val="center"/>
                              <w:rPr>
                                <w:rFonts w:eastAsia="Calibri"/>
                                <w:strike/>
                                <w:color w:val="000000"/>
                                <w:szCs w:val="24"/>
                              </w:rPr>
                            </w:pPr>
                            <w:r>
                              <w:rPr>
                                <w:szCs w:val="24"/>
                              </w:rPr>
                              <w:object w:dxaOrig="7070" w:dyaOrig="1230">
                                <v:shape id="_x0000_i1267" type="#_x0000_t75" style="width:353.55pt;height:61.5pt" o:ole="">
                                  <v:imagedata r:id="rId769" o:title=""/>
                                </v:shape>
                                <o:OLEObject Type="Embed" ProgID="Equation.3" ShapeID="_x0000_i1267" DrawAspect="Content" ObjectID="_0000000001" r:id="rId770"/>
                              </w:object>
                              <w:t>;</w:t>
                            </w:r>
                          </w:p>
                        </w:tc>
                        <w:tc>
                          <w:tcPr>
                            <w:tcW w:w="1062" w:type="dxa"/>
                            <w:vAlign w:val="center"/>
                            <w:hideMark/>
                          </w:tcPr>
                          <w:p>
                            <w:pPr>
                              <w:spacing w:line="276" w:lineRule="auto"/>
                              <w:jc w:val="right"/>
                              <w:rPr>
                                <w:rFonts w:eastAsia="Calibri"/>
                                <w:color w:val="000000"/>
                                <w:szCs w:val="24"/>
                              </w:rPr>
                            </w:pPr>
                            <w:r>
                              <w:rPr>
                                <w:color w:val="000000"/>
                                <w:szCs w:val="24"/>
                              </w:rPr>
                              <w:t>(2.213)</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A</w:t>
                      </w:r>
                      <w:r>
                        <w:rPr>
                          <w:i/>
                          <w:color w:val="000000"/>
                          <w:szCs w:val="24"/>
                          <w:vertAlign w:val="subscript"/>
                        </w:rPr>
                        <w:t xml:space="preserve">hwSK,x </w:t>
                      </w:r>
                      <w:r>
                        <w:rPr>
                          <w:color w:val="000000"/>
                          <w:szCs w:val="24"/>
                        </w:rPr>
                        <w:t xml:space="preserve">– atitinkamoje </w:t>
                      </w:r>
                      <w:r>
                        <w:rPr>
                          <w:i/>
                          <w:color w:val="000000"/>
                          <w:szCs w:val="24"/>
                        </w:rPr>
                        <w:t xml:space="preserve">„x“ </w:t>
                      </w:r>
                      <w:r>
                        <w:rPr>
                          <w:color w:val="000000"/>
                          <w:szCs w:val="24"/>
                        </w:rPr>
                        <w:t>sistemoje esančiųSaulės kolektorių suminis vidinis plotas (m²) [3.34];</w:t>
                      </w:r>
                    </w:p>
                    <w:p>
                      <w:pPr>
                        <w:ind w:firstLine="567"/>
                        <w:jc w:val="both"/>
                        <w:rPr>
                          <w:color w:val="000000"/>
                          <w:szCs w:val="24"/>
                        </w:rPr>
                      </w:pPr>
                      <w:r>
                        <w:rPr>
                          <w:i/>
                          <w:color w:val="000000"/>
                          <w:szCs w:val="24"/>
                        </w:rPr>
                        <w:t>A</w:t>
                      </w:r>
                      <w:r>
                        <w:rPr>
                          <w:i/>
                          <w:color w:val="000000"/>
                          <w:szCs w:val="24"/>
                          <w:vertAlign w:val="subscript"/>
                        </w:rPr>
                        <w:t xml:space="preserve">hwSK,x,y </w:t>
                      </w:r>
                      <w:r>
                        <w:rPr>
                          <w:color w:val="000000"/>
                          <w:szCs w:val="24"/>
                        </w:rPr>
                        <w:t xml:space="preserve">– atitinkamoje </w:t>
                      </w:r>
                      <w:r>
                        <w:rPr>
                          <w:i/>
                          <w:color w:val="000000"/>
                          <w:szCs w:val="24"/>
                        </w:rPr>
                        <w:t>„x“</w:t>
                      </w:r>
                      <w:r>
                        <w:rPr>
                          <w:color w:val="000000"/>
                          <w:szCs w:val="24"/>
                        </w:rPr>
                        <w:t xml:space="preserve"> sistemoje esančio atitinkamo </w:t>
                      </w:r>
                      <w:r>
                        <w:rPr>
                          <w:i/>
                          <w:color w:val="000000"/>
                          <w:szCs w:val="24"/>
                        </w:rPr>
                        <w:t>„y“</w:t>
                      </w:r>
                      <w:r>
                        <w:rPr>
                          <w:color w:val="000000"/>
                          <w:szCs w:val="24"/>
                        </w:rPr>
                        <w:t xml:space="preserve"> Saulės kolektoriaus vidinis plotas (m²) [3.34];</w:t>
                      </w:r>
                    </w:p>
                    <w:p>
                      <w:pPr>
                        <w:ind w:firstLine="567"/>
                        <w:jc w:val="both"/>
                        <w:rPr>
                          <w:color w:val="000000"/>
                          <w:szCs w:val="24"/>
                        </w:rPr>
                      </w:pPr>
                      <w:r>
                        <w:rPr>
                          <w:i/>
                          <w:color w:val="000000"/>
                          <w:szCs w:val="24"/>
                        </w:rPr>
                        <w:t>f</w:t>
                      </w:r>
                      <w:r>
                        <w:rPr>
                          <w:i/>
                          <w:color w:val="000000"/>
                          <w:szCs w:val="24"/>
                          <w:vertAlign w:val="subscript"/>
                        </w:rPr>
                        <w:t>hw.hwSK,m,x</w:t>
                      </w:r>
                      <w:r>
                        <w:rPr>
                          <w:color w:val="000000"/>
                          <w:szCs w:val="24"/>
                        </w:rPr>
                        <w:t xml:space="preserve"> – atitinkamą mėnesį </w:t>
                      </w:r>
                      <w:r>
                        <w:rPr>
                          <w:i/>
                          <w:color w:val="000000"/>
                          <w:szCs w:val="24"/>
                        </w:rPr>
                        <w:t>„m“</w:t>
                      </w:r>
                      <w:r>
                        <w:rPr>
                          <w:color w:val="000000"/>
                          <w:szCs w:val="24"/>
                        </w:rPr>
                        <w:t xml:space="preserve"> Saulės kolektorių pagamintos šiluminės energijos dalis, tenkanti karštam vandeniui ruošti (vnt. dalys). Apskaičiuojama pagal (2.203) formulę;</w:t>
                      </w:r>
                    </w:p>
                    <w:p>
                      <w:pPr>
                        <w:ind w:firstLine="567"/>
                        <w:jc w:val="both"/>
                        <w:rPr>
                          <w:color w:val="000000"/>
                          <w:szCs w:val="24"/>
                        </w:rPr>
                      </w:pPr>
                      <w:r>
                        <w:rPr>
                          <w:i/>
                          <w:color w:val="000000"/>
                          <w:szCs w:val="24"/>
                        </w:rPr>
                        <w:t>a</w:t>
                      </w:r>
                      <w:r>
                        <w:rPr>
                          <w:i/>
                          <w:color w:val="000000"/>
                          <w:szCs w:val="24"/>
                          <w:vertAlign w:val="subscript"/>
                        </w:rPr>
                        <w:t>1,x,y</w:t>
                      </w:r>
                      <w:r>
                        <w:rPr>
                          <w:color w:val="000000"/>
                          <w:szCs w:val="24"/>
                        </w:rPr>
                        <w:t xml:space="preserve"> – atitinkamoje </w:t>
                      </w:r>
                      <w:r>
                        <w:rPr>
                          <w:i/>
                          <w:color w:val="000000"/>
                          <w:szCs w:val="24"/>
                        </w:rPr>
                        <w:t>„x“</w:t>
                      </w:r>
                      <w:r>
                        <w:rPr>
                          <w:color w:val="000000"/>
                          <w:szCs w:val="24"/>
                        </w:rPr>
                        <w:t xml:space="preserve"> sistemoje esančio atitinkamo </w:t>
                      </w:r>
                      <w:r>
                        <w:rPr>
                          <w:i/>
                          <w:color w:val="000000"/>
                          <w:szCs w:val="24"/>
                        </w:rPr>
                        <w:t>„y“</w:t>
                      </w:r>
                      <w:r>
                        <w:rPr>
                          <w:color w:val="000000"/>
                          <w:szCs w:val="24"/>
                        </w:rPr>
                        <w:t xml:space="preserve"> Saulės kolektoriaus šilumos nuostolių koeficientas (W/(m²·K)). Imamas iš 2.38 lentelės.</w:t>
                      </w:r>
                    </w:p>
                    <w:p>
                      <w:pPr>
                        <w:ind w:firstLine="567"/>
                        <w:jc w:val="both"/>
                        <w:rPr>
                          <w:color w:val="000000"/>
                          <w:szCs w:val="24"/>
                        </w:rPr>
                      </w:pPr>
                      <w:r>
                        <w:rPr>
                          <w:i/>
                          <w:color w:val="000000"/>
                          <w:szCs w:val="24"/>
                        </w:rPr>
                        <w:t>V</w:t>
                      </w:r>
                      <w:r>
                        <w:rPr>
                          <w:i/>
                          <w:color w:val="000000"/>
                          <w:szCs w:val="24"/>
                          <w:vertAlign w:val="superscript"/>
                        </w:rPr>
                        <w:t>I</w:t>
                      </w:r>
                      <w:r>
                        <w:rPr>
                          <w:i/>
                          <w:color w:val="000000"/>
                          <w:szCs w:val="24"/>
                          <w:vertAlign w:val="subscript"/>
                        </w:rPr>
                        <w:t xml:space="preserve">hwSW,x </w:t>
                      </w:r>
                      <w:r>
                        <w:rPr>
                          <w:color w:val="000000"/>
                          <w:szCs w:val="24"/>
                        </w:rPr>
                        <w:t xml:space="preserve">– prie atitinkamos </w:t>
                      </w:r>
                      <w:r>
                        <w:rPr>
                          <w:i/>
                          <w:color w:val="000000"/>
                          <w:szCs w:val="24"/>
                        </w:rPr>
                        <w:t>„x“</w:t>
                      </w:r>
                      <w:r>
                        <w:rPr>
                          <w:color w:val="000000"/>
                          <w:szCs w:val="24"/>
                        </w:rPr>
                        <w:t xml:space="preserve"> Saulės kolektorių sistemos prijungtų vandens talpų karštam vandeniui ruošti suminis tūris, kuriose ruošiamas karštas vanduo (l). Nustatomas taip:</w:t>
                      </w:r>
                    </w:p>
                    <w:p>
                      <w:pPr>
                        <w:ind w:firstLine="567"/>
                        <w:jc w:val="both"/>
                        <w:rPr>
                          <w:color w:val="000000"/>
                          <w:szCs w:val="24"/>
                        </w:rPr>
                      </w:pPr>
                      <w:r>
                        <w:rPr>
                          <w:color w:val="000000"/>
                          <w:szCs w:val="24"/>
                        </w:rPr>
                        <w:t xml:space="preserve">- jei karštam vandeniui ruošti ir pastatui šildyti naudojamos tos pačios talpos, kurių suminis tūris </w:t>
                      </w:r>
                      <w:r>
                        <w:rPr>
                          <w:i/>
                          <w:color w:val="000000"/>
                          <w:szCs w:val="24"/>
                        </w:rPr>
                        <w:t>V</w:t>
                      </w:r>
                      <w:r>
                        <w:rPr>
                          <w:i/>
                          <w:color w:val="000000"/>
                          <w:szCs w:val="24"/>
                          <w:vertAlign w:val="superscript"/>
                        </w:rPr>
                        <w:t>I</w:t>
                      </w:r>
                      <w:r>
                        <w:rPr>
                          <w:i/>
                          <w:color w:val="000000"/>
                          <w:szCs w:val="24"/>
                          <w:vertAlign w:val="subscript"/>
                        </w:rPr>
                        <w:t xml:space="preserve">SW,x </w:t>
                      </w:r>
                      <w:r>
                        <w:rPr>
                          <w:color w:val="000000"/>
                          <w:szCs w:val="24"/>
                        </w:rPr>
                        <w:t>(l)</w:t>
                      </w:r>
                      <w:r>
                        <w:rPr>
                          <w:i/>
                          <w:color w:val="000000"/>
                          <w:szCs w:val="24"/>
                        </w:rPr>
                        <w:t>,</w:t>
                      </w:r>
                      <w:r>
                        <w:rPr>
                          <w:color w:val="000000"/>
                          <w:szCs w:val="24"/>
                        </w:rPr>
                        <w:t xml:space="preserve">tai </w:t>
                      </w:r>
                      <w:r>
                        <w:rPr>
                          <w:i/>
                          <w:color w:val="000000"/>
                          <w:szCs w:val="24"/>
                        </w:rPr>
                        <w:t>V</w:t>
                      </w:r>
                      <w:r>
                        <w:rPr>
                          <w:i/>
                          <w:color w:val="000000"/>
                          <w:szCs w:val="24"/>
                          <w:vertAlign w:val="superscript"/>
                        </w:rPr>
                        <w:t>I</w:t>
                      </w:r>
                      <w:r>
                        <w:rPr>
                          <w:i/>
                          <w:color w:val="000000"/>
                          <w:szCs w:val="24"/>
                          <w:vertAlign w:val="subscript"/>
                        </w:rPr>
                        <w:t xml:space="preserve">hwSW,x </w:t>
                      </w:r>
                      <w:r>
                        <w:rPr>
                          <w:color w:val="000000"/>
                          <w:szCs w:val="24"/>
                        </w:rPr>
                        <w:t>= 0,5·</w:t>
                      </w:r>
                      <w:r>
                        <w:rPr>
                          <w:i/>
                          <w:color w:val="000000"/>
                          <w:szCs w:val="24"/>
                        </w:rPr>
                        <w:t>V</w:t>
                      </w:r>
                      <w:r>
                        <w:rPr>
                          <w:i/>
                          <w:color w:val="000000"/>
                          <w:szCs w:val="24"/>
                          <w:vertAlign w:val="superscript"/>
                        </w:rPr>
                        <w:t>I</w:t>
                      </w:r>
                      <w:r>
                        <w:rPr>
                          <w:i/>
                          <w:color w:val="000000"/>
                          <w:szCs w:val="24"/>
                          <w:vertAlign w:val="subscript"/>
                        </w:rPr>
                        <w:t>SW,x</w:t>
                      </w:r>
                      <w:r>
                        <w:rPr>
                          <w:color w:val="000000"/>
                          <w:szCs w:val="24"/>
                        </w:rPr>
                        <w:t xml:space="preserve"> (l);</w:t>
                      </w:r>
                    </w:p>
                    <w:p>
                      <w:pPr>
                        <w:ind w:firstLine="567"/>
                        <w:jc w:val="both"/>
                        <w:rPr>
                          <w:color w:val="000000"/>
                          <w:szCs w:val="24"/>
                        </w:rPr>
                      </w:pPr>
                      <w:r>
                        <w:rPr>
                          <w:color w:val="000000"/>
                          <w:szCs w:val="24"/>
                        </w:rPr>
                        <w:t>- jei karštam vandeniui ruošti ir pastatui šildyti naudojamos atskiros talpos, skaičiavimuose naudojamas talpų karštam vandeniui ruošti suminis tūris (l);</w:t>
                      </w:r>
                    </w:p>
                  </w:sdtContent>
                </w:sdt>
                <w:sdt>
                  <w:sdtPr>
                    <w:alias w:val="2 pr. 53.8 pp."/>
                    <w:tag w:val="part_b5f6fe472f924a39a7dfa491000ff6f3"/>
                    <w:lock w:val="sdtLocked"/>
                    <w:richText/>
                  </w:sdtPr>
                  <w:sdtContent>
                    <w:p>
                      <w:pPr>
                        <w:ind w:firstLine="600"/>
                        <w:jc w:val="both"/>
                        <w:rPr>
                          <w:color w:val="000000"/>
                          <w:szCs w:val="24"/>
                        </w:rPr>
                      </w:pPr>
                      <w:sdt>
                        <w:sdtPr>
                          <w:alias w:val="Numeris"/>
                          <w:tag w:val="nr_b5f6fe472f924a39a7dfa491000ff6f3"/>
                          <w:lock w:val="sdtLocked"/>
                          <w:richText/>
                        </w:sdtPr>
                        <w:sdtContent>
                          <w:r>
                            <w:rPr>
                              <w:color w:val="000000"/>
                              <w:szCs w:val="24"/>
                            </w:rPr>
                            <w:t>53.8</w:t>
                          </w:r>
                        </w:sdtContent>
                      </w:sdt>
                      <w:r>
                        <w:rPr>
                          <w:color w:val="000000"/>
                          <w:szCs w:val="24"/>
                        </w:rPr>
                        <w:t xml:space="preserve">. atitinkamoje </w:t>
                      </w:r>
                      <w:r>
                        <w:rPr>
                          <w:i/>
                          <w:color w:val="000000"/>
                          <w:szCs w:val="24"/>
                        </w:rPr>
                        <w:t>„x“</w:t>
                      </w:r>
                      <w:r>
                        <w:rPr>
                          <w:color w:val="000000"/>
                          <w:szCs w:val="24"/>
                        </w:rPr>
                        <w:t xml:space="preserve"> karšto vandens ruošimo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w:t>
                      </w:r>
                      <w:r>
                        <w:rPr>
                          <w:i/>
                          <w:color w:val="000000"/>
                          <w:szCs w:val="24"/>
                        </w:rPr>
                        <w:t>Y</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color w:val="000000"/>
                                <w:szCs w:val="24"/>
                              </w:rPr>
                            </w:pPr>
                            <w:r>
                              <w:rPr>
                                <w:color w:val="000000"/>
                                <w:szCs w:val="24"/>
                              </w:rPr>
                              <w:object w:dxaOrig="8060" w:dyaOrig="730">
                                <v:shape id="_x0000_i1268" type="#_x0000_t75" style="width:402.9pt;height:37.2pt" o:ole="">
                                  <v:imagedata r:id="rId771" o:title=""/>
                                </v:shape>
                                <o:OLEObject Type="Embed" ProgID="Equation.3" ShapeID="_x0000_i1268" DrawAspect="Content" ObjectID="_0000000001" r:id="rId772"/>
                              </w:object>
                              <w:t>;</w:t>
                            </w:r>
                          </w:p>
                        </w:tc>
                        <w:tc>
                          <w:tcPr>
                            <w:tcW w:w="1062" w:type="dxa"/>
                            <w:vAlign w:val="center"/>
                            <w:hideMark/>
                          </w:tcPr>
                          <w:p>
                            <w:pPr>
                              <w:spacing w:line="276" w:lineRule="auto"/>
                              <w:jc w:val="right"/>
                              <w:rPr>
                                <w:rFonts w:eastAsia="Calibri"/>
                                <w:color w:val="000000"/>
                                <w:szCs w:val="24"/>
                              </w:rPr>
                            </w:pPr>
                            <w:r>
                              <w:rPr>
                                <w:color w:val="000000"/>
                                <w:szCs w:val="24"/>
                              </w:rPr>
                              <w:t>(2.214)</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IAM</w:t>
                      </w:r>
                      <w:r>
                        <w:rPr>
                          <w:i/>
                          <w:color w:val="000000"/>
                          <w:szCs w:val="24"/>
                          <w:vertAlign w:val="subscript"/>
                        </w:rPr>
                        <w:t>x,y</w:t>
                      </w:r>
                      <w:r>
                        <w:rPr>
                          <w:color w:val="000000"/>
                          <w:szCs w:val="24"/>
                        </w:rPr>
                        <w:t xml:space="preserve"> – atitinkamoje </w:t>
                      </w:r>
                      <w:r>
                        <w:rPr>
                          <w:i/>
                          <w:color w:val="000000"/>
                          <w:szCs w:val="24"/>
                        </w:rPr>
                        <w:t>„x“</w:t>
                      </w:r>
                      <w:r>
                        <w:rPr>
                          <w:color w:val="000000"/>
                          <w:szCs w:val="24"/>
                        </w:rPr>
                        <w:t xml:space="preserve"> sistemoje esančio atitinkamo </w:t>
                      </w:r>
                      <w:r>
                        <w:rPr>
                          <w:i/>
                          <w:color w:val="000000"/>
                          <w:szCs w:val="24"/>
                        </w:rPr>
                        <w:t>„y“</w:t>
                      </w:r>
                      <w:r>
                        <w:rPr>
                          <w:color w:val="000000"/>
                          <w:szCs w:val="24"/>
                        </w:rPr>
                        <w:t xml:space="preserve"> Saulės kolektoriaus Saulės kritimo kampo pataisos koeficientas. Imamas iš 2.39 lentelės [3.25]; </w:t>
                      </w:r>
                    </w:p>
                    <w:p>
                      <w:pPr>
                        <w:ind w:firstLine="567"/>
                        <w:jc w:val="both"/>
                        <w:rPr>
                          <w:color w:val="000000"/>
                          <w:szCs w:val="24"/>
                        </w:rPr>
                      </w:pPr>
                      <w:r>
                        <w:rPr>
                          <w:i/>
                          <w:color w:val="000000"/>
                          <w:szCs w:val="24"/>
                        </w:rPr>
                        <w:t>I</w:t>
                      </w:r>
                      <w:r>
                        <w:rPr>
                          <w:i/>
                          <w:color w:val="000000"/>
                          <w:szCs w:val="24"/>
                          <w:vertAlign w:val="subscript"/>
                        </w:rPr>
                        <w:t>sol,m,x,y</w:t>
                      </w:r>
                      <w:r>
                        <w:rPr>
                          <w:color w:val="000000"/>
                          <w:szCs w:val="24"/>
                        </w:rPr>
                        <w:t xml:space="preserve"> – mėnesinis Saulės bendrosios spinduliuotės srauto tankis į atitinkamoje </w:t>
                      </w:r>
                      <w:r>
                        <w:rPr>
                          <w:i/>
                          <w:color w:val="000000"/>
                          <w:szCs w:val="24"/>
                        </w:rPr>
                        <w:t>„x“</w:t>
                      </w:r>
                      <w:r>
                        <w:rPr>
                          <w:color w:val="000000"/>
                          <w:szCs w:val="24"/>
                        </w:rPr>
                        <w:t xml:space="preserve"> sistemoje esančio atitinkamo </w:t>
                      </w:r>
                      <w:r>
                        <w:rPr>
                          <w:i/>
                          <w:color w:val="000000"/>
                          <w:szCs w:val="24"/>
                        </w:rPr>
                        <w:t>„y“</w:t>
                      </w:r>
                      <w:r>
                        <w:rPr>
                          <w:color w:val="000000"/>
                          <w:szCs w:val="24"/>
                        </w:rPr>
                        <w:t xml:space="preserve"> Saulės kolektoriaus paviršių (W/m²). Apskaičiuojamas pagal atitinkamo </w:t>
                      </w:r>
                      <w:r>
                        <w:rPr>
                          <w:i/>
                          <w:color w:val="000000"/>
                          <w:szCs w:val="24"/>
                        </w:rPr>
                        <w:t>„y“</w:t>
                      </w:r>
                      <w:r>
                        <w:rPr>
                          <w:color w:val="000000"/>
                          <w:szCs w:val="24"/>
                        </w:rPr>
                        <w:t xml:space="preserve"> kolektoriaus orientaciją pasaulio šalių atžvilgiu ir kolektoriaus pasvirimo kampą pagal 2.33–2.35 lentelėse pateiktus duomenis.</w:t>
                      </w:r>
                    </w:p>
                  </w:sdtContent>
                </w:sdt>
                <w:sdt>
                  <w:sdtPr>
                    <w:alias w:val="2 pr. 53.9 pp."/>
                    <w:tag w:val="part_fc407ae93afc41a784665b69ac1aae68"/>
                    <w:lock w:val="sdtLocked"/>
                    <w:richText/>
                  </w:sdtPr>
                  <w:sdtContent>
                    <w:p>
                      <w:pPr>
                        <w:ind w:firstLine="600"/>
                        <w:jc w:val="both"/>
                        <w:rPr>
                          <w:color w:val="000000"/>
                          <w:szCs w:val="24"/>
                        </w:rPr>
                      </w:pPr>
                      <w:sdt>
                        <w:sdtPr>
                          <w:alias w:val="Numeris"/>
                          <w:tag w:val="nr_fc407ae93afc41a784665b69ac1aae68"/>
                          <w:lock w:val="sdtLocked"/>
                          <w:richText/>
                        </w:sdtPr>
                        <w:sdtContent>
                          <w:r>
                            <w:rPr>
                              <w:color w:val="000000"/>
                              <w:szCs w:val="24"/>
                            </w:rPr>
                            <w:t>53.9</w:t>
                          </w:r>
                        </w:sdtContent>
                      </w:sdt>
                      <w:r>
                        <w:rPr>
                          <w:color w:val="000000"/>
                          <w:szCs w:val="24"/>
                        </w:rPr>
                        <w:t xml:space="preserve">. kiekvieno mėnesio </w:t>
                      </w:r>
                      <w:r>
                        <w:rPr>
                          <w:i/>
                          <w:color w:val="000000"/>
                          <w:szCs w:val="24"/>
                        </w:rPr>
                        <w:t xml:space="preserve">„m“ </w:t>
                      </w:r>
                      <w:r>
                        <w:rPr>
                          <w:color w:val="000000"/>
                          <w:szCs w:val="24"/>
                        </w:rPr>
                        <w:t xml:space="preserve">šilumos nuostoliai karšto buitinio vandens talpose </w:t>
                      </w:r>
                      <w:r>
                        <w:rPr>
                          <w:i/>
                          <w:szCs w:val="24"/>
                        </w:rPr>
                        <w:t>Q</w:t>
                      </w:r>
                      <w:r>
                        <w:rPr>
                          <w:i/>
                          <w:szCs w:val="24"/>
                          <w:vertAlign w:val="superscript"/>
                        </w:rPr>
                        <w:t>I</w:t>
                      </w:r>
                      <w:r>
                        <w:rPr>
                          <w:i/>
                          <w:szCs w:val="24"/>
                          <w:vertAlign w:val="subscript"/>
                        </w:rPr>
                        <w:t>hw.hwSK.SW,m,x</w:t>
                      </w:r>
                      <w:r>
                        <w:rPr>
                          <w:color w:val="000000"/>
                          <w:szCs w:val="24"/>
                        </w:rPr>
                        <w:t xml:space="preserve">(kWh/(m²·mėn.)), esančiose atitinkamoje </w:t>
                      </w:r>
                      <w:r>
                        <w:rPr>
                          <w:i/>
                          <w:color w:val="000000"/>
                          <w:szCs w:val="24"/>
                        </w:rPr>
                        <w:t>„x“</w:t>
                      </w:r>
                      <w:r>
                        <w:rPr>
                          <w:color w:val="000000"/>
                          <w:szCs w:val="24"/>
                        </w:rPr>
                        <w:t xml:space="preserve"> karšto vandens ruošimo sistemoje su vandenį šildančiais Saulės kolektoriais, apskaičiuojami taip: </w:t>
                      </w:r>
                    </w:p>
                    <w:tbl>
                      <w:tblPr>
                        <w:tblW w:w="5000" w:type="pct"/>
                        <w:tblLook w:val="01E0" w:firstRow="1" w:lastRow="1" w:firstColumn="1" w:lastColumn="1" w:noHBand="0" w:noVBand="0"/>
                      </w:tblPr>
                      <w:tblGrid>
                        <w:gridCol w:w="8553"/>
                        <w:gridCol w:w="1301"/>
                      </w:tblGrid>
                      <w:tr>
                        <w:tc>
                          <w:tcPr>
                            <w:tcW w:w="4340" w:type="pct"/>
                            <w:vAlign w:val="center"/>
                          </w:tcPr>
                          <w:p>
                            <w:pPr>
                              <w:rPr>
                                <w:sz w:val="10"/>
                                <w:szCs w:val="10"/>
                              </w:rPr>
                            </w:pPr>
                          </w:p>
                          <w:p>
                            <w:pPr>
                              <w:spacing w:line="360" w:lineRule="auto"/>
                              <w:ind w:left="851" w:hanging="851"/>
                              <w:jc w:val="center"/>
                              <w:rPr>
                                <w:rFonts w:eastAsia="Calibri"/>
                                <w:bCs/>
                                <w:color w:val="000000"/>
                                <w:szCs w:val="24"/>
                              </w:rPr>
                            </w:pPr>
                            <w:r>
                              <w:rPr>
                                <w:szCs w:val="24"/>
                              </w:rPr>
                              <w:object w:dxaOrig="7200" w:dyaOrig="710">
                                <v:shape id="_x0000_i1269" type="#_x0000_t75" style="width:5in;height:35.6pt" o:ole="">
                                  <v:imagedata r:id="rId773" o:title=""/>
                                </v:shape>
                                <o:OLEObject Type="Embed" ProgID="Equation.3" ShapeID="_x0000_i1269" DrawAspect="Content" ObjectID="_0000000001" r:id="rId774"/>
                              </w:object>
                            </w:r>
                            <w:r>
                              <w:rPr>
                                <w:color w:val="000000"/>
                                <w:szCs w:val="24"/>
                              </w:rPr>
                              <w:t>;</w:t>
                            </w:r>
                          </w:p>
                        </w:tc>
                        <w:tc>
                          <w:tcPr>
                            <w:tcW w:w="660" w:type="pct"/>
                            <w:vAlign w:val="center"/>
                          </w:tcPr>
                          <w:p>
                            <w:pPr>
                              <w:rPr>
                                <w:color w:val="000000"/>
                                <w:szCs w:val="24"/>
                              </w:rPr>
                            </w:pPr>
                          </w:p>
                          <w:p>
                            <w:pPr>
                              <w:spacing w:line="360" w:lineRule="auto"/>
                              <w:ind w:left="850" w:hanging="850"/>
                              <w:jc w:val="right"/>
                              <w:rPr>
                                <w:rFonts w:eastAsia="Calibri"/>
                                <w:color w:val="000000"/>
                                <w:szCs w:val="24"/>
                              </w:rPr>
                            </w:pPr>
                            <w:r>
                              <w:rPr>
                                <w:color w:val="000000"/>
                                <w:szCs w:val="24"/>
                              </w:rPr>
                              <w:t>(2.215)</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K</w:t>
                      </w:r>
                      <w:r>
                        <w:rPr>
                          <w:i/>
                          <w:color w:val="000000"/>
                          <w:szCs w:val="24"/>
                          <w:vertAlign w:val="subscript"/>
                        </w:rPr>
                        <w:t>SW50,x,y</w:t>
                      </w:r>
                      <w:r>
                        <w:rPr>
                          <w:color w:val="000000"/>
                          <w:szCs w:val="24"/>
                        </w:rPr>
                        <w:t xml:space="preserve"> – šilumos nuostoliai per parą atitinkamoje </w:t>
                      </w:r>
                      <w:r>
                        <w:rPr>
                          <w:i/>
                          <w:color w:val="000000"/>
                          <w:szCs w:val="24"/>
                        </w:rPr>
                        <w:t>„y“</w:t>
                      </w:r>
                      <w:r>
                        <w:rPr>
                          <w:color w:val="000000"/>
                          <w:szCs w:val="24"/>
                        </w:rPr>
                        <w:t xml:space="preserve"> karšto buitinio vandens talpoje, temperatūra </w:t>
                      </w:r>
                      <w:r>
                        <w:rPr>
                          <w:szCs w:val="24"/>
                        </w:rPr>
                        <w:t>esant vandens temperatūrai</w:t>
                      </w:r>
                      <w:r>
                        <w:rPr>
                          <w:b/>
                          <w:szCs w:val="24"/>
                        </w:rPr>
                        <w:t xml:space="preserve"> </w:t>
                      </w:r>
                      <w:r>
                        <w:rPr>
                          <w:color w:val="000000"/>
                          <w:szCs w:val="24"/>
                        </w:rPr>
                        <w:t xml:space="preserve">50 °C ir aplinkos temperatūra </w:t>
                      </w:r>
                      <w:r>
                        <w:rPr>
                          <w:b/>
                          <w:i/>
                          <w:szCs w:val="24"/>
                        </w:rPr>
                        <w:t>θ</w:t>
                      </w:r>
                      <w:r>
                        <w:rPr>
                          <w:b/>
                          <w:i/>
                          <w:szCs w:val="24"/>
                          <w:vertAlign w:val="subscript"/>
                        </w:rPr>
                        <w:t>i,x,y</w:t>
                      </w:r>
                      <w:r>
                        <w:rPr>
                          <w:color w:val="000000"/>
                          <w:szCs w:val="24"/>
                        </w:rPr>
                        <w:t>(kWh/para). Apskaičiuojami pagal 42.2 ir 42.3 papunkčių reikalavimus;</w:t>
                      </w:r>
                    </w:p>
                    <w:p>
                      <w:pPr>
                        <w:ind w:firstLine="570"/>
                        <w:jc w:val="both"/>
                        <w:rPr>
                          <w:color w:val="000000"/>
                          <w:szCs w:val="24"/>
                        </w:rPr>
                      </w:pPr>
                      <w:r>
                        <w:rPr>
                          <w:i/>
                          <w:color w:val="000000"/>
                          <w:szCs w:val="24"/>
                        </w:rPr>
                        <w:t xml:space="preserve">30 </w:t>
                      </w:r>
                      <w:r>
                        <w:rPr>
                          <w:color w:val="000000"/>
                          <w:szCs w:val="24"/>
                        </w:rPr>
                        <w:t xml:space="preserve">– temperatūrų skirtumas, kuriam esant nustatyta </w:t>
                      </w:r>
                      <w:r>
                        <w:rPr>
                          <w:i/>
                          <w:color w:val="000000"/>
                          <w:szCs w:val="24"/>
                        </w:rPr>
                        <w:t>K</w:t>
                      </w:r>
                      <w:r>
                        <w:rPr>
                          <w:i/>
                          <w:color w:val="000000"/>
                          <w:szCs w:val="24"/>
                          <w:vertAlign w:val="subscript"/>
                        </w:rPr>
                        <w:t>SW50,x,y</w:t>
                      </w:r>
                      <w:r>
                        <w:rPr>
                          <w:color w:val="000000"/>
                          <w:szCs w:val="24"/>
                        </w:rPr>
                        <w:t xml:space="preserve"> (°C);</w:t>
                      </w:r>
                    </w:p>
                    <w:p>
                      <w:pPr>
                        <w:ind w:firstLine="570"/>
                        <w:jc w:val="both"/>
                        <w:rPr>
                          <w:color w:val="000000"/>
                          <w:szCs w:val="24"/>
                        </w:rPr>
                      </w:pPr>
                      <w:r>
                        <w:rPr>
                          <w:i/>
                          <w:color w:val="000000"/>
                          <w:szCs w:val="24"/>
                        </w:rPr>
                        <w:t>θ</w:t>
                      </w:r>
                      <w:r>
                        <w:rPr>
                          <w:i/>
                          <w:color w:val="000000"/>
                          <w:szCs w:val="24"/>
                          <w:vertAlign w:val="subscript"/>
                        </w:rPr>
                        <w:t xml:space="preserve">i,x,y </w:t>
                      </w:r>
                      <w:r>
                        <w:rPr>
                          <w:color w:val="000000"/>
                          <w:szCs w:val="24"/>
                        </w:rPr>
                        <w:t xml:space="preserve">– patalpų, kuriose įrengta atitinkama </w:t>
                      </w:r>
                      <w:r>
                        <w:rPr>
                          <w:i/>
                          <w:color w:val="000000"/>
                          <w:szCs w:val="24"/>
                        </w:rPr>
                        <w:t>„y“</w:t>
                      </w:r>
                      <w:r>
                        <w:rPr>
                          <w:color w:val="000000"/>
                          <w:szCs w:val="24"/>
                        </w:rPr>
                        <w:t xml:space="preserve"> karšto buitinio vandens talpa, temperatūra (°C). Jei talpa įrengta šildomose patalpose, </w:t>
                      </w:r>
                      <w:r>
                        <w:rPr>
                          <w:i/>
                          <w:color w:val="000000"/>
                          <w:szCs w:val="24"/>
                        </w:rPr>
                        <w:t>θ</w:t>
                      </w:r>
                      <w:r>
                        <w:rPr>
                          <w:i/>
                          <w:color w:val="000000"/>
                          <w:szCs w:val="24"/>
                          <w:vertAlign w:val="subscript"/>
                        </w:rPr>
                        <w:t>i,x,y</w:t>
                      </w:r>
                      <w:r>
                        <w:rPr>
                          <w:color w:val="000000"/>
                          <w:szCs w:val="24"/>
                        </w:rPr>
                        <w:t xml:space="preserve"> =</w:t>
                      </w:r>
                      <w:r>
                        <w:rPr>
                          <w:i/>
                          <w:color w:val="000000"/>
                          <w:szCs w:val="24"/>
                        </w:rPr>
                        <w:t xml:space="preserve"> θ</w:t>
                      </w:r>
                      <w:r>
                        <w:rPr>
                          <w:i/>
                          <w:color w:val="000000"/>
                          <w:szCs w:val="24"/>
                          <w:vertAlign w:val="subscript"/>
                        </w:rPr>
                        <w:t>iH</w:t>
                      </w:r>
                      <w:r>
                        <w:rPr>
                          <w:color w:val="000000"/>
                          <w:szCs w:val="24"/>
                        </w:rPr>
                        <w:t xml:space="preserve">, jei nešildomose patalpose, – </w:t>
                      </w:r>
                      <w:r>
                        <w:rPr>
                          <w:i/>
                          <w:color w:val="000000"/>
                          <w:szCs w:val="24"/>
                        </w:rPr>
                        <w:t>θ</w:t>
                      </w:r>
                      <w:r>
                        <w:rPr>
                          <w:i/>
                          <w:color w:val="000000"/>
                          <w:szCs w:val="24"/>
                          <w:vertAlign w:val="subscript"/>
                        </w:rPr>
                        <w:t>i,x,y</w:t>
                      </w:r>
                      <w:r>
                        <w:rPr>
                          <w:color w:val="000000"/>
                          <w:szCs w:val="24"/>
                        </w:rPr>
                        <w:t xml:space="preserve"> =13 °C [3.23];</w:t>
                      </w:r>
                    </w:p>
                    <w:p>
                      <w:pPr>
                        <w:ind w:firstLine="632"/>
                        <w:jc w:val="both"/>
                        <w:rPr>
                          <w:color w:val="000000"/>
                          <w:szCs w:val="24"/>
                        </w:rPr>
                      </w:pPr>
                      <w:r>
                        <w:rPr>
                          <w:i/>
                          <w:szCs w:val="24"/>
                        </w:rPr>
                        <w:t>θ</w:t>
                      </w:r>
                      <w:r>
                        <w:rPr>
                          <w:i/>
                          <w:szCs w:val="24"/>
                          <w:vertAlign w:val="superscript"/>
                        </w:rPr>
                        <w:t>I</w:t>
                      </w:r>
                      <w:r>
                        <w:rPr>
                          <w:i/>
                          <w:szCs w:val="24"/>
                          <w:vertAlign w:val="subscript"/>
                        </w:rPr>
                        <w:t>hw.hwSK.SWm,x,y</w:t>
                      </w:r>
                      <w:r>
                        <w:rPr>
                          <w:color w:val="000000"/>
                          <w:szCs w:val="24"/>
                        </w:rPr>
                        <w:t xml:space="preserve">– atitinkamos </w:t>
                      </w:r>
                      <w:r>
                        <w:rPr>
                          <w:i/>
                          <w:color w:val="000000"/>
                          <w:szCs w:val="24"/>
                        </w:rPr>
                        <w:t>„y“</w:t>
                      </w:r>
                      <w:r>
                        <w:rPr>
                          <w:color w:val="000000"/>
                          <w:szCs w:val="24"/>
                        </w:rPr>
                        <w:t xml:space="preserve"> karšto buitinio vandens talpos vidaus temperatūra atitinkamą </w:t>
                      </w:r>
                      <w:r>
                        <w:rPr>
                          <w:i/>
                          <w:color w:val="000000"/>
                          <w:szCs w:val="24"/>
                        </w:rPr>
                        <w:t>„m“</w:t>
                      </w:r>
                      <w:r>
                        <w:rPr>
                          <w:color w:val="000000"/>
                          <w:szCs w:val="24"/>
                        </w:rPr>
                        <w:t xml:space="preserve"> mėnesį (°C). Nustatoma taip: </w:t>
                      </w:r>
                    </w:p>
                    <w:p>
                      <w:pPr>
                        <w:ind w:firstLine="570"/>
                        <w:jc w:val="both"/>
                        <w:rPr>
                          <w:color w:val="000000"/>
                          <w:szCs w:val="24"/>
                        </w:rPr>
                      </w:pPr>
                      <w:r>
                        <w:rPr>
                          <w:color w:val="000000"/>
                          <w:szCs w:val="24"/>
                        </w:rPr>
                        <w:t xml:space="preserve">- jei karštam vandeniui ruošti ir pastatui šildyti naudojamos tos pačios talpos, </w:t>
                      </w:r>
                      <w:r>
                        <w:rPr>
                          <w:bCs/>
                          <w:color w:val="000000"/>
                          <w:szCs w:val="24"/>
                        </w:rPr>
                        <w:t xml:space="preserve">laikoma priimama, kad 1–4 ir 10–12 metų mėnesiais </w:t>
                      </w:r>
                      <w:r>
                        <w:rPr>
                          <w:i/>
                          <w:color w:val="000000"/>
                          <w:szCs w:val="24"/>
                        </w:rPr>
                        <w:t>θ</w:t>
                      </w:r>
                      <w:r>
                        <w:rPr>
                          <w:i/>
                          <w:color w:val="000000"/>
                          <w:szCs w:val="24"/>
                          <w:vertAlign w:val="subscript"/>
                        </w:rPr>
                        <w:t xml:space="preserve">hwSW,m,x,y </w:t>
                      </w:r>
                      <w:r>
                        <w:rPr>
                          <w:color w:val="000000"/>
                          <w:szCs w:val="24"/>
                        </w:rPr>
                        <w:t xml:space="preserve">= 70 °C, o </w:t>
                      </w:r>
                      <w:r>
                        <w:rPr>
                          <w:bCs/>
                          <w:color w:val="000000"/>
                          <w:szCs w:val="24"/>
                        </w:rPr>
                        <w:t xml:space="preserve">5–9 metų mėnesį mėnesiais </w:t>
                      </w:r>
                      <w:r>
                        <w:rPr>
                          <w:i/>
                          <w:color w:val="000000"/>
                          <w:szCs w:val="24"/>
                        </w:rPr>
                        <w:t>θ</w:t>
                      </w:r>
                      <w:r>
                        <w:rPr>
                          <w:i/>
                          <w:color w:val="000000"/>
                          <w:szCs w:val="24"/>
                          <w:vertAlign w:val="subscript"/>
                        </w:rPr>
                        <w:t xml:space="preserve">hwSW,m,x,y </w:t>
                      </w:r>
                      <w:r>
                        <w:rPr>
                          <w:color w:val="000000"/>
                          <w:szCs w:val="24"/>
                        </w:rPr>
                        <w:t>= 50 °C;</w:t>
                      </w:r>
                    </w:p>
                    <w:p>
                      <w:pPr>
                        <w:ind w:firstLine="570"/>
                        <w:jc w:val="both"/>
                        <w:rPr>
                          <w:color w:val="000000"/>
                          <w:szCs w:val="24"/>
                        </w:rPr>
                      </w:pPr>
                      <w:r>
                        <w:rPr>
                          <w:color w:val="000000"/>
                          <w:szCs w:val="24"/>
                        </w:rPr>
                        <w:t xml:space="preserve">- jei karštam vandeniui ruošti naudojamos atskiros talpos, bet kurį metų mėnesį </w:t>
                      </w:r>
                      <w:r>
                        <w:rPr>
                          <w:i/>
                          <w:color w:val="000000"/>
                          <w:szCs w:val="24"/>
                        </w:rPr>
                        <w:t>θ</w:t>
                      </w:r>
                      <w:r>
                        <w:rPr>
                          <w:i/>
                          <w:color w:val="000000"/>
                          <w:szCs w:val="24"/>
                          <w:vertAlign w:val="subscript"/>
                        </w:rPr>
                        <w:t xml:space="preserve">hwSW,m,x,y </w:t>
                      </w:r>
                      <w:r>
                        <w:rPr>
                          <w:color w:val="000000"/>
                          <w:szCs w:val="24"/>
                        </w:rPr>
                        <w:t>= 50 (°C).</w:t>
                      </w:r>
                    </w:p>
                  </w:sdtContent>
                </w:sdt>
                <w:sdt>
                  <w:sdtPr>
                    <w:alias w:val="2 pr. 53.10 pp."/>
                    <w:tag w:val="part_b644845c31b24ff99aa34e161b23806c"/>
                    <w:lock w:val="sdtLocked"/>
                    <w:richText/>
                  </w:sdtPr>
                  <w:sdtContent>
                    <w:p>
                      <w:pPr>
                        <w:ind w:firstLine="600"/>
                        <w:jc w:val="both"/>
                        <w:rPr>
                          <w:color w:val="000000"/>
                          <w:szCs w:val="24"/>
                        </w:rPr>
                      </w:pPr>
                      <w:sdt>
                        <w:sdtPr>
                          <w:alias w:val="Numeris"/>
                          <w:tag w:val="nr_b644845c31b24ff99aa34e161b23806c"/>
                          <w:lock w:val="sdtLocked"/>
                          <w:richText/>
                        </w:sdtPr>
                        <w:sdtContent>
                          <w:r>
                            <w:rPr>
                              <w:color w:val="000000"/>
                              <w:szCs w:val="24"/>
                            </w:rPr>
                            <w:t>53.10</w:t>
                          </w:r>
                        </w:sdtContent>
                      </w:sdt>
                      <w:r>
                        <w:rPr>
                          <w:color w:val="000000"/>
                          <w:szCs w:val="24"/>
                        </w:rPr>
                        <w:t xml:space="preserve">. kiekvieną mėnesį </w:t>
                      </w:r>
                      <w:r>
                        <w:rPr>
                          <w:i/>
                          <w:color w:val="000000"/>
                          <w:szCs w:val="24"/>
                        </w:rPr>
                        <w:t xml:space="preserve">„m“ </w:t>
                      </w:r>
                      <w:r>
                        <w:rPr>
                          <w:color w:val="000000"/>
                          <w:szCs w:val="24"/>
                        </w:rPr>
                        <w:t xml:space="preserve">atitinkamoje </w:t>
                      </w:r>
                      <w:r>
                        <w:rPr>
                          <w:i/>
                          <w:color w:val="000000"/>
                          <w:szCs w:val="24"/>
                        </w:rPr>
                        <w:t>„x“</w:t>
                      </w:r>
                      <w:r>
                        <w:rPr>
                          <w:color w:val="000000"/>
                          <w:szCs w:val="24"/>
                        </w:rPr>
                        <w:t xml:space="preserve"> šildymo sistemoje įrengtų Saulės kolektorių pagamintas šiluminės energijos kiekis pastatui šildyti </w:t>
                      </w:r>
                      <w:r>
                        <w:rPr>
                          <w:i/>
                          <w:color w:val="000000"/>
                          <w:szCs w:val="24"/>
                        </w:rPr>
                        <w:t>Q</w:t>
                      </w:r>
                      <w:r>
                        <w:rPr>
                          <w:i/>
                          <w:color w:val="000000"/>
                          <w:szCs w:val="24"/>
                          <w:vertAlign w:val="superscript"/>
                        </w:rPr>
                        <w:t>I</w:t>
                      </w:r>
                      <w:r>
                        <w:rPr>
                          <w:i/>
                          <w:color w:val="000000"/>
                          <w:szCs w:val="24"/>
                          <w:vertAlign w:val="subscript"/>
                        </w:rPr>
                        <w:t xml:space="preserve">H.hwSK.out,m,x </w:t>
                      </w:r>
                      <w:r>
                        <w:rPr>
                          <w:color w:val="000000"/>
                          <w:szCs w:val="24"/>
                        </w:rPr>
                        <w:t>(kWh/(m²·mėn.)) apskaičiuojamas taip [3.25]:</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strike/>
                                <w:color w:val="000000"/>
                                <w:szCs w:val="24"/>
                              </w:rPr>
                            </w:pPr>
                            <w:r>
                              <w:rPr>
                                <w:szCs w:val="24"/>
                              </w:rPr>
                              <w:object w:dxaOrig="6360" w:dyaOrig="1120">
                                <v:shape id="_x0000_i1270" type="#_x0000_t75" style="width:317.95pt;height:55.8pt" o:ole="">
                                  <v:imagedata r:id="rId775" o:title=""/>
                                </v:shape>
                                <o:OLEObject Type="Embed" ProgID="Equation.3" ShapeID="_x0000_i1270" DrawAspect="Content" ObjectID="_0000000001" r:id="rId776"/>
                              </w:object>
                              <w:t>;</w:t>
                            </w:r>
                          </w:p>
                        </w:tc>
                        <w:tc>
                          <w:tcPr>
                            <w:tcW w:w="1062" w:type="dxa"/>
                            <w:vAlign w:val="center"/>
                            <w:hideMark/>
                          </w:tcPr>
                          <w:p>
                            <w:pPr>
                              <w:spacing w:line="276" w:lineRule="auto"/>
                              <w:jc w:val="right"/>
                              <w:rPr>
                                <w:rFonts w:eastAsia="Calibri"/>
                                <w:color w:val="000000"/>
                                <w:szCs w:val="24"/>
                              </w:rPr>
                            </w:pPr>
                            <w:r>
                              <w:rPr>
                                <w:color w:val="000000"/>
                                <w:szCs w:val="24"/>
                              </w:rPr>
                              <w:t>(2.216)</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Q</w:t>
                      </w:r>
                      <w:r>
                        <w:rPr>
                          <w:i/>
                          <w:color w:val="000000"/>
                          <w:szCs w:val="24"/>
                          <w:vertAlign w:val="subscript"/>
                        </w:rPr>
                        <w:t>H,m</w:t>
                      </w:r>
                      <w:r>
                        <w:rPr>
                          <w:color w:val="000000"/>
                          <w:szCs w:val="24"/>
                        </w:rPr>
                        <w:t xml:space="preserve"> – šilumos poreikis pastatui šildyti atitinkamą „m“ mėnesį (kWh/(m</w:t>
                      </w:r>
                      <w:r>
                        <w:rPr>
                          <w:color w:val="000000"/>
                          <w:szCs w:val="24"/>
                          <w:vertAlign w:val="superscript"/>
                        </w:rPr>
                        <w:t>2</w:t>
                      </w:r>
                      <w:r>
                        <w:rPr>
                          <w:color w:val="000000"/>
                          <w:szCs w:val="24"/>
                        </w:rPr>
                        <w:t>·mėn.)). Apskaičiuojamas pagal (2.169) formulę;</w:t>
                      </w:r>
                    </w:p>
                    <w:p>
                      <w:pPr>
                        <w:ind w:firstLine="567"/>
                        <w:jc w:val="both"/>
                        <w:rPr>
                          <w:color w:val="000000"/>
                          <w:szCs w:val="24"/>
                        </w:rPr>
                      </w:pPr>
                      <w:r>
                        <w:rPr>
                          <w:i/>
                          <w:color w:val="000000"/>
                          <w:szCs w:val="24"/>
                        </w:rPr>
                        <w:t>η</w:t>
                      </w:r>
                      <w:r>
                        <w:rPr>
                          <w:i/>
                          <w:color w:val="000000"/>
                          <w:szCs w:val="24"/>
                          <w:vertAlign w:val="subscript"/>
                        </w:rPr>
                        <w:t>1</w:t>
                      </w:r>
                      <w:r>
                        <w:rPr>
                          <w:color w:val="000000"/>
                          <w:szCs w:val="24"/>
                        </w:rPr>
                        <w:t xml:space="preserve"> – imamas iš 2.44 lentelės;</w:t>
                      </w:r>
                    </w:p>
                    <w:p>
                      <w:pPr>
                        <w:ind w:firstLine="567"/>
                        <w:jc w:val="both"/>
                        <w:rPr>
                          <w:color w:val="000000"/>
                          <w:szCs w:val="24"/>
                        </w:rPr>
                      </w:pPr>
                      <w:r>
                        <w:rPr>
                          <w:i/>
                          <w:color w:val="000000"/>
                          <w:szCs w:val="24"/>
                        </w:rPr>
                        <w:t>X</w:t>
                      </w:r>
                      <w:r>
                        <w:rPr>
                          <w:i/>
                          <w:color w:val="000000"/>
                          <w:szCs w:val="24"/>
                          <w:vertAlign w:val="subscript"/>
                        </w:rPr>
                        <w:t>m,x,y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Apskaičiuojamas pagal (2.217) formulę (vnt. dalys);</w:t>
                      </w:r>
                    </w:p>
                    <w:p>
                      <w:pPr>
                        <w:ind w:firstLine="567"/>
                        <w:jc w:val="both"/>
                        <w:rPr>
                          <w:color w:val="000000"/>
                          <w:szCs w:val="24"/>
                        </w:rPr>
                      </w:pPr>
                      <w:r>
                        <w:rPr>
                          <w:i/>
                          <w:color w:val="000000"/>
                          <w:szCs w:val="24"/>
                        </w:rPr>
                        <w:t>Y</w:t>
                      </w:r>
                      <w:r>
                        <w:rPr>
                          <w:i/>
                          <w:color w:val="000000"/>
                          <w:szCs w:val="24"/>
                          <w:vertAlign w:val="subscript"/>
                        </w:rPr>
                        <w:t>m,x,y</w:t>
                      </w:r>
                      <w:r>
                        <w:rPr>
                          <w:color w:val="000000"/>
                          <w:szCs w:val="24"/>
                        </w:rPr>
                        <w:t xml:space="preserve"> – atitinkamoje</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Apskaičiuojamas pagal (2.218) formulę (vnt. dalys);</w:t>
                      </w:r>
                    </w:p>
                  </w:sdtContent>
                </w:sdt>
                <w:sdt>
                  <w:sdtPr>
                    <w:alias w:val="2 pr. 53.11 pp."/>
                    <w:tag w:val="part_168c356a8bfb492eac777981bc751326"/>
                    <w:lock w:val="sdtLocked"/>
                    <w:richText/>
                  </w:sdtPr>
                  <w:sdtContent>
                    <w:p>
                      <w:pPr>
                        <w:ind w:firstLine="600"/>
                        <w:jc w:val="both"/>
                        <w:rPr>
                          <w:color w:val="000000"/>
                          <w:szCs w:val="24"/>
                        </w:rPr>
                      </w:pPr>
                      <w:sdt>
                        <w:sdtPr>
                          <w:alias w:val="Numeris"/>
                          <w:tag w:val="nr_168c356a8bfb492eac777981bc751326"/>
                          <w:lock w:val="sdtLocked"/>
                          <w:richText/>
                        </w:sdtPr>
                        <w:sdtContent>
                          <w:r>
                            <w:rPr>
                              <w:color w:val="000000"/>
                              <w:szCs w:val="24"/>
                            </w:rPr>
                            <w:t>53.11</w:t>
                          </w:r>
                        </w:sdtContent>
                      </w:sdt>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X</w:t>
                      </w:r>
                      <w:r>
                        <w:rPr>
                          <w:color w:val="000000"/>
                          <w:szCs w:val="24"/>
                        </w:rPr>
                        <w:t xml:space="preserve"> faktorius </w:t>
                      </w:r>
                      <w:r>
                        <w:rPr>
                          <w:i/>
                          <w:color w:val="000000"/>
                          <w:szCs w:val="24"/>
                        </w:rPr>
                        <w:t>X</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strike/>
                                <w:color w:val="000000"/>
                                <w:szCs w:val="24"/>
                              </w:rPr>
                            </w:pPr>
                            <w:r>
                              <w:rPr>
                                <w:szCs w:val="24"/>
                              </w:rPr>
                              <w:object w:dxaOrig="6250" w:dyaOrig="1550">
                                <v:shape id="_x0000_i1271" type="#_x0000_t75" style="width:313.1pt;height:77.65pt" o:ole="">
                                  <v:imagedata r:id="rId777" o:title=""/>
                                </v:shape>
                                <o:OLEObject Type="Embed" ProgID="Equation.3" ShapeID="_x0000_i1271" DrawAspect="Content" ObjectID="_0000000001" r:id="rId778"/>
                              </w:object>
                              <w:t>;</w:t>
                            </w:r>
                          </w:p>
                        </w:tc>
                        <w:tc>
                          <w:tcPr>
                            <w:tcW w:w="1062" w:type="dxa"/>
                            <w:vAlign w:val="center"/>
                            <w:hideMark/>
                          </w:tcPr>
                          <w:p>
                            <w:pPr>
                              <w:spacing w:line="276" w:lineRule="auto"/>
                              <w:jc w:val="right"/>
                              <w:rPr>
                                <w:rFonts w:eastAsia="Calibri"/>
                                <w:color w:val="000000"/>
                                <w:szCs w:val="24"/>
                              </w:rPr>
                            </w:pPr>
                            <w:r>
                              <w:rPr>
                                <w:color w:val="000000"/>
                                <w:szCs w:val="24"/>
                              </w:rPr>
                              <w:t>(2.217)</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A</w:t>
                      </w:r>
                      <w:r>
                        <w:rPr>
                          <w:i/>
                          <w:color w:val="000000"/>
                          <w:szCs w:val="24"/>
                          <w:vertAlign w:val="subscript"/>
                        </w:rPr>
                        <w:t>hwSK,x</w:t>
                      </w:r>
                      <w:r>
                        <w:rPr>
                          <w:color w:val="000000"/>
                          <w:szCs w:val="24"/>
                        </w:rPr>
                        <w:t xml:space="preserve">– atitinkamoje </w:t>
                      </w:r>
                      <w:r>
                        <w:rPr>
                          <w:i/>
                          <w:color w:val="000000"/>
                          <w:szCs w:val="24"/>
                        </w:rPr>
                        <w:t xml:space="preserve">„x“ </w:t>
                      </w:r>
                      <w:r>
                        <w:rPr>
                          <w:color w:val="000000"/>
                          <w:szCs w:val="24"/>
                        </w:rPr>
                        <w:t>pastato šildymo sistemoje esančių Saulės kolektorių suminis vidinis plotas (m²) [3.34];</w:t>
                      </w:r>
                    </w:p>
                    <w:p>
                      <w:pPr>
                        <w:ind w:firstLine="567"/>
                        <w:jc w:val="both"/>
                        <w:rPr>
                          <w:color w:val="000000"/>
                          <w:szCs w:val="24"/>
                        </w:rPr>
                      </w:pPr>
                      <w:r>
                        <w:rPr>
                          <w:i/>
                          <w:color w:val="000000"/>
                          <w:szCs w:val="24"/>
                        </w:rPr>
                        <w:t>A</w:t>
                      </w:r>
                      <w:r>
                        <w:rPr>
                          <w:i/>
                          <w:color w:val="000000"/>
                          <w:szCs w:val="24"/>
                          <w:vertAlign w:val="subscript"/>
                        </w:rPr>
                        <w:t>hwSK,x,y</w:t>
                      </w:r>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vidinis plotas (m²) [3.34];</w:t>
                      </w:r>
                    </w:p>
                    <w:p>
                      <w:pPr>
                        <w:ind w:firstLine="567"/>
                        <w:jc w:val="both"/>
                        <w:rPr>
                          <w:color w:val="000000"/>
                          <w:szCs w:val="24"/>
                        </w:rPr>
                      </w:pPr>
                      <w:r>
                        <w:rPr>
                          <w:i/>
                          <w:color w:val="000000"/>
                          <w:szCs w:val="24"/>
                        </w:rPr>
                        <w:t xml:space="preserve">100 </w:t>
                      </w:r>
                      <w:r>
                        <w:rPr>
                          <w:color w:val="000000"/>
                          <w:szCs w:val="24"/>
                        </w:rPr>
                        <w:t>– projektinė temperatūra cirkuliaciniame kontūre tarp Saulės kolektoriaus ir akumuliacinės talpos (°C) [3.25];</w:t>
                      </w:r>
                    </w:p>
                    <w:p>
                      <w:pPr>
                        <w:ind w:firstLine="567"/>
                        <w:jc w:val="both"/>
                        <w:rPr>
                          <w:color w:val="000000"/>
                          <w:szCs w:val="24"/>
                        </w:rPr>
                      </w:pPr>
                      <w:r>
                        <w:rPr>
                          <w:i/>
                          <w:color w:val="000000"/>
                          <w:szCs w:val="24"/>
                        </w:rPr>
                        <w:t>a</w:t>
                      </w:r>
                      <w:r>
                        <w:rPr>
                          <w:i/>
                          <w:color w:val="000000"/>
                          <w:szCs w:val="24"/>
                          <w:vertAlign w:val="subscript"/>
                        </w:rPr>
                        <w:t>1,x,y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šilumos nuostolių koeficientas (W/(m²·K)). Imamas iš 2.38 lentelės.</w:t>
                      </w:r>
                    </w:p>
                    <w:p>
                      <w:pPr>
                        <w:ind w:firstLine="567"/>
                        <w:jc w:val="both"/>
                        <w:rPr>
                          <w:color w:val="000000"/>
                          <w:szCs w:val="24"/>
                        </w:rPr>
                      </w:pPr>
                      <w:r>
                        <w:rPr>
                          <w:i/>
                          <w:color w:val="000000"/>
                          <w:szCs w:val="24"/>
                        </w:rPr>
                        <w:t>V</w:t>
                      </w:r>
                      <w:r>
                        <w:rPr>
                          <w:i/>
                          <w:color w:val="000000"/>
                          <w:szCs w:val="24"/>
                          <w:vertAlign w:val="superscript"/>
                        </w:rPr>
                        <w:t>I</w:t>
                      </w:r>
                      <w:r>
                        <w:rPr>
                          <w:i/>
                          <w:color w:val="000000"/>
                          <w:szCs w:val="24"/>
                          <w:vertAlign w:val="subscript"/>
                        </w:rPr>
                        <w:t>hwSW,x</w:t>
                      </w:r>
                      <w:r>
                        <w:rPr>
                          <w:color w:val="000000"/>
                          <w:szCs w:val="24"/>
                        </w:rPr>
                        <w:t xml:space="preserve">– prie atitinkamos </w:t>
                      </w:r>
                      <w:r>
                        <w:rPr>
                          <w:i/>
                          <w:color w:val="000000"/>
                          <w:szCs w:val="24"/>
                        </w:rPr>
                        <w:t>„x“</w:t>
                      </w:r>
                      <w:r>
                        <w:rPr>
                          <w:color w:val="000000"/>
                          <w:szCs w:val="24"/>
                        </w:rPr>
                        <w:t xml:space="preserve"> Saulės kolektorių sistemos prijungtų vandens talpų pastatui šildyti suminis tūris (l). Nustatomas taip:</w:t>
                      </w:r>
                    </w:p>
                    <w:p>
                      <w:pPr>
                        <w:ind w:firstLine="567"/>
                        <w:jc w:val="both"/>
                        <w:rPr>
                          <w:color w:val="000000"/>
                          <w:szCs w:val="24"/>
                        </w:rPr>
                      </w:pPr>
                      <w:r>
                        <w:rPr>
                          <w:color w:val="000000"/>
                          <w:szCs w:val="24"/>
                        </w:rPr>
                        <w:t xml:space="preserve">- jei karštam vandeniui ruošti ir pastatui šildyti naudojamos tos pačios talpos, kurių suminis tūris </w:t>
                      </w:r>
                      <w:r>
                        <w:rPr>
                          <w:i/>
                          <w:color w:val="000000"/>
                          <w:szCs w:val="24"/>
                        </w:rPr>
                        <w:t>V</w:t>
                      </w:r>
                      <w:r>
                        <w:rPr>
                          <w:i/>
                          <w:color w:val="000000"/>
                          <w:szCs w:val="24"/>
                          <w:vertAlign w:val="superscript"/>
                        </w:rPr>
                        <w:t>I</w:t>
                      </w:r>
                      <w:r>
                        <w:rPr>
                          <w:i/>
                          <w:color w:val="000000"/>
                          <w:szCs w:val="24"/>
                          <w:vertAlign w:val="subscript"/>
                        </w:rPr>
                        <w:t xml:space="preserve">SW,x </w:t>
                      </w:r>
                      <w:r>
                        <w:rPr>
                          <w:color w:val="000000"/>
                          <w:szCs w:val="24"/>
                        </w:rPr>
                        <w:t>(l)</w:t>
                      </w:r>
                      <w:r>
                        <w:rPr>
                          <w:i/>
                          <w:color w:val="000000"/>
                          <w:szCs w:val="24"/>
                        </w:rPr>
                        <w:t>,</w:t>
                      </w:r>
                      <w:r>
                        <w:rPr>
                          <w:color w:val="000000"/>
                          <w:szCs w:val="24"/>
                        </w:rPr>
                        <w:t xml:space="preserve"> tai</w:t>
                      </w:r>
                      <w:r>
                        <w:rPr>
                          <w:i/>
                          <w:color w:val="000000"/>
                          <w:szCs w:val="24"/>
                        </w:rPr>
                        <w:t xml:space="preserve"> V</w:t>
                      </w:r>
                      <w:r>
                        <w:rPr>
                          <w:i/>
                          <w:color w:val="000000"/>
                          <w:szCs w:val="24"/>
                          <w:vertAlign w:val="superscript"/>
                        </w:rPr>
                        <w:t>I</w:t>
                      </w:r>
                      <w:r>
                        <w:rPr>
                          <w:i/>
                          <w:color w:val="000000"/>
                          <w:szCs w:val="24"/>
                          <w:vertAlign w:val="subscript"/>
                        </w:rPr>
                        <w:t>HSW,x</w:t>
                      </w:r>
                      <w:r>
                        <w:rPr>
                          <w:color w:val="000000"/>
                          <w:szCs w:val="24"/>
                        </w:rPr>
                        <w:t>=0,5·</w:t>
                      </w:r>
                      <w:r>
                        <w:rPr>
                          <w:i/>
                          <w:color w:val="000000"/>
                          <w:szCs w:val="24"/>
                        </w:rPr>
                        <w:t>V</w:t>
                      </w:r>
                      <w:r>
                        <w:rPr>
                          <w:i/>
                          <w:color w:val="000000"/>
                          <w:szCs w:val="24"/>
                          <w:vertAlign w:val="superscript"/>
                        </w:rPr>
                        <w:t>I</w:t>
                      </w:r>
                      <w:r>
                        <w:rPr>
                          <w:i/>
                          <w:color w:val="000000"/>
                          <w:szCs w:val="24"/>
                          <w:vertAlign w:val="subscript"/>
                        </w:rPr>
                        <w:t>SW,x</w:t>
                      </w:r>
                      <w:r>
                        <w:rPr>
                          <w:color w:val="000000"/>
                          <w:szCs w:val="24"/>
                        </w:rPr>
                        <w:t xml:space="preserve"> (l);</w:t>
                      </w:r>
                    </w:p>
                    <w:p>
                      <w:pPr>
                        <w:ind w:firstLine="567"/>
                        <w:jc w:val="both"/>
                        <w:rPr>
                          <w:color w:val="000000"/>
                          <w:szCs w:val="24"/>
                        </w:rPr>
                      </w:pPr>
                      <w:r>
                        <w:rPr>
                          <w:color w:val="000000"/>
                          <w:szCs w:val="24"/>
                        </w:rPr>
                        <w:t>- jei karštam vandeniui ruošti ir pastatui šildyti naudojamos atskiros talpos, skaičiavimuose turi būti naudojamas talpų pastatui šildyti suminis tūris (l);</w:t>
                      </w:r>
                    </w:p>
                  </w:sdtContent>
                </w:sdt>
                <w:sdt>
                  <w:sdtPr>
                    <w:alias w:val="2 pr. 53.12 pp."/>
                    <w:tag w:val="part_c6adb7b5d5b84bde9b5a928195d74acf"/>
                    <w:lock w:val="sdtLocked"/>
                    <w:richText/>
                  </w:sdtPr>
                  <w:sdtContent>
                    <w:p>
                      <w:pPr>
                        <w:ind w:firstLine="600"/>
                        <w:jc w:val="both"/>
                        <w:rPr>
                          <w:color w:val="000000"/>
                          <w:szCs w:val="24"/>
                        </w:rPr>
                      </w:pPr>
                      <w:sdt>
                        <w:sdtPr>
                          <w:alias w:val="Numeris"/>
                          <w:tag w:val="nr_c6adb7b5d5b84bde9b5a928195d74acf"/>
                          <w:lock w:val="sdtLocked"/>
                          <w:richText/>
                        </w:sdtPr>
                        <w:sdtContent>
                          <w:r>
                            <w:rPr>
                              <w:color w:val="000000"/>
                              <w:szCs w:val="24"/>
                            </w:rPr>
                            <w:t>53.12</w:t>
                          </w:r>
                        </w:sdtContent>
                      </w:sdt>
                      <w:r>
                        <w:rPr>
                          <w:color w:val="000000"/>
                          <w:szCs w:val="24"/>
                        </w:rPr>
                        <w:t xml:space="preserve">.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mėnesinis </w:t>
                      </w:r>
                      <w:r>
                        <w:rPr>
                          <w:i/>
                          <w:color w:val="000000"/>
                          <w:szCs w:val="24"/>
                        </w:rPr>
                        <w:t>Y</w:t>
                      </w:r>
                      <w:r>
                        <w:rPr>
                          <w:color w:val="000000"/>
                          <w:szCs w:val="24"/>
                        </w:rPr>
                        <w:t xml:space="preserve"> faktorius </w:t>
                      </w:r>
                      <w:r>
                        <w:rPr>
                          <w:i/>
                          <w:color w:val="000000"/>
                          <w:szCs w:val="24"/>
                        </w:rPr>
                        <w:t>Y</w:t>
                      </w:r>
                      <w:r>
                        <w:rPr>
                          <w:i/>
                          <w:color w:val="000000"/>
                          <w:szCs w:val="24"/>
                          <w:vertAlign w:val="subscript"/>
                        </w:rPr>
                        <w:t>m,x,y</w:t>
                      </w:r>
                      <w:r>
                        <w:rPr>
                          <w:color w:val="000000"/>
                          <w:szCs w:val="24"/>
                        </w:rPr>
                        <w:t xml:space="preserve"> (vnt. dalys) apskaičiuojamas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spacing w:line="276" w:lineRule="auto"/>
                              <w:jc w:val="center"/>
                              <w:rPr>
                                <w:rFonts w:eastAsia="Calibri"/>
                                <w:strike/>
                                <w:color w:val="000000"/>
                                <w:szCs w:val="24"/>
                              </w:rPr>
                            </w:pPr>
                          </w:p>
                          <w:p>
                            <w:pPr>
                              <w:spacing w:line="276" w:lineRule="auto"/>
                              <w:jc w:val="center"/>
                              <w:rPr>
                                <w:rFonts w:eastAsia="Calibri"/>
                                <w:color w:val="000000"/>
                                <w:szCs w:val="24"/>
                              </w:rPr>
                            </w:pPr>
                            <w:r>
                              <w:rPr>
                                <w:szCs w:val="24"/>
                              </w:rPr>
                              <w:object w:dxaOrig="7370" w:dyaOrig="1040">
                                <v:shape id="_x0000_i1272" type="#_x0000_t75" style="width:368.1pt;height:51.8pt" o:ole="">
                                  <v:imagedata r:id="rId779" o:title=""/>
                                </v:shape>
                                <o:OLEObject Type="Embed" ProgID="Equation.3" ShapeID="_x0000_i1272" DrawAspect="Content" ObjectID="_0000000001" r:id="rId780"/>
                              </w:objec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(2.218)</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IAM</w:t>
                      </w:r>
                      <w:r>
                        <w:rPr>
                          <w:i/>
                          <w:color w:val="000000"/>
                          <w:szCs w:val="24"/>
                          <w:vertAlign w:val="subscript"/>
                        </w:rPr>
                        <w:t>x,y</w:t>
                      </w:r>
                      <w:r>
                        <w:rPr>
                          <w:color w:val="000000"/>
                          <w:szCs w:val="24"/>
                        </w:rPr>
                        <w:t xml:space="preserve"> –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Saulės kritimo kampo pataisos koeficientas. Imamas iš 2.39 lentelės [3.25]. </w:t>
                      </w:r>
                    </w:p>
                    <w:p>
                      <w:pPr>
                        <w:ind w:firstLine="567"/>
                        <w:rPr>
                          <w:color w:val="000000"/>
                          <w:szCs w:val="24"/>
                        </w:rPr>
                      </w:pPr>
                      <w:r>
                        <w:rPr>
                          <w:i/>
                          <w:color w:val="000000"/>
                          <w:szCs w:val="24"/>
                        </w:rPr>
                        <w:t>I</w:t>
                      </w:r>
                      <w:r>
                        <w:rPr>
                          <w:i/>
                          <w:color w:val="000000"/>
                          <w:szCs w:val="24"/>
                          <w:vertAlign w:val="subscript"/>
                        </w:rPr>
                        <w:t>sol,m,x,y</w:t>
                      </w:r>
                      <w:r>
                        <w:rPr>
                          <w:color w:val="000000"/>
                          <w:szCs w:val="24"/>
                        </w:rPr>
                        <w:t xml:space="preserve"> – mėnesinis Saulės bendrosios spinduliuotės srauto tankis į atitinkamoje </w:t>
                      </w:r>
                      <w:r>
                        <w:rPr>
                          <w:i/>
                          <w:color w:val="000000"/>
                          <w:szCs w:val="24"/>
                        </w:rPr>
                        <w:t>„x“</w:t>
                      </w:r>
                      <w:r>
                        <w:rPr>
                          <w:color w:val="000000"/>
                          <w:szCs w:val="24"/>
                        </w:rPr>
                        <w:t xml:space="preserve"> pastato šildymo sistemoje esančio atitinkamo </w:t>
                      </w:r>
                      <w:r>
                        <w:rPr>
                          <w:i/>
                          <w:color w:val="000000"/>
                          <w:szCs w:val="24"/>
                        </w:rPr>
                        <w:t>„y“</w:t>
                      </w:r>
                      <w:r>
                        <w:rPr>
                          <w:color w:val="000000"/>
                          <w:szCs w:val="24"/>
                        </w:rPr>
                        <w:t xml:space="preserve"> Saulės kolektoriaus paviršių (W/m²). Apskaičiuojamas pagal atitinkamo </w:t>
                      </w:r>
                      <w:r>
                        <w:rPr>
                          <w:i/>
                          <w:color w:val="000000"/>
                          <w:szCs w:val="24"/>
                        </w:rPr>
                        <w:t>„y“</w:t>
                      </w:r>
                      <w:r>
                        <w:rPr>
                          <w:color w:val="000000"/>
                          <w:szCs w:val="24"/>
                        </w:rPr>
                        <w:t xml:space="preserve"> kolektoriaus orientaciją pasaulio šalių atžvilgiu ir kolektoriaus pasvirimo kampą pagal 2.33–2.35 lentelės duomenis;</w:t>
                      </w:r>
                    </w:p>
                  </w:sdtContent>
                </w:sdt>
                <w:sdt>
                  <w:sdtPr>
                    <w:alias w:val="2 pr. 53.13 pp."/>
                    <w:tag w:val="part_e3f63db8e31b40019e5b5223947db806"/>
                    <w:lock w:val="sdtLocked"/>
                    <w:richText/>
                  </w:sdtPr>
                  <w:sdtContent>
                    <w:p>
                      <w:pPr>
                        <w:ind w:firstLine="600"/>
                        <w:jc w:val="both"/>
                        <w:rPr>
                          <w:color w:val="000000"/>
                          <w:szCs w:val="24"/>
                        </w:rPr>
                      </w:pPr>
                      <w:sdt>
                        <w:sdtPr>
                          <w:alias w:val="Numeris"/>
                          <w:tag w:val="nr_e3f63db8e31b40019e5b5223947db806"/>
                          <w:lock w:val="sdtLocked"/>
                          <w:richText/>
                        </w:sdtPr>
                        <w:sdtContent>
                          <w:r>
                            <w:rPr>
                              <w:color w:val="000000"/>
                              <w:szCs w:val="24"/>
                            </w:rPr>
                            <w:t>53.13</w:t>
                          </w:r>
                        </w:sdtContent>
                      </w:sdt>
                      <w:r>
                        <w:rPr>
                          <w:color w:val="000000"/>
                          <w:szCs w:val="24"/>
                        </w:rPr>
                        <w:t xml:space="preserve">. kiekvieno mėnesio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pastato šildymo sistemos su Saulės kolektoriais šilumos nuostoliai </w:t>
                      </w:r>
                      <w:r>
                        <w:rPr>
                          <w:i/>
                          <w:szCs w:val="24"/>
                        </w:rPr>
                        <w:t>Q</w:t>
                      </w:r>
                      <w:r>
                        <w:rPr>
                          <w:i/>
                          <w:szCs w:val="24"/>
                          <w:vertAlign w:val="superscript"/>
                        </w:rPr>
                        <w:t>I</w:t>
                      </w:r>
                      <w:r>
                        <w:rPr>
                          <w:i/>
                          <w:szCs w:val="24"/>
                          <w:vertAlign w:val="subscript"/>
                        </w:rPr>
                        <w:t>H.hwSK.SW,m,x</w:t>
                      </w:r>
                      <w:r>
                        <w:rPr>
                          <w:color w:val="000000"/>
                          <w:szCs w:val="24"/>
                        </w:rPr>
                        <w:t xml:space="preserve">(kWh/(m²·mėn.)) pastato šildymo reikmėms naudojamose akumuliacinėse vandens talposeapskaičiuojami taip: </w:t>
                      </w:r>
                    </w:p>
                    <w:tbl>
                      <w:tblPr>
                        <w:tblW w:w="5000" w:type="pct"/>
                        <w:tblLook w:val="01E0" w:firstRow="1" w:lastRow="1" w:firstColumn="1" w:lastColumn="1" w:noHBand="0" w:noVBand="0"/>
                      </w:tblPr>
                      <w:tblGrid>
                        <w:gridCol w:w="8553"/>
                        <w:gridCol w:w="1301"/>
                      </w:tblGrid>
                      <w:tr>
                        <w:tc>
                          <w:tcPr>
                            <w:tcW w:w="4340" w:type="pct"/>
                            <w:vAlign w:val="center"/>
                          </w:tcPr>
                          <w:p>
                            <w:pPr>
                              <w:rPr>
                                <w:color w:val="000000"/>
                                <w:szCs w:val="24"/>
                              </w:rPr>
                            </w:pPr>
                          </w:p>
                          <w:p>
                            <w:pPr>
                              <w:spacing w:line="360" w:lineRule="auto"/>
                              <w:ind w:left="850" w:hanging="850"/>
                              <w:jc w:val="center"/>
                              <w:rPr>
                                <w:rFonts w:eastAsia="Calibri"/>
                                <w:bCs/>
                                <w:color w:val="000000"/>
                                <w:szCs w:val="24"/>
                              </w:rPr>
                            </w:pPr>
                            <w:r>
                              <w:rPr>
                                <w:color w:val="000000"/>
                                <w:szCs w:val="24"/>
                              </w:rPr>
                              <w:object w:dxaOrig="6600" w:dyaOrig="1040">
                                <v:shape id="_x0000_i1273" type="#_x0000_t75" style="width:330.05pt;height:51.8pt" o:ole="">
                                  <v:imagedata r:id="rId781" o:title=""/>
                                </v:shape>
                                <o:OLEObject Type="Embed" ProgID="Equation.3" ShapeID="_x0000_i1273" DrawAspect="Content" ObjectID="_0000000001" r:id="rId782"/>
                              </w:object>
                              <w:t>;</w:t>
                            </w:r>
                          </w:p>
                        </w:tc>
                        <w:tc>
                          <w:tcPr>
                            <w:tcW w:w="660" w:type="pct"/>
                            <w:vAlign w:val="center"/>
                          </w:tcPr>
                          <w:p>
                            <w:pPr>
                              <w:rPr>
                                <w:color w:val="000000"/>
                                <w:szCs w:val="24"/>
                              </w:rPr>
                            </w:pPr>
                          </w:p>
                          <w:p>
                            <w:pPr>
                              <w:spacing w:line="360" w:lineRule="auto"/>
                              <w:ind w:left="850" w:hanging="850"/>
                              <w:jc w:val="right"/>
                              <w:rPr>
                                <w:rFonts w:eastAsia="Calibri"/>
                                <w:bCs/>
                                <w:color w:val="000000"/>
                                <w:szCs w:val="24"/>
                              </w:rPr>
                            </w:pPr>
                            <w:r>
                              <w:rPr>
                                <w:color w:val="000000"/>
                                <w:szCs w:val="24"/>
                              </w:rPr>
                              <w:t>(2.219)</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čia:</w:t>
                        <w:tab/>
                      </w:r>
                      <w:r>
                        <w:rPr>
                          <w:i/>
                          <w:color w:val="000000"/>
                          <w:szCs w:val="24"/>
                        </w:rPr>
                        <w:t>η</w:t>
                      </w:r>
                      <w:r>
                        <w:rPr>
                          <w:i/>
                          <w:color w:val="000000"/>
                          <w:szCs w:val="24"/>
                          <w:vertAlign w:val="subscript"/>
                        </w:rPr>
                        <w:t>1</w:t>
                      </w:r>
                      <w:r>
                        <w:rPr>
                          <w:color w:val="000000"/>
                          <w:szCs w:val="24"/>
                        </w:rPr>
                        <w:t xml:space="preserve"> – imamas iš 2.44 lentelės;</w:t>
                      </w:r>
                    </w:p>
                    <w:p>
                      <w:pPr>
                        <w:ind w:firstLine="570"/>
                        <w:jc w:val="both"/>
                        <w:rPr>
                          <w:color w:val="000000"/>
                          <w:szCs w:val="24"/>
                        </w:rPr>
                      </w:pPr>
                      <w:r>
                        <w:rPr>
                          <w:i/>
                          <w:color w:val="000000"/>
                          <w:szCs w:val="24"/>
                        </w:rPr>
                        <w:t>θ</w:t>
                      </w:r>
                      <w:r>
                        <w:rPr>
                          <w:i/>
                          <w:color w:val="000000"/>
                          <w:szCs w:val="24"/>
                          <w:vertAlign w:val="subscript"/>
                        </w:rPr>
                        <w:t xml:space="preserve">i,x,y </w:t>
                      </w:r>
                      <w:r>
                        <w:rPr>
                          <w:color w:val="000000"/>
                          <w:szCs w:val="24"/>
                        </w:rPr>
                        <w:t xml:space="preserve">– patalpų, kuriose įrengta atitinkama </w:t>
                      </w:r>
                      <w:r>
                        <w:rPr>
                          <w:i/>
                          <w:color w:val="000000"/>
                          <w:szCs w:val="24"/>
                        </w:rPr>
                        <w:t>„y“</w:t>
                      </w:r>
                      <w:r>
                        <w:rPr>
                          <w:color w:val="000000"/>
                          <w:szCs w:val="24"/>
                        </w:rPr>
                        <w:t xml:space="preserve"> karšto vandens talpa pastatui šildyti, temperatūra (°C). Jei talpa įrengta šildomose patalpose, </w:t>
                      </w:r>
                      <w:r>
                        <w:rPr>
                          <w:i/>
                          <w:color w:val="000000"/>
                          <w:szCs w:val="24"/>
                        </w:rPr>
                        <w:t>θ</w:t>
                      </w:r>
                      <w:r>
                        <w:rPr>
                          <w:i/>
                          <w:color w:val="000000"/>
                          <w:szCs w:val="24"/>
                          <w:vertAlign w:val="subscript"/>
                        </w:rPr>
                        <w:t>i,x,y</w:t>
                      </w:r>
                      <w:r>
                        <w:rPr>
                          <w:color w:val="000000"/>
                          <w:szCs w:val="24"/>
                        </w:rPr>
                        <w:t xml:space="preserve"> =</w:t>
                      </w:r>
                      <w:r>
                        <w:rPr>
                          <w:i/>
                          <w:color w:val="000000"/>
                          <w:szCs w:val="24"/>
                        </w:rPr>
                        <w:t xml:space="preserve"> θ</w:t>
                      </w:r>
                      <w:r>
                        <w:rPr>
                          <w:i/>
                          <w:color w:val="000000"/>
                          <w:szCs w:val="24"/>
                          <w:vertAlign w:val="subscript"/>
                        </w:rPr>
                        <w:t>iH</w:t>
                      </w:r>
                      <w:r>
                        <w:rPr>
                          <w:color w:val="000000"/>
                          <w:szCs w:val="24"/>
                        </w:rPr>
                        <w:t xml:space="preserve">, jei nešildomose patalpose, – </w:t>
                      </w:r>
                      <w:r>
                        <w:rPr>
                          <w:i/>
                          <w:color w:val="000000"/>
                          <w:szCs w:val="24"/>
                        </w:rPr>
                        <w:t>θ</w:t>
                      </w:r>
                      <w:r>
                        <w:rPr>
                          <w:i/>
                          <w:color w:val="000000"/>
                          <w:szCs w:val="24"/>
                          <w:vertAlign w:val="subscript"/>
                        </w:rPr>
                        <w:t>i,x,y</w:t>
                      </w:r>
                      <w:r>
                        <w:rPr>
                          <w:color w:val="000000"/>
                          <w:szCs w:val="24"/>
                        </w:rPr>
                        <w:t xml:space="preserve"> = 13 °C [3.23];</w:t>
                      </w:r>
                    </w:p>
                    <w:p>
                      <w:pPr>
                        <w:ind w:firstLine="570"/>
                        <w:jc w:val="both"/>
                        <w:rPr>
                          <w:color w:val="000000"/>
                          <w:szCs w:val="24"/>
                        </w:rPr>
                      </w:pPr>
                      <w:r>
                        <w:rPr>
                          <w:i/>
                          <w:color w:val="000000"/>
                          <w:szCs w:val="24"/>
                        </w:rPr>
                        <w:t>K</w:t>
                      </w:r>
                      <w:r>
                        <w:rPr>
                          <w:i/>
                          <w:color w:val="000000"/>
                          <w:szCs w:val="24"/>
                          <w:vertAlign w:val="subscript"/>
                        </w:rPr>
                        <w:t>SW50,x,y</w:t>
                      </w:r>
                      <w:r>
                        <w:rPr>
                          <w:color w:val="000000"/>
                          <w:szCs w:val="24"/>
                        </w:rPr>
                        <w:t xml:space="preserve"> – šilumos nuostoliai per parą atitinkamoje </w:t>
                      </w:r>
                      <w:r>
                        <w:rPr>
                          <w:i/>
                          <w:color w:val="000000"/>
                          <w:szCs w:val="24"/>
                        </w:rPr>
                        <w:t>„y“</w:t>
                      </w:r>
                      <w:r>
                        <w:rPr>
                          <w:color w:val="000000"/>
                          <w:szCs w:val="24"/>
                        </w:rPr>
                        <w:t xml:space="preserve"> pastato šildymo reikmėms naudojamoje karšto vandens talpoje kai vandens temperatūra 50 °C ir aplinkos temperatūra 20 °C (kWh/para). Apskaičiuojami pagal 42.2 ir 42.3 papunkčių reikalavimus;</w:t>
                      </w:r>
                    </w:p>
                    <w:p>
                      <w:pPr>
                        <w:ind w:firstLine="570"/>
                        <w:jc w:val="both"/>
                        <w:rPr>
                          <w:color w:val="000000"/>
                          <w:szCs w:val="24"/>
                        </w:rPr>
                      </w:pPr>
                      <w:r>
                        <w:rPr>
                          <w:i/>
                          <w:color w:val="000000"/>
                          <w:szCs w:val="24"/>
                        </w:rPr>
                        <w:t xml:space="preserve">70 </w:t>
                      </w:r>
                      <w:r>
                        <w:rPr>
                          <w:color w:val="000000"/>
                          <w:szCs w:val="24"/>
                        </w:rPr>
                        <w:t>– vidutinė temperatūra akumuliacinėse talpose šildymo sezono metu (°C);</w:t>
                      </w:r>
                    </w:p>
                    <w:p>
                      <w:pPr>
                        <w:ind w:firstLine="570"/>
                        <w:rPr>
                          <w:color w:val="000000"/>
                          <w:szCs w:val="24"/>
                        </w:rPr>
                      </w:pPr>
                      <w:r>
                        <w:rPr>
                          <w:i/>
                          <w:color w:val="000000"/>
                          <w:szCs w:val="24"/>
                        </w:rPr>
                        <w:t xml:space="preserve">30 </w:t>
                      </w:r>
                      <w:r>
                        <w:rPr>
                          <w:color w:val="000000"/>
                          <w:szCs w:val="24"/>
                        </w:rPr>
                        <w:t xml:space="preserve">– temperatūrų skirtumas, kuriam esant nustatyta </w:t>
                      </w:r>
                      <w:r>
                        <w:rPr>
                          <w:i/>
                          <w:color w:val="000000"/>
                          <w:szCs w:val="24"/>
                        </w:rPr>
                        <w:t>K</w:t>
                      </w:r>
                      <w:r>
                        <w:rPr>
                          <w:i/>
                          <w:color w:val="000000"/>
                          <w:szCs w:val="24"/>
                          <w:vertAlign w:val="subscript"/>
                        </w:rPr>
                        <w:t>SW50,x,y</w:t>
                      </w:r>
                      <w:r>
                        <w:rPr>
                          <w:color w:val="000000"/>
                          <w:szCs w:val="24"/>
                        </w:rPr>
                        <w:t xml:space="preserve"> (°C);</w:t>
                      </w:r>
                    </w:p>
                  </w:sdtContent>
                </w:sdt>
                <w:sdt>
                  <w:sdtPr>
                    <w:alias w:val="2 pr. 53.14 pp."/>
                    <w:tag w:val="part_cecde970f5a74314ba5910f3d0b91333"/>
                    <w:lock w:val="sdtLocked"/>
                    <w:richText/>
                  </w:sdtPr>
                  <w:sdtContent>
                    <w:p>
                      <w:pPr>
                        <w:ind w:firstLine="570"/>
                        <w:jc w:val="both"/>
                        <w:rPr>
                          <w:color w:val="000000"/>
                          <w:szCs w:val="24"/>
                        </w:rPr>
                      </w:pPr>
                      <w:sdt>
                        <w:sdtPr>
                          <w:alias w:val="Numeris"/>
                          <w:tag w:val="nr_cecde970f5a74314ba5910f3d0b91333"/>
                          <w:lock w:val="sdtLocked"/>
                          <w:richText/>
                        </w:sdtPr>
                        <w:sdtContent>
                          <w:r>
                            <w:rPr>
                              <w:color w:val="000000"/>
                              <w:szCs w:val="24"/>
                            </w:rPr>
                            <w:t>53.14</w:t>
                          </w:r>
                        </w:sdtContent>
                      </w:sdt>
                      <w:r>
                        <w:rPr>
                          <w:color w:val="000000"/>
                          <w:szCs w:val="24"/>
                        </w:rPr>
                        <w:t xml:space="preserve">. mėnesinės elektros energijos sąnaudos atitinkamoje </w:t>
                      </w:r>
                      <w:r>
                        <w:rPr>
                          <w:i/>
                          <w:color w:val="000000"/>
                          <w:szCs w:val="24"/>
                        </w:rPr>
                        <w:t xml:space="preserve">„x“ </w:t>
                      </w:r>
                      <w:r>
                        <w:rPr>
                          <w:color w:val="000000"/>
                          <w:szCs w:val="24"/>
                        </w:rPr>
                        <w:t xml:space="preserve">sistemoje su Saulės kolektoriais </w:t>
                      </w:r>
                      <w:r>
                        <w:rPr>
                          <w:i/>
                          <w:color w:val="000000"/>
                          <w:szCs w:val="24"/>
                        </w:rPr>
                        <w:t>Q</w:t>
                      </w:r>
                      <w:r>
                        <w:rPr>
                          <w:i/>
                          <w:color w:val="000000"/>
                          <w:szCs w:val="24"/>
                          <w:vertAlign w:val="subscript"/>
                        </w:rPr>
                        <w:t xml:space="preserve">E.(hw+H).hwSK,m,x </w:t>
                      </w:r>
                      <w:r>
                        <w:rPr>
                          <w:color w:val="000000"/>
                          <w:szCs w:val="24"/>
                        </w:rPr>
                        <w:t>(kWh/(m²·mėn.)) apskaičiuojamos taip [3.25]:</w:t>
                      </w:r>
                    </w:p>
                    <w:tbl>
                      <w:tblPr>
                        <w:tblW w:w="5000" w:type="pct"/>
                        <w:tblLook w:val="01E0" w:firstRow="1" w:lastRow="1" w:firstColumn="1" w:lastColumn="1" w:noHBand="0" w:noVBand="0"/>
                      </w:tblPr>
                      <w:tblGrid>
                        <w:gridCol w:w="8553"/>
                        <w:gridCol w:w="1301"/>
                      </w:tblGrid>
                      <w:tr>
                        <w:tc>
                          <w:tcPr>
                            <w:tcW w:w="4340" w:type="pct"/>
                            <w:vAlign w:val="center"/>
                            <w:hideMark/>
                          </w:tcPr>
                          <w:p>
                            <w:pPr>
                              <w:spacing w:line="360" w:lineRule="auto"/>
                              <w:ind w:left="850" w:hanging="850"/>
                              <w:jc w:val="center"/>
                              <w:rPr>
                                <w:rFonts w:eastAsia="Calibri"/>
                                <w:bCs/>
                                <w:color w:val="000000"/>
                                <w:szCs w:val="24"/>
                              </w:rPr>
                            </w:pPr>
                            <w:r>
                              <w:rPr>
                                <w:color w:val="000000"/>
                                <w:szCs w:val="24"/>
                              </w:rPr>
                              <w:object w:dxaOrig="5430" w:dyaOrig="710">
                                <v:shape id="_x0000_i1274" type="#_x0000_t75" style="width:271.8pt;height:35.6pt" o:ole="">
                                  <v:imagedata r:id="rId783" o:title=""/>
                                </v:shape>
                                <o:OLEObject Type="Embed" ProgID="Equation.3" ShapeID="_x0000_i1274" DrawAspect="Content" ObjectID="_0000000001" r:id="rId784"/>
                              </w:object>
                              <w:t>;</w:t>
                            </w:r>
                          </w:p>
                        </w:tc>
                        <w:tc>
                          <w:tcPr>
                            <w:tcW w:w="660" w:type="pct"/>
                            <w:vAlign w:val="center"/>
                          </w:tcPr>
                          <w:p>
                            <w:pPr>
                              <w:rPr>
                                <w:color w:val="000000"/>
                                <w:szCs w:val="24"/>
                              </w:rPr>
                            </w:pPr>
                          </w:p>
                          <w:p>
                            <w:pPr>
                              <w:spacing w:line="360" w:lineRule="auto"/>
                              <w:ind w:left="850" w:hanging="850"/>
                              <w:jc w:val="right"/>
                              <w:rPr>
                                <w:rFonts w:eastAsia="Calibri"/>
                                <w:color w:val="000000"/>
                                <w:szCs w:val="24"/>
                              </w:rPr>
                            </w:pPr>
                            <w:r>
                              <w:rPr>
                                <w:color w:val="000000"/>
                                <w:szCs w:val="24"/>
                              </w:rPr>
                              <w:t>(2.220)</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t</w:t>
                      </w:r>
                      <w:r>
                        <w:rPr>
                          <w:i/>
                          <w:color w:val="000000"/>
                          <w:szCs w:val="24"/>
                          <w:vertAlign w:val="subscript"/>
                        </w:rPr>
                        <w:t xml:space="preserve">cp.(hw+H).hwSK,m,x </w:t>
                      </w:r>
                      <w:r>
                        <w:rPr>
                          <w:color w:val="000000"/>
                          <w:szCs w:val="24"/>
                        </w:rPr>
                        <w:t xml:space="preserve">– cirkuliacinių siurblių darbo laikas per atitinkamą mėnesį </w:t>
                      </w:r>
                      <w:r>
                        <w:rPr>
                          <w:i/>
                          <w:color w:val="000000"/>
                          <w:szCs w:val="24"/>
                        </w:rPr>
                        <w:t>„m“</w:t>
                      </w:r>
                      <w:r>
                        <w:rPr>
                          <w:color w:val="000000"/>
                          <w:szCs w:val="24"/>
                        </w:rPr>
                        <w:t xml:space="preserve"> atitinkamoje </w:t>
                      </w:r>
                      <w:r>
                        <w:rPr>
                          <w:i/>
                          <w:color w:val="000000"/>
                          <w:szCs w:val="24"/>
                        </w:rPr>
                        <w:t>„x“</w:t>
                      </w:r>
                      <w:r>
                        <w:rPr>
                          <w:color w:val="000000"/>
                          <w:szCs w:val="24"/>
                        </w:rPr>
                        <w:t xml:space="preserve"> karšto vandens ruošimo sistemoje su vandenį šildančiais Saulės kolektoriais, kai kolektoriai naudojami karštam vandeniui ruošti ir pastatui šildyti (h). Apskaičiuojamas pagal (2.221) formulę;</w:t>
                      </w:r>
                    </w:p>
                    <w:tbl>
                      <w:tblPr>
                        <w:tblW w:w="5000" w:type="pct"/>
                        <w:tblLook w:val="01E0" w:firstRow="1" w:lastRow="1" w:firstColumn="1" w:lastColumn="1" w:noHBand="0" w:noVBand="0"/>
                      </w:tblPr>
                      <w:tblGrid>
                        <w:gridCol w:w="8553"/>
                        <w:gridCol w:w="1301"/>
                      </w:tblGrid>
                      <w:tr>
                        <w:tc>
                          <w:tcPr>
                            <w:tcW w:w="4340" w:type="pct"/>
                            <w:vAlign w:val="center"/>
                            <w:hideMark/>
                          </w:tcPr>
                          <w:p>
                            <w:pPr>
                              <w:spacing w:line="360" w:lineRule="auto"/>
                              <w:ind w:left="850" w:hanging="850"/>
                              <w:jc w:val="center"/>
                              <w:rPr>
                                <w:rFonts w:eastAsia="Calibri"/>
                                <w:bCs/>
                                <w:color w:val="000000"/>
                                <w:szCs w:val="24"/>
                              </w:rPr>
                            </w:pPr>
                            <w:r>
                              <w:rPr>
                                <w:rFonts w:eastAsia="Calibri"/>
                                <w:color w:val="000000"/>
                                <w:szCs w:val="24"/>
                              </w:rPr>
                              <w:object w:dxaOrig="5650" w:dyaOrig="1330">
                                <v:shape id="_x0000_i1275" type="#_x0000_t75" style="width:283.95pt;height:67.15pt" o:ole="">
                                  <v:imagedata r:id="rId785" o:title=""/>
                                </v:shape>
                                <o:OLEObject Type="Embed" ProgID="Equation.3" ShapeID="_x0000_i1275" DrawAspect="Content" ObjectID="_0000000001" r:id="rId786"/>
                              </w:object>
                            </w:r>
                            <w:r>
                              <w:rPr>
                                <w:color w:val="000000"/>
                                <w:szCs w:val="24"/>
                              </w:rPr>
                              <w:t>;</w:t>
                            </w:r>
                          </w:p>
                        </w:tc>
                        <w:tc>
                          <w:tcPr>
                            <w:tcW w:w="660" w:type="pct"/>
                            <w:vAlign w:val="center"/>
                          </w:tcPr>
                          <w:p>
                            <w:pPr>
                              <w:rPr>
                                <w:color w:val="000000"/>
                                <w:szCs w:val="24"/>
                              </w:rPr>
                            </w:pPr>
                          </w:p>
                          <w:p>
                            <w:pPr>
                              <w:spacing w:line="360" w:lineRule="auto"/>
                              <w:ind w:left="850" w:hanging="850"/>
                              <w:jc w:val="right"/>
                              <w:rPr>
                                <w:rFonts w:eastAsia="Calibri"/>
                                <w:color w:val="000000"/>
                                <w:szCs w:val="24"/>
                              </w:rPr>
                            </w:pPr>
                            <w:r>
                              <w:rPr>
                                <w:color w:val="000000"/>
                                <w:szCs w:val="24"/>
                              </w:rPr>
                              <w:t>(2.221)</w:t>
                            </w:r>
                          </w:p>
                        </w:tc>
                      </w:tr>
                    </w:tbl>
                    <w:p>
                      <w:pPr>
                        <w:tabs>
                          <w:tab w:val="left" w:pos="567"/>
                        </w:tabs>
                        <w:jc w:val="both"/>
                        <w:rPr>
                          <w:rFonts w:eastAsia="Calibri"/>
                          <w:color w:val="000000"/>
                          <w:szCs w:val="24"/>
                        </w:rPr>
                      </w:pPr>
                      <w:r>
                        <w:rPr>
                          <w:color w:val="000000"/>
                          <w:szCs w:val="24"/>
                        </w:rPr>
                        <w:t>čia:</w:t>
                        <w:tab/>
                      </w:r>
                      <w:r>
                        <w:rPr>
                          <w:i/>
                          <w:color w:val="000000"/>
                          <w:szCs w:val="24"/>
                        </w:rPr>
                        <w:t>t</w:t>
                      </w:r>
                      <w:r>
                        <w:rPr>
                          <w:i/>
                          <w:color w:val="000000"/>
                          <w:szCs w:val="24"/>
                          <w:vertAlign w:val="subscript"/>
                        </w:rPr>
                        <w:t>cp.(hw+H).hwSK.an</w:t>
                      </w:r>
                      <w:r>
                        <w:rPr>
                          <w:color w:val="000000"/>
                          <w:szCs w:val="24"/>
                        </w:rPr>
                        <w:t xml:space="preserve"> – cirkuliacinių siurblių darbo laikas per metus sistemose su Saulės kolektoriais, kai šie kolektoriai naudojami karštam vandeniui ruošti ir pastatui šildyti (h). Imama </w:t>
                      </w:r>
                      <w:r>
                        <w:rPr>
                          <w:i/>
                          <w:color w:val="000000"/>
                          <w:szCs w:val="24"/>
                        </w:rPr>
                        <w:t>t</w:t>
                      </w:r>
                      <w:r>
                        <w:rPr>
                          <w:i/>
                          <w:color w:val="000000"/>
                          <w:szCs w:val="24"/>
                          <w:vertAlign w:val="subscript"/>
                        </w:rPr>
                        <w:t>cp.(hw+H).hwSK.an</w:t>
                      </w:r>
                      <w:r>
                        <w:rPr>
                          <w:color w:val="000000"/>
                          <w:szCs w:val="24"/>
                        </w:rPr>
                        <w:t xml:space="preserve"> =2000 h [3.25].</w:t>
                      </w:r>
                    </w:p>
                  </w:sdtContent>
                </w:sdt>
              </w:sdtContent>
            </w:sdt>
            <w:sdt>
              <w:sdtPr>
                <w:alias w:val="2 pr. 54 p."/>
                <w:tag w:val="part_c6a39b490ee34c67a397bcb2547583e8"/>
                <w:lock w:val="sdtLocked"/>
                <w:richText/>
              </w:sdtPr>
              <w:sdtContent>
                <w:p>
                  <w:pPr>
                    <w:suppressAutoHyphens/>
                    <w:ind w:firstLine="567"/>
                    <w:jc w:val="both"/>
                    <w:rPr>
                      <w:color w:val="000000"/>
                      <w:szCs w:val="24"/>
                      <w:lang w:eastAsia="lt-LT"/>
                    </w:rPr>
                  </w:pPr>
                  <w:sdt>
                    <w:sdtPr>
                      <w:alias w:val="Numeris"/>
                      <w:tag w:val="nr_c6a39b490ee34c67a397bcb2547583e8"/>
                      <w:lock w:val="sdtLocked"/>
                      <w:richText/>
                    </w:sdtPr>
                    <w:sdtContent>
                      <w:r>
                        <w:rPr>
                          <w:color w:val="000000"/>
                          <w:szCs w:val="24"/>
                          <w:lang w:eastAsia="lt-LT"/>
                        </w:rPr>
                        <w:t>54</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fotovoltinių Saulės kolektorių neatsinaujinančios pirminės energijos sąnaudos pastato šildomo ploto vienete </w:t>
                  </w:r>
                  <w:r>
                    <w:rPr>
                      <w:i/>
                      <w:color w:val="000000"/>
                      <w:szCs w:val="24"/>
                      <w:lang w:eastAsia="lt-LT"/>
                    </w:rPr>
                    <w:t>Q</w:t>
                  </w:r>
                  <w:r>
                    <w:rPr>
                      <w:i/>
                      <w:color w:val="000000"/>
                      <w:szCs w:val="24"/>
                      <w:vertAlign w:val="subscript"/>
                      <w:lang w:eastAsia="lt-LT"/>
                    </w:rPr>
                    <w:t>PRn.E.fvSK,m</w:t>
                  </w:r>
                  <w:r>
                    <w:rPr>
                      <w:color w:val="000000"/>
                      <w:szCs w:val="24"/>
                      <w:lang w:eastAsia="lt-LT"/>
                    </w:rPr>
                    <w:t>(kWh/(m²·mėn.)), kai ši energija naudojama tik elektros prietaisams, apskaičiuojamos taip [3.26]:</w:t>
                  </w:r>
                </w:p>
                <w:sdt>
                  <w:sdtPr>
                    <w:alias w:val="2 pr. 54.1 pp."/>
                    <w:tag w:val="part_ad61e62021a14895a59650c93c77cfa6"/>
                    <w:lock w:val="sdtLocked"/>
                    <w:richText/>
                  </w:sdtPr>
                  <w:sdtContent>
                    <w:p>
                      <w:pPr>
                        <w:suppressAutoHyphens/>
                        <w:ind w:firstLine="567"/>
                        <w:jc w:val="both"/>
                        <w:rPr>
                          <w:szCs w:val="24"/>
                          <w:lang w:eastAsia="lt-LT"/>
                        </w:rPr>
                      </w:pPr>
                      <w:sdt>
                        <w:sdtPr>
                          <w:alias w:val="Numeris"/>
                          <w:tag w:val="nr_ad61e62021a14895a59650c93c77cfa6"/>
                          <w:lock w:val="sdtLocked"/>
                          <w:richText/>
                        </w:sdtPr>
                        <w:sdtContent>
                          <w:r>
                            <w:rPr>
                              <w:color w:val="000000"/>
                              <w:szCs w:val="24"/>
                              <w:lang w:eastAsia="lt-LT"/>
                            </w:rPr>
                            <w:t>54.1</w:t>
                          </w:r>
                        </w:sdtContent>
                      </w:sdt>
                      <w:r>
                        <w:rPr>
                          <w:color w:val="000000"/>
                          <w:szCs w:val="24"/>
                          <w:lang w:eastAsia="lt-LT"/>
                        </w:rPr>
                        <w:t xml:space="preserve">. </w:t>
                      </w:r>
                      <w:r>
                        <w:rPr>
                          <w:lang w:eastAsia="lt-LT"/>
                        </w:rPr>
                        <w:t xml:space="preserve">jei  fotovoltinių Saulės kolektorių pagaminta elektros energija naudojama tik elektros prietaisams</w:t>
                      </w:r>
                      <w:r>
                        <w:rPr>
                          <w:szCs w:val="24"/>
                          <w:lang w:eastAsia="lt-LT"/>
                        </w:rPr>
                        <w:t>,</w:t>
                      </w:r>
                      <w:r>
                        <w:rPr>
                          <w:b/>
                          <w:szCs w:val="24"/>
                          <w:lang w:eastAsia="lt-LT"/>
                        </w:rPr>
                        <w:t xml:space="preserve"> </w:t>
                      </w:r>
                      <w:r>
                        <w:rPr>
                          <w:lang w:eastAsia="lt-LT"/>
                        </w:rPr>
                        <w:t>Q</w:t>
                      </w:r>
                      <w:r>
                        <w:rPr>
                          <w:vertAlign w:val="subscript"/>
                          <w:lang w:eastAsia="lt-LT"/>
                        </w:rPr>
                        <w:t xml:space="preserve">PRn.E.fvSK,m </w:t>
                      </w:r>
                      <w:r>
                        <w:rPr>
                          <w:lang w:eastAsia="lt-LT"/>
                        </w:rPr>
                        <w:t>(kWh/(m²·mėn.))</w:t>
                      </w:r>
                      <w:r>
                        <w:rPr>
                          <w:b/>
                          <w:lang w:eastAsia="lt-LT"/>
                        </w:rPr>
                        <w:t xml:space="preserve"> </w:t>
                      </w:r>
                      <w:r>
                        <w:rPr>
                          <w:szCs w:val="24"/>
                          <w:lang w:eastAsia="lt-LT"/>
                        </w:rPr>
                        <w:t>apskaičiuojamos taip [3.26]:</w:t>
                      </w:r>
                    </w:p>
                    <w:p>
                      <w:pPr>
                        <w:suppressAutoHyphens/>
                        <w:ind w:firstLine="567"/>
                        <w:jc w:val="both"/>
                        <w:rPr>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color w:val="000000"/>
                                <w:szCs w:val="24"/>
                                <w:lang w:eastAsia="lt-LT"/>
                              </w:rPr>
                              <w:object w:dxaOrig="3100" w:dyaOrig="430">
                                <v:shape id="_x0000_i1276" type="#_x0000_t75" style="width:155.35pt;height:21.85pt" o:ole="">
                                  <v:imagedata r:id="rId787" o:title=""/>
                                </v:shape>
                                <o:OLEObject Type="Embed" ProgID="Equation.3" ShapeID="_x0000_i1276" DrawAspect="Content" ObjectID="_0000000001" r:id="rId788"/>
                              </w:object>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(2.222) </w:t>
                            </w:r>
                          </w:p>
                        </w:tc>
                      </w:tr>
                    </w:tbl>
                    <w:p>
                      <w:pPr>
                        <w:tabs>
                          <w:tab w:val="left" w:pos="567"/>
                        </w:tabs>
                        <w:suppressAutoHyphens/>
                        <w:rPr>
                          <w:color w:val="000000"/>
                          <w:szCs w:val="24"/>
                        </w:rPr>
                      </w:pPr>
                    </w:p>
                    <w:p>
                      <w:pPr>
                        <w:tabs>
                          <w:tab w:val="left" w:pos="567"/>
                        </w:tabs>
                        <w:suppressAutoHyphens/>
                        <w:rPr>
                          <w:rFonts w:eastAsia="Calibri"/>
                          <w:color w:val="000000"/>
                          <w:szCs w:val="24"/>
                          <w:lang w:eastAsia="lt-LT"/>
                        </w:rPr>
                      </w:pPr>
                      <w:r>
                        <w:rPr>
                          <w:color w:val="000000"/>
                          <w:szCs w:val="24"/>
                          <w:lang w:eastAsia="lt-LT"/>
                        </w:rPr>
                        <w:t>čia:</w:t>
                        <w:tab/>
                        <w:t>(2.222) formulės taikymo sąlygos:</w:t>
                      </w:r>
                    </w:p>
                    <w:p>
                      <w:pPr>
                        <w:tabs>
                          <w:tab w:val="left" w:pos="1134"/>
                        </w:tabs>
                        <w:suppressAutoHyphens/>
                        <w:ind w:firstLine="840"/>
                        <w:jc w:val="both"/>
                        <w:rPr>
                          <w:color w:val="000000"/>
                          <w:szCs w:val="24"/>
                          <w:lang w:eastAsia="lt-LT"/>
                        </w:rPr>
                      </w:pPr>
                      <w:r>
                        <w:rPr>
                          <w:color w:val="000000"/>
                          <w:szCs w:val="24"/>
                          <w:lang w:eastAsia="lt-LT"/>
                        </w:rPr>
                        <w:t>-</w:t>
                        <w:tab/>
                        <w:t>kai pastate nenaudojama iš fotovoltinių saulės kolektorių pagamintos elektros energijos dvipusė apskaita ir kai fotovoltinės Saulės kolektorių sistemos pagamina daugiau elektros energijos už elektros energijos poreikį pastate, t. y. jei</w:t>
                      </w:r>
                    </w:p>
                    <w:tbl>
                      <w:tblPr>
                        <w:tblW w:w="5000" w:type="pct"/>
                        <w:tblLook w:val="01E0" w:firstRow="1" w:lastRow="1" w:firstColumn="1" w:lastColumn="1" w:noHBand="0" w:noVBand="0"/>
                      </w:tblPr>
                      <w:tblGrid>
                        <w:gridCol w:w="8687"/>
                        <w:gridCol w:w="1167"/>
                      </w:tblGrid>
                      <w:tr>
                        <w:tc>
                          <w:tcPr>
                            <w:tcW w:w="4408" w:type="pct"/>
                          </w:tcPr>
                          <w:p>
                            <w:pPr>
                              <w:suppressAutoHyphens/>
                              <w:rPr>
                                <w:sz w:val="10"/>
                                <w:szCs w:val="10"/>
                                <w:lang w:eastAsia="lt-LT"/>
                              </w:rPr>
                            </w:pPr>
                          </w:p>
                          <w:p>
                            <w:pPr>
                              <w:suppressAutoHyphens/>
                              <w:spacing w:line="276" w:lineRule="auto"/>
                              <w:jc w:val="center"/>
                              <w:rPr>
                                <w:rFonts w:eastAsia="Calibri"/>
                                <w:color w:val="000000"/>
                                <w:szCs w:val="24"/>
                              </w:rPr>
                            </w:pPr>
                            <w:r>
                              <w:rPr>
                                <w:rFonts w:eastAsia="Calibri"/>
                                <w:color w:val="000000"/>
                                <w:szCs w:val="24"/>
                              </w:rPr>
                              <w:object w:dxaOrig="4840" w:dyaOrig="840">
                                <v:shape id="_x0000_i1277" type="#_x0000_t75" style="width:241.9pt;height:42.05pt" o:ole="">
                                  <v:imagedata r:id="rId789" o:title=""/>
                                </v:shape>
                                <o:OLEObject Type="Embed" ProgID="Equation.3" ShapeID="_x0000_i1277" DrawAspect="Content" ObjectID="_0000000001" r:id="rId790"/>
                              </w:object>
                            </w:r>
                          </w:p>
                        </w:tc>
                        <w:tc>
                          <w:tcPr>
                            <w:tcW w:w="592" w:type="pct"/>
                            <w:vAlign w:val="center"/>
                            <w:hideMark/>
                          </w:tcPr>
                          <w:p>
                            <w:pPr>
                              <w:suppressAutoHyphens/>
                              <w:spacing w:line="276" w:lineRule="auto"/>
                              <w:jc w:val="right"/>
                              <w:rPr>
                                <w:rFonts w:eastAsia="Calibri"/>
                                <w:color w:val="000000"/>
                                <w:szCs w:val="24"/>
                              </w:rPr>
                            </w:pPr>
                            <w:r>
                              <w:rPr>
                                <w:color w:val="000000"/>
                                <w:szCs w:val="24"/>
                                <w:lang w:eastAsia="lt-LT"/>
                              </w:rPr>
                              <w:t>(2.223)</w:t>
                            </w:r>
                          </w:p>
                        </w:tc>
                      </w:tr>
                    </w:tbl>
                    <w:p>
                      <w:pPr>
                        <w:suppressAutoHyphens/>
                        <w:ind w:left="840"/>
                        <w:rPr>
                          <w:rFonts w:eastAsia="Calibri"/>
                          <w:color w:val="000000"/>
                          <w:szCs w:val="24"/>
                        </w:rPr>
                      </w:pPr>
                      <w:r>
                        <w:rPr>
                          <w:color w:val="000000"/>
                          <w:szCs w:val="24"/>
                          <w:lang w:eastAsia="lt-LT"/>
                        </w:rPr>
                        <w:t xml:space="preserve">tai </w:t>
                      </w:r>
                    </w:p>
                    <w:tbl>
                      <w:tblPr>
                        <w:tblW w:w="5000" w:type="pct"/>
                        <w:tblLook w:val="01E0" w:firstRow="1" w:lastRow="1" w:firstColumn="1" w:lastColumn="1" w:noHBand="0" w:noVBand="0"/>
                      </w:tblPr>
                      <w:tblGrid>
                        <w:gridCol w:w="8687"/>
                        <w:gridCol w:w="1167"/>
                      </w:tblGrid>
                      <w:tr>
                        <w:tc>
                          <w:tcPr>
                            <w:tcW w:w="4408" w:type="pct"/>
                            <w:hideMark/>
                          </w:tcPr>
                          <w:p>
                            <w:pPr>
                              <w:suppressAutoHyphens/>
                              <w:spacing w:line="276" w:lineRule="auto"/>
                              <w:jc w:val="center"/>
                              <w:rPr>
                                <w:rFonts w:eastAsia="Calibri"/>
                                <w:color w:val="000000"/>
                                <w:szCs w:val="24"/>
                              </w:rPr>
                            </w:pPr>
                            <w:r>
                              <w:rPr>
                                <w:rFonts w:eastAsia="Calibri"/>
                                <w:color w:val="000000"/>
                                <w:szCs w:val="24"/>
                              </w:rPr>
                              <w:object w:dxaOrig="4920" w:dyaOrig="730">
                                <v:shape id="_x0000_i1278" type="#_x0000_t75" style="width:245.95pt;height:37.2pt" o:ole="">
                                  <v:imagedata r:id="rId791" o:title=""/>
                                </v:shape>
                                <o:OLEObject Type="Embed" ProgID="Equation.3" ShapeID="_x0000_i1278" DrawAspect="Content" ObjectID="_0000000001" r:id="rId792"/>
                              </w:object>
                            </w:r>
                          </w:p>
                        </w:tc>
                        <w:tc>
                          <w:tcPr>
                            <w:tcW w:w="592" w:type="pct"/>
                            <w:vAlign w:val="center"/>
                            <w:hideMark/>
                          </w:tcPr>
                          <w:p>
                            <w:pPr>
                              <w:suppressAutoHyphens/>
                              <w:spacing w:line="276" w:lineRule="auto"/>
                              <w:jc w:val="right"/>
                              <w:rPr>
                                <w:rFonts w:eastAsia="Calibri"/>
                                <w:color w:val="000000"/>
                                <w:szCs w:val="24"/>
                              </w:rPr>
                            </w:pPr>
                            <w:r>
                              <w:rPr>
                                <w:color w:val="000000"/>
                                <w:szCs w:val="24"/>
                                <w:lang w:eastAsia="lt-LT"/>
                              </w:rPr>
                              <w:t>(2.224)</w:t>
                            </w:r>
                          </w:p>
                        </w:tc>
                      </w:tr>
                    </w:tbl>
                    <w:p>
                      <w:pPr>
                        <w:suppressAutoHyphens/>
                        <w:jc w:val="both"/>
                        <w:rPr>
                          <w:color w:val="000000"/>
                          <w:szCs w:val="24"/>
                        </w:rPr>
                      </w:pPr>
                    </w:p>
                    <w:p>
                      <w:pPr>
                        <w:suppressAutoHyphens/>
                        <w:jc w:val="both"/>
                        <w:rPr>
                          <w:rFonts w:eastAsia="Calibri"/>
                          <w:color w:val="000000"/>
                          <w:szCs w:val="24"/>
                          <w:lang w:eastAsia="lt-LT"/>
                        </w:rPr>
                      </w:pPr>
                      <w:r>
                        <w:rPr>
                          <w:color w:val="000000"/>
                          <w:szCs w:val="24"/>
                          <w:lang w:eastAsia="lt-LT"/>
                        </w:rPr>
                        <w:t xml:space="preserve">kitais atvejais skaičiavimo rezultatas atitinka gautam pagal (2.222) formulę. Jei kurį nors mėnesį yra poreikis pastatui vėsinti, tačiau pastate neįrengta oro vėsinimo sistema, imama </w:t>
                      </w:r>
                      <w:r>
                        <w:rPr>
                          <w:i/>
                          <w:color w:val="000000"/>
                          <w:szCs w:val="24"/>
                          <w:lang w:eastAsia="lt-LT"/>
                        </w:rPr>
                        <w:t>Q</w:t>
                      </w:r>
                      <w:r>
                        <w:rPr>
                          <w:i/>
                          <w:color w:val="000000"/>
                          <w:szCs w:val="24"/>
                          <w:vertAlign w:val="subscript"/>
                          <w:lang w:eastAsia="lt-LT"/>
                        </w:rPr>
                        <w:t>C.E,m</w:t>
                      </w:r>
                      <w:r>
                        <w:rPr>
                          <w:color w:val="000000"/>
                          <w:szCs w:val="24"/>
                          <w:lang w:eastAsia="lt-LT"/>
                        </w:rPr>
                        <w:t>= 0;</w:t>
                      </w:r>
                    </w:p>
                    <w:p>
                      <w:pPr>
                        <w:tabs>
                          <w:tab w:val="left" w:pos="993"/>
                        </w:tabs>
                        <w:suppressAutoHyphens/>
                        <w:ind w:firstLine="840"/>
                        <w:jc w:val="both"/>
                        <w:rPr>
                          <w:b/>
                          <w:color w:val="000000"/>
                          <w:szCs w:val="24"/>
                          <w:lang w:eastAsia="lt-LT"/>
                        </w:rPr>
                      </w:pPr>
                      <w:r>
                        <w:rPr>
                          <w:color w:val="000000"/>
                          <w:szCs w:val="24"/>
                          <w:lang w:eastAsia="lt-LT"/>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rPr>
                            </w:pPr>
                            <w:r>
                              <w:rPr>
                                <w:szCs w:val="24"/>
                                <w:lang w:eastAsia="lt-LT"/>
                              </w:rPr>
                              <w:object w:dxaOrig="6270" w:dyaOrig="1440">
                                <v:shape id="_x0000_i1279" type="#_x0000_t75" style="width:314.7pt;height:1in" o:ole="">
                                  <v:imagedata r:id="rId793" o:title=""/>
                                </v:shape>
                                <o:OLEObject Type="Embed" ProgID="Equation.3" ShapeID="_x0000_i1279" DrawAspect="Content" ObjectID="_0000000001" r:id="rId794"/>
                              </w:object>
                              <w:t>,</w: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(2.225)</w:t>
                            </w:r>
                          </w:p>
                        </w:tc>
                      </w:tr>
                    </w:tbl>
                    <w:p>
                      <w:pPr>
                        <w:suppressAutoHyphens/>
                        <w:rPr>
                          <w:color w:val="000000"/>
                          <w:szCs w:val="24"/>
                        </w:rPr>
                      </w:pPr>
                    </w:p>
                    <w:p>
                      <w:pPr>
                        <w:suppressAutoHyphens/>
                        <w:rPr>
                          <w:rFonts w:eastAsia="Calibri"/>
                          <w:b/>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E.fvSK,m  </w:t>
                      </w:r>
                      <w:r>
                        <w:rPr>
                          <w:color w:val="000000"/>
                          <w:szCs w:val="24"/>
                          <w:lang w:eastAsia="lt-LT"/>
                        </w:rPr>
                        <w:t>apskaičiuojama pagal (2.224) formulę, bet jei</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rPr>
                            </w:pPr>
                            <w:r>
                              <w:rPr>
                                <w:rFonts w:eastAsia="Calibri"/>
                                <w:strike/>
                                <w:color w:val="000000"/>
                                <w:szCs w:val="24"/>
                              </w:rPr>
                              <w:object w:dxaOrig="6160" w:dyaOrig="1140">
                                <v:shape id="_x0000_i1280" type="#_x0000_t75" style="width:308.2pt;height:56.65pt" o:ole="">
                                  <v:imagedata r:id="rId795" o:title=""/>
                                </v:shape>
                                <o:OLEObject Type="Embed" ProgID="Equation.3" ShapeID="_x0000_i1280" DrawAspect="Content" ObjectID="_0000000001" r:id="rId796"/>
                              </w:objec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(2.226)</w:t>
                            </w:r>
                          </w:p>
                        </w:tc>
                      </w:tr>
                    </w:tbl>
                    <w:p>
                      <w:pPr>
                        <w:suppressAutoHyphens/>
                        <w:jc w:val="both"/>
                        <w:rPr>
                          <w:rFonts w:eastAsia="Calibri"/>
                          <w:color w:val="000000"/>
                          <w:szCs w:val="24"/>
                        </w:rPr>
                      </w:pPr>
                      <w:r>
                        <w:rPr>
                          <w:color w:val="000000"/>
                          <w:szCs w:val="24"/>
                          <w:lang w:eastAsia="lt-LT"/>
                        </w:rPr>
                        <w:t>ir pagal (2.226)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uppressAutoHyphens/>
                              <w:spacing w:line="276" w:lineRule="auto"/>
                              <w:jc w:val="center"/>
                              <w:rPr>
                                <w:rFonts w:eastAsia="Calibri"/>
                                <w:color w:val="000000"/>
                                <w:szCs w:val="24"/>
                              </w:rPr>
                            </w:pPr>
                            <w:r>
                              <w:rPr>
                                <w:position w:val="-14"/>
                                <w:szCs w:val="24"/>
                              </w:rPr>
                              <w:object w:dxaOrig="1850" w:dyaOrig="430">
                                <v:shape id="_x0000_i1281" type="#_x0000_t75" style="width:92.2pt;height:21.85pt" o:ole="">
                                  <v:imagedata r:id="rId797" o:title=""/>
                                </v:shape>
                                <o:OLEObject Type="Embed" ProgID="Equation.3" ShapeID="_x0000_i1281" DrawAspect="Content" ObjectID="_0000000001" r:id="rId798"/>
                              </w:object>
                            </w:r>
                            <w:r>
                              <w:rPr>
                                <w:color w:val="000000"/>
                                <w:szCs w:val="24"/>
                                <w:lang w:eastAsia="lt-LT"/>
                              </w:rPr>
                              <w:t xml:space="preserve">, kitais mėnesiais </w:t>
                            </w:r>
                            <w:r>
                              <w:rPr>
                                <w:rFonts w:eastAsia="Calibri"/>
                                <w:color w:val="000000"/>
                                <w:position w:val="-16"/>
                                <w:szCs w:val="24"/>
                              </w:rPr>
                              <w:object w:dxaOrig="1220" w:dyaOrig="430">
                                <v:shape id="_x0000_i1282" type="#_x0000_t75" style="width:60.65pt;height:21.85pt" o:ole="">
                                  <v:imagedata r:id="rId799" o:title=""/>
                                </v:shape>
                                <o:OLEObject Type="Embed" ProgID="Equation.3" ShapeID="_x0000_i1282" DrawAspect="Content" ObjectID="_0000000001" r:id="rId800"/>
                              </w:object>
                            </w:r>
                            <w:r>
                              <w:rPr>
                                <w:color w:val="000000"/>
                                <w:szCs w:val="24"/>
                                <w:lang w:eastAsia="lt-LT"/>
                              </w:rPr>
                              <w:t>,</w:t>
                            </w:r>
                          </w:p>
                        </w:tc>
                        <w:tc>
                          <w:tcPr>
                            <w:tcW w:w="868" w:type="pct"/>
                            <w:vAlign w:val="center"/>
                            <w:hideMark/>
                          </w:tcPr>
                          <w:p>
                            <w:pPr>
                              <w:suppressAutoHyphens/>
                              <w:spacing w:line="276" w:lineRule="auto"/>
                              <w:jc w:val="right"/>
                              <w:rPr>
                                <w:rFonts w:eastAsia="Calibri"/>
                                <w:color w:val="000000"/>
                                <w:szCs w:val="24"/>
                              </w:rPr>
                            </w:pPr>
                            <w:r>
                              <w:rPr>
                                <w:color w:val="000000"/>
                                <w:szCs w:val="24"/>
                                <w:lang w:eastAsia="lt-LT"/>
                              </w:rPr>
                              <w:t>(2.227)</w:t>
                            </w:r>
                          </w:p>
                        </w:tc>
                      </w:tr>
                    </w:tbl>
                    <w:p>
                      <w:pPr>
                        <w:suppressAutoHyphens/>
                        <w:rPr>
                          <w:color w:val="000000"/>
                          <w:szCs w:val="24"/>
                        </w:rPr>
                      </w:pPr>
                    </w:p>
                    <w:p>
                      <w:pPr>
                        <w:suppressAutoHyphens/>
                        <w:rPr>
                          <w:rFonts w:eastAsia="Calibri"/>
                          <w:color w:val="000000"/>
                          <w:szCs w:val="24"/>
                          <w:lang w:eastAsia="lt-LT"/>
                        </w:rPr>
                      </w:pPr>
                      <w:r>
                        <w:rPr>
                          <w:color w:val="000000"/>
                          <w:szCs w:val="24"/>
                          <w:lang w:eastAsia="lt-LT"/>
                        </w:rPr>
                        <w:t>jei pagal (2.226) formulę rezultatas gaunamas kitą (ne sausio) mėnesį, tai šį mėnesį</w:t>
                      </w:r>
                    </w:p>
                    <w:tbl>
                      <w:tblPr>
                        <w:tblW w:w="5000" w:type="pct"/>
                        <w:tblLook w:val="01E0" w:firstRow="1" w:lastRow="1" w:firstColumn="1" w:lastColumn="1" w:noHBand="0" w:noVBand="0"/>
                      </w:tblPr>
                      <w:tblGrid>
                        <w:gridCol w:w="8171"/>
                        <w:gridCol w:w="1683"/>
                      </w:tblGrid>
                      <w:tr>
                        <w:tc>
                          <w:tcPr>
                            <w:tcW w:w="4146" w:type="pct"/>
                            <w:hideMark/>
                          </w:tcPr>
                          <w:p>
                            <w:pPr>
                              <w:suppressAutoHyphens/>
                              <w:jc w:val="center"/>
                              <w:rPr>
                                <w:szCs w:val="24"/>
                                <w:lang w:eastAsia="lt-LT"/>
                              </w:rPr>
                            </w:pPr>
                            <w:r>
                              <w:rPr>
                                <w:szCs w:val="24"/>
                                <w:lang w:eastAsia="lt-LT"/>
                              </w:rPr>
                              <w:object w:dxaOrig="7200" w:dyaOrig="1140">
                                <v:shape id="_x0000_i1283" type="#_x0000_t75" style="width:5in;height:56.65pt" o:ole="">
                                  <v:imagedata r:id="rId801" o:title=""/>
                                </v:shape>
                                <o:OLEObject Type="Embed" ProgID="Equation.3" ShapeID="_x0000_i1283" DrawAspect="Content" ObjectID="_0000000001" r:id="rId802"/>
                              </w:object>
                              <w:t>,</w:t>
                            </w:r>
                          </w:p>
                          <w:p>
                            <w:pPr>
                              <w:suppressAutoHyphens/>
                              <w:spacing w:line="276" w:lineRule="auto"/>
                              <w:jc w:val="center"/>
                              <w:rPr>
                                <w:rFonts w:eastAsia="Calibri"/>
                                <w:color w:val="000000"/>
                                <w:szCs w:val="24"/>
                              </w:rPr>
                            </w:pPr>
                            <w:r>
                              <w:rPr>
                                <w:color w:val="000000"/>
                                <w:szCs w:val="24"/>
                                <w:lang w:eastAsia="lt-LT"/>
                              </w:rPr>
                              <w:t xml:space="preserve">o kitais mėnesiais </w:t>
                            </w:r>
                            <w:r>
                              <w:rPr>
                                <w:rFonts w:eastAsia="Calibri"/>
                                <w:color w:val="000000"/>
                                <w:position w:val="-16"/>
                                <w:szCs w:val="24"/>
                              </w:rPr>
                              <w:object w:dxaOrig="1220" w:dyaOrig="430">
                                <v:shape id="_x0000_i1284" type="#_x0000_t75" style="width:60.65pt;height:21.85pt" o:ole="">
                                  <v:imagedata r:id="rId803" o:title=""/>
                                </v:shape>
                                <o:OLEObject Type="Embed" ProgID="Equation.3" ShapeID="_x0000_i1284" DrawAspect="Content" ObjectID="_0000000001" r:id="rId804"/>
                              </w:object>
                            </w:r>
                            <w:r>
                              <w:rPr>
                                <w:color w:val="000000"/>
                                <w:szCs w:val="24"/>
                                <w:lang w:eastAsia="lt-LT"/>
                              </w:rPr>
                              <w:t>;</w:t>
                            </w:r>
                          </w:p>
                        </w:tc>
                        <w:tc>
                          <w:tcPr>
                            <w:tcW w:w="854" w:type="pct"/>
                            <w:vAlign w:val="center"/>
                            <w:hideMark/>
                          </w:tcPr>
                          <w:p>
                            <w:pPr>
                              <w:suppressAutoHyphens/>
                              <w:spacing w:line="276" w:lineRule="auto"/>
                              <w:jc w:val="right"/>
                              <w:rPr>
                                <w:rFonts w:eastAsia="Calibri"/>
                                <w:color w:val="000000"/>
                                <w:szCs w:val="24"/>
                              </w:rPr>
                            </w:pPr>
                            <w:r>
                              <w:rPr>
                                <w:color w:val="000000"/>
                                <w:szCs w:val="24"/>
                                <w:lang w:eastAsia="lt-LT"/>
                              </w:rPr>
                              <w:t>(2.228)</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E.(hw+H).hwSK,m</w:t>
                      </w:r>
                      <w:r>
                        <w:rPr>
                          <w:i/>
                          <w:color w:val="000000"/>
                          <w:szCs w:val="24"/>
                          <w:lang w:eastAsia="lt-LT"/>
                        </w:rPr>
                        <w:t>, Q</w:t>
                      </w:r>
                      <w:r>
                        <w:rPr>
                          <w:i/>
                          <w:color w:val="000000"/>
                          <w:szCs w:val="24"/>
                          <w:vertAlign w:val="subscript"/>
                          <w:lang w:eastAsia="lt-LT"/>
                        </w:rPr>
                        <w:t xml:space="preserve">C.E,m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Apskaičiuojami pagal (2.128), (2.129), (2.130), (2.131), (2.190), (2.200), (2.220) ir (2.566) formules. Jei</w:t>
                      </w:r>
                      <w:r>
                        <w:rPr>
                          <w:b/>
                          <w:color w:val="000000"/>
                          <w:szCs w:val="24"/>
                          <w:lang w:eastAsia="lt-LT"/>
                        </w:rPr>
                        <w:t xml:space="preserve"> </w:t>
                      </w:r>
                      <w:r>
                        <w:rPr>
                          <w:color w:val="000000"/>
                          <w:szCs w:val="24"/>
                          <w:lang w:eastAsia="lt-LT"/>
                        </w:rPr>
                        <w:t xml:space="preserve">kurį nors mėnesį reikia pastatą vėsinti, o pastate neįrengta oro vėsinimo sistema, imama </w:t>
                      </w:r>
                      <w:r>
                        <w:rPr>
                          <w:i/>
                          <w:color w:val="000000"/>
                          <w:szCs w:val="24"/>
                          <w:lang w:eastAsia="lt-LT"/>
                        </w:rPr>
                        <w:t>Q</w:t>
                      </w:r>
                      <w:r>
                        <w:rPr>
                          <w:i/>
                          <w:color w:val="000000"/>
                          <w:szCs w:val="24"/>
                          <w:vertAlign w:val="subscript"/>
                          <w:lang w:eastAsia="lt-LT"/>
                        </w:rPr>
                        <w:t>C.E,m</w:t>
                      </w:r>
                      <w:r>
                        <w:rPr>
                          <w:color w:val="000000"/>
                          <w:szCs w:val="24"/>
                          <w:lang w:eastAsia="lt-LT"/>
                        </w:rPr>
                        <w:t xml:space="preserve"> =0;</w:t>
                      </w:r>
                    </w:p>
                    <w:p>
                      <w:pPr>
                        <w:suppressAutoHyphens/>
                        <w:ind w:firstLine="567"/>
                        <w:jc w:val="both"/>
                        <w:rPr>
                          <w:bCs/>
                          <w:color w:val="000000"/>
                          <w:szCs w:val="24"/>
                          <w:lang w:eastAsia="lt-LT"/>
                        </w:rPr>
                      </w:pPr>
                      <w:r>
                        <w:rPr>
                          <w:i/>
                          <w:color w:val="000000"/>
                          <w:szCs w:val="24"/>
                          <w:lang w:eastAsia="lt-LT"/>
                        </w:rPr>
                        <w:t>f</w:t>
                      </w:r>
                      <w:r>
                        <w:rPr>
                          <w:i/>
                          <w:color w:val="000000"/>
                          <w:szCs w:val="24"/>
                          <w:vertAlign w:val="subscript"/>
                          <w:lang w:eastAsia="lt-LT"/>
                        </w:rPr>
                        <w:t>PRn.fvSK</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naudojami fotovoltiniai Saulės kolektoriai (vnt.)</w:t>
                      </w:r>
                      <w:r>
                        <w:rPr>
                          <w:bCs/>
                          <w:color w:val="000000"/>
                          <w:szCs w:val="24"/>
                          <w:lang w:eastAsia="lt-LT"/>
                        </w:rPr>
                        <w:t xml:space="preserve">. Imamas iš 2.18 lentelės; </w:t>
                      </w:r>
                    </w:p>
                    <w:p>
                      <w:pPr>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 xml:space="preserve">E.fvSK,m </w:t>
                      </w:r>
                      <w:r>
                        <w:rPr>
                          <w:color w:val="000000"/>
                          <w:szCs w:val="24"/>
                          <w:lang w:eastAsia="lt-LT"/>
                        </w:rPr>
                        <w:t xml:space="preserve">– Saulės kolektorių sistemų atitinkamą </w:t>
                      </w:r>
                      <w:r>
                        <w:rPr>
                          <w:i/>
                          <w:color w:val="000000"/>
                          <w:szCs w:val="24"/>
                          <w:lang w:eastAsia="lt-LT"/>
                        </w:rPr>
                        <w:t>„m“</w:t>
                      </w:r>
                      <w:r>
                        <w:rPr>
                          <w:color w:val="000000"/>
                          <w:szCs w:val="24"/>
                          <w:lang w:eastAsia="lt-LT"/>
                        </w:rPr>
                        <w:t xml:space="preserve"> mėnesį pagamintas elektros energijos kiekis (kWh/(m²·mėn.)). Apskaičiuojamas taip:</w:t>
                      </w:r>
                    </w:p>
                    <w:tbl>
                      <w:tblPr>
                        <w:tblW w:w="5000" w:type="pct"/>
                        <w:jc w:val="center"/>
                        <w:tblLook w:val="01E0" w:firstRow="1" w:lastRow="1" w:firstColumn="1" w:lastColumn="1" w:noHBand="0" w:noVBand="0"/>
                      </w:tblPr>
                      <w:tblGrid>
                        <w:gridCol w:w="8541"/>
                        <w:gridCol w:w="1313"/>
                      </w:tblGrid>
                      <w:tr>
                        <w:trPr>
                          <w:jc w:val="center"/>
                        </w:trPr>
                        <w:tc>
                          <w:tcPr>
                            <w:tcW w:w="8417" w:type="dxa"/>
                            <w:vAlign w:val="center"/>
                            <w:hideMark/>
                          </w:tcPr>
                          <w:tbl>
                            <w:tblPr>
                              <w:tblW w:w="5000" w:type="pct"/>
                              <w:jc w:val="center"/>
                              <w:tblLook w:val="01E0" w:firstRow="1" w:lastRow="1" w:firstColumn="1" w:lastColumn="1" w:noHBand="0" w:noVBand="0"/>
                            </w:tblPr>
                            <w:tblGrid>
                              <w:gridCol w:w="7605"/>
                              <w:gridCol w:w="720"/>
                            </w:tblGrid>
                            <w:tr>
                              <w:trPr>
                                <w:jc w:val="center"/>
                              </w:trPr>
                              <w:tc>
                                <w:tcPr>
                                  <w:tcW w:w="8524" w:type="dxa"/>
                                  <w:vAlign w:val="center"/>
                                </w:tcPr>
                                <w:p>
                                  <w:pPr>
                                    <w:suppressAutoHyphens/>
                                    <w:rPr>
                                      <w:sz w:val="10"/>
                                      <w:szCs w:val="10"/>
                                      <w:lang w:eastAsia="lt-LT"/>
                                    </w:rPr>
                                  </w:pPr>
                                </w:p>
                                <w:p>
                                  <w:pPr>
                                    <w:suppressAutoHyphens/>
                                    <w:spacing w:line="276" w:lineRule="auto"/>
                                    <w:jc w:val="center"/>
                                    <w:rPr>
                                      <w:rFonts w:eastAsia="Calibri"/>
                                      <w:color w:val="000000"/>
                                      <w:szCs w:val="24"/>
                                    </w:rPr>
                                  </w:pPr>
                                  <w:r>
                                    <w:rPr>
                                      <w:rFonts w:eastAsia="Calibri"/>
                                      <w:color w:val="000000"/>
                                      <w:szCs w:val="24"/>
                                    </w:rPr>
                                    <w:object w:dxaOrig="6650" w:dyaOrig="730">
                                      <v:shape id="_x0000_i1285" type="#_x0000_t75" style="width:331.7pt;height:37.2pt" o:ole="">
                                        <v:imagedata r:id="rId805" o:title=""/>
                                      </v:shape>
                                      <o:OLEObject Type="Embed" ProgID="Equation.3" ShapeID="_x0000_i1285" DrawAspect="Content" ObjectID="_0000000001" r:id="rId806"/>
                                    </w:object>
                                  </w:r>
                                  <w:r>
                                    <w:rPr>
                                      <w:color w:val="000000"/>
                                      <w:szCs w:val="24"/>
                                      <w:lang w:eastAsia="lt-LT"/>
                                    </w:rPr>
                                    <w:t>;</w:t>
                                  </w:r>
                                </w:p>
                              </w:tc>
                              <w:tc>
                                <w:tcPr>
                                  <w:tcW w:w="1330" w:type="dxa"/>
                                  <w:vAlign w:val="center"/>
                                  <w:hideMark/>
                                </w:tcPr>
                                <w:p>
                                  <w:pPr>
                                    <w:rPr>
                                      <w:rFonts w:eastAsia="Calibri"/>
                                      <w:color w:val="000000"/>
                                      <w:szCs w:val="24"/>
                                    </w:rPr>
                                  </w:pPr>
                                </w:p>
                              </w:tc>
                            </w:tr>
                          </w:tbl>
                          <w:p>
                            <w:pPr>
                              <w:suppressAutoHyphens/>
                              <w:jc w:val="both"/>
                              <w:rPr>
                                <w:rFonts w:eastAsia="Calibri"/>
                                <w:b/>
                                <w:color w:val="000000"/>
                                <w:szCs w:val="24"/>
                              </w:rPr>
                            </w:pPr>
                          </w:p>
                        </w:tc>
                        <w:tc>
                          <w:tcPr>
                            <w:tcW w:w="1294" w:type="dxa"/>
                            <w:vAlign w:val="center"/>
                            <w:hideMark/>
                          </w:tcPr>
                          <w:p>
                            <w:pPr>
                              <w:suppressAutoHyphens/>
                              <w:spacing w:line="276" w:lineRule="auto"/>
                              <w:jc w:val="right"/>
                              <w:rPr>
                                <w:color w:val="000000"/>
                                <w:szCs w:val="24"/>
                              </w:rPr>
                            </w:pPr>
                            <w:r>
                              <w:rPr>
                                <w:color w:val="000000"/>
                                <w:szCs w:val="24"/>
                                <w:lang w:eastAsia="lt-LT"/>
                              </w:rPr>
                              <w:t>(2.229)</w:t>
                            </w:r>
                          </w:p>
                        </w:tc>
                      </w:tr>
                    </w:tbl>
                    <w:p/>
                  </w:sdtContent>
                </w:sdt>
                <w:sdt>
                  <w:sdtPr>
                    <w:alias w:val="2 pr. 54.2 pp."/>
                    <w:tag w:val="part_cee4ac09f8234fe1bc87a026514bab16"/>
                    <w:lock w:val="sdtLocked"/>
                    <w:richText/>
                  </w:sdtPr>
                  <w:sdtContent>
                    <w:p>
                      <w:pPr>
                        <w:suppressAutoHyphens/>
                        <w:ind w:firstLine="567"/>
                        <w:jc w:val="both"/>
                        <w:rPr>
                          <w:szCs w:val="24"/>
                          <w:lang w:eastAsia="lt-LT"/>
                        </w:rPr>
                      </w:pPr>
                      <w:sdt>
                        <w:sdtPr>
                          <w:alias w:val="Numeris"/>
                          <w:tag w:val="nr_cee4ac09f8234fe1bc87a026514bab16"/>
                          <w:lock w:val="sdtLocked"/>
                          <w:richText/>
                        </w:sdtPr>
                        <w:sdtContent>
                          <w:r>
                            <w:rPr>
                              <w:szCs w:val="24"/>
                            </w:rPr>
                            <w:t>54.2</w:t>
                          </w:r>
                        </w:sdtContent>
                      </w:sdt>
                      <w:r>
                        <w:rPr>
                          <w:szCs w:val="24"/>
                        </w:rPr>
                        <w:t xml:space="preserve">. Fotovoltinių </w:t>
                      </w:r>
                      <w:r>
                        <w:rPr>
                          <w:szCs w:val="24"/>
                          <w:lang w:eastAsia="lt-LT"/>
                        </w:rPr>
                        <w:t xml:space="preserve">Saulės kolektorių per metus pagamintas elektros energijos kiekis </w:t>
                      </w:r>
                      <w:r>
                        <w:rPr>
                          <w:i/>
                          <w:szCs w:val="24"/>
                          <w:lang w:eastAsia="lt-LT"/>
                        </w:rPr>
                        <w:t>Q</w:t>
                      </w:r>
                      <w:r>
                        <w:rPr>
                          <w:i/>
                          <w:szCs w:val="24"/>
                          <w:vertAlign w:val="subscript"/>
                          <w:lang w:eastAsia="lt-LT"/>
                        </w:rPr>
                        <w:t>GEN.fvSK</w:t>
                      </w:r>
                      <w:r>
                        <w:rPr>
                          <w:szCs w:val="24"/>
                          <w:lang w:eastAsia="lt-LT"/>
                        </w:rPr>
                        <w:t xml:space="preserve"> (kWh/(m²·metai)) apskaičiuojamas taip:</w:t>
                      </w:r>
                    </w:p>
                    <w:p>
                      <w:pPr>
                        <w:tabs>
                          <w:tab w:val="left" w:pos="567"/>
                        </w:tabs>
                        <w:suppressAutoHyphens/>
                        <w:ind w:firstLine="284"/>
                        <w:rPr>
                          <w:szCs w:val="24"/>
                          <w:lang w:eastAsia="lt-LT"/>
                        </w:rPr>
                      </w:pPr>
                      <w:r>
                        <w:rPr>
                          <w:rFonts w:eastAsia="Calibri"/>
                          <w:szCs w:val="24"/>
                        </w:rPr>
                        <w:t>-</w:t>
                        <w:tab/>
                      </w:r>
                      <w:r>
                        <w:rPr>
                          <w:szCs w:val="24"/>
                          <w:lang w:eastAsia="lt-LT"/>
                        </w:rPr>
                        <w:t>jei elektros energija iš fotovoltinių Saulės kolektorių tiesiogiai tiekiama pastatui ir pastate įrengta dvipusė elektros energijos apskaita:</w:t>
                      </w:r>
                    </w:p>
                    <w:tbl>
                      <w:tblPr>
                        <w:tblW w:w="5000" w:type="pct"/>
                        <w:jc w:val="center"/>
                        <w:tblLook w:val="01E0" w:firstRow="1" w:lastRow="1" w:firstColumn="1" w:lastColumn="1" w:noHBand="0" w:noVBand="0"/>
                      </w:tblPr>
                      <w:tblGrid>
                        <w:gridCol w:w="8544"/>
                        <w:gridCol w:w="1310"/>
                      </w:tblGrid>
                      <w:tr>
                        <w:trPr>
                          <w:jc w:val="center"/>
                        </w:trPr>
                        <w:tc>
                          <w:tcPr>
                            <w:tcW w:w="8420" w:type="dxa"/>
                            <w:vAlign w:val="center"/>
                            <w:hideMark/>
                          </w:tcPr>
                          <w:p>
                            <w:pPr>
                              <w:suppressAutoHyphens/>
                              <w:jc w:val="center"/>
                              <w:rPr>
                                <w:szCs w:val="24"/>
                                <w:lang w:eastAsia="lt-LT"/>
                              </w:rPr>
                            </w:pPr>
                            <w:r>
                              <w:rPr>
                                <w:szCs w:val="24"/>
                                <w:lang w:eastAsia="lt-LT"/>
                              </w:rPr>
                              <w:object w:dxaOrig="7200" w:dyaOrig="730">
                                <v:shape id="_x0000_i1286" type="#_x0000_t75" style="width:5in;height:37.2pt" o:ole="">
                                  <v:imagedata r:id="rId807" o:title=""/>
                                </v:shape>
                                <o:OLEObject Type="Embed" ProgID="Equation.3" ShapeID="_x0000_i1286" DrawAspect="Content" ObjectID="_0000000001" r:id="rId808"/>
                              </w:object>
                              <w:t>;</w:t>
                            </w:r>
                          </w:p>
                        </w:tc>
                        <w:tc>
                          <w:tcPr>
                            <w:tcW w:w="1291" w:type="dxa"/>
                            <w:vAlign w:val="center"/>
                            <w:hideMark/>
                          </w:tcPr>
                          <w:p>
                            <w:pPr>
                              <w:suppressAutoHyphens/>
                              <w:jc w:val="right"/>
                              <w:rPr>
                                <w:szCs w:val="24"/>
                                <w:lang w:eastAsia="lt-LT"/>
                              </w:rPr>
                            </w:pPr>
                            <w:r>
                              <w:rPr>
                                <w:szCs w:val="24"/>
                                <w:lang w:eastAsia="lt-LT"/>
                              </w:rPr>
                              <w:t xml:space="preserve">(2.229-1) </w:t>
                            </w:r>
                          </w:p>
                        </w:tc>
                      </w:tr>
                    </w:tbl>
                    <w:p>
                      <w:pPr>
                        <w:suppressAutoHyphens/>
                        <w:ind w:left="567" w:hanging="283"/>
                        <w:rPr>
                          <w:szCs w:val="24"/>
                          <w:lang w:eastAsia="lt-LT"/>
                        </w:rPr>
                      </w:pPr>
                      <w:r>
                        <w:rPr>
                          <w:rFonts w:eastAsia="Calibri"/>
                          <w:szCs w:val="24"/>
                        </w:rPr>
                        <w:t>-</w:t>
                        <w:tab/>
                      </w:r>
                      <w:r>
                        <w:rPr>
                          <w:szCs w:val="24"/>
                          <w:lang w:eastAsia="lt-LT"/>
                        </w:rPr>
                        <w:t xml:space="preserve">jei elektros energija pastatui tiekiama iš nutolusios Saulės elektrinės: </w:t>
                      </w:r>
                    </w:p>
                    <w:tbl>
                      <w:tblPr>
                        <w:tblW w:w="5000" w:type="pct"/>
                        <w:jc w:val="center"/>
                        <w:tblLook w:val="01E0" w:firstRow="1" w:lastRow="1" w:firstColumn="1" w:lastColumn="1" w:noHBand="0" w:noVBand="0"/>
                      </w:tblPr>
                      <w:tblGrid>
                        <w:gridCol w:w="8524"/>
                        <w:gridCol w:w="1330"/>
                      </w:tblGrid>
                      <w:tr>
                        <w:trPr>
                          <w:jc w:val="center"/>
                        </w:trPr>
                        <w:tc>
                          <w:tcPr>
                            <w:tcW w:w="8525" w:type="dxa"/>
                            <w:vAlign w:val="center"/>
                            <w:hideMark/>
                          </w:tcPr>
                          <w:p>
                            <w:pPr>
                              <w:suppressAutoHyphens/>
                              <w:jc w:val="center"/>
                              <w:rPr>
                                <w:szCs w:val="24"/>
                                <w:lang w:eastAsia="lt-LT"/>
                              </w:rPr>
                            </w:pPr>
                            <w:r>
                              <w:rPr>
                                <w:szCs w:val="24"/>
                                <w:lang w:eastAsia="lt-LT"/>
                              </w:rPr>
                              <w:object w:dxaOrig="1570" w:dyaOrig="740">
                                <v:shape id="_x0000_i1287" type="#_x0000_t75" style="width:77.65pt;height:36.4pt" o:ole="">
                                  <v:imagedata r:id="rId809" o:title=""/>
                                </v:shape>
                                <o:OLEObject Type="Embed" ProgID="Equation.3" ShapeID="_x0000_i1287" DrawAspect="Content" ObjectID="_0000000001" r:id="rId810"/>
                              </w:object>
                              <w:t>;</w:t>
                            </w:r>
                          </w:p>
                        </w:tc>
                        <w:tc>
                          <w:tcPr>
                            <w:tcW w:w="1330" w:type="dxa"/>
                            <w:vAlign w:val="center"/>
                            <w:hideMark/>
                          </w:tcPr>
                          <w:p>
                            <w:pPr>
                              <w:suppressAutoHyphens/>
                              <w:jc w:val="right"/>
                              <w:rPr>
                                <w:szCs w:val="24"/>
                                <w:lang w:eastAsia="lt-LT"/>
                              </w:rPr>
                            </w:pPr>
                            <w:r>
                              <w:rPr>
                                <w:szCs w:val="24"/>
                                <w:lang w:eastAsia="lt-LT"/>
                              </w:rPr>
                              <w:t xml:space="preserve">(2.229-2) </w:t>
                            </w:r>
                          </w:p>
                        </w:tc>
                      </w:tr>
                    </w:tbl>
                    <w:p>
                      <w:pPr>
                        <w:tabs>
                          <w:tab w:val="left" w:pos="709"/>
                        </w:tabs>
                        <w:suppressAutoHyphens/>
                        <w:rPr>
                          <w:szCs w:val="24"/>
                          <w:lang w:eastAsia="lt-LT"/>
                        </w:rPr>
                      </w:pPr>
                    </w:p>
                    <w:p>
                      <w:pPr>
                        <w:tabs>
                          <w:tab w:val="left" w:pos="567"/>
                        </w:tabs>
                        <w:suppressAutoHyphens/>
                        <w:jc w:val="both"/>
                        <w:rPr>
                          <w:szCs w:val="24"/>
                          <w:lang w:eastAsia="lt-LT"/>
                        </w:rPr>
                      </w:pPr>
                      <w:r>
                        <w:rPr>
                          <w:szCs w:val="24"/>
                          <w:lang w:eastAsia="lt-LT"/>
                        </w:rPr>
                        <w:t xml:space="preserve">čia: </w:t>
                        <w:tab/>
                      </w:r>
                      <w:r>
                        <w:rPr>
                          <w:i/>
                          <w:szCs w:val="24"/>
                          <w:lang w:eastAsia="lt-LT"/>
                        </w:rPr>
                        <w:t>Q</w:t>
                      </w:r>
                      <w:r>
                        <w:rPr>
                          <w:i/>
                          <w:szCs w:val="24"/>
                          <w:vertAlign w:val="subscript"/>
                          <w:lang w:eastAsia="lt-LT"/>
                        </w:rPr>
                        <w:t>NSE</w:t>
                      </w:r>
                      <w:r>
                        <w:rPr>
                          <w:szCs w:val="24"/>
                          <w:lang w:eastAsia="lt-LT"/>
                        </w:rPr>
                        <w:t xml:space="preserve"> – pagal elektros energijos tiekimo iš nutolusios Saulės elektrinės sutartį įsipareigotas per metus pastatui patiekti elektros energijos kiekis (kWh per metus);</w:t>
                      </w:r>
                    </w:p>
                    <w:p>
                      <w:pPr>
                        <w:tabs>
                          <w:tab w:val="left" w:pos="567"/>
                        </w:tabs>
                        <w:suppressAutoHyphens/>
                        <w:ind w:firstLine="567"/>
                        <w:jc w:val="both"/>
                        <w:rPr>
                          <w:rFonts w:eastAsia="Calibri"/>
                          <w:color w:val="000000"/>
                          <w:szCs w:val="24"/>
                          <w:lang w:eastAsia="lt-LT"/>
                        </w:rPr>
                      </w:pPr>
                      <w:r>
                        <w:rPr>
                          <w:i/>
                          <w:color w:val="000000"/>
                          <w:szCs w:val="24"/>
                          <w:lang w:eastAsia="lt-LT"/>
                        </w:rPr>
                        <w:t>I</w:t>
                      </w:r>
                      <w:r>
                        <w:rPr>
                          <w:i/>
                          <w:color w:val="000000"/>
                          <w:szCs w:val="24"/>
                          <w:vertAlign w:val="subscript"/>
                          <w:lang w:eastAsia="lt-LT"/>
                        </w:rPr>
                        <w:t>sol,m,x,y</w:t>
                      </w:r>
                      <w:r>
                        <w:rPr>
                          <w:color w:val="000000"/>
                          <w:szCs w:val="24"/>
                          <w:lang w:eastAsia="lt-LT"/>
                        </w:rPr>
                        <w:t xml:space="preserve"> – mėnesinis Saulės bendrosios spinduliuotės srauto tankis į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paviršių (W/m²). Apskaičiuojamas pagal atitinkamo </w:t>
                      </w:r>
                      <w:r>
                        <w:rPr>
                          <w:i/>
                          <w:color w:val="000000"/>
                          <w:szCs w:val="24"/>
                          <w:lang w:eastAsia="lt-LT"/>
                        </w:rPr>
                        <w:t>„y“</w:t>
                      </w:r>
                      <w:r>
                        <w:rPr>
                          <w:color w:val="000000"/>
                          <w:szCs w:val="24"/>
                          <w:lang w:eastAsia="lt-LT"/>
                        </w:rPr>
                        <w:t xml:space="preserve"> kolektoriaus orientaciją pasaulio šalių atžvilgiu ir kolektoriaus pasvirimo kampą pagal 2.33–2.35 lentelėse pateiktus duomenis.</w:t>
                      </w:r>
                    </w:p>
                    <w:p>
                      <w:pPr>
                        <w:suppressAutoHyphens/>
                        <w:ind w:firstLine="600"/>
                        <w:jc w:val="both"/>
                        <w:rPr>
                          <w:i/>
                          <w:color w:val="000000"/>
                          <w:szCs w:val="24"/>
                          <w:lang w:eastAsia="lt-LT"/>
                        </w:rPr>
                      </w:pPr>
                      <w:r>
                        <w:rPr>
                          <w:i/>
                          <w:color w:val="000000"/>
                          <w:szCs w:val="24"/>
                          <w:lang w:eastAsia="lt-LT"/>
                        </w:rPr>
                        <w:t>K</w:t>
                      </w:r>
                      <w:r>
                        <w:rPr>
                          <w:i/>
                          <w:color w:val="000000"/>
                          <w:szCs w:val="24"/>
                          <w:vertAlign w:val="subscript"/>
                          <w:lang w:eastAsia="lt-LT"/>
                        </w:rPr>
                        <w:t xml:space="preserve">fvSK,x,y </w:t>
                      </w:r>
                      <w:r>
                        <w:rPr>
                          <w:color w:val="000000"/>
                          <w:szCs w:val="24"/>
                          <w:lang w:eastAsia="lt-LT"/>
                        </w:rPr>
                        <w:t xml:space="preserve">–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pikinė galia (kW/m²). Imama iš kolektoriaus gamintojo techninės dokumentacijos, o </w:t>
                      </w:r>
                      <w:r>
                        <w:rPr>
                          <w:bCs/>
                          <w:szCs w:val="24"/>
                          <w:lang w:eastAsia="lt-LT"/>
                        </w:rPr>
                        <w:t>jei nėra</w:t>
                      </w:r>
                      <w:r>
                        <w:rPr>
                          <w:color w:val="000000"/>
                          <w:szCs w:val="24"/>
                          <w:lang w:eastAsia="lt-LT"/>
                        </w:rPr>
                        <w:t xml:space="preserve"> duomenų, imama iš  2.40 lentelės;</w:t>
                      </w:r>
                    </w:p>
                    <w:p>
                      <w:pPr>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fvSK,x,y </w:t>
                      </w:r>
                      <w:r>
                        <w:rPr>
                          <w:color w:val="000000"/>
                          <w:szCs w:val="24"/>
                          <w:lang w:eastAsia="lt-LT"/>
                        </w:rPr>
                        <w:t xml:space="preserve">–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efektyvumo faktorius (vnt. dalys). Imama iš  2.41 lentelės;</w:t>
                      </w:r>
                    </w:p>
                    <w:p>
                      <w:pPr>
                        <w:suppressAutoHyphens/>
                        <w:ind w:firstLine="600"/>
                        <w:jc w:val="both"/>
                        <w:rPr>
                          <w:color w:val="000000"/>
                          <w:szCs w:val="24"/>
                          <w:lang w:eastAsia="lt-LT"/>
                        </w:rPr>
                      </w:pPr>
                      <w:r>
                        <w:rPr>
                          <w:i/>
                          <w:color w:val="000000"/>
                          <w:szCs w:val="24"/>
                          <w:lang w:eastAsia="lt-LT"/>
                        </w:rPr>
                        <w:t>A</w:t>
                      </w:r>
                      <w:r>
                        <w:rPr>
                          <w:i/>
                          <w:color w:val="000000"/>
                          <w:szCs w:val="24"/>
                          <w:vertAlign w:val="subscript"/>
                          <w:lang w:eastAsia="lt-LT"/>
                        </w:rPr>
                        <w:t>fvSK,x</w:t>
                      </w:r>
                      <w:r>
                        <w:rPr>
                          <w:color w:val="000000"/>
                          <w:szCs w:val="24"/>
                          <w:lang w:eastAsia="lt-LT"/>
                        </w:rPr>
                        <w:t xml:space="preserve"> – atitinkamos </w:t>
                      </w:r>
                      <w:r>
                        <w:rPr>
                          <w:i/>
                          <w:color w:val="000000"/>
                          <w:szCs w:val="24"/>
                          <w:lang w:eastAsia="lt-LT"/>
                        </w:rPr>
                        <w:t>„x“</w:t>
                      </w:r>
                      <w:r>
                        <w:rPr>
                          <w:color w:val="000000"/>
                          <w:szCs w:val="24"/>
                          <w:lang w:eastAsia="lt-LT"/>
                        </w:rPr>
                        <w:t xml:space="preserve"> kolektorių sistemos atitinkamo </w:t>
                      </w:r>
                      <w:r>
                        <w:rPr>
                          <w:i/>
                          <w:color w:val="000000"/>
                          <w:szCs w:val="24"/>
                          <w:lang w:eastAsia="lt-LT"/>
                        </w:rPr>
                        <w:t>„y“</w:t>
                      </w:r>
                      <w:r>
                        <w:rPr>
                          <w:color w:val="000000"/>
                          <w:szCs w:val="24"/>
                          <w:lang w:eastAsia="lt-LT"/>
                        </w:rPr>
                        <w:t xml:space="preserve"> fotovoltinio Saulės kolektoriaus plotas neįskaitant rėmo užimamo ploto (m²);</w:t>
                      </w:r>
                    </w:p>
                    <w:p>
                      <w:pPr>
                        <w:suppressAutoHyphens/>
                        <w:ind w:firstLine="600"/>
                        <w:jc w:val="both"/>
                        <w:rPr>
                          <w:color w:val="000000"/>
                          <w:szCs w:val="24"/>
                          <w:lang w:eastAsia="lt-LT"/>
                        </w:rPr>
                      </w:pPr>
                      <w:r>
                        <w:rPr>
                          <w:i/>
                          <w:color w:val="000000"/>
                          <w:szCs w:val="24"/>
                          <w:lang w:eastAsia="lt-LT"/>
                        </w:rPr>
                        <w:t>I</w:t>
                      </w:r>
                      <w:r>
                        <w:rPr>
                          <w:i/>
                          <w:color w:val="000000"/>
                          <w:szCs w:val="24"/>
                          <w:vertAlign w:val="subscript"/>
                          <w:lang w:eastAsia="lt-LT"/>
                        </w:rPr>
                        <w:t xml:space="preserve">fvSK.ref  </w:t>
                      </w:r>
                      <w:r>
                        <w:rPr>
                          <w:i/>
                          <w:color w:val="000000"/>
                          <w:szCs w:val="24"/>
                          <w:lang w:eastAsia="lt-LT"/>
                        </w:rPr>
                        <w:t>–</w:t>
                      </w:r>
                      <w:r>
                        <w:rPr>
                          <w:color w:val="000000"/>
                          <w:szCs w:val="24"/>
                          <w:lang w:eastAsia="lt-LT"/>
                        </w:rPr>
                        <w:t xml:space="preserve"> bazinė bendrosios Saulės spinduliuotės srauto tankio vertė lygi 1 kW/m²;</w:t>
                      </w:r>
                    </w:p>
                    <w:p>
                      <w:pPr>
                        <w:suppressAutoHyphens/>
                        <w:ind w:left="720"/>
                        <w:jc w:val="right"/>
                        <w:rPr>
                          <w:color w:val="000000"/>
                          <w:szCs w:val="24"/>
                          <w:lang w:eastAsia="lt-LT"/>
                        </w:rPr>
                      </w:pPr>
                    </w:p>
                    <w:p>
                      <w:pPr>
                        <w:suppressAutoHyphens/>
                        <w:ind w:left="720" w:hanging="720"/>
                        <w:jc w:val="center"/>
                        <w:rPr>
                          <w:b/>
                          <w:szCs w:val="24"/>
                          <w:lang w:eastAsia="lt-LT"/>
                        </w:rPr>
                      </w:pPr>
                      <w:r>
                        <w:rPr>
                          <w:b/>
                          <w:szCs w:val="24"/>
                          <w:lang w:eastAsia="lt-LT"/>
                        </w:rPr>
                        <w:t xml:space="preserve">Įvairių fotovoltinių Saulės kolektorių pikinės galios </w:t>
                      </w:r>
                      <w:r>
                        <w:rPr>
                          <w:b/>
                          <w:i/>
                          <w:szCs w:val="24"/>
                          <w:lang w:eastAsia="lt-LT"/>
                        </w:rPr>
                        <w:t>K</w:t>
                      </w:r>
                      <w:r>
                        <w:rPr>
                          <w:b/>
                          <w:i/>
                          <w:szCs w:val="24"/>
                          <w:vertAlign w:val="subscript"/>
                          <w:lang w:eastAsia="lt-LT"/>
                        </w:rPr>
                        <w:t xml:space="preserve">fvSK </w:t>
                      </w:r>
                      <w:r>
                        <w:rPr>
                          <w:b/>
                          <w:szCs w:val="24"/>
                          <w:lang w:eastAsia="lt-LT"/>
                        </w:rPr>
                        <w:t>(kW/m²) vertės [3.26]</w:t>
                      </w:r>
                    </w:p>
                    <w:p>
                      <w:pPr>
                        <w:suppressAutoHyphens/>
                        <w:ind w:left="720"/>
                        <w:jc w:val="right"/>
                        <w:rPr>
                          <w:szCs w:val="24"/>
                          <w:lang w:eastAsia="lt-LT"/>
                        </w:rPr>
                      </w:pPr>
                      <w:r>
                        <w:rPr>
                          <w:szCs w:val="24"/>
                          <w:lang w:eastAsia="lt-LT"/>
                        </w:rPr>
                        <w:t>2.40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8116"/>
                        <w:gridCol w:w="1157"/>
                      </w:tblGrid>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Eil. Nr.</w:t>
                            </w:r>
                          </w:p>
                        </w:tc>
                        <w:tc>
                          <w:tcPr>
                            <w:tcW w:w="411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Fotovoltinio kolektoriaus tipas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i/>
                                <w:szCs w:val="24"/>
                                <w:vertAlign w:val="subscript"/>
                                <w:lang w:eastAsia="lt-LT"/>
                              </w:rPr>
                            </w:pPr>
                            <w:r>
                              <w:rPr>
                                <w:i/>
                                <w:szCs w:val="24"/>
                                <w:lang w:eastAsia="lt-LT"/>
                              </w:rPr>
                              <w:t>K</w:t>
                            </w:r>
                            <w:r>
                              <w:rPr>
                                <w:i/>
                                <w:szCs w:val="24"/>
                                <w:vertAlign w:val="subscript"/>
                                <w:lang w:eastAsia="lt-LT"/>
                              </w:rPr>
                              <w:t>fvSK</w:t>
                            </w:r>
                            <w:r>
                              <w:rPr>
                                <w:szCs w:val="24"/>
                                <w:lang w:eastAsia="lt-LT"/>
                              </w:rPr>
                              <w:t>,</w:t>
                            </w:r>
                          </w:p>
                          <w:p>
                            <w:pPr>
                              <w:suppressAutoHyphens/>
                              <w:spacing w:line="276" w:lineRule="auto"/>
                              <w:jc w:val="center"/>
                              <w:rPr>
                                <w:rFonts w:eastAsia="Calibri"/>
                                <w:szCs w:val="24"/>
                              </w:rPr>
                            </w:pPr>
                            <w:r>
                              <w:rPr>
                                <w:szCs w:val="24"/>
                                <w:lang w:eastAsia="lt-LT"/>
                              </w:rPr>
                              <w:t>kW/m²</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1.</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Monokristalinio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0,15</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2.</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Polikristalinio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0,13</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3.</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Plonasluoksnis (plėvelės tipo) amorfinio silicio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0,06</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4.</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Plonasluoksnis (plėvelės tipo) vario–indžio–galio diselenidų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0,105</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5.</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Plonasluoksnis (plėvelės tipo) kadmio telūrido kolektorius</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0,095</w:t>
                            </w:r>
                          </w:p>
                        </w:tc>
                      </w:tr>
                      <w:tr>
                        <w:tc>
                          <w:tcPr>
                            <w:tcW w:w="29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6.</w:t>
                            </w:r>
                          </w:p>
                        </w:tc>
                        <w:tc>
                          <w:tcPr>
                            <w:tcW w:w="411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Kiti plonasluoksniai (plėvelės tipo) kolektoriai</w:t>
                            </w:r>
                          </w:p>
                        </w:tc>
                        <w:tc>
                          <w:tcPr>
                            <w:tcW w:w="5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0,035</w:t>
                            </w:r>
                          </w:p>
                        </w:tc>
                      </w:tr>
                    </w:tbl>
                    <w:p>
                      <w:pPr>
                        <w:suppressAutoHyphens/>
                        <w:ind w:left="720" w:hanging="720"/>
                        <w:rPr>
                          <w:rFonts w:eastAsia="Calibri"/>
                          <w:szCs w:val="24"/>
                        </w:rPr>
                      </w:pPr>
                    </w:p>
                    <w:p>
                      <w:pPr>
                        <w:suppressAutoHyphens/>
                        <w:ind w:left="720" w:hanging="720"/>
                        <w:jc w:val="center"/>
                        <w:rPr>
                          <w:b/>
                          <w:szCs w:val="24"/>
                          <w:lang w:eastAsia="lt-LT"/>
                        </w:rPr>
                      </w:pPr>
                      <w:r>
                        <w:rPr>
                          <w:b/>
                          <w:szCs w:val="24"/>
                          <w:lang w:eastAsia="lt-LT"/>
                        </w:rPr>
                        <w:t xml:space="preserve">Fotovoltinių Saulės kolektorių efektyvumo faktorių </w:t>
                      </w:r>
                      <w:r>
                        <w:rPr>
                          <w:b/>
                          <w:i/>
                          <w:szCs w:val="24"/>
                          <w:lang w:eastAsia="lt-LT"/>
                        </w:rPr>
                        <w:t>f</w:t>
                      </w:r>
                      <w:r>
                        <w:rPr>
                          <w:b/>
                          <w:i/>
                          <w:szCs w:val="24"/>
                          <w:vertAlign w:val="subscript"/>
                          <w:lang w:eastAsia="lt-LT"/>
                        </w:rPr>
                        <w:t xml:space="preserve">fvSK </w:t>
                      </w:r>
                      <w:r>
                        <w:rPr>
                          <w:b/>
                          <w:szCs w:val="24"/>
                          <w:lang w:eastAsia="lt-LT"/>
                        </w:rPr>
                        <w:t>(vnt. dalys) vertės [3.26]</w:t>
                      </w:r>
                    </w:p>
                    <w:p>
                      <w:pPr>
                        <w:suppressAutoHyphens/>
                        <w:ind w:left="720"/>
                        <w:jc w:val="right"/>
                        <w:rPr>
                          <w:szCs w:val="24"/>
                          <w:lang w:eastAsia="lt-LT"/>
                        </w:rPr>
                      </w:pPr>
                      <w:r>
                        <w:rPr>
                          <w:szCs w:val="24"/>
                          <w:lang w:eastAsia="lt-LT"/>
                        </w:rPr>
                        <w:t>2.41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9"/>
                        <w:gridCol w:w="6031"/>
                        <w:gridCol w:w="3244"/>
                      </w:tblGrid>
                      <w:tr>
                        <w:tc>
                          <w:tcPr>
                            <w:tcW w:w="29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Eil. Nr.</w:t>
                            </w:r>
                          </w:p>
                        </w:tc>
                        <w:tc>
                          <w:tcPr>
                            <w:tcW w:w="3060"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Fotovoltinio kolektoriaus tipas</w:t>
                            </w:r>
                          </w:p>
                        </w:tc>
                        <w:tc>
                          <w:tcPr>
                            <w:tcW w:w="1646"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
                                <w:i/>
                                <w:szCs w:val="24"/>
                                <w:vertAlign w:val="subscript"/>
                                <w:lang w:eastAsia="lt-LT"/>
                              </w:rPr>
                            </w:pPr>
                            <w:r>
                              <w:rPr>
                                <w:i/>
                                <w:szCs w:val="24"/>
                                <w:lang w:eastAsia="lt-LT"/>
                              </w:rPr>
                              <w:t>f</w:t>
                            </w:r>
                            <w:r>
                              <w:rPr>
                                <w:i/>
                                <w:szCs w:val="24"/>
                                <w:vertAlign w:val="subscript"/>
                                <w:lang w:eastAsia="lt-LT"/>
                              </w:rPr>
                              <w:t>fvSK</w:t>
                            </w:r>
                            <w:r>
                              <w:rPr>
                                <w:szCs w:val="24"/>
                                <w:lang w:eastAsia="lt-LT"/>
                              </w:rPr>
                              <w:t>,</w:t>
                            </w:r>
                          </w:p>
                          <w:p>
                            <w:pPr>
                              <w:suppressAutoHyphens/>
                              <w:spacing w:line="276" w:lineRule="auto"/>
                              <w:jc w:val="center"/>
                              <w:rPr>
                                <w:rFonts w:eastAsia="Calibri"/>
                                <w:szCs w:val="24"/>
                              </w:rPr>
                            </w:pPr>
                            <w:r>
                              <w:rPr>
                                <w:szCs w:val="24"/>
                                <w:lang w:eastAsia="lt-LT"/>
                              </w:rPr>
                              <w:t>vnt. dalys</w:t>
                            </w:r>
                          </w:p>
                        </w:tc>
                      </w:tr>
                      <w:tr>
                        <w:tc>
                          <w:tcPr>
                            <w:tcW w:w="29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1.</w:t>
                            </w:r>
                          </w:p>
                        </w:tc>
                        <w:tc>
                          <w:tcPr>
                            <w:tcW w:w="3060" w:type="pc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rPr>
                            </w:pPr>
                            <w:r>
                              <w:rPr>
                                <w:szCs w:val="24"/>
                                <w:lang w:eastAsia="lt-LT"/>
                              </w:rPr>
                              <w:t>Nevėdinamas</w:t>
                            </w:r>
                          </w:p>
                        </w:tc>
                        <w:tc>
                          <w:tcPr>
                            <w:tcW w:w="1646"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szCs w:val="24"/>
                              </w:rPr>
                            </w:pPr>
                            <w:r>
                              <w:rPr>
                                <w:szCs w:val="24"/>
                                <w:lang w:eastAsia="lt-LT"/>
                              </w:rPr>
                              <w:t>0,70</w:t>
                            </w:r>
                          </w:p>
                        </w:tc>
                      </w:tr>
                      <w:tr>
                        <w:tc>
                          <w:tcPr>
                            <w:tcW w:w="29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2.</w:t>
                            </w:r>
                          </w:p>
                        </w:tc>
                        <w:tc>
                          <w:tcPr>
                            <w:tcW w:w="3060" w:type="pc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rPr>
                            </w:pPr>
                            <w:r>
                              <w:rPr>
                                <w:szCs w:val="24"/>
                                <w:lang w:eastAsia="lt-LT"/>
                              </w:rPr>
                              <w:t>Vidutiniškai vėdinamas</w:t>
                            </w:r>
                          </w:p>
                        </w:tc>
                        <w:tc>
                          <w:tcPr>
                            <w:tcW w:w="1646"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szCs w:val="24"/>
                              </w:rPr>
                            </w:pPr>
                            <w:r>
                              <w:rPr>
                                <w:szCs w:val="24"/>
                                <w:lang w:eastAsia="lt-LT"/>
                              </w:rPr>
                              <w:t>0,75</w:t>
                            </w:r>
                          </w:p>
                        </w:tc>
                      </w:tr>
                      <w:tr>
                        <w:tc>
                          <w:tcPr>
                            <w:tcW w:w="29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3.</w:t>
                            </w:r>
                          </w:p>
                        </w:tc>
                        <w:tc>
                          <w:tcPr>
                            <w:tcW w:w="3060" w:type="pc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rPr>
                            </w:pPr>
                            <w:r>
                              <w:rPr>
                                <w:szCs w:val="24"/>
                                <w:lang w:eastAsia="lt-LT"/>
                              </w:rPr>
                              <w:t>Intensyviai vėdinamas</w:t>
                            </w:r>
                          </w:p>
                        </w:tc>
                        <w:tc>
                          <w:tcPr>
                            <w:tcW w:w="1646"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szCs w:val="24"/>
                              </w:rPr>
                            </w:pPr>
                            <w:r>
                              <w:rPr>
                                <w:szCs w:val="24"/>
                                <w:lang w:eastAsia="lt-LT"/>
                              </w:rPr>
                              <w:t>0,80</w:t>
                            </w:r>
                          </w:p>
                        </w:tc>
                      </w:tr>
                    </w:tbl>
                    <w:p>
                      <w:pPr>
                        <w:jc w:val="right"/>
                      </w:pP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811" w:history="1">
                        <w:r>
                          <w:rPr>
                            <w:rFonts w:eastAsia="MS Mincho"/>
                            <w:i/>
                            <w:iCs/>
                            <w:color w:val="0000FF"/>
                            <w:sz w:val="20"/>
                            <w:u w:val="single"/>
                          </w:rPr>
                          <w:t>D1-576</w:t>
                        </w:r>
                      </w:hyperlink>
                      <w:r>
                        <w:rPr>
                          <w:rFonts w:eastAsia="MS Mincho"/>
                          <w:i/>
                          <w:iCs/>
                          <w:sz w:val="20"/>
                        </w:rPr>
                        <w:t>, 2020-09-28, paskelbta TAR 2020-09-28, i. k. 2020-20131</w:t>
                      </w:r>
                    </w:p>
                    <w:p/>
                  </w:sdtContent>
                </w:sdt>
              </w:sdtContent>
            </w:sdt>
            <w:sdt>
              <w:sdtPr>
                <w:alias w:val="2 pr. 55 p."/>
                <w:tag w:val="part_871d4e51d82146008524b2fc8fd21580"/>
                <w:lock w:val="sdtLocked"/>
                <w:richText/>
              </w:sdtPr>
              <w:sdtContent>
                <w:p>
                  <w:pPr>
                    <w:tabs>
                      <w:tab w:val="left" w:pos="567"/>
                      <w:tab w:val="left" w:pos="709"/>
                      <w:tab w:val="left" w:pos="851"/>
                    </w:tabs>
                    <w:suppressAutoHyphens/>
                    <w:ind w:firstLine="567"/>
                    <w:jc w:val="both"/>
                    <w:rPr>
                      <w:szCs w:val="24"/>
                      <w:lang w:eastAsia="lt-LT"/>
                    </w:rPr>
                  </w:pPr>
                  <w:sdt>
                    <w:sdtPr>
                      <w:alias w:val="Numeris"/>
                      <w:tag w:val="nr_871d4e51d82146008524b2fc8fd21580"/>
                      <w:lock w:val="sdtLocked"/>
                      <w:richText/>
                    </w:sdtPr>
                    <w:sdtContent>
                      <w:r>
                        <w:rPr>
                          <w:szCs w:val="24"/>
                          <w:lang w:eastAsia="lt-LT"/>
                        </w:rPr>
                        <w:t>55</w:t>
                      </w:r>
                    </w:sdtContent>
                  </w:sdt>
                  <w:r>
                    <w:rPr>
                      <w:szCs w:val="24"/>
                      <w:lang w:eastAsia="lt-LT"/>
                    </w:rPr>
                    <w:t xml:space="preserve">. </w:t>
                  </w:r>
                  <w:r>
                    <w:rPr>
                      <w:color w:val="000000"/>
                      <w:szCs w:val="24"/>
                      <w:lang w:eastAsia="lt-LT"/>
                    </w:rPr>
                    <w:t>Energijos iš fotovoltinių Saulės kolektorių neatsinaujinančios pirminės energijos sąnaudos pastate, kai ši energija naudojama tik karštam vandeniui ruošti, apskaičiuojamos taip:</w:t>
                  </w:r>
                </w:p>
                <w:sdt>
                  <w:sdtPr>
                    <w:alias w:val="55.1 pp."/>
                    <w:tag w:val="part_12fdafa68cbd438fb967fe741399e8b0"/>
                    <w:lock w:val="sdtLocked"/>
                    <w:richText/>
                  </w:sdtPr>
                  <w:sdtContent>
                    <w:p>
                      <w:pPr>
                        <w:tabs>
                          <w:tab w:val="left" w:pos="567"/>
                        </w:tabs>
                        <w:suppressAutoHyphens/>
                        <w:ind w:firstLine="567"/>
                        <w:jc w:val="both"/>
                        <w:rPr>
                          <w:color w:val="000000"/>
                          <w:szCs w:val="24"/>
                          <w:lang w:eastAsia="lt-LT"/>
                        </w:rPr>
                      </w:pPr>
                      <w:sdt>
                        <w:sdtPr>
                          <w:alias w:val="Numeris"/>
                          <w:tag w:val="nr_12fdafa68cbd438fb967fe741399e8b0"/>
                          <w:lock w:val="sdtLocked"/>
                          <w:richText/>
                        </w:sdtPr>
                        <w:sdtContent>
                          <w:r>
                            <w:rPr>
                              <w:color w:val="000000"/>
                              <w:szCs w:val="24"/>
                              <w:lang w:eastAsia="lt-LT"/>
                            </w:rPr>
                            <w:t>55.1</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fotovoltinių Saulės kolektorių neatsinaujinančios pirminės energijos sąnaudos karštam vandeniui ruošti pastato šildomo ploto vienete </w:t>
                      </w:r>
                      <w:r>
                        <w:rPr>
                          <w:i/>
                          <w:color w:val="000000"/>
                          <w:szCs w:val="24"/>
                          <w:lang w:eastAsia="lt-LT"/>
                        </w:rPr>
                        <w:t>Q</w:t>
                      </w:r>
                      <w:r>
                        <w:rPr>
                          <w:i/>
                          <w:color w:val="000000"/>
                          <w:szCs w:val="24"/>
                          <w:vertAlign w:val="subscript"/>
                          <w:lang w:eastAsia="lt-LT"/>
                        </w:rPr>
                        <w:t>PRn.hw.fvSK,m</w:t>
                      </w:r>
                      <w:r>
                        <w:rPr>
                          <w:color w:val="000000"/>
                          <w:szCs w:val="24"/>
                          <w:lang w:eastAsia="lt-LT"/>
                        </w:rPr>
                        <w:t>(kWh/(m²·mėn.)) apskaičiuojamos taip [3.26]:</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rPr>
                                <w:sz w:val="10"/>
                                <w:szCs w:val="10"/>
                                <w:lang w:eastAsia="lt-LT"/>
                              </w:rPr>
                            </w:pPr>
                          </w:p>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3228" w:dyaOrig="372">
                                <v:shape id="_x0000_i1288" type="#_x0000_t75" style="width:162.6pt;height:17.8pt" o:ole="">
                                  <v:imagedata r:id="rId1675" o:title=""/>
                                </v:shape>
                                <o:OLEObject Type="Embed" ProgID="Equation.3" ShapeID="_x0000_i1288" DrawAspect="Content" ObjectID="_0000000001" r:id="rId1676"/>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(2.230) </w:t>
                            </w:r>
                          </w:p>
                        </w:tc>
                      </w:tr>
                    </w:tbl>
                    <w:p>
                      <w:pPr>
                        <w:tabs>
                          <w:tab w:val="left" w:pos="567"/>
                        </w:tabs>
                        <w:suppressAutoHyphens/>
                        <w:ind w:left="600" w:hanging="600"/>
                        <w:rPr>
                          <w:color w:val="000000"/>
                          <w:szCs w:val="24"/>
                          <w:lang w:eastAsia="lt-LT"/>
                        </w:rPr>
                      </w:pPr>
                    </w:p>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(2.230) formulės taikymo sąlygos:</w:t>
                      </w:r>
                    </w:p>
                    <w:p>
                      <w:pPr>
                        <w:tabs>
                          <w:tab w:val="left" w:pos="567"/>
                          <w:tab w:val="left" w:pos="1650"/>
                        </w:tabs>
                        <w:suppressAutoHyphens/>
                        <w:ind w:firstLine="567"/>
                        <w:jc w:val="both"/>
                        <w:rPr>
                          <w:b/>
                          <w:color w:val="000000"/>
                          <w:szCs w:val="24"/>
                          <w:lang w:eastAsia="lt-LT"/>
                        </w:rPr>
                      </w:pPr>
                      <w:r>
                        <w:rPr>
                          <w:color w:val="000000"/>
                          <w:szCs w:val="24"/>
                          <w:lang w:eastAsia="lt-LT"/>
                        </w:rPr>
                        <w:t>- kai pastate nenaudojama iš fotovoltinių Saulės kolektorių pagamintos elektros energijos dvipusė apskaita ir kai fotovoltinės Saulės kolektorių sistemos pagamina daugiau elektros energijos už elektros energijos poreikį karštam vandeniui ruošti, t. y.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1788" w:dyaOrig="432">
                                <v:shape id="_x0000_i1289" type="#_x0000_t75" style="width:89.8pt;height:20.2pt" o:ole="">
                                  <v:imagedata r:id="rId1677" o:title=""/>
                                </v:shape>
                                <o:OLEObject Type="Embed" ProgID="Equation.3" ShapeID="_x0000_i1289" DrawAspect="Content" ObjectID="_0000000001" r:id="rId1678"/>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(2.231) </w:t>
                            </w:r>
                          </w:p>
                        </w:tc>
                      </w:tr>
                    </w:tbl>
                    <w:p>
                      <w:pPr>
                        <w:tabs>
                          <w:tab w:val="left" w:pos="567"/>
                        </w:tabs>
                        <w:suppressAutoHyphens/>
                        <w:ind w:left="840" w:hanging="273"/>
                        <w:rPr>
                          <w:rFonts w:eastAsia="Calibri"/>
                          <w:b/>
                          <w:color w:val="000000"/>
                          <w:szCs w:val="24"/>
                          <w:lang w:eastAsia="lt-LT"/>
                        </w:rPr>
                      </w:pPr>
                      <w:r>
                        <w:rPr>
                          <w:color w:val="000000"/>
                          <w:szCs w:val="24"/>
                          <w:lang w:eastAsia="lt-LT"/>
                        </w:rPr>
                        <w:t>tai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1788" w:dyaOrig="432">
                                <v:shape id="_x0000_i1290" type="#_x0000_t75" style="width:89.8pt;height:20.2pt" o:ole="">
                                  <v:imagedata r:id="rId1679" o:title=""/>
                                </v:shape>
                                <o:OLEObject Type="Embed" ProgID="Equation.3" ShapeID="_x0000_i1290" DrawAspect="Content" ObjectID="_0000000001" r:id="rId1680"/>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(2.232) </w:t>
                            </w:r>
                          </w:p>
                        </w:tc>
                      </w:tr>
                    </w:tbl>
                    <w:p>
                      <w:pPr>
                        <w:tabs>
                          <w:tab w:val="left" w:pos="567"/>
                        </w:tabs>
                        <w:suppressAutoHyphens/>
                        <w:rPr>
                          <w:color w:val="000000"/>
                          <w:szCs w:val="24"/>
                          <w:lang w:eastAsia="lt-LT"/>
                        </w:rPr>
                      </w:pPr>
                    </w:p>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bscript"/>
                          <w:lang w:eastAsia="lt-LT"/>
                        </w:rPr>
                        <w:t>hw.fvSK,m</w:t>
                      </w:r>
                      <w:r>
                        <w:rPr>
                          <w:color w:val="000000"/>
                          <w:szCs w:val="24"/>
                          <w:lang w:eastAsia="lt-LT"/>
                        </w:rPr>
                        <w:t xml:space="preserve"> atitinka skaičiavimo rezultatą, gautą pagal (2.230) formulę;</w:t>
                      </w:r>
                    </w:p>
                    <w:p>
                      <w:pPr>
                        <w:tabs>
                          <w:tab w:val="left" w:pos="567"/>
                          <w:tab w:val="left" w:pos="1650"/>
                        </w:tabs>
                        <w:suppressAutoHyphens/>
                        <w:ind w:firstLine="840"/>
                        <w:jc w:val="both"/>
                        <w:rPr>
                          <w:b/>
                          <w:color w:val="000000"/>
                          <w:szCs w:val="24"/>
                          <w:lang w:eastAsia="lt-LT"/>
                        </w:rPr>
                      </w:pPr>
                      <w:r>
                        <w:rPr>
                          <w:color w:val="000000"/>
                          <w:szCs w:val="24"/>
                          <w:lang w:eastAsia="lt-LT"/>
                        </w:rPr>
                        <w:t>- kai pastate naudojama iš fotovoltinių Saulės kolektorių pagamintos elektros energijos dvipusė apskaita, jei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3000" w:dyaOrig="680">
                                <v:shape id="_x0000_i1291" type="#_x0000_t75" style="width:149.65pt;height:36.4pt" o:ole="">
                                  <v:imagedata r:id="rId1681" o:title=""/>
                                </v:shape>
                                <o:OLEObject Type="Embed" ProgID="Equation.3" ShapeID="_x0000_i1291" DrawAspect="Content" ObjectID="_0000000001" r:id="rId1682"/>
                              </w:object>
                            </w:r>
                            <w:r>
                              <w:rPr>
                                <w:color w:val="000000"/>
                                <w:szCs w:val="24"/>
                                <w:lang w:eastAsia="lt-LT"/>
                              </w:rPr>
                              <w:t>, tai</w:t>
                            </w:r>
                            <w:r>
                              <w:rPr>
                                <w:rFonts w:eastAsia="Calibri"/>
                                <w:color w:val="000000"/>
                                <w:position w:val="-16"/>
                                <w:szCs w:val="24"/>
                                <w:lang w:eastAsia="lt-LT"/>
                              </w:rPr>
                              <w:object w:dxaOrig="1788" w:dyaOrig="432">
                                <v:shape id="_x0000_i1292" type="#_x0000_t75" style="width:89.8pt;height:20.2pt" o:ole="">
                                  <v:imagedata r:id="rId1683" o:title=""/>
                                </v:shape>
                                <o:OLEObject Type="Embed" ProgID="Equation.3" ShapeID="_x0000_i1292" DrawAspect="Content" ObjectID="_0000000001" r:id="rId168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(2.233)</w:t>
                            </w:r>
                          </w:p>
                        </w:tc>
                      </w:tr>
                    </w:tbl>
                    <w:p>
                      <w:pPr>
                        <w:tabs>
                          <w:tab w:val="left" w:pos="567"/>
                        </w:tabs>
                        <w:suppressAutoHyphens/>
                        <w:ind w:left="840" w:hanging="273"/>
                        <w:rPr>
                          <w:rFonts w:eastAsia="Calibri"/>
                          <w:b/>
                          <w:color w:val="000000"/>
                          <w:szCs w:val="24"/>
                          <w:lang w:eastAsia="lt-LT"/>
                        </w:rPr>
                      </w:pPr>
                      <w:r>
                        <w:rPr>
                          <w:color w:val="000000"/>
                          <w:szCs w:val="24"/>
                          <w:lang w:eastAsia="lt-LT"/>
                        </w:rPr>
                        <w:t>jei</w:t>
                      </w:r>
                      <w:r>
                        <w:rPr>
                          <w:b/>
                          <w:color w:val="000000"/>
                          <w:szCs w:val="24"/>
                          <w:lang w:eastAsia="lt-LT"/>
                        </w:rPr>
                        <w:t xml:space="preserve"> </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2500" w:dyaOrig="680">
                                <v:shape id="_x0000_i1293" type="#_x0000_t75" style="width:128.65pt;height:36.4pt" o:ole="">
                                  <v:imagedata r:id="rId1685" o:title=""/>
                                </v:shape>
                                <o:OLEObject Type="Embed" ProgID="Equation.3" ShapeID="_x0000_i1293" DrawAspect="Content" ObjectID="_0000000001" r:id="rId1686"/>
                              </w:objec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(2.234)</w:t>
                            </w:r>
                          </w:p>
                        </w:tc>
                      </w:tr>
                    </w:tbl>
                    <w:p>
                      <w:pPr>
                        <w:tabs>
                          <w:tab w:val="left" w:pos="567"/>
                        </w:tabs>
                        <w:suppressAutoHyphens/>
                        <w:rPr>
                          <w:color w:val="000000"/>
                          <w:szCs w:val="24"/>
                          <w:lang w:eastAsia="lt-LT"/>
                        </w:rPr>
                      </w:pPr>
                    </w:p>
                    <w:p>
                      <w:pPr>
                        <w:tabs>
                          <w:tab w:val="left" w:pos="567"/>
                        </w:tabs>
                        <w:suppressAutoHyphens/>
                        <w:rPr>
                          <w:rFonts w:eastAsia="Calibri"/>
                          <w:color w:val="000000"/>
                          <w:szCs w:val="24"/>
                          <w:lang w:eastAsia="lt-LT"/>
                        </w:rPr>
                      </w:pPr>
                      <w:r>
                        <w:rPr>
                          <w:color w:val="000000"/>
                          <w:szCs w:val="24"/>
                          <w:lang w:eastAsia="lt-LT"/>
                        </w:rPr>
                        <w:t>ir pagal (2.234)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120" w:dyaOrig="380">
                                <v:shape id="_x0000_i1294" type="#_x0000_t75" style="width:109.2pt;height:19.4pt" o:ole="">
                                  <v:imagedata r:id="rId1687" o:title=""/>
                                </v:shape>
                                <o:OLEObject Type="Embed" ProgID="Equation.3" ShapeID="_x0000_i1294" DrawAspect="Content" ObjectID="_0000000001" r:id="rId1688"/>
                              </w:object>
                            </w:r>
                            <w:r>
                              <w:rPr>
                                <w:color w:val="000000"/>
                                <w:szCs w:val="24"/>
                                <w:lang w:eastAsia="lt-LT"/>
                              </w:rPr>
                              <w:t>, kitais</w:t>
                            </w:r>
                            <w:r>
                              <w:rPr>
                                <w:b/>
                                <w:color w:val="000000"/>
                                <w:szCs w:val="24"/>
                                <w:lang w:eastAsia="lt-LT"/>
                              </w:rPr>
                              <w:t xml:space="preserve"> </w:t>
                            </w:r>
                            <w:r>
                              <w:rPr>
                                <w:color w:val="000000"/>
                                <w:szCs w:val="24"/>
                                <w:lang w:eastAsia="lt-LT"/>
                              </w:rPr>
                              <w:t xml:space="preserve">mėnesiais </w:t>
                            </w:r>
                            <w:r>
                              <w:rPr>
                                <w:rFonts w:eastAsia="Calibri"/>
                                <w:color w:val="000000"/>
                                <w:position w:val="-16"/>
                                <w:szCs w:val="24"/>
                                <w:lang w:eastAsia="lt-LT"/>
                              </w:rPr>
                              <w:object w:dxaOrig="1236" w:dyaOrig="432">
                                <v:shape id="_x0000_i1295" type="#_x0000_t75" style="width:62.3pt;height:20.2pt" o:ole="">
                                  <v:imagedata r:id="rId1689" o:title=""/>
                                </v:shape>
                                <o:OLEObject Type="Embed" ProgID="Equation.3" ShapeID="_x0000_i1295" DrawAspect="Content" ObjectID="_0000000001" r:id="rId1690"/>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(2.235)</w:t>
                            </w:r>
                          </w:p>
                        </w:tc>
                      </w:tr>
                    </w:tbl>
                    <w:p>
                      <w:pPr>
                        <w:tabs>
                          <w:tab w:val="left" w:pos="567"/>
                        </w:tabs>
                        <w:suppressAutoHyphens/>
                        <w:rPr>
                          <w:rFonts w:eastAsia="Calibri"/>
                          <w:color w:val="000000"/>
                          <w:szCs w:val="24"/>
                          <w:lang w:eastAsia="lt-LT"/>
                        </w:rPr>
                      </w:pPr>
                      <w:r>
                        <w:rPr>
                          <w:color w:val="000000"/>
                          <w:szCs w:val="24"/>
                          <w:lang w:eastAsia="lt-LT"/>
                        </w:rPr>
                        <w:t>jei</w:t>
                      </w:r>
                      <w:r>
                        <w:rPr>
                          <w:b/>
                          <w:color w:val="000000"/>
                          <w:szCs w:val="24"/>
                          <w:lang w:eastAsia="lt-LT"/>
                        </w:rPr>
                        <w:t xml:space="preserve"> </w:t>
                      </w:r>
                      <w:r>
                        <w:rPr>
                          <w:color w:val="000000"/>
                          <w:szCs w:val="24"/>
                          <w:lang w:eastAsia="lt-LT"/>
                        </w:rPr>
                        <w:t>pagal (2.234) formulę rezultatas gaunamas kitą (ne sausio) mėnesį, tai šį mėnesį</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3220" w:dyaOrig="680">
                                <v:shape id="_x0000_i1296" type="#_x0000_t75" style="width:160.2pt;height:36.4pt" o:ole="">
                                  <v:imagedata r:id="rId1691" o:title=""/>
                                </v:shape>
                                <o:OLEObject Type="Embed" ProgID="Equation.3" ShapeID="_x0000_i1296" DrawAspect="Content" ObjectID="_0000000001" r:id="rId1692"/>
                              </w:object>
                              <w:t xml:space="preserve">, o kitais mėnesiais </w:t>
                            </w:r>
                            <w:r>
                              <w:rPr>
                                <w:rFonts w:eastAsia="Calibri"/>
                                <w:color w:val="000000"/>
                                <w:position w:val="-16"/>
                                <w:szCs w:val="24"/>
                                <w:lang w:eastAsia="lt-LT"/>
                              </w:rPr>
                              <w:object w:dxaOrig="1236" w:dyaOrig="432">
                                <v:shape id="_x0000_i1297" type="#_x0000_t75" style="width:62.3pt;height:20.2pt" o:ole="">
                                  <v:imagedata r:id="rId1693" o:title=""/>
                                </v:shape>
                                <o:OLEObject Type="Embed" ProgID="Equation.3" ShapeID="_x0000_i1297" DrawAspect="Content" ObjectID="_0000000001" r:id="rId169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(2.236)</w:t>
                            </w:r>
                          </w:p>
                        </w:tc>
                      </w:tr>
                    </w:tbl>
                    <w:p>
                      <w:pPr>
                        <w:tabs>
                          <w:tab w:val="left" w:pos="567"/>
                        </w:tabs>
                        <w:suppressAutoHyphens/>
                        <w:jc w:val="both"/>
                        <w:rPr>
                          <w:rFonts w:eastAsia="Calibri"/>
                          <w:bCs/>
                          <w:color w:val="000000"/>
                          <w:szCs w:val="24"/>
                          <w:lang w:eastAsia="lt-LT"/>
                        </w:rPr>
                      </w:pPr>
                      <w:r>
                        <w:rPr>
                          <w:bCs/>
                          <w:color w:val="000000"/>
                          <w:szCs w:val="24"/>
                          <w:lang w:eastAsia="lt-LT"/>
                        </w:rPr>
                        <w:t>čia:</w:t>
                        <w:tab/>
                      </w:r>
                      <w:r>
                        <w:rPr>
                          <w:bCs/>
                          <w:i/>
                          <w:color w:val="000000"/>
                          <w:szCs w:val="24"/>
                          <w:lang w:eastAsia="lt-LT"/>
                        </w:rPr>
                        <w:t>Q</w:t>
                      </w:r>
                      <w:r>
                        <w:rPr>
                          <w:bCs/>
                          <w:i/>
                          <w:color w:val="000000"/>
                          <w:szCs w:val="24"/>
                          <w:vertAlign w:val="subscript"/>
                          <w:lang w:eastAsia="lt-LT"/>
                        </w:rPr>
                        <w:t>hw.E,m</w:t>
                      </w:r>
                      <w:r>
                        <w:rPr>
                          <w:bCs/>
                          <w:color w:val="000000"/>
                          <w:szCs w:val="24"/>
                          <w:lang w:eastAsia="lt-LT"/>
                        </w:rPr>
                        <w:t xml:space="preserve"> – atitinkamo „m“ mėnesio pastato karšto vandens ruošimo sistemos pagrindinių šilumos šaltinių elektros energijos sąnaudos. Apskaičiuojama pagal (2.589)–(2.591) formules;</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hw.fvSK,m</w:t>
                      </w:r>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elektros energijos sąnaudos karštam vandeniui ruošti (kWh/(m²·mėn.)).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281"/>
                                <w:tab w:val="left" w:pos="567"/>
                              </w:tabs>
                              <w:suppressAutoHyphens/>
                              <w:spacing w:line="276" w:lineRule="auto"/>
                              <w:ind w:right="-2" w:firstLine="124"/>
                              <w:jc w:val="right"/>
                              <w:rPr>
                                <w:rFonts w:eastAsia="Calibri"/>
                                <w:strike/>
                                <w:color w:val="000000"/>
                                <w:szCs w:val="24"/>
                                <w:lang w:eastAsia="lt-LT"/>
                              </w:rPr>
                            </w:pPr>
                          </w:p>
                        </w:tc>
                      </w:tr>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2480" w:dyaOrig="680">
                                <v:shape id="_x0000_i1298" type="#_x0000_t75" style="width:121.35pt;height:34pt" o:ole="">
                                  <v:imagedata r:id="rId1695" o:title=""/>
                                </v:shape>
                                <o:OLEObject Type="Embed" ProgID="Equation.3" ShapeID="_x0000_i1298" DrawAspect="Content" ObjectID="_0000000001" r:id="rId1696"/>
                              </w:object>
                              <w:t xml:space="preserve">; </w:t>
                            </w:r>
                          </w:p>
                        </w:tc>
                        <w:tc>
                          <w:tcPr>
                            <w:tcW w:w="1062" w:type="dxa"/>
                            <w:vAlign w:val="center"/>
                            <w:hideMark/>
                          </w:tcPr>
                          <w:p>
                            <w:pPr>
                              <w:tabs>
                                <w:tab w:val="left" w:pos="281"/>
                                <w:tab w:val="left" w:pos="567"/>
                              </w:tabs>
                              <w:suppressAutoHyphens/>
                              <w:spacing w:line="276" w:lineRule="auto"/>
                              <w:ind w:right="-2" w:firstLine="62"/>
                              <w:rPr>
                                <w:rFonts w:eastAsia="Calibri"/>
                                <w:color w:val="000000"/>
                                <w:szCs w:val="24"/>
                                <w:lang w:eastAsia="lt-LT"/>
                              </w:rPr>
                            </w:pPr>
                            <w:r>
                              <w:rPr>
                                <w:color w:val="000000"/>
                                <w:szCs w:val="24"/>
                                <w:lang w:eastAsia="lt-LT"/>
                              </w:rPr>
                              <w:t>(2.237)</w:t>
                            </w:r>
                          </w:p>
                        </w:tc>
                      </w:tr>
                      <w:tr>
                        <w:trPr>
                          <w:jc w:val="center"/>
                        </w:trPr>
                        <w:tc>
                          <w:tcPr>
                            <w:tcW w:w="8508" w:type="dxa"/>
                            <w:shd w:val="clear" w:color="auto" w:fill="auto"/>
                            <w:vAlign w:val="center"/>
                          </w:tcPr>
                          <w:p>
                            <w:pPr>
                              <w:tabs>
                                <w:tab w:val="left" w:pos="567"/>
                              </w:tabs>
                              <w:suppressAutoHyphens/>
                              <w:rPr>
                                <w:szCs w:val="24"/>
                                <w:lang w:eastAsia="lt-LT"/>
                              </w:rPr>
                            </w:pPr>
                          </w:p>
                        </w:tc>
                        <w:tc>
                          <w:tcPr>
                            <w:tcW w:w="1062" w:type="dxa"/>
                            <w:shd w:val="clear" w:color="auto" w:fill="auto"/>
                            <w:vAlign w:val="center"/>
                          </w:tcPr>
                          <w:p>
                            <w:pPr>
                              <w:tabs>
                                <w:tab w:val="left" w:pos="567"/>
                              </w:tabs>
                              <w:suppressAutoHyphens/>
                              <w:jc w:val="right"/>
                              <w:rPr>
                                <w:szCs w:val="24"/>
                                <w:lang w:eastAsia="lt-LT"/>
                              </w:rPr>
                            </w:pPr>
                          </w:p>
                        </w:tc>
                      </w:tr>
                    </w:tbl>
                    <w:p>
                      <w:pPr>
                        <w:tabs>
                          <w:tab w:val="left" w:pos="567"/>
                        </w:tabs>
                        <w:suppressAutoHyphens/>
                        <w:rPr>
                          <w:rFonts w:eastAsia="Calibri"/>
                          <w:color w:val="000000"/>
                          <w:szCs w:val="24"/>
                          <w:lang w:eastAsia="lt-LT"/>
                        </w:rPr>
                      </w:pPr>
                      <w:r>
                        <w:rPr>
                          <w:color w:val="000000"/>
                          <w:szCs w:val="24"/>
                          <w:lang w:eastAsia="lt-LT"/>
                        </w:rPr>
                        <w:t xml:space="preserve">čia: </w:t>
                        <w:tab/>
                        <w:t>jei</w:t>
                      </w:r>
                      <w:r>
                        <w:rPr>
                          <w:b/>
                          <w:color w:val="000000"/>
                          <w:szCs w:val="24"/>
                          <w:lang w:eastAsia="lt-LT"/>
                        </w:rPr>
                        <w:t xml:space="preserve"> </w:t>
                      </w:r>
                      <w:r>
                        <w:rPr>
                          <w:i/>
                          <w:color w:val="000000"/>
                          <w:szCs w:val="24"/>
                          <w:lang w:eastAsia="lt-LT"/>
                        </w:rPr>
                        <w:t>Q</w:t>
                      </w:r>
                      <w:r>
                        <w:rPr>
                          <w:i/>
                          <w:color w:val="000000"/>
                          <w:szCs w:val="24"/>
                          <w:vertAlign w:val="subscript"/>
                          <w:lang w:eastAsia="lt-LT"/>
                        </w:rPr>
                        <w:t>hw.fvSK,m</w:t>
                      </w:r>
                      <w:r>
                        <w:rPr>
                          <w:color w:val="000000"/>
                          <w:szCs w:val="24"/>
                          <w:lang w:eastAsia="lt-LT"/>
                        </w:rPr>
                        <w:t xml:space="preserve">&lt;0, tai </w:t>
                      </w:r>
                      <w:r>
                        <w:rPr>
                          <w:i/>
                          <w:color w:val="000000"/>
                          <w:szCs w:val="24"/>
                          <w:lang w:eastAsia="lt-LT"/>
                        </w:rPr>
                        <w:t>Q</w:t>
                      </w:r>
                      <w:r>
                        <w:rPr>
                          <w:i/>
                          <w:color w:val="000000"/>
                          <w:szCs w:val="24"/>
                          <w:vertAlign w:val="subscript"/>
                          <w:lang w:eastAsia="lt-LT"/>
                        </w:rPr>
                        <w:t>hw.fvSK,m</w:t>
                      </w:r>
                      <w:r>
                        <w:rPr>
                          <w:color w:val="000000"/>
                          <w:szCs w:val="24"/>
                          <w:lang w:eastAsia="lt-LT"/>
                        </w:rPr>
                        <w:t>=0;</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hw.fvSK.out,m,x</w:t>
                      </w:r>
                      <w:r>
                        <w:rPr>
                          <w:b/>
                          <w:i/>
                          <w:color w:val="000000"/>
                          <w:szCs w:val="24"/>
                          <w:vertAlign w:val="subscript"/>
                          <w:lang w:eastAsia="lt-LT"/>
                        </w:rPr>
                        <w:t xml:space="preserve"> </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elektros energijos kiekis (kWh/(m²·mėn.)). Apskaičiuojama pagal (2.238) formulę;</w:t>
                      </w:r>
                    </w:p>
                    <w:p>
                      <w:pPr>
                        <w:tabs>
                          <w:tab w:val="left" w:pos="567"/>
                        </w:tabs>
                        <w:suppressAutoHyphens/>
                        <w:ind w:firstLine="600"/>
                        <w:jc w:val="both"/>
                        <w:rPr>
                          <w:strike/>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524" w:type="dxa"/>
                            <w:vAlign w:val="center"/>
                            <w:hideMark/>
                          </w:tcPr>
                          <w:p>
                            <w:pPr>
                              <w:tabs>
                                <w:tab w:val="left" w:pos="567"/>
                              </w:tabs>
                              <w:suppressAutoHyphens/>
                              <w:spacing w:line="276" w:lineRule="auto"/>
                              <w:jc w:val="center"/>
                              <w:rPr>
                                <w:rFonts w:eastAsia="Calibri"/>
                                <w:color w:val="000000"/>
                                <w:szCs w:val="24"/>
                                <w:lang w:eastAsia="lt-LT"/>
                              </w:rPr>
                            </w:pPr>
                          </w:p>
                        </w:tc>
                        <w:tc>
                          <w:tcPr>
                            <w:tcW w:w="1330" w:type="dxa"/>
                            <w:vAlign w:val="center"/>
                            <w:hideMark/>
                          </w:tcPr>
                          <w:p>
                            <w:pPr>
                              <w:tabs>
                                <w:tab w:val="left" w:pos="567"/>
                              </w:tabs>
                              <w:suppressAutoHyphens/>
                              <w:spacing w:line="276" w:lineRule="auto"/>
                              <w:jc w:val="right"/>
                              <w:rPr>
                                <w:rFonts w:eastAsia="Calibri"/>
                                <w:color w:val="000000"/>
                                <w:szCs w:val="24"/>
                                <w:lang w:eastAsia="lt-LT"/>
                              </w:rPr>
                            </w:pPr>
                          </w:p>
                        </w:tc>
                      </w:tr>
                      <w:tr>
                        <w:trPr>
                          <w:jc w:val="center"/>
                        </w:trPr>
                        <w:tc>
                          <w:tcPr>
                            <w:tcW w:w="8524" w:type="dxa"/>
                            <w:shd w:val="clear" w:color="auto" w:fill="auto"/>
                            <w:vAlign w:val="center"/>
                          </w:tcPr>
                          <w:p>
                            <w:pPr>
                              <w:tabs>
                                <w:tab w:val="left" w:pos="567"/>
                              </w:tabs>
                              <w:suppressAutoHyphens/>
                              <w:jc w:val="center"/>
                              <w:rPr>
                                <w:szCs w:val="24"/>
                                <w:lang w:eastAsia="lt-LT"/>
                              </w:rPr>
                            </w:pPr>
                            <w:r>
                              <w:rPr>
                                <w:szCs w:val="24"/>
                                <w:lang w:eastAsia="lt-LT"/>
                              </w:rPr>
                              <w:object w:dxaOrig="6440" w:dyaOrig="740">
                                <v:shape id="_x0000_i1299" type="#_x0000_t75" style="width:317.95pt;height:36.4pt" o:ole="">
                                  <v:imagedata r:id="rId1697" o:title=""/>
                                </v:shape>
                                <o:OLEObject Type="Embed" ProgID="Equation.3" ShapeID="_x0000_i1299" DrawAspect="Content" ObjectID="_0000000001" r:id="rId1698"/>
                              </w:object>
                              <w:t>;</w:t>
                            </w:r>
                          </w:p>
                        </w:tc>
                        <w:tc>
                          <w:tcPr>
                            <w:tcW w:w="1330" w:type="dxa"/>
                            <w:shd w:val="clear" w:color="auto" w:fill="auto"/>
                            <w:vAlign w:val="center"/>
                          </w:tcPr>
                          <w:p>
                            <w:pPr>
                              <w:tabs>
                                <w:tab w:val="left" w:pos="567"/>
                              </w:tabs>
                              <w:suppressAutoHyphens/>
                              <w:jc w:val="right"/>
                              <w:rPr>
                                <w:szCs w:val="24"/>
                                <w:lang w:eastAsia="lt-LT"/>
                              </w:rPr>
                            </w:pPr>
                            <w:r>
                              <w:rPr>
                                <w:szCs w:val="24"/>
                                <w:lang w:eastAsia="lt-LT"/>
                              </w:rPr>
                              <w:t xml:space="preserve">(2.238) </w:t>
                            </w:r>
                          </w:p>
                        </w:tc>
                      </w:tr>
                    </w:tbl>
                    <w:p>
                      <w:pPr>
                        <w:tabs>
                          <w:tab w:val="left" w:pos="567"/>
                        </w:tabs>
                        <w:suppressAutoHyphens/>
                        <w:ind w:left="720" w:hanging="720"/>
                        <w:rPr>
                          <w:color w:val="000000"/>
                          <w:szCs w:val="24"/>
                          <w:lang w:eastAsia="lt-LT"/>
                        </w:rPr>
                      </w:pPr>
                    </w:p>
                    <w:p>
                      <w:pPr>
                        <w:tabs>
                          <w:tab w:val="left" w:pos="567"/>
                        </w:tabs>
                        <w:suppressAutoHyphens/>
                        <w:ind w:left="720" w:hanging="720"/>
                        <w:rPr>
                          <w:color w:val="000000"/>
                          <w:szCs w:val="24"/>
                        </w:rPr>
                      </w:pPr>
                      <w:r>
                        <w:rPr>
                          <w:color w:val="000000"/>
                          <w:szCs w:val="24"/>
                          <w:lang w:eastAsia="lt-LT"/>
                        </w:rPr>
                        <w:t>čia: paaiškinimus žiūrėti prie (2.229) formulės.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6 p."/>
                <w:tag w:val="part_60dc692551384acd80ee8e6156c2073c"/>
                <w:lock w:val="sdtLocked"/>
                <w:richText/>
              </w:sdtPr>
              <w:sdtContent>
                <w:p>
                  <w:pPr>
                    <w:tabs>
                      <w:tab w:val="left" w:pos="567"/>
                      <w:tab w:val="left" w:pos="1134"/>
                    </w:tabs>
                    <w:suppressAutoHyphens/>
                    <w:ind w:firstLine="567"/>
                    <w:jc w:val="both"/>
                    <w:rPr>
                      <w:color w:val="000000"/>
                      <w:szCs w:val="24"/>
                      <w:lang w:eastAsia="lt-LT"/>
                    </w:rPr>
                  </w:pPr>
                  <w:sdt>
                    <w:sdtPr>
                      <w:alias w:val="Numeris"/>
                      <w:tag w:val="nr_60dc692551384acd80ee8e6156c2073c"/>
                      <w:lock w:val="sdtLocked"/>
                      <w:richText/>
                    </w:sdtPr>
                    <w:sdtContent>
                      <w:r>
                        <w:rPr>
                          <w:color w:val="000000"/>
                          <w:szCs w:val="24"/>
                          <w:lang w:eastAsia="lt-LT"/>
                        </w:rPr>
                        <w:t>56</w:t>
                      </w:r>
                    </w:sdtContent>
                  </w:sdt>
                  <w:r>
                    <w:rPr>
                      <w:color w:val="000000"/>
                      <w:szCs w:val="24"/>
                      <w:lang w:eastAsia="lt-LT"/>
                    </w:rPr>
                    <w:t>. Energijos iš fotovoltinių Saulės kolektorių neatsinaujinančios pirminės energijos sąnaudos pastate, kai ši energija naudojama tik pastatui šildyti, apskaičiuojamos taip:</w:t>
                  </w:r>
                </w:p>
                <w:sdt>
                  <w:sdtPr>
                    <w:alias w:val="56.1 pp."/>
                    <w:tag w:val="part_d3678afcf99b434a80f3822e63defc49"/>
                    <w:lock w:val="sdtLocked"/>
                    <w:richText/>
                  </w:sdtPr>
                  <w:sdtContent>
                    <w:p>
                      <w:pPr>
                        <w:tabs>
                          <w:tab w:val="left" w:pos="567"/>
                        </w:tabs>
                        <w:suppressAutoHyphens/>
                        <w:ind w:firstLine="567"/>
                        <w:jc w:val="both"/>
                        <w:rPr>
                          <w:color w:val="000000"/>
                          <w:szCs w:val="24"/>
                          <w:lang w:eastAsia="lt-LT"/>
                        </w:rPr>
                      </w:pPr>
                      <w:sdt>
                        <w:sdtPr>
                          <w:alias w:val="Numeris"/>
                          <w:tag w:val="nr_d3678afcf99b434a80f3822e63defc49"/>
                          <w:lock w:val="sdtLocked"/>
                          <w:richText/>
                        </w:sdtPr>
                        <w:sdtContent>
                          <w:r>
                            <w:rPr>
                              <w:szCs w:val="24"/>
                              <w:lang w:eastAsia="lt-LT"/>
                            </w:rPr>
                            <w:t>56.1</w:t>
                          </w:r>
                        </w:sdtContent>
                      </w:sdt>
                      <w:r>
                        <w:rPr>
                          <w:szCs w:val="24"/>
                          <w:lang w:eastAsia="lt-LT"/>
                        </w:rPr>
                        <w:t xml:space="preserve"> </w:t>
                      </w:r>
                      <w:r>
                        <w:rPr>
                          <w:color w:val="000000"/>
                          <w:szCs w:val="24"/>
                          <w:lang w:eastAsia="lt-LT"/>
                        </w:rPr>
                        <w:t xml:space="preserve">kiekvieną mėnesį </w:t>
                      </w:r>
                      <w:r>
                        <w:rPr>
                          <w:i/>
                          <w:color w:val="000000"/>
                          <w:szCs w:val="24"/>
                          <w:lang w:eastAsia="lt-LT"/>
                        </w:rPr>
                        <w:t xml:space="preserve">„m“ </w:t>
                      </w:r>
                      <w:r>
                        <w:rPr>
                          <w:color w:val="000000"/>
                          <w:szCs w:val="24"/>
                          <w:lang w:eastAsia="lt-LT"/>
                        </w:rPr>
                        <w:t xml:space="preserve">energijos iš fotovoltinių Saulės kolektorių neatsinaujinančios pirminės energijos sąnaudos pastatui šildyti pastato šildomo ploto vienete </w:t>
                      </w:r>
                      <w:r>
                        <w:rPr>
                          <w:i/>
                          <w:color w:val="000000"/>
                          <w:szCs w:val="24"/>
                          <w:lang w:eastAsia="lt-LT"/>
                        </w:rPr>
                        <w:t>Q</w:t>
                      </w:r>
                      <w:r>
                        <w:rPr>
                          <w:i/>
                          <w:color w:val="000000"/>
                          <w:szCs w:val="24"/>
                          <w:vertAlign w:val="subscript"/>
                          <w:lang w:eastAsia="lt-LT"/>
                        </w:rPr>
                        <w:t>PRn.H.fvSK,m</w:t>
                      </w:r>
                      <w:r>
                        <w:rPr>
                          <w:color w:val="000000"/>
                          <w:szCs w:val="24"/>
                          <w:lang w:eastAsia="lt-LT"/>
                        </w:rPr>
                        <w:t>(kWh/(m²·mėn.)) apskaičiuojamos taip [3.26]:</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rPr>
                                <w:sz w:val="10"/>
                                <w:szCs w:val="10"/>
                                <w:lang w:eastAsia="lt-LT"/>
                              </w:rPr>
                            </w:pPr>
                          </w:p>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3168" w:dyaOrig="372">
                                <v:shape id="_x0000_i1300" type="#_x0000_t75" style="width:158.55pt;height:17.8pt" o:ole="">
                                  <v:imagedata r:id="rId1699" o:title=""/>
                                </v:shape>
                                <o:OLEObject Type="Embed" ProgID="Equation.3" ShapeID="_x0000_i1300" DrawAspect="Content" ObjectID="_0000000001" r:id="rId1700"/>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(2.240) </w:t>
                            </w:r>
                          </w:p>
                        </w:tc>
                      </w:tr>
                    </w:tbl>
                    <w:p>
                      <w:pPr>
                        <w:tabs>
                          <w:tab w:val="left" w:pos="567"/>
                        </w:tabs>
                        <w:suppressAutoHyphens/>
                        <w:ind w:left="600" w:hanging="600"/>
                        <w:rPr>
                          <w:color w:val="000000"/>
                          <w:szCs w:val="24"/>
                          <w:lang w:eastAsia="lt-LT"/>
                        </w:rPr>
                      </w:pPr>
                    </w:p>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(2.240)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fotovoltinių Saulės kolektorių pagamintos elektros energijos dvipusė apskaita ir kai fotovoltinės Saulės kolektorių sistemos pagamina daugiau elektros energijos už elektros energijos poreikį pastatui šildyti, t. y.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1728" w:dyaOrig="432">
                                <v:shape id="_x0000_i1301" type="#_x0000_t75" style="width:86.55pt;height:20.2pt" o:ole="">
                                  <v:imagedata r:id="rId1701" o:title=""/>
                                </v:shape>
                                <o:OLEObject Type="Embed" ProgID="Equation.3" ShapeID="_x0000_i1301" DrawAspect="Content" ObjectID="_0000000001" r:id="rId1702"/>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(2.241) </w:t>
                            </w:r>
                          </w:p>
                        </w:tc>
                      </w:tr>
                    </w:tbl>
                    <w:p>
                      <w:pPr>
                        <w:tabs>
                          <w:tab w:val="left" w:pos="567"/>
                        </w:tabs>
                        <w:suppressAutoHyphens/>
                        <w:ind w:firstLine="1080"/>
                        <w:rPr>
                          <w:rFonts w:eastAsia="Calibri"/>
                          <w:b/>
                          <w:color w:val="000000"/>
                          <w:szCs w:val="24"/>
                          <w:lang w:eastAsia="lt-LT"/>
                        </w:rPr>
                      </w:pPr>
                      <w:r>
                        <w:rPr>
                          <w:color w:val="000000"/>
                          <w:szCs w:val="24"/>
                          <w:lang w:eastAsia="lt-LT"/>
                        </w:rPr>
                        <w:t>tai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1728" w:dyaOrig="432">
                                <v:shape id="_x0000_i1302" type="#_x0000_t75" style="width:86.55pt;height:20.2pt" o:ole="">
                                  <v:imagedata r:id="rId1703" o:title=""/>
                                </v:shape>
                                <o:OLEObject Type="Embed" ProgID="Equation.3" ShapeID="_x0000_i1302" DrawAspect="Content" ObjectID="_0000000001" r:id="rId1704"/>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(2.242) </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bscript"/>
                          <w:lang w:eastAsia="lt-LT"/>
                        </w:rPr>
                        <w:t>H.fvSK,m</w:t>
                      </w:r>
                      <w:r>
                        <w:rPr>
                          <w:color w:val="000000"/>
                          <w:szCs w:val="24"/>
                          <w:lang w:eastAsia="lt-LT"/>
                        </w:rPr>
                        <w:t xml:space="preserve"> atitinka skaičiavimo rezultatą, gautą pagal (2.240) formulę;</w:t>
                      </w:r>
                    </w:p>
                    <w:p>
                      <w:pPr>
                        <w:tabs>
                          <w:tab w:val="left" w:pos="567"/>
                          <w:tab w:val="left" w:pos="851"/>
                          <w:tab w:val="left" w:pos="1650"/>
                        </w:tabs>
                        <w:suppressAutoHyphens/>
                        <w:ind w:firstLine="567"/>
                        <w:jc w:val="both"/>
                        <w:rPr>
                          <w:color w:val="000000"/>
                          <w:szCs w:val="24"/>
                          <w:lang w:eastAsia="lt-LT"/>
                        </w:rPr>
                      </w:pPr>
                      <w:r>
                        <w:rPr>
                          <w:color w:val="000000"/>
                          <w:szCs w:val="24"/>
                          <w:lang w:eastAsia="lt-LT"/>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2920" w:dyaOrig="680">
                                <v:shape id="_x0000_i1303" type="#_x0000_t75" style="width:2in;height:36.4pt" o:ole="">
                                  <v:imagedata r:id="rId1705" o:title=""/>
                                </v:shape>
                                <o:OLEObject Type="Embed" ProgID="Equation.3" ShapeID="_x0000_i1303" DrawAspect="Content" ObjectID="_0000000001" r:id="rId1706"/>
                              </w:object>
                            </w:r>
                            <w:r>
                              <w:rPr>
                                <w:color w:val="000000"/>
                                <w:szCs w:val="24"/>
                                <w:lang w:eastAsia="lt-LT"/>
                              </w:rPr>
                              <w:t>, tai</w:t>
                            </w:r>
                            <w:r>
                              <w:rPr>
                                <w:rFonts w:eastAsia="Calibri"/>
                                <w:color w:val="000000"/>
                                <w:position w:val="-16"/>
                                <w:szCs w:val="24"/>
                                <w:lang w:eastAsia="lt-LT"/>
                              </w:rPr>
                              <w:object w:dxaOrig="1728" w:dyaOrig="432">
                                <v:shape id="_x0000_i1304" type="#_x0000_t75" style="width:86.55pt;height:20.2pt" o:ole="">
                                  <v:imagedata r:id="rId1707" o:title=""/>
                                </v:shape>
                                <o:OLEObject Type="Embed" ProgID="Equation.3" ShapeID="_x0000_i1304" DrawAspect="Content" ObjectID="_0000000001" r:id="rId1708"/>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(2.243)</w:t>
                            </w:r>
                          </w:p>
                        </w:tc>
                      </w:tr>
                    </w:tbl>
                    <w:p>
                      <w:pPr>
                        <w:tabs>
                          <w:tab w:val="left" w:pos="567"/>
                        </w:tabs>
                        <w:suppressAutoHyphens/>
                        <w:ind w:left="840"/>
                        <w:rPr>
                          <w:rFonts w:eastAsia="Calibri"/>
                          <w:b/>
                          <w:color w:val="000000"/>
                          <w:szCs w:val="24"/>
                          <w:lang w:eastAsia="lt-LT"/>
                        </w:rPr>
                      </w:pPr>
                      <w:r>
                        <w:rPr>
                          <w:color w:val="000000"/>
                          <w:szCs w:val="24"/>
                          <w:lang w:eastAsia="lt-LT"/>
                        </w:rPr>
                        <w:t>jei</w:t>
                      </w:r>
                      <w:r>
                        <w:rPr>
                          <w:b/>
                          <w:color w:val="000000"/>
                          <w:szCs w:val="24"/>
                          <w:lang w:eastAsia="lt-LT"/>
                        </w:rPr>
                        <w:t xml:space="preserve"> </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2460" w:dyaOrig="680">
                                <v:shape id="_x0000_i1305" type="#_x0000_t75" style="width:125.4pt;height:36.4pt" o:ole="">
                                  <v:imagedata r:id="rId1709" o:title=""/>
                                </v:shape>
                                <o:OLEObject Type="Embed" ProgID="Equation.3" ShapeID="_x0000_i1305" DrawAspect="Content" ObjectID="_0000000001" r:id="rId1710"/>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(2.244)</w:t>
                            </w:r>
                          </w:p>
                        </w:tc>
                      </w:tr>
                    </w:tbl>
                    <w:p>
                      <w:pPr>
                        <w:tabs>
                          <w:tab w:val="left" w:pos="567"/>
                        </w:tabs>
                        <w:suppressAutoHyphens/>
                        <w:rPr>
                          <w:rFonts w:eastAsia="Calibri"/>
                          <w:b/>
                          <w:color w:val="000000"/>
                          <w:szCs w:val="24"/>
                          <w:lang w:eastAsia="lt-LT"/>
                        </w:rPr>
                      </w:pPr>
                      <w:r>
                        <w:rPr>
                          <w:color w:val="000000"/>
                          <w:szCs w:val="24"/>
                          <w:lang w:eastAsia="lt-LT"/>
                        </w:rPr>
                        <w:t>ir pagal (2.244)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1920" w:dyaOrig="380">
                                <v:shape id="_x0000_i1306" type="#_x0000_t75" style="width:89.8pt;height:19.4pt" o:ole="">
                                  <v:imagedata r:id="rId1711" o:title=""/>
                                </v:shape>
                                <o:OLEObject Type="Embed" ProgID="Equation.3" ShapeID="_x0000_i1306" DrawAspect="Content" ObjectID="_0000000001" r:id="rId1712"/>
                              </w:object>
                            </w:r>
                            <w:r>
                              <w:rPr>
                                <w:color w:val="000000"/>
                                <w:szCs w:val="24"/>
                                <w:lang w:eastAsia="lt-LT"/>
                              </w:rPr>
                              <w:t>, kitais</w:t>
                            </w:r>
                            <w:r>
                              <w:rPr>
                                <w:b/>
                                <w:color w:val="000000"/>
                                <w:szCs w:val="24"/>
                                <w:lang w:eastAsia="lt-LT"/>
                              </w:rPr>
                              <w:t xml:space="preserve"> </w:t>
                            </w:r>
                            <w:r>
                              <w:rPr>
                                <w:color w:val="000000"/>
                                <w:szCs w:val="24"/>
                                <w:lang w:eastAsia="lt-LT"/>
                              </w:rPr>
                              <w:t xml:space="preserve">mėnesiais </w:t>
                            </w:r>
                            <w:r>
                              <w:rPr>
                                <w:rFonts w:eastAsia="Calibri"/>
                                <w:color w:val="000000"/>
                                <w:position w:val="-16"/>
                                <w:szCs w:val="24"/>
                                <w:lang w:eastAsia="lt-LT"/>
                              </w:rPr>
                              <w:object w:dxaOrig="1212" w:dyaOrig="432">
                                <v:shape id="_x0000_i1307" type="#_x0000_t75" style="width:59.85pt;height:20.2pt" o:ole="">
                                  <v:imagedata r:id="rId1713" o:title=""/>
                                </v:shape>
                                <o:OLEObject Type="Embed" ProgID="Equation.3" ShapeID="_x0000_i1307" DrawAspect="Content" ObjectID="_0000000001" r:id="rId171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(2.245)</w:t>
                            </w:r>
                          </w:p>
                        </w:tc>
                      </w:tr>
                    </w:tbl>
                    <w:p>
                      <w:pPr>
                        <w:tabs>
                          <w:tab w:val="left" w:pos="567"/>
                        </w:tabs>
                        <w:suppressAutoHyphens/>
                        <w:rPr>
                          <w:rFonts w:eastAsia="Calibri"/>
                          <w:color w:val="000000"/>
                          <w:szCs w:val="24"/>
                          <w:lang w:eastAsia="lt-LT"/>
                        </w:rPr>
                      </w:pPr>
                      <w:r>
                        <w:rPr>
                          <w:color w:val="000000"/>
                          <w:szCs w:val="24"/>
                          <w:lang w:eastAsia="lt-LT"/>
                        </w:rPr>
                        <w:t>jei</w:t>
                      </w:r>
                      <w:r>
                        <w:rPr>
                          <w:b/>
                          <w:color w:val="000000"/>
                          <w:szCs w:val="24"/>
                          <w:lang w:eastAsia="lt-LT"/>
                        </w:rPr>
                        <w:t xml:space="preserve"> </w:t>
                      </w:r>
                      <w:r>
                        <w:rPr>
                          <w:color w:val="000000"/>
                          <w:szCs w:val="24"/>
                          <w:lang w:eastAsia="lt-LT"/>
                        </w:rPr>
                        <w:t>pagal (2.244) formulę rezultatas gaunamas kitą (ne sausio) mėnesį, tai šį mėnesį</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3140" w:dyaOrig="680">
                                <v:shape id="_x0000_i1308" type="#_x0000_t75" style="width:153.7pt;height:36.4pt" o:ole="">
                                  <v:imagedata r:id="rId1715" o:title=""/>
                                </v:shape>
                                <o:OLEObject Type="Embed" ProgID="Equation.3" ShapeID="_x0000_i1308" DrawAspect="Content" ObjectID="_0000000001" r:id="rId1716"/>
                              </w:object>
                            </w:r>
                            <w:r>
                              <w:rPr>
                                <w:color w:val="000000"/>
                                <w:szCs w:val="24"/>
                                <w:lang w:eastAsia="lt-LT"/>
                              </w:rPr>
                              <w:t xml:space="preserve">, o kitais mėnesiais </w:t>
                            </w:r>
                            <w:r>
                              <w:rPr>
                                <w:rFonts w:eastAsia="Calibri"/>
                                <w:color w:val="000000"/>
                                <w:position w:val="-16"/>
                                <w:szCs w:val="24"/>
                                <w:lang w:eastAsia="lt-LT"/>
                              </w:rPr>
                              <w:object w:dxaOrig="1212" w:dyaOrig="432">
                                <v:shape id="_x0000_i1309" type="#_x0000_t75" style="width:59.85pt;height:20.2pt" o:ole="">
                                  <v:imagedata r:id="rId1717" o:title=""/>
                                </v:shape>
                                <o:OLEObject Type="Embed" ProgID="Equation.3" ShapeID="_x0000_i1309" DrawAspect="Content" ObjectID="_0000000001" r:id="rId1718"/>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(2.246)</w:t>
                            </w:r>
                          </w:p>
                        </w:tc>
                      </w:tr>
                    </w:tbl>
                    <w:p>
                      <w:pPr>
                        <w:tabs>
                          <w:tab w:val="left" w:pos="567"/>
                        </w:tabs>
                        <w:suppressAutoHyphens/>
                        <w:jc w:val="both"/>
                        <w:rPr>
                          <w:rFonts w:eastAsia="Calibri"/>
                          <w:bCs/>
                          <w:color w:val="000000"/>
                          <w:szCs w:val="24"/>
                          <w:lang w:eastAsia="lt-LT"/>
                        </w:rPr>
                      </w:pPr>
                      <w:r>
                        <w:rPr>
                          <w:bCs/>
                          <w:color w:val="000000"/>
                          <w:szCs w:val="24"/>
                          <w:lang w:eastAsia="lt-LT"/>
                        </w:rPr>
                        <w:t>čia:</w:t>
                        <w:tab/>
                      </w:r>
                      <w:r>
                        <w:rPr>
                          <w:bCs/>
                          <w:i/>
                          <w:color w:val="000000"/>
                          <w:szCs w:val="24"/>
                          <w:lang w:eastAsia="lt-LT"/>
                        </w:rPr>
                        <w:t>Q</w:t>
                      </w:r>
                      <w:r>
                        <w:rPr>
                          <w:bCs/>
                          <w:i/>
                          <w:color w:val="000000"/>
                          <w:szCs w:val="24"/>
                          <w:vertAlign w:val="subscript"/>
                          <w:lang w:eastAsia="lt-LT"/>
                        </w:rPr>
                        <w:t>H.E,m</w:t>
                      </w:r>
                      <w:r>
                        <w:rPr>
                          <w:bCs/>
                          <w:color w:val="000000"/>
                          <w:szCs w:val="24"/>
                          <w:lang w:eastAsia="lt-LT"/>
                        </w:rPr>
                        <w:t xml:space="preserve"> – pagrindinių pastato šildymo sistemos šilumos šaltinių elektros energijos sąnaudų ir elektros energijos sąnaudų orui pašildyti vėdinimo sistemos įrenginiuose atitinkamo „m“ mėnesio suminės elektros energijos sąnaudos, kai nenaudojama elektros energija iš Saulės kolektorių, vėjo ir hidroelektrinių. Apskaičiuojama pagal (2.587) arba (2.588) formules.</w:t>
                      </w:r>
                    </w:p>
                    <w:p>
                      <w:pPr>
                        <w:tabs>
                          <w:tab w:val="left" w:pos="567"/>
                        </w:tabs>
                        <w:suppressAutoHyphens/>
                        <w:ind w:firstLine="570"/>
                        <w:jc w:val="both"/>
                        <w:rPr>
                          <w:color w:val="000000"/>
                          <w:szCs w:val="24"/>
                          <w:lang w:eastAsia="lt-LT"/>
                        </w:rPr>
                      </w:pPr>
                      <w:r>
                        <w:rPr>
                          <w:i/>
                          <w:color w:val="000000"/>
                          <w:szCs w:val="24"/>
                          <w:lang w:eastAsia="lt-LT"/>
                        </w:rPr>
                        <w:t>Q</w:t>
                      </w:r>
                      <w:r>
                        <w:rPr>
                          <w:i/>
                          <w:color w:val="000000"/>
                          <w:szCs w:val="24"/>
                          <w:vertAlign w:val="subscript"/>
                          <w:lang w:eastAsia="lt-LT"/>
                        </w:rPr>
                        <w:t xml:space="preserve">H.fvSK,m </w:t>
                      </w:r>
                      <w:r>
                        <w:rPr>
                          <w:color w:val="000000"/>
                          <w:szCs w:val="24"/>
                          <w:lang w:eastAsia="lt-LT"/>
                        </w:rPr>
                        <w:t xml:space="preserve">– atitinkamos </w:t>
                      </w:r>
                      <w:r>
                        <w:rPr>
                          <w:i/>
                          <w:color w:val="000000"/>
                          <w:szCs w:val="24"/>
                          <w:lang w:eastAsia="lt-LT"/>
                        </w:rPr>
                        <w:t>„x“</w:t>
                      </w:r>
                      <w:r>
                        <w:rPr>
                          <w:color w:val="000000"/>
                          <w:szCs w:val="24"/>
                          <w:lang w:eastAsia="lt-LT"/>
                        </w:rPr>
                        <w:t xml:space="preserve"> fotovoltinių Saulės kolektorių sistemos atitinkamą </w:t>
                      </w:r>
                      <w:r>
                        <w:rPr>
                          <w:i/>
                          <w:color w:val="000000"/>
                          <w:szCs w:val="24"/>
                          <w:lang w:eastAsia="lt-LT"/>
                        </w:rPr>
                        <w:t>„m“</w:t>
                      </w:r>
                      <w:r>
                        <w:rPr>
                          <w:color w:val="000000"/>
                          <w:szCs w:val="24"/>
                          <w:lang w:eastAsia="lt-LT"/>
                        </w:rPr>
                        <w:t xml:space="preserve"> mėnesį pagamintos elektros energijos sąnaudos pastatui šildyti (kWh/(m²·mėn.)).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tcPr>
                          <w:p>
                            <w:pPr>
                              <w:tabs>
                                <w:tab w:val="left" w:pos="567"/>
                              </w:tabs>
                              <w:suppressAutoHyphens/>
                              <w:spacing w:line="276" w:lineRule="auto"/>
                              <w:jc w:val="center"/>
                              <w:rPr>
                                <w:rFonts w:eastAsia="Calibri"/>
                                <w:color w:val="000000"/>
                                <w:szCs w:val="24"/>
                                <w:lang w:eastAsia="lt-LT"/>
                              </w:rPr>
                            </w:pPr>
                            <w:r>
                              <w:rPr>
                                <w:rFonts w:eastAsia="Calibri"/>
                                <w:color w:val="000000"/>
                                <w:position w:val="-28"/>
                                <w:szCs w:val="24"/>
                                <w:lang w:eastAsia="lt-LT"/>
                              </w:rPr>
                              <w:object w:dxaOrig="2400" w:dyaOrig="680">
                                <v:shape id="_x0000_i1310" type="#_x0000_t75" style="width:120.55pt;height:34.8pt" o:ole="">
                                  <v:imagedata r:id="rId1719" o:title=""/>
                                </v:shape>
                                <o:OLEObject Type="Embed" ProgID="Equation.3" ShapeID="_x0000_i1310" DrawAspect="Content" ObjectID="_0000000001" r:id="rId1720"/>
                              </w:object>
                            </w:r>
                            <w:r>
                              <w:rPr>
                                <w:color w:val="000000"/>
                                <w:szCs w:val="24"/>
                                <w:lang w:eastAsia="lt-LT"/>
                              </w:rPr>
                              <w:t>;</w:t>
                            </w:r>
                          </w:p>
                        </w:tc>
                        <w:tc>
                          <w:tcPr>
                            <w:tcW w:w="1062" w:type="dxa"/>
                            <w:vAlign w:val="center"/>
                          </w:tcPr>
                          <w:p>
                            <w:pPr>
                              <w:tabs>
                                <w:tab w:val="left" w:pos="567"/>
                              </w:tabs>
                              <w:suppressAutoHyphens/>
                              <w:spacing w:line="276" w:lineRule="auto"/>
                              <w:jc w:val="right"/>
                              <w:rPr>
                                <w:rFonts w:eastAsia="Calibri"/>
                                <w:color w:val="000000"/>
                                <w:szCs w:val="24"/>
                                <w:lang w:eastAsia="lt-LT"/>
                              </w:rPr>
                            </w:pPr>
                            <w:r>
                              <w:rPr>
                                <w:color w:val="000000"/>
                                <w:szCs w:val="24"/>
                                <w:lang w:eastAsia="lt-LT"/>
                              </w:rPr>
                              <w:t>(2.247)</w:t>
                            </w:r>
                          </w:p>
                        </w:tc>
                      </w:tr>
                    </w:tbl>
                    <w:p>
                      <w:pPr>
                        <w:tabs>
                          <w:tab w:val="left" w:pos="567"/>
                        </w:tabs>
                        <w:suppressAutoHyphens/>
                        <w:rPr>
                          <w:rFonts w:eastAsia="Calibri"/>
                          <w:color w:val="000000"/>
                          <w:szCs w:val="24"/>
                          <w:lang w:eastAsia="lt-LT"/>
                        </w:rPr>
                      </w:pPr>
                      <w:r>
                        <w:rPr>
                          <w:color w:val="000000"/>
                          <w:szCs w:val="24"/>
                          <w:lang w:eastAsia="lt-LT"/>
                        </w:rPr>
                        <w:t xml:space="preserve">čia: </w:t>
                        <w:tab/>
                        <w:t xml:space="preserve">jei </w:t>
                      </w:r>
                      <w:r>
                        <w:rPr>
                          <w:i/>
                          <w:color w:val="000000"/>
                          <w:szCs w:val="24"/>
                          <w:lang w:eastAsia="lt-LT"/>
                        </w:rPr>
                        <w:t>Q</w:t>
                      </w:r>
                      <w:r>
                        <w:rPr>
                          <w:i/>
                          <w:color w:val="000000"/>
                          <w:szCs w:val="24"/>
                          <w:vertAlign w:val="subscript"/>
                          <w:lang w:eastAsia="lt-LT"/>
                        </w:rPr>
                        <w:t>H.fvSK,m</w:t>
                      </w:r>
                      <w:r>
                        <w:rPr>
                          <w:color w:val="000000"/>
                          <w:szCs w:val="24"/>
                          <w:lang w:eastAsia="lt-LT"/>
                        </w:rPr>
                        <w:t xml:space="preserve">&lt; 0 arba </w:t>
                      </w:r>
                      <w:r>
                        <w:rPr>
                          <w:i/>
                          <w:color w:val="000000"/>
                          <w:szCs w:val="24"/>
                          <w:lang w:eastAsia="lt-LT"/>
                        </w:rPr>
                        <w:t>Q</w:t>
                      </w:r>
                      <w:r>
                        <w:rPr>
                          <w:i/>
                          <w:color w:val="000000"/>
                          <w:szCs w:val="24"/>
                          <w:vertAlign w:val="subscript"/>
                          <w:lang w:eastAsia="lt-LT"/>
                        </w:rPr>
                        <w:t>H,m</w:t>
                      </w:r>
                      <w:r>
                        <w:rPr>
                          <w:color w:val="000000"/>
                          <w:szCs w:val="24"/>
                          <w:lang w:eastAsia="lt-LT"/>
                        </w:rPr>
                        <w:t xml:space="preserve">= 0, tai </w:t>
                      </w:r>
                      <w:r>
                        <w:rPr>
                          <w:i/>
                          <w:color w:val="000000"/>
                          <w:szCs w:val="24"/>
                          <w:lang w:eastAsia="lt-LT"/>
                        </w:rPr>
                        <w:t>Q</w:t>
                      </w:r>
                      <w:r>
                        <w:rPr>
                          <w:i/>
                          <w:color w:val="000000"/>
                          <w:szCs w:val="24"/>
                          <w:vertAlign w:val="subscript"/>
                          <w:lang w:eastAsia="lt-LT"/>
                        </w:rPr>
                        <w:t>H.fvSK,m</w:t>
                      </w:r>
                      <w:r>
                        <w:rPr>
                          <w:color w:val="000000"/>
                          <w:szCs w:val="24"/>
                          <w:lang w:eastAsia="lt-LT"/>
                        </w:rPr>
                        <w:t>= 0;</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H.fvSK,m,x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fotovoltinių Saulės kolektorių sistemos pagamintas elektros energijos kiekis pastatui šildyti (kWh/(m²·mėn.)). Apskaičiuojama pagal (2.248) formulę;</w:t>
                      </w:r>
                    </w:p>
                    <w:tbl>
                      <w:tblPr>
                        <w:tblW w:w="5000" w:type="pct"/>
                        <w:jc w:val="center"/>
                        <w:tblLook w:val="01E0" w:firstRow="1" w:lastRow="1" w:firstColumn="1" w:lastColumn="1" w:noHBand="0" w:noVBand="0"/>
                      </w:tblPr>
                      <w:tblGrid>
                        <w:gridCol w:w="8524"/>
                        <w:gridCol w:w="1330"/>
                      </w:tblGrid>
                      <w:tr>
                        <w:trPr>
                          <w:jc w:val="center"/>
                        </w:trPr>
                        <w:tc>
                          <w:tcPr>
                            <w:tcW w:w="8523" w:type="dxa"/>
                            <w:vAlign w:val="center"/>
                            <w:hideMark/>
                          </w:tcPr>
                          <w:p>
                            <w:pPr>
                              <w:tabs>
                                <w:tab w:val="left" w:pos="567"/>
                              </w:tabs>
                              <w:suppressAutoHyphens/>
                              <w:rPr>
                                <w:sz w:val="10"/>
                                <w:szCs w:val="10"/>
                                <w:lang w:eastAsia="lt-LT"/>
                              </w:rPr>
                            </w:pPr>
                          </w:p>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336" w:dyaOrig="744">
                                <v:shape id="_x0000_i1311" type="#_x0000_t75" style="width:315.5pt;height:36.4pt" o:ole="">
                                  <v:imagedata r:id="rId1721" o:title=""/>
                                </v:shape>
                                <o:OLEObject Type="Embed" ProgID="Equation.3" ShapeID="_x0000_i1311" DrawAspect="Content" ObjectID="_0000000001" r:id="rId1722"/>
                              </w:object>
                            </w:r>
                            <w:r>
                              <w:rPr>
                                <w:color w:val="000000"/>
                                <w:szCs w:val="24"/>
                                <w:lang w:eastAsia="lt-LT"/>
                              </w:rPr>
                              <w:t>;</w:t>
                            </w:r>
                          </w:p>
                        </w:tc>
                        <w:tc>
                          <w:tcPr>
                            <w:tcW w:w="1330"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(2.248) </w:t>
                            </w:r>
                          </w:p>
                        </w:tc>
                      </w:tr>
                    </w:tbl>
                    <w:p>
                      <w:pPr>
                        <w:tabs>
                          <w:tab w:val="left" w:pos="567"/>
                        </w:tabs>
                        <w:suppressAutoHyphens/>
                        <w:ind w:firstLine="567"/>
                        <w:rPr>
                          <w:rFonts w:eastAsia="Calibri"/>
                          <w:color w:val="000000"/>
                          <w:szCs w:val="24"/>
                        </w:rPr>
                      </w:pPr>
                      <w:r>
                        <w:rPr>
                          <w:color w:val="000000"/>
                          <w:szCs w:val="24"/>
                          <w:lang w:eastAsia="lt-LT"/>
                        </w:rPr>
                        <w:t>paaiškinimus žiūrėti prie (2.229) formulės.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7 p."/>
                <w:tag w:val="part_99a4c5d863214ca7b3afe8e23d972cbd"/>
                <w:lock w:val="sdtLocked"/>
                <w:richText/>
              </w:sdtPr>
              <w:sdtContent>
                <w:p>
                  <w:pPr>
                    <w:ind w:firstLine="567"/>
                    <w:jc w:val="both"/>
                    <w:rPr>
                      <w:color w:val="000000"/>
                      <w:szCs w:val="24"/>
                    </w:rPr>
                  </w:pPr>
                  <w:sdt>
                    <w:sdtPr>
                      <w:alias w:val="Numeris"/>
                      <w:tag w:val="nr_99a4c5d863214ca7b3afe8e23d972cbd"/>
                      <w:lock w:val="sdtLocked"/>
                      <w:richText/>
                    </w:sdtPr>
                    <w:sdtContent>
                      <w:r>
                        <w:rPr>
                          <w:color w:val="000000"/>
                          <w:szCs w:val="24"/>
                        </w:rPr>
                        <w:t>57</w:t>
                      </w:r>
                    </w:sdtContent>
                  </w:sdt>
                  <w:r>
                    <w:rPr>
                      <w:color w:val="000000"/>
                      <w:szCs w:val="24"/>
                    </w:rPr>
                    <w:t>. Energijos iš fotovoltinių Saulės kolektorių neatsinaujinančios pirminės energijos sąnaudos pastate, kai ši energija naudojama elektros prietaisams ir karštam vandeniui ruošti, apskaičiuojamos taip:</w:t>
                  </w:r>
                </w:p>
                <w:sdt>
                  <w:sdtPr>
                    <w:alias w:val="2 pr. 57.1 pp."/>
                    <w:tag w:val="part_fc5adf6cc04c427eb378e563ca04c135"/>
                    <w:lock w:val="sdtLocked"/>
                    <w:richText/>
                  </w:sdtPr>
                  <w:sdtContent>
                    <w:p>
                      <w:pPr>
                        <w:ind w:firstLine="600"/>
                        <w:jc w:val="both"/>
                        <w:rPr>
                          <w:color w:val="000000"/>
                          <w:szCs w:val="24"/>
                        </w:rPr>
                      </w:pPr>
                      <w:sdt>
                        <w:sdtPr>
                          <w:alias w:val="Numeris"/>
                          <w:tag w:val="nr_fc5adf6cc04c427eb378e563ca04c135"/>
                          <w:lock w:val="sdtLocked"/>
                          <w:richText/>
                        </w:sdtPr>
                        <w:sdtContent>
                          <w:r>
                            <w:rPr>
                              <w:color w:val="000000"/>
                              <w:szCs w:val="24"/>
                            </w:rPr>
                            <w:t>57.1</w:t>
                          </w:r>
                        </w:sdtContent>
                      </w:sdt>
                      <w:r>
                        <w:rPr>
                          <w:color w:val="000000"/>
                          <w:szCs w:val="24"/>
                        </w:rPr>
                        <w:t xml:space="preserve">. kiekvieną mėnesį </w:t>
                      </w:r>
                      <w:r>
                        <w:rPr>
                          <w:i/>
                          <w:color w:val="000000"/>
                          <w:szCs w:val="24"/>
                        </w:rPr>
                        <w:t xml:space="preserve">„m“ </w:t>
                      </w:r>
                      <w:r>
                        <w:rPr>
                          <w:color w:val="000000"/>
                          <w:szCs w:val="24"/>
                        </w:rPr>
                        <w:t xml:space="preserve">energijos iš fotovoltinių Saulės kolektorių neatsinaujinančios pirminės energijos sąnaudos elektros prietaisams ir karštam vandeniui ruošti pastato šildomo ploto vienetui </w:t>
                      </w:r>
                      <w:r>
                        <w:rPr>
                          <w:i/>
                          <w:color w:val="000000"/>
                          <w:szCs w:val="24"/>
                        </w:rPr>
                        <w:t>Q</w:t>
                      </w:r>
                      <w:r>
                        <w:rPr>
                          <w:i/>
                          <w:color w:val="000000"/>
                          <w:szCs w:val="24"/>
                          <w:vertAlign w:val="subscript"/>
                        </w:rPr>
                        <w:t>PRn.(E+hw).fvSK,m</w:t>
                      </w:r>
                      <w:r>
                        <w:rPr>
                          <w:color w:val="000000"/>
                          <w:szCs w:val="24"/>
                        </w:rPr>
                        <w:t>(kWh/(m²·mėn.)) apskaičiuojamos taip:</w:t>
                      </w:r>
                    </w:p>
                    <w:tbl>
                      <w:tblPr>
                        <w:tblW w:w="5000" w:type="pct"/>
                        <w:jc w:val="center"/>
                        <w:tblLook w:val="01E0" w:firstRow="1" w:lastRow="1" w:firstColumn="1" w:lastColumn="1" w:noHBand="0" w:noVBand="0"/>
                      </w:tblPr>
                      <w:tblGrid>
                        <w:gridCol w:w="8938"/>
                        <w:gridCol w:w="916"/>
                      </w:tblGrid>
                      <w:tr>
                        <w:trPr>
                          <w:jc w:val="center"/>
                        </w:trPr>
                        <w:tc>
                          <w:tcPr>
                            <w:tcW w:w="4553" w:type="pct"/>
                            <w:vAlign w:val="center"/>
                            <w:hideMark/>
                          </w:tcPr>
                          <w:p>
                            <w:pPr>
                              <w:spacing w:line="276" w:lineRule="auto"/>
                              <w:jc w:val="center"/>
                              <w:rPr>
                                <w:rFonts w:eastAsia="Calibri"/>
                                <w:color w:val="000000"/>
                                <w:szCs w:val="24"/>
                              </w:rPr>
                            </w:pPr>
                            <w:r>
                              <w:rPr>
                                <w:rFonts w:eastAsia="Calibri"/>
                                <w:color w:val="000000"/>
                                <w:szCs w:val="24"/>
                              </w:rPr>
                              <w:object w:dxaOrig="4760" w:dyaOrig="400">
                                <v:shape id="_x0000_i1312" type="#_x0000_t75" style="width:237.85pt;height:20.2pt" o:ole="">
                                  <v:imagedata r:id="rId812" o:title=""/>
                                </v:shape>
                                <o:OLEObject Type="Embed" ProgID="Equation.3" ShapeID="_x0000_i1312" DrawAspect="Content" ObjectID="_0000000001" r:id="rId813"/>
                              </w:object>
                            </w:r>
                            <w:r>
                              <w:rPr>
                                <w:color w:val="000000"/>
                                <w:szCs w:val="24"/>
                              </w:rPr>
                              <w:t>;</w:t>
                            </w:r>
                          </w:p>
                        </w:tc>
                        <w:tc>
                          <w:tcPr>
                            <w:tcW w:w="447" w:type="pct"/>
                            <w:vAlign w:val="center"/>
                            <w:hideMark/>
                          </w:tcPr>
                          <w:p>
                            <w:pPr>
                              <w:spacing w:line="276" w:lineRule="auto"/>
                              <w:jc w:val="right"/>
                              <w:rPr>
                                <w:rFonts w:eastAsia="Calibri"/>
                                <w:color w:val="000000"/>
                                <w:szCs w:val="24"/>
                              </w:rPr>
                            </w:pPr>
                            <w:r>
                              <w:rPr>
                                <w:color w:val="000000"/>
                                <w:szCs w:val="24"/>
                              </w:rPr>
                              <w:t xml:space="preserve">(2.250) </w:t>
                            </w:r>
                          </w:p>
                        </w:tc>
                      </w:tr>
                    </w:tbl>
                    <w:p>
                      <w:pPr>
                        <w:tabs>
                          <w:tab w:val="left" w:pos="567"/>
                        </w:tabs>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w:t>
                      </w:r>
                      <w:r>
                        <w:rPr>
                          <w:i/>
                          <w:color w:val="000000"/>
                          <w:szCs w:val="24"/>
                          <w:vertAlign w:val="subscript"/>
                        </w:rPr>
                        <w:t xml:space="preserve">E.fvSK,m </w:t>
                      </w:r>
                      <w:r>
                        <w:rPr>
                          <w:color w:val="000000"/>
                          <w:szCs w:val="24"/>
                        </w:rPr>
                        <w:t>– apskaičiuojamas pagal (2.253) formulę;</w:t>
                      </w:r>
                    </w:p>
                    <w:p>
                      <w:pPr>
                        <w:ind w:firstLine="600"/>
                        <w:rPr>
                          <w:color w:val="000000"/>
                          <w:szCs w:val="24"/>
                        </w:rPr>
                      </w:pPr>
                      <w:r>
                        <w:rPr>
                          <w:i/>
                          <w:color w:val="000000"/>
                          <w:szCs w:val="24"/>
                        </w:rPr>
                        <w:t>Q</w:t>
                      </w:r>
                      <w:r>
                        <w:rPr>
                          <w:i/>
                          <w:color w:val="000000"/>
                          <w:szCs w:val="24"/>
                          <w:vertAlign w:val="superscript"/>
                        </w:rPr>
                        <w:t>I</w:t>
                      </w:r>
                      <w:r>
                        <w:rPr>
                          <w:i/>
                          <w:color w:val="000000"/>
                          <w:szCs w:val="24"/>
                          <w:vertAlign w:val="subscript"/>
                        </w:rPr>
                        <w:t xml:space="preserve">hw.fvSK,m </w:t>
                      </w:r>
                      <w:r>
                        <w:rPr>
                          <w:color w:val="000000"/>
                          <w:szCs w:val="24"/>
                        </w:rPr>
                        <w:t>– apskaičiuojamas pagal (2.260) formulę;</w:t>
                      </w:r>
                    </w:p>
                  </w:sdtContent>
                </w:sdt>
                <w:sdt>
                  <w:sdtPr>
                    <w:alias w:val="2 pr. 57.2 pp."/>
                    <w:tag w:val="part_d98e2f446ca445a28899655bc5e51dd8"/>
                    <w:lock w:val="sdtLocked"/>
                    <w:richText/>
                  </w:sdtPr>
                  <w:sdtContent>
                    <w:p>
                      <w:pPr>
                        <w:ind w:firstLine="600"/>
                        <w:jc w:val="both"/>
                        <w:rPr>
                          <w:color w:val="000000"/>
                          <w:szCs w:val="24"/>
                        </w:rPr>
                      </w:pPr>
                      <w:sdt>
                        <w:sdtPr>
                          <w:alias w:val="Numeris"/>
                          <w:tag w:val="nr_d98e2f446ca445a28899655bc5e51dd8"/>
                          <w:lock w:val="sdtLocked"/>
                          <w:richText/>
                        </w:sdtPr>
                        <w:sdtContent>
                          <w:r>
                            <w:rPr>
                              <w:color w:val="000000"/>
                              <w:szCs w:val="24"/>
                            </w:rPr>
                            <w:t>57.2</w:t>
                          </w:r>
                        </w:sdtContent>
                      </w:sdt>
                      <w:r>
                        <w:rPr>
                          <w:color w:val="000000"/>
                          <w:szCs w:val="24"/>
                        </w:rPr>
                        <w:t xml:space="preserve">. fotovoltinių Saulės kolektorių sistemų pagamintos energijos dalys per atitinkamą mėnesį </w:t>
                      </w:r>
                      <w:r>
                        <w:rPr>
                          <w:i/>
                          <w:color w:val="000000"/>
                          <w:szCs w:val="24"/>
                        </w:rPr>
                        <w:t>„m“</w:t>
                      </w:r>
                      <w:r>
                        <w:rPr>
                          <w:color w:val="000000"/>
                          <w:szCs w:val="24"/>
                        </w:rPr>
                        <w:t xml:space="preserve">, kurios priskiriamos elektros prietaisų energijos suvartojimui </w:t>
                      </w:r>
                      <w:r>
                        <w:rPr>
                          <w:i/>
                          <w:color w:val="000000"/>
                          <w:szCs w:val="24"/>
                        </w:rPr>
                        <w:t>f</w:t>
                      </w:r>
                      <w:r>
                        <w:rPr>
                          <w:i/>
                          <w:color w:val="000000"/>
                          <w:szCs w:val="24"/>
                          <w:vertAlign w:val="superscript"/>
                        </w:rPr>
                        <w:t>.I</w:t>
                      </w:r>
                      <w:r>
                        <w:rPr>
                          <w:i/>
                          <w:color w:val="000000"/>
                          <w:szCs w:val="24"/>
                          <w:vertAlign w:val="subscript"/>
                        </w:rPr>
                        <w:t>E.fvSK,m</w:t>
                      </w:r>
                      <w:r>
                        <w:rPr>
                          <w:color w:val="000000"/>
                          <w:szCs w:val="24"/>
                        </w:rPr>
                        <w:t xml:space="preserve"> (vnt. dalis) ir karšto vandens ruošimo sistemų energijos suvartojimui</w:t>
                      </w:r>
                      <w:r>
                        <w:rPr>
                          <w:i/>
                          <w:color w:val="000000"/>
                          <w:szCs w:val="24"/>
                        </w:rPr>
                        <w:t xml:space="preserve"> f</w:t>
                      </w:r>
                      <w:r>
                        <w:rPr>
                          <w:i/>
                          <w:color w:val="000000"/>
                          <w:szCs w:val="24"/>
                          <w:vertAlign w:val="superscript"/>
                        </w:rPr>
                        <w:t>.I</w:t>
                      </w:r>
                      <w:r>
                        <w:rPr>
                          <w:i/>
                          <w:color w:val="000000"/>
                          <w:szCs w:val="24"/>
                          <w:vertAlign w:val="subscript"/>
                        </w:rPr>
                        <w:t>hw.fvSK,m</w:t>
                      </w:r>
                      <w:r>
                        <w:rPr>
                          <w:color w:val="000000"/>
                          <w:szCs w:val="24"/>
                        </w:rPr>
                        <w:t xml:space="preserve"> (vnt. dalis),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6640" w:dyaOrig="1610">
                                <v:shape id="_x0000_i1313" type="#_x0000_t75" style="width:332.5pt;height:81.7pt" o:ole="">
                                  <v:imagedata r:id="rId814" o:title=""/>
                                </v:shape>
                                <o:OLEObject Type="Embed" ProgID="Equation.3" ShapeID="_x0000_i1313" DrawAspect="Content" ObjectID="_0000000001" r:id="rId815"/>
                              </w:object>
                            </w:r>
                          </w:p>
                        </w:tc>
                        <w:tc>
                          <w:tcPr>
                            <w:tcW w:w="1062" w:type="dxa"/>
                            <w:vAlign w:val="center"/>
                            <w:hideMark/>
                          </w:tcPr>
                          <w:p>
                            <w:pPr>
                              <w:spacing w:line="276" w:lineRule="auto"/>
                              <w:jc w:val="right"/>
                              <w:rPr>
                                <w:rFonts w:eastAsia="Calibri"/>
                                <w:color w:val="000000"/>
                                <w:szCs w:val="24"/>
                              </w:rPr>
                            </w:pPr>
                            <w:r>
                              <w:rPr>
                                <w:color w:val="000000"/>
                                <w:szCs w:val="24"/>
                              </w:rPr>
                              <w:t>(2.251)</w:t>
                            </w:r>
                          </w:p>
                        </w:tc>
                      </w:tr>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890" w:dyaOrig="1150">
                                <v:shape id="_x0000_i1314" type="#_x0000_t75" style="width:295.3pt;height:57.45pt" o:ole="">
                                  <v:imagedata r:id="rId816" o:title=""/>
                                </v:shape>
                                <o:OLEObject Type="Embed" ProgID="Equation.3" ShapeID="_x0000_i1314" DrawAspect="Content" ObjectID="_0000000001" r:id="rId817"/>
                              </w:object>
                            </w:r>
                          </w:p>
                        </w:tc>
                        <w:tc>
                          <w:tcPr>
                            <w:tcW w:w="1062" w:type="dxa"/>
                            <w:vAlign w:val="center"/>
                            <w:hideMark/>
                          </w:tcPr>
                          <w:p>
                            <w:pPr>
                              <w:spacing w:line="276" w:lineRule="auto"/>
                              <w:jc w:val="right"/>
                              <w:rPr>
                                <w:rFonts w:eastAsia="Calibri"/>
                                <w:color w:val="000000"/>
                                <w:szCs w:val="24"/>
                              </w:rPr>
                            </w:pPr>
                            <w:r>
                              <w:rPr>
                                <w:color w:val="000000"/>
                                <w:szCs w:val="24"/>
                              </w:rPr>
                              <w:t>(2.252)</w:t>
                            </w:r>
                          </w:p>
                        </w:tc>
                      </w:tr>
                    </w:tbl>
                    <w:p>
                      <w:pPr>
                        <w:rPr>
                          <w:rFonts w:eastAsia="Calibri"/>
                          <w:color w:val="000000"/>
                          <w:szCs w:val="24"/>
                        </w:rPr>
                      </w:pPr>
                    </w:p>
                    <w:p>
                      <w:pPr>
                        <w:rPr>
                          <w:rFonts w:eastAsia="Calibri"/>
                          <w:color w:val="000000"/>
                          <w:szCs w:val="24"/>
                        </w:rPr>
                      </w:pPr>
                    </w:p>
                    <w:p>
                      <w:pPr>
                        <w:tabs>
                          <w:tab w:val="left" w:pos="567"/>
                        </w:tabs>
                        <w:jc w:val="both"/>
                        <w:rPr>
                          <w:color w:val="000000"/>
                          <w:szCs w:val="24"/>
                        </w:rPr>
                      </w:pPr>
                      <w:r>
                        <w:rPr>
                          <w:color w:val="000000"/>
                          <w:szCs w:val="24"/>
                        </w:rPr>
                        <w:t xml:space="preserve">čia: </w:t>
                        <w:tab/>
                        <w:t xml:space="preserve">– jei kurį mėnesį reikia pastatą vėsinti, tačiau pastate neįrengta oro vėsinimo sistema, imama </w:t>
                      </w:r>
                      <w:r>
                        <w:rPr>
                          <w:i/>
                          <w:color w:val="000000"/>
                          <w:szCs w:val="24"/>
                        </w:rPr>
                        <w:t>Q</w:t>
                      </w:r>
                      <w:r>
                        <w:rPr>
                          <w:i/>
                          <w:color w:val="000000"/>
                          <w:szCs w:val="24"/>
                          <w:vertAlign w:val="subscript"/>
                        </w:rPr>
                        <w:t>C.E,m</w:t>
                      </w:r>
                      <w:r>
                        <w:rPr>
                          <w:color w:val="000000"/>
                          <w:szCs w:val="24"/>
                        </w:rPr>
                        <w:t>=0;</w:t>
                      </w:r>
                    </w:p>
                  </w:sdtContent>
                </w:sdt>
                <w:sdt>
                  <w:sdtPr>
                    <w:alias w:val="2 pr. 57.3 pp."/>
                    <w:tag w:val="part_335db32710d147a69634f0d787dec9a1"/>
                    <w:lock w:val="sdtLocked"/>
                    <w:richText/>
                  </w:sdtPr>
                  <w:sdtContent>
                    <w:p>
                      <w:pPr>
                        <w:ind w:firstLine="600"/>
                        <w:jc w:val="both"/>
                        <w:rPr>
                          <w:color w:val="000000"/>
                          <w:szCs w:val="24"/>
                        </w:rPr>
                      </w:pPr>
                      <w:sdt>
                        <w:sdtPr>
                          <w:alias w:val="Numeris"/>
                          <w:tag w:val="nr_335db32710d147a69634f0d787dec9a1"/>
                          <w:lock w:val="sdtLocked"/>
                          <w:richText/>
                        </w:sdtPr>
                        <w:sdtContent>
                          <w:r>
                            <w:rPr>
                              <w:color w:val="000000"/>
                              <w:szCs w:val="24"/>
                            </w:rPr>
                            <w:t>57.3</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elektros energijos sąnaudos elektros prietaisams </w:t>
                      </w:r>
                      <w:r>
                        <w:rPr>
                          <w:i/>
                          <w:color w:val="000000"/>
                          <w:szCs w:val="24"/>
                        </w:rPr>
                        <w:t>Q</w:t>
                      </w:r>
                      <w:r>
                        <w:rPr>
                          <w:i/>
                          <w:color w:val="000000"/>
                          <w:szCs w:val="24"/>
                          <w:vertAlign w:val="superscript"/>
                        </w:rPr>
                        <w:t>I</w:t>
                      </w:r>
                      <w:r>
                        <w:rPr>
                          <w:i/>
                          <w:color w:val="000000"/>
                          <w:szCs w:val="24"/>
                          <w:vertAlign w:val="subscript"/>
                        </w:rPr>
                        <w:t xml:space="preserve">E.fvSK,m </w:t>
                      </w:r>
                      <w:r>
                        <w:rPr>
                          <w:color w:val="000000"/>
                          <w:szCs w:val="24"/>
                        </w:rPr>
                        <w:t>(kWh/(m²·mėn.)) apskaičiuojamos pagal (2.253) formulę</w:t>
                      </w:r>
                      <w:r>
                        <w:rPr>
                          <w:b/>
                          <w:color w:val="000000"/>
                          <w:szCs w:val="24"/>
                        </w:rPr>
                        <w:t xml:space="preserve"> </w:t>
                      </w:r>
                      <w:r>
                        <w:rPr>
                          <w:color w:val="000000"/>
                          <w:szCs w:val="24"/>
                        </w:rPr>
                        <w:t>ir formulės taikymo sąlygas:</w:t>
                      </w:r>
                    </w:p>
                    <w:tbl>
                      <w:tblPr>
                        <w:tblW w:w="5000" w:type="pct"/>
                        <w:jc w:val="center"/>
                        <w:tblLook w:val="01E0" w:firstRow="1" w:lastRow="1" w:firstColumn="1" w:lastColumn="1" w:noHBand="0" w:noVBand="0"/>
                      </w:tblPr>
                      <w:tblGrid>
                        <w:gridCol w:w="8930"/>
                        <w:gridCol w:w="924"/>
                      </w:tblGrid>
                      <w:tr>
                        <w:trPr>
                          <w:jc w:val="center"/>
                        </w:trPr>
                        <w:tc>
                          <w:tcPr>
                            <w:tcW w:w="4531" w:type="pct"/>
                            <w:vAlign w:val="center"/>
                            <w:hideMark/>
                          </w:tcPr>
                          <w:p>
                            <w:pPr>
                              <w:spacing w:line="276" w:lineRule="auto"/>
                              <w:jc w:val="center"/>
                              <w:rPr>
                                <w:rFonts w:eastAsia="Calibri"/>
                                <w:color w:val="000000"/>
                                <w:szCs w:val="24"/>
                              </w:rPr>
                            </w:pPr>
                            <w:r>
                              <w:rPr>
                                <w:rFonts w:eastAsia="Calibri"/>
                                <w:color w:val="000000"/>
                                <w:szCs w:val="24"/>
                              </w:rPr>
                              <w:object w:dxaOrig="3920" w:dyaOrig="1490">
                                <v:shape id="_x0000_i1315" type="#_x0000_t75" style="width:195.8pt;height:74.45pt" o:ole="">
                                  <v:imagedata r:id="rId818" o:title=""/>
                                </v:shape>
                                <o:OLEObject Type="Embed" ProgID="Equation.3" ShapeID="_x0000_i1315" DrawAspect="Content" ObjectID="_0000000001" r:id="rId819"/>
                              </w:object>
                            </w:r>
                          </w:p>
                        </w:tc>
                        <w:tc>
                          <w:tcPr>
                            <w:tcW w:w="469" w:type="pct"/>
                            <w:vAlign w:val="center"/>
                            <w:hideMark/>
                          </w:tcPr>
                          <w:p>
                            <w:pPr>
                              <w:spacing w:line="276" w:lineRule="auto"/>
                              <w:jc w:val="right"/>
                              <w:rPr>
                                <w:rFonts w:eastAsia="Calibri"/>
                                <w:color w:val="000000"/>
                                <w:szCs w:val="24"/>
                              </w:rPr>
                            </w:pPr>
                            <w:r>
                              <w:rPr>
                                <w:color w:val="000000"/>
                                <w:szCs w:val="24"/>
                              </w:rPr>
                              <w:t xml:space="preserve">(2.253) </w:t>
                            </w:r>
                          </w:p>
                        </w:tc>
                      </w:tr>
                    </w:tbl>
                    <w:p>
                      <w:pPr>
                        <w:ind w:left="600" w:hanging="600"/>
                        <w:rPr>
                          <w:rFonts w:eastAsia="Calibri"/>
                          <w:color w:val="000000"/>
                          <w:szCs w:val="24"/>
                        </w:rPr>
                      </w:pPr>
                      <w:r>
                        <w:rPr>
                          <w:color w:val="000000"/>
                          <w:szCs w:val="24"/>
                        </w:rPr>
                        <w:t xml:space="preserve">čia: </w:t>
                        <w:tab/>
                        <w:t>formulės paaiškinimus žiūrėti prie (2.229) formulės;</w:t>
                      </w:r>
                    </w:p>
                    <w:p>
                      <w:pPr>
                        <w:ind w:left="600" w:firstLine="720"/>
                        <w:rPr>
                          <w:color w:val="000000"/>
                          <w:szCs w:val="24"/>
                        </w:rPr>
                      </w:pPr>
                      <w:r>
                        <w:rPr>
                          <w:color w:val="000000"/>
                          <w:szCs w:val="24"/>
                        </w:rPr>
                        <w:t>(2.253) formulės taikymo sąlygos:</w:t>
                      </w:r>
                    </w:p>
                    <w:p>
                      <w:pPr>
                        <w:tabs>
                          <w:tab w:val="left" w:pos="993"/>
                        </w:tabs>
                        <w:ind w:firstLine="840"/>
                        <w:jc w:val="both"/>
                        <w:rPr>
                          <w:color w:val="000000"/>
                          <w:szCs w:val="24"/>
                        </w:rPr>
                      </w:pPr>
                      <w:r>
                        <w:rPr>
                          <w:color w:val="000000"/>
                          <w:szCs w:val="24"/>
                        </w:rPr>
                        <w:t>-</w:t>
                        <w:tab/>
                        <w:t>kai pastate nenaudojama iš fotovoltinių Saulės kolektorių pagamintos elektros energijos dvipusė apskaita ir fotovoltinės Saulės kolektorių sistemos pagamina daugiau elektros energijos už elektros prietaisų energijos sąnaudas pastate, t. y. jei</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6330" w:dyaOrig="820">
                                <v:shape id="_x0000_i1316" type="#_x0000_t75" style="width:316.3pt;height:41.25pt" o:ole="">
                                  <v:imagedata r:id="rId820" o:title=""/>
                                </v:shape>
                                <o:OLEObject Type="Embed" ProgID="Equation.3" ShapeID="_x0000_i1316" DrawAspect="Content" ObjectID="_0000000001" r:id="rId821"/>
                              </w:object>
                            </w:r>
                          </w:p>
                        </w:tc>
                        <w:tc>
                          <w:tcPr>
                            <w:tcW w:w="479" w:type="pct"/>
                            <w:vAlign w:val="center"/>
                            <w:hideMark/>
                          </w:tcPr>
                          <w:p>
                            <w:pPr>
                              <w:spacing w:line="276" w:lineRule="auto"/>
                              <w:jc w:val="right"/>
                              <w:rPr>
                                <w:rFonts w:eastAsia="Calibri"/>
                                <w:color w:val="000000"/>
                                <w:szCs w:val="24"/>
                              </w:rPr>
                            </w:pPr>
                            <w:r>
                              <w:rPr>
                                <w:color w:val="000000"/>
                                <w:szCs w:val="24"/>
                              </w:rPr>
                              <w:t xml:space="preserve">(2.254) </w:t>
                            </w:r>
                          </w:p>
                        </w:tc>
                      </w:tr>
                    </w:tbl>
                    <w:p>
                      <w:pPr>
                        <w:ind w:left="840"/>
                        <w:rPr>
                          <w:rFonts w:eastAsia="Calibri"/>
                          <w:color w:val="000000"/>
                          <w:szCs w:val="24"/>
                        </w:rPr>
                      </w:pPr>
                      <w:r>
                        <w:rPr>
                          <w:color w:val="000000"/>
                          <w:szCs w:val="24"/>
                        </w:rPr>
                        <w:t>tai</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6330" w:dyaOrig="820">
                                <v:shape id="_x0000_i1317" type="#_x0000_t75" style="width:316.3pt;height:41.25pt" o:ole="">
                                  <v:imagedata r:id="rId822" o:title=""/>
                                </v:shape>
                                <o:OLEObject Type="Embed" ProgID="Equation.3" ShapeID="_x0000_i1317" DrawAspect="Content" ObjectID="_0000000001" r:id="rId823"/>
                              </w:object>
                            </w:r>
                          </w:p>
                        </w:tc>
                        <w:tc>
                          <w:tcPr>
                            <w:tcW w:w="479" w:type="pct"/>
                            <w:vAlign w:val="center"/>
                            <w:hideMark/>
                          </w:tcPr>
                          <w:p>
                            <w:pPr>
                              <w:spacing w:line="276" w:lineRule="auto"/>
                              <w:jc w:val="right"/>
                              <w:rPr>
                                <w:rFonts w:eastAsia="Calibri"/>
                                <w:color w:val="000000"/>
                                <w:szCs w:val="24"/>
                              </w:rPr>
                            </w:pPr>
                            <w:r>
                              <w:rPr>
                                <w:color w:val="000000"/>
                                <w:szCs w:val="24"/>
                              </w:rPr>
                              <w:t xml:space="preserve">(2.255) </w:t>
                            </w:r>
                          </w:p>
                        </w:tc>
                      </w:tr>
                    </w:tbl>
                    <w:p>
                      <w:pPr>
                        <w:jc w:val="both"/>
                        <w:rPr>
                          <w:rFonts w:eastAsia="Calibri"/>
                          <w:color w:val="000000"/>
                          <w:szCs w:val="24"/>
                        </w:rPr>
                      </w:pPr>
                      <w:r>
                        <w:rPr>
                          <w:color w:val="000000"/>
                          <w:szCs w:val="24"/>
                        </w:rPr>
                        <w:t xml:space="preserve">kitais atvejais skaičiavimo rezultatas atitinka gautą pagal (2.253) formulę. Jei kurį nors mėnesį reikia pastatą vėsinti, tačiau pastate neįrengta oro vėsinimo sistema, imama </w:t>
                      </w:r>
                      <w:r>
                        <w:rPr>
                          <w:i/>
                          <w:color w:val="000000"/>
                          <w:szCs w:val="24"/>
                        </w:rPr>
                        <w:t>Q</w:t>
                      </w:r>
                      <w:r>
                        <w:rPr>
                          <w:i/>
                          <w:color w:val="000000"/>
                          <w:szCs w:val="24"/>
                          <w:vertAlign w:val="subscript"/>
                        </w:rPr>
                        <w:t>C.E,m</w:t>
                      </w:r>
                      <w:r>
                        <w:rPr>
                          <w:color w:val="000000"/>
                          <w:szCs w:val="24"/>
                        </w:rPr>
                        <w:t>= 0.</w:t>
                      </w:r>
                    </w:p>
                    <w:p>
                      <w:pPr>
                        <w:tabs>
                          <w:tab w:val="left" w:pos="851"/>
                          <w:tab w:val="left" w:pos="993"/>
                        </w:tabs>
                        <w:ind w:firstLine="851"/>
                        <w:jc w:val="both"/>
                        <w:rPr>
                          <w:color w:val="000000"/>
                          <w:szCs w:val="24"/>
                        </w:rPr>
                      </w:pPr>
                      <w:r>
                        <w:rPr>
                          <w:color w:val="000000"/>
                          <w:szCs w:val="24"/>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strike/>
                                <w:color w:val="000000"/>
                                <w:szCs w:val="24"/>
                              </w:rPr>
                            </w:pPr>
                            <w:r>
                              <w:rPr>
                                <w:szCs w:val="24"/>
                              </w:rPr>
                              <w:object w:dxaOrig="7270" w:dyaOrig="1550">
                                <v:shape id="_x0000_i1318" type="#_x0000_t75" style="width:362.45pt;height:77.65pt" o:ole="">
                                  <v:imagedata r:id="rId824" o:title=""/>
                                </v:shape>
                                <o:OLEObject Type="Embed" ProgID="Equation.3" ShapeID="_x0000_i1318" DrawAspect="Content" ObjectID="_0000000001" r:id="rId825"/>
                              </w:object>
                            </w:r>
                          </w:p>
                        </w:tc>
                        <w:tc>
                          <w:tcPr>
                            <w:tcW w:w="868" w:type="pct"/>
                            <w:vAlign w:val="center"/>
                          </w:tcPr>
                          <w:p>
                            <w:pPr>
                              <w:spacing w:line="276" w:lineRule="auto"/>
                              <w:jc w:val="right"/>
                              <w:rPr>
                                <w:color w:val="000000"/>
                                <w:szCs w:val="24"/>
                              </w:rPr>
                            </w:pPr>
                          </w:p>
                          <w:p>
                            <w:pPr>
                              <w:spacing w:line="276" w:lineRule="auto"/>
                              <w:jc w:val="right"/>
                              <w:rPr>
                                <w:color w:val="000000"/>
                                <w:szCs w:val="24"/>
                              </w:rPr>
                            </w:pPr>
                          </w:p>
                          <w:p>
                            <w:pPr>
                              <w:spacing w:line="276" w:lineRule="auto"/>
                              <w:jc w:val="right"/>
                              <w:rPr>
                                <w:rFonts w:eastAsia="Calibri"/>
                                <w:color w:val="000000"/>
                                <w:szCs w:val="24"/>
                              </w:rPr>
                            </w:pPr>
                            <w:r>
                              <w:rPr>
                                <w:color w:val="000000"/>
                                <w:szCs w:val="24"/>
                              </w:rPr>
                              <w:t>(2.256)</w:t>
                            </w:r>
                          </w:p>
                        </w:tc>
                      </w:tr>
                    </w:tbl>
                    <w:p>
                      <w:pPr>
                        <w:rPr>
                          <w:color w:val="000000"/>
                          <w:szCs w:val="24"/>
                        </w:rPr>
                      </w:pPr>
                    </w:p>
                    <w:p>
                      <w:pPr>
                        <w:rPr>
                          <w:color w:val="000000"/>
                          <w:szCs w:val="24"/>
                        </w:rPr>
                      </w:pPr>
                    </w:p>
                    <w:p>
                      <w:pPr>
                        <w:rPr>
                          <w:rFonts w:eastAsia="Calibri"/>
                          <w:color w:val="000000"/>
                          <w:szCs w:val="24"/>
                        </w:rPr>
                      </w:pPr>
                      <w:r>
                        <w:rPr>
                          <w:color w:val="000000"/>
                          <w:szCs w:val="24"/>
                        </w:rPr>
                        <w:t xml:space="preserve">tai </w:t>
                      </w:r>
                      <w:r>
                        <w:rPr>
                          <w:i/>
                          <w:color w:val="000000"/>
                          <w:szCs w:val="24"/>
                        </w:rPr>
                        <w:t>Q</w:t>
                      </w:r>
                      <w:r>
                        <w:rPr>
                          <w:i/>
                          <w:color w:val="000000"/>
                          <w:szCs w:val="24"/>
                          <w:vertAlign w:val="superscript"/>
                        </w:rPr>
                        <w:t>I</w:t>
                      </w:r>
                      <w:r>
                        <w:rPr>
                          <w:i/>
                          <w:color w:val="000000"/>
                          <w:szCs w:val="24"/>
                          <w:vertAlign w:val="subscript"/>
                        </w:rPr>
                        <w:t xml:space="preserve">E.fvSK,m  </w:t>
                      </w:r>
                      <w:r>
                        <w:rPr>
                          <w:color w:val="000000"/>
                          <w:szCs w:val="24"/>
                        </w:rPr>
                        <w:t>apskaičiuojama pagal (2.255) formulę, bet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strike/>
                                <w:color w:val="000000"/>
                                <w:szCs w:val="24"/>
                              </w:rPr>
                            </w:pPr>
                            <w:r>
                              <w:rPr>
                                <w:szCs w:val="24"/>
                              </w:rPr>
                              <w:object w:dxaOrig="6250" w:dyaOrig="1040">
                                <v:shape id="_x0000_i1319" type="#_x0000_t75" style="width:313.1pt;height:51.8pt" o:ole="">
                                  <v:imagedata r:id="rId826" o:title=""/>
                                </v:shape>
                                <o:OLEObject Type="Embed" ProgID="Equation.3" ShapeID="_x0000_i1319" DrawAspect="Content" ObjectID="_0000000001" r:id="rId827"/>
                              </w:object>
                            </w:r>
                          </w:p>
                        </w:tc>
                        <w:tc>
                          <w:tcPr>
                            <w:tcW w:w="1292" w:type="dxa"/>
                            <w:vAlign w:val="center"/>
                            <w:hideMark/>
                          </w:tcPr>
                          <w:p>
                            <w:pPr>
                              <w:spacing w:line="276" w:lineRule="auto"/>
                              <w:jc w:val="right"/>
                              <w:rPr>
                                <w:rFonts w:eastAsia="Calibri"/>
                                <w:color w:val="000000"/>
                                <w:szCs w:val="24"/>
                              </w:rPr>
                            </w:pPr>
                            <w:r>
                              <w:rPr>
                                <w:color w:val="000000"/>
                                <w:szCs w:val="24"/>
                              </w:rPr>
                              <w:t xml:space="preserve">(2.257) </w:t>
                            </w:r>
                          </w:p>
                        </w:tc>
                      </w:tr>
                    </w:tbl>
                    <w:p>
                      <w:pPr>
                        <w:rPr>
                          <w:rFonts w:eastAsia="Calibri"/>
                          <w:color w:val="000000"/>
                          <w:szCs w:val="24"/>
                        </w:rPr>
                      </w:pPr>
                      <w:r>
                        <w:rPr>
                          <w:color w:val="000000"/>
                          <w:szCs w:val="24"/>
                        </w:rPr>
                        <w:t xml:space="preserve">ir pagal (2.257) formulę rezultatas gaunamas pirmąjį skaičiuojamąjį mėnesį (sausio mėnesį), tai </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color w:val="000000"/>
                                <w:szCs w:val="24"/>
                              </w:rPr>
                            </w:pPr>
                            <w:r>
                              <w:rPr>
                                <w:position w:val="-14"/>
                                <w:szCs w:val="24"/>
                              </w:rPr>
                              <w:object w:dxaOrig="2670" w:dyaOrig="400">
                                <v:shape id="_x0000_i1320" type="#_x0000_t75" style="width:133.5pt;height:20.2pt" o:ole="">
                                  <v:imagedata r:id="rId828" o:title=""/>
                                </v:shape>
                                <o:OLEObject Type="Embed" ProgID="Equation.3" ShapeID="_x0000_i1320" DrawAspect="Content" ObjectID="_0000000001" r:id="rId829"/>
                              </w:object>
                            </w:r>
                            <w:r>
                              <w:rPr>
                                <w:color w:val="000000"/>
                                <w:szCs w:val="24"/>
                              </w:rPr>
                              <w:t xml:space="preserve">, kitais mėnesiais </w:t>
                            </w:r>
                            <w:r>
                              <w:rPr>
                                <w:rFonts w:eastAsia="Calibri"/>
                                <w:color w:val="000000"/>
                                <w:position w:val="-14"/>
                                <w:szCs w:val="24"/>
                              </w:rPr>
                              <w:object w:dxaOrig="1230" w:dyaOrig="400">
                                <v:shape id="_x0000_i1321" type="#_x0000_t75" style="width:61.5pt;height:20.2pt" o:ole="">
                                  <v:imagedata r:id="rId830" o:title=""/>
                                </v:shape>
                                <o:OLEObject Type="Embed" ProgID="Equation.3" ShapeID="_x0000_i1321" DrawAspect="Content" ObjectID="_0000000001" r:id="rId831"/>
                              </w:object>
                            </w:r>
                          </w:p>
                        </w:tc>
                        <w:tc>
                          <w:tcPr>
                            <w:tcW w:w="868" w:type="pct"/>
                            <w:vAlign w:val="center"/>
                            <w:hideMark/>
                          </w:tcPr>
                          <w:p>
                            <w:pPr>
                              <w:spacing w:line="276" w:lineRule="auto"/>
                              <w:jc w:val="right"/>
                              <w:rPr>
                                <w:rFonts w:eastAsia="Calibri"/>
                                <w:color w:val="000000"/>
                                <w:szCs w:val="24"/>
                              </w:rPr>
                            </w:pPr>
                            <w:r>
                              <w:rPr>
                                <w:color w:val="000000"/>
                                <w:szCs w:val="24"/>
                              </w:rPr>
                              <w:t>(2.258)</w:t>
                            </w:r>
                          </w:p>
                        </w:tc>
                      </w:tr>
                    </w:tbl>
                    <w:p>
                      <w:pPr>
                        <w:rPr>
                          <w:rFonts w:eastAsia="Calibri"/>
                          <w:color w:val="000000"/>
                          <w:szCs w:val="24"/>
                        </w:rPr>
                      </w:pPr>
                      <w:r>
                        <w:rPr>
                          <w:color w:val="000000"/>
                          <w:szCs w:val="24"/>
                        </w:rPr>
                        <w:t xml:space="preserve">jei pagal (2.257) formulę rezultatas gaunamas kitą (ne sausio) mėnesį, tai šį mėnesį </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tcPr>
                          <w:p>
                            <w:pPr>
                              <w:jc w:val="center"/>
                              <w:rPr>
                                <w:szCs w:val="24"/>
                              </w:rPr>
                            </w:pPr>
                            <w:r>
                              <w:rPr>
                                <w:szCs w:val="24"/>
                              </w:rPr>
                              <w:object w:dxaOrig="6710" w:dyaOrig="1040">
                                <v:shape id="_x0000_i1322" type="#_x0000_t75" style="width:334.9pt;height:51.8pt" o:ole="">
                                  <v:imagedata r:id="rId832" o:title=""/>
                                </v:shape>
                                <o:OLEObject Type="Embed" ProgID="Equation.3" ShapeID="_x0000_i1322" DrawAspect="Content" ObjectID="_0000000001" r:id="rId833"/>
                              </w:object>
                              <w:t xml:space="preserve">, </w:t>
                            </w:r>
                          </w:p>
                          <w:p>
                            <w:pPr>
                              <w:spacing w:line="276" w:lineRule="auto"/>
                              <w:jc w:val="center"/>
                              <w:rPr>
                                <w:color w:val="000000"/>
                                <w:szCs w:val="24"/>
                              </w:rPr>
                            </w:pPr>
                          </w:p>
                          <w:p>
                            <w:pPr>
                              <w:spacing w:line="276" w:lineRule="auto"/>
                              <w:jc w:val="center"/>
                              <w:rPr>
                                <w:rFonts w:eastAsia="Calibri"/>
                                <w:color w:val="000000"/>
                                <w:szCs w:val="24"/>
                              </w:rPr>
                            </w:pPr>
                            <w:r>
                              <w:rPr>
                                <w:color w:val="000000"/>
                                <w:szCs w:val="24"/>
                              </w:rPr>
                              <w:t xml:space="preserve">kitais mėnesiais </w:t>
                            </w:r>
                            <w:r>
                              <w:rPr>
                                <w:rFonts w:eastAsia="Calibri"/>
                                <w:color w:val="000000"/>
                                <w:position w:val="-14"/>
                                <w:szCs w:val="24"/>
                              </w:rPr>
                              <w:object w:dxaOrig="1200" w:dyaOrig="400">
                                <v:shape id="_x0000_i1323" type="#_x0000_t75" style="width:59.85pt;height:20.2pt" o:ole="">
                                  <v:imagedata r:id="rId834" o:title=""/>
                                </v:shape>
                                <o:OLEObject Type="Embed" ProgID="Equation.3" ShapeID="_x0000_i1323" DrawAspect="Content" ObjectID="_0000000001" r:id="rId835"/>
                              </w:object>
                            </w:r>
                            <w:r>
                              <w:rPr>
                                <w:color w:val="000000"/>
                                <w:szCs w:val="24"/>
                              </w:rPr>
                              <w:t>;</w:t>
                            </w:r>
                          </w:p>
                        </w:tc>
                        <w:tc>
                          <w:tcPr>
                            <w:tcW w:w="1292" w:type="dxa"/>
                            <w:vAlign w:val="center"/>
                            <w:hideMark/>
                          </w:tcPr>
                          <w:p>
                            <w:pPr>
                              <w:spacing w:line="276" w:lineRule="auto"/>
                              <w:jc w:val="right"/>
                              <w:rPr>
                                <w:rFonts w:eastAsia="Calibri"/>
                                <w:color w:val="000000"/>
                                <w:szCs w:val="24"/>
                              </w:rPr>
                            </w:pPr>
                            <w:r>
                              <w:rPr>
                                <w:color w:val="000000"/>
                                <w:szCs w:val="24"/>
                              </w:rPr>
                              <w:t xml:space="preserve">(2.259) </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Q</w:t>
                      </w:r>
                      <w:r>
                        <w:rPr>
                          <w:i/>
                          <w:color w:val="000000"/>
                          <w:szCs w:val="24"/>
                          <w:vertAlign w:val="subscript"/>
                        </w:rPr>
                        <w:t>E.eq,m</w:t>
                      </w:r>
                      <w:r>
                        <w:rPr>
                          <w:i/>
                          <w:color w:val="000000"/>
                          <w:szCs w:val="24"/>
                        </w:rPr>
                        <w:t>, Q</w:t>
                      </w:r>
                      <w:r>
                        <w:rPr>
                          <w:i/>
                          <w:color w:val="000000"/>
                          <w:szCs w:val="24"/>
                          <w:vertAlign w:val="subscript"/>
                        </w:rPr>
                        <w:t>E.lg,m,x</w:t>
                      </w:r>
                      <w:r>
                        <w:rPr>
                          <w:i/>
                          <w:color w:val="000000"/>
                          <w:szCs w:val="24"/>
                        </w:rPr>
                        <w:t>, Q</w:t>
                      </w:r>
                      <w:r>
                        <w:rPr>
                          <w:i/>
                          <w:color w:val="000000"/>
                          <w:szCs w:val="24"/>
                          <w:vertAlign w:val="subscript"/>
                        </w:rPr>
                        <w:t>E.e,m</w:t>
                      </w:r>
                      <w:r>
                        <w:rPr>
                          <w:i/>
                          <w:color w:val="000000"/>
                          <w:szCs w:val="24"/>
                        </w:rPr>
                        <w:t>, Q</w:t>
                      </w:r>
                      <w:r>
                        <w:rPr>
                          <w:i/>
                          <w:color w:val="000000"/>
                          <w:szCs w:val="24"/>
                          <w:vertAlign w:val="subscript"/>
                        </w:rPr>
                        <w:t>E.vent,m</w:t>
                      </w:r>
                      <w:r>
                        <w:rPr>
                          <w:i/>
                          <w:color w:val="000000"/>
                          <w:szCs w:val="24"/>
                        </w:rPr>
                        <w:t>, Q</w:t>
                      </w:r>
                      <w:r>
                        <w:rPr>
                          <w:i/>
                          <w:color w:val="000000"/>
                          <w:szCs w:val="24"/>
                          <w:vertAlign w:val="subscript"/>
                        </w:rPr>
                        <w:t>E.hw.hwSK,m,x</w:t>
                      </w:r>
                      <w:r>
                        <w:rPr>
                          <w:i/>
                          <w:color w:val="000000"/>
                          <w:szCs w:val="24"/>
                        </w:rPr>
                        <w:t>, Q</w:t>
                      </w:r>
                      <w:r>
                        <w:rPr>
                          <w:i/>
                          <w:color w:val="000000"/>
                          <w:szCs w:val="24"/>
                          <w:vertAlign w:val="subscript"/>
                        </w:rPr>
                        <w:t>E.H.hwSK,m,x</w:t>
                      </w:r>
                      <w:r>
                        <w:rPr>
                          <w:i/>
                          <w:color w:val="000000"/>
                          <w:szCs w:val="24"/>
                        </w:rPr>
                        <w:t>, Q</w:t>
                      </w:r>
                      <w:r>
                        <w:rPr>
                          <w:i/>
                          <w:color w:val="000000"/>
                          <w:szCs w:val="24"/>
                          <w:vertAlign w:val="subscript"/>
                        </w:rPr>
                        <w:t>E.(hw+H).hwSK,m,x</w:t>
                      </w:r>
                      <w:r>
                        <w:rPr>
                          <w:i/>
                          <w:color w:val="000000"/>
                          <w:szCs w:val="24"/>
                        </w:rPr>
                        <w:t>, Q</w:t>
                      </w:r>
                      <w:r>
                        <w:rPr>
                          <w:i/>
                          <w:color w:val="000000"/>
                          <w:szCs w:val="24"/>
                          <w:vertAlign w:val="subscript"/>
                        </w:rPr>
                        <w:t xml:space="preserve">E.fvSK,m,x </w:t>
                      </w:r>
                      <w:r>
                        <w:rPr>
                          <w:color w:val="000000"/>
                          <w:szCs w:val="24"/>
                        </w:rPr>
                        <w:t xml:space="preserve">– elektros energijos suvartojimai atitinkamą </w:t>
                      </w:r>
                      <w:r>
                        <w:rPr>
                          <w:i/>
                          <w:color w:val="000000"/>
                          <w:szCs w:val="24"/>
                        </w:rPr>
                        <w:t>„m“</w:t>
                      </w:r>
                      <w:r>
                        <w:rPr>
                          <w:color w:val="000000"/>
                          <w:szCs w:val="24"/>
                        </w:rPr>
                        <w:t xml:space="preserve"> mėnesį (kWh/(m²·mėn.)). Apskaičiuojami pagal (2.128), (2.129), (2.130), (2.242), (2.190), (2.200), (2.220) ir (2.229) formules;</w:t>
                      </w:r>
                    </w:p>
                  </w:sdtContent>
                </w:sdt>
                <w:sdt>
                  <w:sdtPr>
                    <w:alias w:val="2 pr. 57.4 pp."/>
                    <w:tag w:val="part_cfb3ffe499474225ba366c37d529e379"/>
                    <w:lock w:val="sdtLocked"/>
                    <w:richText/>
                  </w:sdtPr>
                  <w:sdtContent>
                    <w:p>
                      <w:pPr>
                        <w:tabs>
                          <w:tab w:val="left" w:pos="567"/>
                        </w:tabs>
                        <w:suppressAutoHyphens/>
                        <w:ind w:firstLine="567"/>
                        <w:jc w:val="both"/>
                        <w:rPr>
                          <w:color w:val="000000"/>
                          <w:szCs w:val="24"/>
                          <w:lang w:eastAsia="lt-LT"/>
                        </w:rPr>
                      </w:pPr>
                      <w:sdt>
                        <w:sdtPr>
                          <w:alias w:val="Numeris"/>
                          <w:tag w:val="nr_cfb3ffe499474225ba366c37d529e379"/>
                          <w:lock w:val="sdtLocked"/>
                          <w:richText/>
                        </w:sdtPr>
                        <w:sdtContent>
                          <w:r>
                            <w:rPr>
                              <w:color w:val="000000"/>
                              <w:szCs w:val="24"/>
                              <w:lang w:eastAsia="lt-LT"/>
                            </w:rPr>
                            <w:t>57.4</w:t>
                          </w:r>
                        </w:sdtContent>
                      </w:sdt>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elektros energijos sąnaudos karštam vandeniui ruošti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hw.fvSK,m,x </w:t>
                      </w:r>
                      <w:r>
                        <w:rPr>
                          <w:color w:val="000000"/>
                          <w:szCs w:val="24"/>
                          <w:lang w:eastAsia="lt-LT"/>
                        </w:rPr>
                        <w:t>(kWh/(m²·mėn.))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480" w:dyaOrig="680">
                                <v:shape id="_x0000_i1324" type="#_x0000_t75" style="width:124.6pt;height:34.8pt" o:ole="">
                                  <v:imagedata r:id="rId836" o:title=""/>
                                </v:shape>
                                <o:OLEObject Type="Embed" ProgID="Equation.3" ShapeID="_x0000_i1324" DrawAspect="Content" ObjectID="_0000000001" r:id="rId837"/>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(2.260)</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hw.fvSK,m,x </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elektros energijos kiekis karštam buitiniam vandeniui ruošti (kWh/(m²·mėn.)). Apskaičiuojama pagal (2.267) formulę;</w:t>
                      </w:r>
                    </w:p>
                    <w:p>
                      <w:pPr>
                        <w:tabs>
                          <w:tab w:val="left" w:pos="567"/>
                        </w:tabs>
                        <w:suppressAutoHyphens/>
                        <w:ind w:left="600"/>
                        <w:rPr>
                          <w:color w:val="000000"/>
                          <w:szCs w:val="24"/>
                          <w:lang w:eastAsia="lt-LT"/>
                        </w:rPr>
                      </w:pPr>
                      <w:r>
                        <w:rPr>
                          <w:color w:val="000000"/>
                          <w:szCs w:val="24"/>
                          <w:lang w:eastAsia="lt-LT"/>
                        </w:rPr>
                        <w:t>(2.260) formulės taikymo sąlygos:</w:t>
                      </w:r>
                    </w:p>
                    <w:p>
                      <w:pPr>
                        <w:tabs>
                          <w:tab w:val="left" w:pos="567"/>
                          <w:tab w:val="left" w:pos="1200"/>
                        </w:tabs>
                        <w:suppressAutoHyphens/>
                        <w:ind w:left="1200" w:hanging="360"/>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hw.fvSK,m</w:t>
                      </w:r>
                      <w:r>
                        <w:rPr>
                          <w:color w:val="000000"/>
                          <w:szCs w:val="24"/>
                          <w:lang w:eastAsia="lt-LT"/>
                        </w:rPr>
                        <w:t xml:space="preserve">&lt;0, tai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hw.fvSK,m</w:t>
                      </w:r>
                      <w:r>
                        <w:rPr>
                          <w:color w:val="000000"/>
                          <w:szCs w:val="24"/>
                          <w:lang w:eastAsia="lt-LT"/>
                        </w:rPr>
                        <w:t>=0,</w:t>
                      </w:r>
                    </w:p>
                    <w:p>
                      <w:pPr>
                        <w:tabs>
                          <w:tab w:val="left" w:pos="567"/>
                          <w:tab w:val="left" w:pos="1650"/>
                        </w:tabs>
                        <w:suppressAutoHyphens/>
                        <w:ind w:firstLine="840"/>
                        <w:jc w:val="both"/>
                        <w:rPr>
                          <w:color w:val="000000"/>
                          <w:szCs w:val="24"/>
                          <w:lang w:eastAsia="lt-LT"/>
                        </w:rPr>
                      </w:pPr>
                      <w:r>
                        <w:rPr>
                          <w:color w:val="000000"/>
                          <w:szCs w:val="24"/>
                          <w:lang w:eastAsia="lt-LT"/>
                        </w:rPr>
                        <w:t>- kai pastate nenaudojama iš fotovoltinių Saulės kolektorių pagamintos elektros energijos dvipusė apskaita ir kai fotovoltinės Saulės kolektorių sistemos pagamina daugiau elektros energijos už elektros energijos poreikį karštam vandeniui ruošti,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rPr>
                                <w:sz w:val="10"/>
                                <w:szCs w:val="10"/>
                                <w:lang w:eastAsia="lt-LT"/>
                              </w:rPr>
                            </w:pPr>
                          </w:p>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2868" w:dyaOrig="432">
                                <v:shape id="_x0000_i1325" type="#_x0000_t75" style="width:2in;height:20.2pt" o:ole="">
                                  <v:imagedata r:id="rId838" o:title=""/>
                                </v:shape>
                                <o:OLEObject Type="Embed" ProgID="Equation.3" ShapeID="_x0000_i1325" DrawAspect="Content" ObjectID="_0000000001" r:id="rId839"/>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(2.261)</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2868" w:dyaOrig="432">
                                <v:shape id="_x0000_i1326" type="#_x0000_t75" style="width:2in;height:20.2pt" o:ole="">
                                  <v:imagedata r:id="rId840" o:title=""/>
                                </v:shape>
                                <o:OLEObject Type="Embed" ProgID="Equation.3" ShapeID="_x0000_i1326" DrawAspect="Content" ObjectID="_0000000001" r:id="rId841"/>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(2.262)</w:t>
                            </w:r>
                          </w:p>
                        </w:tc>
                      </w:tr>
                    </w:tbl>
                    <w:p>
                      <w:pPr>
                        <w:tabs>
                          <w:tab w:val="left" w:pos="567"/>
                        </w:tabs>
                        <w:suppressAutoHyphens/>
                        <w:rPr>
                          <w:color w:val="000000"/>
                          <w:szCs w:val="24"/>
                          <w:lang w:eastAsia="lt-LT"/>
                        </w:rPr>
                      </w:pPr>
                    </w:p>
                    <w:p>
                      <w:pPr>
                        <w:tabs>
                          <w:tab w:val="left" w:pos="567"/>
                        </w:tabs>
                        <w:suppressAutoHyphens/>
                        <w:rPr>
                          <w:rFonts w:eastAsia="Calibri"/>
                          <w:color w:val="000000"/>
                          <w:szCs w:val="24"/>
                          <w:lang w:eastAsia="lt-LT"/>
                        </w:rPr>
                      </w:pPr>
                      <w:r>
                        <w:rPr>
                          <w:color w:val="000000"/>
                          <w:szCs w:val="24"/>
                          <w:lang w:eastAsia="lt-LT"/>
                        </w:rPr>
                        <w:t>kitais atvejais skaičiavimo rezultatas atitinka gautą pagal (2.260) formulę;</w:t>
                      </w:r>
                    </w:p>
                    <w:p>
                      <w:pPr>
                        <w:tabs>
                          <w:tab w:val="left" w:pos="567"/>
                          <w:tab w:val="left" w:pos="1650"/>
                        </w:tabs>
                        <w:suppressAutoHyphens/>
                        <w:ind w:firstLine="840"/>
                        <w:jc w:val="both"/>
                        <w:rPr>
                          <w:color w:val="000000"/>
                          <w:szCs w:val="24"/>
                          <w:lang w:eastAsia="lt-LT"/>
                        </w:rPr>
                      </w:pPr>
                      <w:r>
                        <w:rPr>
                          <w:color w:val="000000"/>
                          <w:szCs w:val="24"/>
                          <w:lang w:eastAsia="lt-LT"/>
                        </w:rPr>
                        <w:t>- kai pastate naudojama iš fotovoltinių Saulės kolektorių pagamintos elektros energijos dvipusė apskaita, jei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160" w:dyaOrig="680">
                                <v:shape id="_x0000_i1327" type="#_x0000_t75" style="width:307.4pt;height:36.4pt" o:ole="">
                                  <v:imagedata r:id="rId842" o:title=""/>
                                </v:shape>
                                <o:OLEObject Type="Embed" ProgID="Equation.3" ShapeID="_x0000_i1327" DrawAspect="Content" ObjectID="_0000000001" r:id="rId843"/>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(2.263)</w:t>
                            </w:r>
                          </w:p>
                        </w:tc>
                      </w:tr>
                    </w:tbl>
                    <w:p>
                      <w:pPr>
                        <w:tabs>
                          <w:tab w:val="left" w:pos="567"/>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hw.fvSK,m  </w:t>
                      </w:r>
                      <w:r>
                        <w:rPr>
                          <w:color w:val="000000"/>
                          <w:szCs w:val="24"/>
                          <w:lang w:eastAsia="lt-LT"/>
                        </w:rPr>
                        <w:t>apskaičiuojama pagal (2.262) formulę, bet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4680" w:dyaOrig="680">
                                <v:shape id="_x0000_i1328" type="#_x0000_t75" style="width:236.2pt;height:36.4pt" o:ole="">
                                  <v:imagedata r:id="rId844" o:title=""/>
                                </v:shape>
                                <o:OLEObject Type="Embed" ProgID="Equation.3" ShapeID="_x0000_i1328" DrawAspect="Content" ObjectID="_0000000001" r:id="rId845"/>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(2.264) </w:t>
                            </w:r>
                          </w:p>
                        </w:tc>
                      </w:tr>
                    </w:tbl>
                    <w:p>
                      <w:pPr>
                        <w:tabs>
                          <w:tab w:val="left" w:pos="567"/>
                        </w:tabs>
                        <w:suppressAutoHyphens/>
                        <w:rPr>
                          <w:rFonts w:eastAsia="Calibri"/>
                          <w:color w:val="000000"/>
                          <w:szCs w:val="24"/>
                          <w:lang w:eastAsia="lt-LT"/>
                        </w:rPr>
                      </w:pPr>
                      <w:r>
                        <w:rPr>
                          <w:color w:val="000000"/>
                          <w:szCs w:val="24"/>
                          <w:lang w:eastAsia="lt-LT"/>
                        </w:rPr>
                        <w:t>ir pagal (2.264)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799" w:dyaOrig="400">
                                <v:shape id="_x0000_i1329" type="#_x0000_t75" style="width:138.35pt;height:20.2pt" o:ole="">
                                  <v:imagedata r:id="rId846" o:title=""/>
                                </v:shape>
                                <o:OLEObject Type="Embed" ProgID="Equation.3" ShapeID="_x0000_i1329" DrawAspect="Content" ObjectID="_0000000001" r:id="rId847"/>
                              </w:object>
                            </w:r>
                            <w:r>
                              <w:rPr>
                                <w:color w:val="000000"/>
                                <w:szCs w:val="24"/>
                                <w:lang w:eastAsia="lt-LT"/>
                              </w:rPr>
                              <w:t xml:space="preserve">, kitais mėnesiais </w:t>
                            </w:r>
                            <w:r>
                              <w:rPr>
                                <w:rFonts w:eastAsia="Calibri"/>
                                <w:color w:val="000000"/>
                                <w:position w:val="-14"/>
                                <w:szCs w:val="24"/>
                                <w:lang w:eastAsia="lt-LT"/>
                              </w:rPr>
                              <w:object w:dxaOrig="1296" w:dyaOrig="396">
                                <v:shape id="_x0000_i1330" type="#_x0000_t75" style="width:63.9pt;height:20.2pt" o:ole="">
                                  <v:imagedata r:id="rId848" o:title=""/>
                                </v:shape>
                                <o:OLEObject Type="Embed" ProgID="Equation.3" ShapeID="_x0000_i1330" DrawAspect="Content" ObjectID="_0000000001" r:id="rId849"/>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(2.265)</w:t>
                            </w:r>
                          </w:p>
                        </w:tc>
                      </w:tr>
                    </w:tbl>
                    <w:p>
                      <w:pPr>
                        <w:tabs>
                          <w:tab w:val="left" w:pos="567"/>
                        </w:tabs>
                        <w:suppressAutoHyphens/>
                        <w:rPr>
                          <w:rFonts w:eastAsia="Calibri"/>
                          <w:color w:val="000000"/>
                          <w:szCs w:val="24"/>
                          <w:lang w:eastAsia="lt-LT"/>
                        </w:rPr>
                      </w:pPr>
                      <w:r>
                        <w:rPr>
                          <w:color w:val="000000"/>
                          <w:szCs w:val="24"/>
                          <w:lang w:eastAsia="lt-LT"/>
                        </w:rPr>
                        <w:t>jei pagal (2.264) formulę rezultatas gaunamas kitą (ne sausio) mėnesį, tai šį mėnesį</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300" w:dyaOrig="680">
                                <v:shape id="_x0000_i1331" type="#_x0000_t75" style="width:263.75pt;height:36.4pt" o:ole="">
                                  <v:imagedata r:id="rId850" o:title=""/>
                                </v:shape>
                                <o:OLEObject Type="Embed" ProgID="Equation.3" ShapeID="_x0000_i1331" DrawAspect="Content" ObjectID="_0000000001" r:id="rId851"/>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296" w:dyaOrig="396">
                                <v:shape id="_x0000_i1332" type="#_x0000_t75" style="width:63.9pt;height:20.2pt" o:ole="">
                                  <v:imagedata r:id="rId852" o:title=""/>
                                </v:shape>
                                <o:OLEObject Type="Embed" ProgID="Equation.3" ShapeID="_x0000_i1332" DrawAspect="Content" ObjectID="_0000000001" r:id="rId853"/>
                              </w:object>
                            </w:r>
                            <w:r>
                              <w:rPr>
                                <w:rFonts w:eastAsia="Calibri"/>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(2.266) </w:t>
                            </w:r>
                          </w:p>
                        </w:tc>
                      </w:tr>
                    </w:tbl>
                    <w:p>
                      <w:pPr>
                        <w:tabs>
                          <w:tab w:val="left" w:pos="567"/>
                        </w:tabs>
                        <w:suppressAutoHyphens/>
                        <w:jc w:val="both"/>
                        <w:rPr>
                          <w:rFonts w:eastAsia="Calibri"/>
                          <w:bCs/>
                          <w:color w:val="000000"/>
                          <w:szCs w:val="24"/>
                          <w:lang w:eastAsia="lt-LT"/>
                        </w:rPr>
                      </w:pPr>
                      <w:r>
                        <w:rPr>
                          <w:bCs/>
                          <w:color w:val="000000"/>
                          <w:szCs w:val="24"/>
                          <w:lang w:eastAsia="lt-LT"/>
                        </w:rPr>
                        <w:t>čia:</w:t>
                        <w:tab/>
                      </w:r>
                      <w:r>
                        <w:rPr>
                          <w:bCs/>
                          <w:i/>
                          <w:color w:val="000000"/>
                          <w:szCs w:val="24"/>
                          <w:lang w:eastAsia="lt-LT"/>
                        </w:rPr>
                        <w:t>Q</w:t>
                      </w:r>
                      <w:r>
                        <w:rPr>
                          <w:bCs/>
                          <w:i/>
                          <w:color w:val="000000"/>
                          <w:szCs w:val="24"/>
                          <w:vertAlign w:val="subscript"/>
                          <w:lang w:eastAsia="lt-LT"/>
                        </w:rPr>
                        <w:t>hw.E,m</w:t>
                      </w:r>
                      <w:r>
                        <w:rPr>
                          <w:bCs/>
                          <w:color w:val="000000"/>
                          <w:szCs w:val="24"/>
                          <w:lang w:eastAsia="lt-LT"/>
                        </w:rPr>
                        <w:t xml:space="preserve"> – atitinkamo „m“ mėnesio pastato karšto vandens ruošimo sistemos pagrindinių šilumos šaltinių elektros energijos sąnaudos. Apskaičiuojama pagal (2.589)–(2.591) formules;</w:t>
                      </w:r>
                    </w:p>
                    <w:p>
                      <w:pPr>
                        <w:tabs>
                          <w:tab w:val="left" w:pos="567"/>
                        </w:tabs>
                        <w:suppressAutoHyphens/>
                        <w:ind w:firstLine="600"/>
                        <w:jc w:val="both"/>
                        <w:rPr>
                          <w:color w:val="000000"/>
                          <w:szCs w:val="24"/>
                        </w:rPr>
                      </w:pPr>
                      <w:r>
                        <w:rPr>
                          <w:i/>
                          <w:color w:val="000000"/>
                          <w:szCs w:val="24"/>
                          <w:lang w:eastAsia="lt-LT"/>
                        </w:rPr>
                        <w:t>Q</w:t>
                      </w:r>
                      <w:r>
                        <w:rPr>
                          <w:i/>
                          <w:color w:val="000000"/>
                          <w:szCs w:val="24"/>
                          <w:vertAlign w:val="subscript"/>
                          <w:lang w:eastAsia="lt-LT"/>
                        </w:rPr>
                        <w:t>hw.fvSK,m</w:t>
                      </w:r>
                      <w:r>
                        <w:rPr>
                          <w:color w:val="000000"/>
                          <w:szCs w:val="24"/>
                          <w:lang w:eastAsia="lt-LT"/>
                        </w:rPr>
                        <w:t xml:space="preserve"> – mėnesinės Saulės kolektorių sistemų elektros energijos sąnaudos karštam vandeniui ruošti (kWh/(m²·mėn.)). Apskaičiuojama pagal (2.237)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7.5 pp."/>
                    <w:tag w:val="part_5550965d8749403b8e6309f78f8a8843"/>
                    <w:lock w:val="sdtLocked"/>
                    <w:richText/>
                  </w:sdtPr>
                  <w:sdtContent>
                    <w:p>
                      <w:pPr>
                        <w:ind w:firstLine="600"/>
                        <w:jc w:val="both"/>
                        <w:rPr>
                          <w:color w:val="000000"/>
                          <w:szCs w:val="24"/>
                        </w:rPr>
                      </w:pPr>
                      <w:sdt>
                        <w:sdtPr>
                          <w:alias w:val="Numeris"/>
                          <w:tag w:val="nr_5550965d8749403b8e6309f78f8a8843"/>
                          <w:lock w:val="sdtLocked"/>
                          <w:richText/>
                        </w:sdtPr>
                        <w:sdtContent>
                          <w:r>
                            <w:rPr>
                              <w:color w:val="000000"/>
                              <w:szCs w:val="24"/>
                            </w:rPr>
                            <w:t>57.5</w:t>
                          </w:r>
                        </w:sdtContent>
                      </w:sdt>
                      <w:r>
                        <w:rPr>
                          <w:color w:val="000000"/>
                          <w:szCs w:val="24"/>
                        </w:rPr>
                        <w:t xml:space="preserve">. atitinkamos </w:t>
                      </w:r>
                      <w:r>
                        <w:rPr>
                          <w:i/>
                          <w:color w:val="000000"/>
                          <w:szCs w:val="24"/>
                        </w:rPr>
                        <w:t>„x“</w:t>
                      </w:r>
                      <w:r>
                        <w:rPr>
                          <w:color w:val="000000"/>
                          <w:szCs w:val="24"/>
                        </w:rPr>
                        <w:t xml:space="preserve"> fotovoltinių Saulės kolektorių sistemos atitinkamą </w:t>
                      </w:r>
                      <w:r>
                        <w:rPr>
                          <w:i/>
                          <w:color w:val="000000"/>
                          <w:szCs w:val="24"/>
                        </w:rPr>
                        <w:t>„m“</w:t>
                      </w:r>
                      <w:r>
                        <w:rPr>
                          <w:color w:val="000000"/>
                          <w:szCs w:val="24"/>
                        </w:rPr>
                        <w:t xml:space="preserve"> mėnesį pagamintas elektros energijos kiekis karštam vandeniui ruošti </w:t>
                      </w:r>
                      <w:r>
                        <w:rPr>
                          <w:i/>
                          <w:color w:val="000000"/>
                          <w:szCs w:val="24"/>
                        </w:rPr>
                        <w:t>Q</w:t>
                      </w:r>
                      <w:r>
                        <w:rPr>
                          <w:i/>
                          <w:color w:val="000000"/>
                          <w:szCs w:val="24"/>
                          <w:vertAlign w:val="superscript"/>
                        </w:rPr>
                        <w:t>I</w:t>
                      </w:r>
                      <w:r>
                        <w:rPr>
                          <w:i/>
                          <w:color w:val="000000"/>
                          <w:szCs w:val="24"/>
                          <w:vertAlign w:val="subscript"/>
                        </w:rPr>
                        <w:t xml:space="preserve">hw.fvSK,m,x </w:t>
                      </w:r>
                      <w:r>
                        <w:rPr>
                          <w:color w:val="000000"/>
                          <w:szCs w:val="24"/>
                        </w:rPr>
                        <w:t>(kWh/(m²·mėn.)) apskaičiuojamos pagal (2.267)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szCs w:val="24"/>
                              </w:rPr>
                              <w:object w:dxaOrig="3990" w:dyaOrig="1490">
                                <v:shape id="_x0000_i1333" type="#_x0000_t75" style="width:199.8pt;height:74.45pt" o:ole="">
                                  <v:imagedata r:id="rId854" o:title=""/>
                                </v:shape>
                                <o:OLEObject Type="Embed" ProgID="Equation.3" ShapeID="_x0000_i1333" DrawAspect="Content" ObjectID="_0000000001" r:id="rId855"/>
                              </w:object>
                            </w:r>
                          </w:p>
                        </w:tc>
                        <w:tc>
                          <w:tcPr>
                            <w:tcW w:w="1247" w:type="dxa"/>
                            <w:vAlign w:val="center"/>
                            <w:hideMark/>
                          </w:tcPr>
                          <w:p>
                            <w:pPr>
                              <w:spacing w:line="276" w:lineRule="auto"/>
                              <w:jc w:val="right"/>
                              <w:rPr>
                                <w:rFonts w:eastAsia="Calibri"/>
                                <w:color w:val="000000"/>
                                <w:szCs w:val="24"/>
                              </w:rPr>
                            </w:pPr>
                            <w:r>
                              <w:rPr>
                                <w:color w:val="000000"/>
                                <w:szCs w:val="24"/>
                              </w:rPr>
                              <w:t xml:space="preserve">(2.267) </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 xml:space="preserve">čia: </w:t>
                        <w:tab/>
                        <w:t>formulės paaiškinimus žiūrėti prie (2.229) formulės.</w:t>
                      </w:r>
                    </w:p>
                  </w:sdtContent>
                </w:sdt>
              </w:sdtContent>
            </w:sdt>
            <w:sdt>
              <w:sdtPr>
                <w:alias w:val="2 pr. 58 p."/>
                <w:tag w:val="part_2fa2491e73b0497894eb49182a262a36"/>
                <w:lock w:val="sdtLocked"/>
                <w:richText/>
              </w:sdtPr>
              <w:sdtContent>
                <w:p>
                  <w:pPr>
                    <w:ind w:firstLine="600"/>
                    <w:jc w:val="both"/>
                    <w:rPr>
                      <w:color w:val="000000"/>
                      <w:szCs w:val="24"/>
                    </w:rPr>
                  </w:pPr>
                  <w:sdt>
                    <w:sdtPr>
                      <w:alias w:val="Numeris"/>
                      <w:tag w:val="nr_2fa2491e73b0497894eb49182a262a36"/>
                      <w:lock w:val="sdtLocked"/>
                      <w:richText/>
                    </w:sdtPr>
                    <w:sdtContent>
                      <w:r>
                        <w:rPr>
                          <w:color w:val="000000"/>
                          <w:szCs w:val="24"/>
                        </w:rPr>
                        <w:t>58</w:t>
                      </w:r>
                    </w:sdtContent>
                  </w:sdt>
                  <w:r>
                    <w:rPr>
                      <w:color w:val="000000"/>
                      <w:szCs w:val="24"/>
                    </w:rPr>
                    <w:t>. Energijos iš fotovoltinių Saulės kolektorių neatsinaujinančios pirminės energijos sąnaudos pastate, kai ši energija naudojama elektros prietaisams ir pastatui šildyti, apskaičiuojamos taip:</w:t>
                  </w:r>
                </w:p>
                <w:sdt>
                  <w:sdtPr>
                    <w:alias w:val="2 pr. 58.1 pp."/>
                    <w:tag w:val="part_d591ffc5fcd9486f9ff9b376d22030a2"/>
                    <w:lock w:val="sdtLocked"/>
                    <w:richText/>
                  </w:sdtPr>
                  <w:sdtContent>
                    <w:p>
                      <w:pPr>
                        <w:ind w:firstLine="600"/>
                        <w:jc w:val="both"/>
                        <w:rPr>
                          <w:color w:val="000000"/>
                          <w:szCs w:val="24"/>
                        </w:rPr>
                      </w:pPr>
                      <w:sdt>
                        <w:sdtPr>
                          <w:alias w:val="Numeris"/>
                          <w:tag w:val="nr_d591ffc5fcd9486f9ff9b376d22030a2"/>
                          <w:lock w:val="sdtLocked"/>
                          <w:richText/>
                        </w:sdtPr>
                        <w:sdtContent>
                          <w:r>
                            <w:rPr>
                              <w:color w:val="000000"/>
                              <w:szCs w:val="24"/>
                            </w:rPr>
                            <w:t>58.1</w:t>
                          </w:r>
                        </w:sdtContent>
                      </w:sdt>
                      <w:r>
                        <w:rPr>
                          <w:color w:val="000000"/>
                          <w:szCs w:val="24"/>
                        </w:rPr>
                        <w:t xml:space="preserve">. kiekvieną mėnesį </w:t>
                      </w:r>
                      <w:r>
                        <w:rPr>
                          <w:i/>
                          <w:color w:val="000000"/>
                          <w:szCs w:val="24"/>
                        </w:rPr>
                        <w:t xml:space="preserve">„m“ </w:t>
                      </w:r>
                      <w:r>
                        <w:rPr>
                          <w:color w:val="000000"/>
                          <w:szCs w:val="24"/>
                        </w:rPr>
                        <w:t xml:space="preserve">energijos iš fotovoltinių Saulės kolektorių neatsinaujinančios pirminės energijos sąnaudos elektros prietaisams ir pastatui šildyti pastato šildomo ploto vienetui </w:t>
                      </w:r>
                      <w:r>
                        <w:rPr>
                          <w:i/>
                          <w:color w:val="000000"/>
                          <w:szCs w:val="24"/>
                        </w:rPr>
                        <w:t>Q</w:t>
                      </w:r>
                      <w:r>
                        <w:rPr>
                          <w:i/>
                          <w:color w:val="000000"/>
                          <w:szCs w:val="24"/>
                          <w:vertAlign w:val="subscript"/>
                        </w:rPr>
                        <w:t>PRn.(E+H).fvSK,m</w:t>
                      </w:r>
                      <w:r>
                        <w:rPr>
                          <w:color w:val="000000"/>
                          <w:szCs w:val="24"/>
                        </w:rPr>
                        <w:t>(kWh/(m²·mėn.))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tcPr>
                          <w:p>
                            <w:pPr>
                              <w:rPr>
                                <w:sz w:val="10"/>
                                <w:szCs w:val="10"/>
                              </w:rPr>
                            </w:pPr>
                          </w:p>
                          <w:p>
                            <w:pPr>
                              <w:spacing w:line="276" w:lineRule="auto"/>
                              <w:jc w:val="center"/>
                              <w:rPr>
                                <w:rFonts w:eastAsia="Calibri"/>
                                <w:color w:val="000000"/>
                                <w:szCs w:val="24"/>
                              </w:rPr>
                            </w:pPr>
                            <w:r>
                              <w:rPr>
                                <w:color w:val="000000"/>
                                <w:szCs w:val="24"/>
                              </w:rPr>
                              <w:object w:dxaOrig="4700" w:dyaOrig="400">
                                <v:shape id="_x0000_i1334" type="#_x0000_t75" style="width:233.8pt;height:20.2pt" o:ole="">
                                  <v:imagedata r:id="rId856" o:title=""/>
                                </v:shape>
                                <o:OLEObject Type="Embed" ProgID="Equation.3" ShapeID="_x0000_i1334" DrawAspect="Content" ObjectID="_0000000001" r:id="rId857"/>
                              </w:object>
                              <w:t>;</w:t>
                            </w:r>
                          </w:p>
                        </w:tc>
                        <w:tc>
                          <w:tcPr>
                            <w:tcW w:w="1292" w:type="dxa"/>
                            <w:vAlign w:val="center"/>
                            <w:hideMark/>
                          </w:tcPr>
                          <w:p>
                            <w:pPr>
                              <w:spacing w:line="276" w:lineRule="auto"/>
                              <w:jc w:val="right"/>
                              <w:rPr>
                                <w:rFonts w:eastAsia="Calibri"/>
                                <w:color w:val="000000"/>
                                <w:szCs w:val="24"/>
                              </w:rPr>
                            </w:pPr>
                            <w:r>
                              <w:rPr>
                                <w:color w:val="000000"/>
                                <w:szCs w:val="24"/>
                              </w:rPr>
                              <w:t xml:space="preserve">(2.269) </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II</w:t>
                      </w:r>
                      <w:r>
                        <w:rPr>
                          <w:i/>
                          <w:color w:val="000000"/>
                          <w:szCs w:val="24"/>
                          <w:vertAlign w:val="subscript"/>
                        </w:rPr>
                        <w:t xml:space="preserve">E.fvSK,m </w:t>
                      </w:r>
                      <w:r>
                        <w:rPr>
                          <w:color w:val="000000"/>
                          <w:szCs w:val="24"/>
                        </w:rPr>
                        <w:t>– apskaičiuojamas pagal (2.272) formulę;</w:t>
                      </w:r>
                    </w:p>
                    <w:p>
                      <w:pPr>
                        <w:ind w:left="600"/>
                        <w:rPr>
                          <w:color w:val="000000"/>
                          <w:szCs w:val="24"/>
                        </w:rPr>
                      </w:pPr>
                      <w:r>
                        <w:rPr>
                          <w:i/>
                          <w:color w:val="000000"/>
                          <w:szCs w:val="24"/>
                        </w:rPr>
                        <w:t>Q</w:t>
                      </w:r>
                      <w:r>
                        <w:rPr>
                          <w:i/>
                          <w:color w:val="000000"/>
                          <w:szCs w:val="24"/>
                          <w:vertAlign w:val="superscript"/>
                        </w:rPr>
                        <w:t>II</w:t>
                      </w:r>
                      <w:r>
                        <w:rPr>
                          <w:i/>
                          <w:color w:val="000000"/>
                          <w:szCs w:val="24"/>
                          <w:vertAlign w:val="subscript"/>
                        </w:rPr>
                        <w:t xml:space="preserve">H.fvSK,m </w:t>
                      </w:r>
                      <w:r>
                        <w:rPr>
                          <w:color w:val="000000"/>
                          <w:szCs w:val="24"/>
                        </w:rPr>
                        <w:t>– apskaičiuojamas pagal (2.279) formulę;</w:t>
                      </w:r>
                    </w:p>
                  </w:sdtContent>
                </w:sdt>
                <w:sdt>
                  <w:sdtPr>
                    <w:alias w:val="2 pr. 58.2 pp."/>
                    <w:tag w:val="part_a05e4797b1854e8c919be3a68337c497"/>
                    <w:lock w:val="sdtLocked"/>
                    <w:richText/>
                  </w:sdtPr>
                  <w:sdtContent>
                    <w:p>
                      <w:pPr>
                        <w:ind w:firstLine="600"/>
                        <w:jc w:val="both"/>
                        <w:rPr>
                          <w:color w:val="000000"/>
                          <w:szCs w:val="24"/>
                        </w:rPr>
                      </w:pPr>
                      <w:sdt>
                        <w:sdtPr>
                          <w:alias w:val="Numeris"/>
                          <w:tag w:val="nr_a05e4797b1854e8c919be3a68337c497"/>
                          <w:lock w:val="sdtLocked"/>
                          <w:richText/>
                        </w:sdtPr>
                        <w:sdtContent>
                          <w:r>
                            <w:rPr>
                              <w:color w:val="000000"/>
                              <w:szCs w:val="24"/>
                            </w:rPr>
                            <w:t>58.2</w:t>
                          </w:r>
                        </w:sdtContent>
                      </w:sdt>
                      <w:r>
                        <w:rPr>
                          <w:color w:val="000000"/>
                          <w:szCs w:val="24"/>
                        </w:rPr>
                        <w:t xml:space="preserve">. fotovoltinių Saulės kolektorių sistemų pagamintos energijos dalys per atitinkamą mėnesį </w:t>
                      </w:r>
                      <w:r>
                        <w:rPr>
                          <w:i/>
                          <w:color w:val="000000"/>
                          <w:szCs w:val="24"/>
                        </w:rPr>
                        <w:t>„m“</w:t>
                      </w:r>
                      <w:r>
                        <w:rPr>
                          <w:color w:val="000000"/>
                          <w:szCs w:val="24"/>
                        </w:rPr>
                        <w:t xml:space="preserve">, kurios priskiriamos elektros prietaisų energijos suvartojimui </w:t>
                      </w:r>
                      <w:r>
                        <w:rPr>
                          <w:i/>
                          <w:color w:val="000000"/>
                          <w:szCs w:val="24"/>
                        </w:rPr>
                        <w:t>f</w:t>
                      </w:r>
                      <w:r>
                        <w:rPr>
                          <w:i/>
                          <w:color w:val="000000"/>
                          <w:szCs w:val="24"/>
                          <w:vertAlign w:val="superscript"/>
                        </w:rPr>
                        <w:t>.II</w:t>
                      </w:r>
                      <w:r>
                        <w:rPr>
                          <w:i/>
                          <w:color w:val="000000"/>
                          <w:szCs w:val="24"/>
                          <w:vertAlign w:val="subscript"/>
                        </w:rPr>
                        <w:t>E.fvSK,m</w:t>
                      </w:r>
                      <w:r>
                        <w:rPr>
                          <w:color w:val="000000"/>
                          <w:szCs w:val="24"/>
                        </w:rPr>
                        <w:t xml:space="preserve"> (vnt. dalis) ir energijos suvartojimui pastatui šildyti</w:t>
                      </w:r>
                      <w:r>
                        <w:rPr>
                          <w:i/>
                          <w:color w:val="000000"/>
                          <w:szCs w:val="24"/>
                        </w:rPr>
                        <w:t xml:space="preserve"> f</w:t>
                      </w:r>
                      <w:r>
                        <w:rPr>
                          <w:i/>
                          <w:color w:val="000000"/>
                          <w:szCs w:val="24"/>
                          <w:vertAlign w:val="superscript"/>
                        </w:rPr>
                        <w:t>.II</w:t>
                      </w:r>
                      <w:r>
                        <w:rPr>
                          <w:i/>
                          <w:color w:val="000000"/>
                          <w:szCs w:val="24"/>
                          <w:vertAlign w:val="subscript"/>
                        </w:rPr>
                        <w:t>H.fvSK,m</w:t>
                      </w:r>
                      <w:r>
                        <w:rPr>
                          <w:color w:val="000000"/>
                          <w:szCs w:val="24"/>
                        </w:rPr>
                        <w:t xml:space="preserve"> (vnt. dalis) apskaičiuojamos taip:</w:t>
                      </w:r>
                    </w:p>
                    <w:tbl>
                      <w:tblPr>
                        <w:tblW w:w="0" w:type="auto"/>
                        <w:jc w:val="center"/>
                        <w:tblLook w:val="01E0" w:firstRow="1" w:lastRow="1" w:firstColumn="1" w:lastColumn="1" w:noHBand="0" w:noVBand="0"/>
                      </w:tblPr>
                      <w:tblGrid>
                        <w:gridCol w:w="6980"/>
                        <w:gridCol w:w="916"/>
                      </w:tblGrid>
                      <w:tr>
                        <w:trPr>
                          <w:jc w:val="center"/>
                        </w:trPr>
                        <w:tc>
                          <w:tcPr>
                            <w:tcW w:w="0" w:type="auto"/>
                            <w:vAlign w:val="center"/>
                          </w:tcPr>
                          <w:p>
                            <w:pPr>
                              <w:rPr>
                                <w:sz w:val="10"/>
                                <w:szCs w:val="10"/>
                              </w:rPr>
                            </w:pPr>
                          </w:p>
                          <w:p>
                            <w:pPr>
                              <w:spacing w:line="276" w:lineRule="auto"/>
                              <w:jc w:val="center"/>
                              <w:rPr>
                                <w:rFonts w:eastAsia="Calibri"/>
                                <w:color w:val="000000"/>
                                <w:szCs w:val="24"/>
                              </w:rPr>
                            </w:pPr>
                            <w:r>
                              <w:rPr>
                                <w:rFonts w:eastAsia="Calibri"/>
                                <w:color w:val="000000"/>
                                <w:szCs w:val="24"/>
                              </w:rPr>
                              <w:object w:dxaOrig="6770" w:dyaOrig="1660">
                                <v:shape id="_x0000_i1335" type="#_x0000_t75" style="width:338.15pt;height:83.35pt" o:ole="">
                                  <v:imagedata r:id="rId858" o:title=""/>
                                </v:shape>
                                <o:OLEObject Type="Embed" ProgID="Equation.3" ShapeID="_x0000_i1335" DrawAspect="Content" ObjectID="_0000000001" r:id="rId859"/>
                              </w:object>
                            </w:r>
                          </w:p>
                        </w:tc>
                        <w:tc>
                          <w:tcPr>
                            <w:tcW w:w="0" w:type="auto"/>
                            <w:vAlign w:val="center"/>
                            <w:hideMark/>
                          </w:tcPr>
                          <w:p>
                            <w:pPr>
                              <w:spacing w:line="276" w:lineRule="auto"/>
                              <w:jc w:val="right"/>
                              <w:rPr>
                                <w:rFonts w:eastAsia="Calibri"/>
                                <w:color w:val="000000"/>
                                <w:szCs w:val="24"/>
                              </w:rPr>
                            </w:pPr>
                            <w:r>
                              <w:rPr>
                                <w:color w:val="000000"/>
                                <w:szCs w:val="24"/>
                              </w:rPr>
                              <w:t>(2.270)</w:t>
                            </w:r>
                          </w:p>
                        </w:tc>
                      </w:tr>
                      <w:tr>
                        <w:trPr>
                          <w:jc w:val="center"/>
                        </w:trPr>
                        <w:tc>
                          <w:tcPr>
                            <w:tcW w:w="0" w:type="auto"/>
                            <w:vAlign w:val="center"/>
                          </w:tcPr>
                          <w:p>
                            <w:pPr>
                              <w:rPr>
                                <w:sz w:val="10"/>
                                <w:szCs w:val="10"/>
                              </w:rPr>
                            </w:pPr>
                          </w:p>
                          <w:p>
                            <w:pPr>
                              <w:spacing w:line="276" w:lineRule="auto"/>
                              <w:jc w:val="center"/>
                              <w:rPr>
                                <w:rFonts w:eastAsia="Calibri"/>
                                <w:color w:val="000000"/>
                                <w:szCs w:val="24"/>
                              </w:rPr>
                            </w:pPr>
                            <w:r>
                              <w:rPr>
                                <w:rFonts w:eastAsia="Calibri"/>
                                <w:color w:val="000000"/>
                                <w:szCs w:val="24"/>
                              </w:rPr>
                              <w:object w:dxaOrig="5810" w:dyaOrig="1200">
                                <v:shape id="_x0000_i1336" type="#_x0000_t75" style="width:289.6pt;height:59.85pt" o:ole="">
                                  <v:imagedata r:id="rId860" o:title=""/>
                                </v:shape>
                                <o:OLEObject Type="Embed" ProgID="Equation.3" ShapeID="_x0000_i1336" DrawAspect="Content" ObjectID="_0000000001" r:id="rId861"/>
                              </w:object>
                            </w:r>
                          </w:p>
                        </w:tc>
                        <w:tc>
                          <w:tcPr>
                            <w:tcW w:w="0" w:type="auto"/>
                            <w:vAlign w:val="center"/>
                            <w:hideMark/>
                          </w:tcPr>
                          <w:p>
                            <w:pPr>
                              <w:spacing w:line="276" w:lineRule="auto"/>
                              <w:jc w:val="right"/>
                              <w:rPr>
                                <w:rFonts w:eastAsia="Calibri"/>
                                <w:color w:val="000000"/>
                                <w:szCs w:val="24"/>
                              </w:rPr>
                            </w:pPr>
                            <w:r>
                              <w:rPr>
                                <w:color w:val="000000"/>
                                <w:szCs w:val="24"/>
                              </w:rPr>
                              <w:t>(2.271)</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t xml:space="preserve">jei kurį mėnesį reikia pastatą vėsinti, tačiau pastate neįrengta oro vėsinimo sistema, imama </w:t>
                      </w:r>
                      <w:r>
                        <w:rPr>
                          <w:i/>
                          <w:color w:val="000000"/>
                          <w:szCs w:val="24"/>
                        </w:rPr>
                        <w:t>Q</w:t>
                      </w:r>
                      <w:r>
                        <w:rPr>
                          <w:i/>
                          <w:color w:val="000000"/>
                          <w:szCs w:val="24"/>
                          <w:vertAlign w:val="subscript"/>
                        </w:rPr>
                        <w:t>C.E,m</w:t>
                      </w:r>
                      <w:r>
                        <w:rPr>
                          <w:color w:val="000000"/>
                          <w:szCs w:val="24"/>
                        </w:rPr>
                        <w:t>= 0;</w:t>
                      </w:r>
                    </w:p>
                  </w:sdtContent>
                </w:sdt>
                <w:sdt>
                  <w:sdtPr>
                    <w:alias w:val="2 pr. 58.3 pp."/>
                    <w:tag w:val="part_570e868574c44a509a0e0d0abb1a91d8"/>
                    <w:lock w:val="sdtLocked"/>
                    <w:richText/>
                  </w:sdtPr>
                  <w:sdtContent>
                    <w:p>
                      <w:pPr>
                        <w:ind w:firstLine="600"/>
                        <w:jc w:val="both"/>
                        <w:rPr>
                          <w:color w:val="000000"/>
                          <w:szCs w:val="24"/>
                        </w:rPr>
                      </w:pPr>
                      <w:sdt>
                        <w:sdtPr>
                          <w:alias w:val="Numeris"/>
                          <w:tag w:val="nr_570e868574c44a509a0e0d0abb1a91d8"/>
                          <w:lock w:val="sdtLocked"/>
                          <w:richText/>
                        </w:sdtPr>
                        <w:sdtContent>
                          <w:r>
                            <w:rPr>
                              <w:color w:val="000000"/>
                              <w:szCs w:val="24"/>
                            </w:rPr>
                            <w:t>58.3</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elektros energijos sąnaudos elektros prietaisams </w:t>
                      </w:r>
                      <w:r>
                        <w:rPr>
                          <w:i/>
                          <w:color w:val="000000"/>
                          <w:szCs w:val="24"/>
                        </w:rPr>
                        <w:t>Q</w:t>
                      </w:r>
                      <w:r>
                        <w:rPr>
                          <w:i/>
                          <w:color w:val="000000"/>
                          <w:szCs w:val="24"/>
                          <w:vertAlign w:val="superscript"/>
                        </w:rPr>
                        <w:t>II</w:t>
                      </w:r>
                      <w:r>
                        <w:rPr>
                          <w:i/>
                          <w:color w:val="000000"/>
                          <w:szCs w:val="24"/>
                          <w:vertAlign w:val="subscript"/>
                        </w:rPr>
                        <w:t xml:space="preserve">E.fvSK,m </w:t>
                      </w:r>
                      <w:r>
                        <w:rPr>
                          <w:color w:val="000000"/>
                          <w:szCs w:val="24"/>
                        </w:rPr>
                        <w:t>(kWh/(m²·mėn.)) apskaičiuojamos pagal (2.272) formulę ir formulės taikymo sąlygas:</w:t>
                      </w:r>
                    </w:p>
                    <w:tbl>
                      <w:tblPr>
                        <w:tblW w:w="5000" w:type="pct"/>
                        <w:jc w:val="center"/>
                        <w:tblLook w:val="01E0" w:firstRow="1" w:lastRow="1" w:firstColumn="1" w:lastColumn="1" w:noHBand="0" w:noVBand="0"/>
                      </w:tblPr>
                      <w:tblGrid>
                        <w:gridCol w:w="8930"/>
                        <w:gridCol w:w="924"/>
                      </w:tblGrid>
                      <w:tr>
                        <w:trPr>
                          <w:jc w:val="center"/>
                        </w:trPr>
                        <w:tc>
                          <w:tcPr>
                            <w:tcW w:w="4531" w:type="pct"/>
                            <w:vAlign w:val="center"/>
                            <w:hideMark/>
                          </w:tcPr>
                          <w:p>
                            <w:pPr>
                              <w:spacing w:line="276" w:lineRule="auto"/>
                              <w:jc w:val="center"/>
                              <w:rPr>
                                <w:rFonts w:eastAsia="Calibri"/>
                                <w:color w:val="000000"/>
                                <w:szCs w:val="24"/>
                              </w:rPr>
                            </w:pPr>
                            <w:r>
                              <w:rPr>
                                <w:rFonts w:eastAsia="Calibri"/>
                                <w:color w:val="000000"/>
                                <w:szCs w:val="24"/>
                              </w:rPr>
                              <w:object w:dxaOrig="3920" w:dyaOrig="1460">
                                <v:shape id="_x0000_i1337" type="#_x0000_t75" style="width:195.8pt;height:72.8pt" o:ole="">
                                  <v:imagedata r:id="rId862" o:title=""/>
                                </v:shape>
                                <o:OLEObject Type="Embed" ProgID="Equation.3" ShapeID="_x0000_i1337" DrawAspect="Content" ObjectID="_0000000001" r:id="rId863"/>
                              </w:object>
                            </w:r>
                          </w:p>
                        </w:tc>
                        <w:tc>
                          <w:tcPr>
                            <w:tcW w:w="469" w:type="pct"/>
                            <w:vAlign w:val="center"/>
                            <w:hideMark/>
                          </w:tcPr>
                          <w:p>
                            <w:pPr>
                              <w:spacing w:line="276" w:lineRule="auto"/>
                              <w:jc w:val="right"/>
                              <w:rPr>
                                <w:rFonts w:eastAsia="Calibri"/>
                                <w:color w:val="000000"/>
                                <w:szCs w:val="24"/>
                              </w:rPr>
                            </w:pPr>
                            <w:r>
                              <w:rPr>
                                <w:color w:val="000000"/>
                                <w:szCs w:val="24"/>
                              </w:rPr>
                              <w:t xml:space="preserve">(2.272) </w:t>
                            </w:r>
                          </w:p>
                        </w:tc>
                      </w:tr>
                    </w:tbl>
                    <w:p>
                      <w:pPr>
                        <w:tabs>
                          <w:tab w:val="left" w:pos="567"/>
                        </w:tabs>
                        <w:rPr>
                          <w:color w:val="000000"/>
                          <w:szCs w:val="24"/>
                        </w:rPr>
                      </w:pPr>
                    </w:p>
                    <w:p>
                      <w:pPr>
                        <w:tabs>
                          <w:tab w:val="left" w:pos="567"/>
                        </w:tabs>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.II</w:t>
                      </w:r>
                      <w:r>
                        <w:rPr>
                          <w:i/>
                          <w:color w:val="000000"/>
                          <w:szCs w:val="24"/>
                          <w:vertAlign w:val="subscript"/>
                        </w:rPr>
                        <w:t>E.fvSK,m</w:t>
                      </w:r>
                      <w:r>
                        <w:rPr>
                          <w:color w:val="000000"/>
                          <w:szCs w:val="24"/>
                        </w:rPr>
                        <w:t xml:space="preserve"> – apskaičiuojamas pagal (2.270) formulę (vnt. dalys);</w:t>
                      </w:r>
                    </w:p>
                    <w:p>
                      <w:pPr>
                        <w:ind w:left="600"/>
                        <w:rPr>
                          <w:color w:val="000000"/>
                          <w:szCs w:val="24"/>
                        </w:rPr>
                      </w:pPr>
                      <w:r>
                        <w:rPr>
                          <w:color w:val="000000"/>
                          <w:szCs w:val="24"/>
                        </w:rPr>
                        <w:t>kitus formulės paaiškinimus žiūrėti prie (2.229) formulės;</w:t>
                      </w:r>
                    </w:p>
                    <w:p>
                      <w:pPr>
                        <w:ind w:left="600" w:firstLine="720"/>
                        <w:jc w:val="both"/>
                        <w:rPr>
                          <w:color w:val="000000"/>
                          <w:szCs w:val="24"/>
                        </w:rPr>
                      </w:pPr>
                      <w:r>
                        <w:rPr>
                          <w:color w:val="000000"/>
                          <w:szCs w:val="24"/>
                        </w:rPr>
                        <w:t>(2.272) formulės taikymo sąlygos:</w:t>
                      </w:r>
                    </w:p>
                    <w:p>
                      <w:pPr>
                        <w:ind w:firstLine="600"/>
                        <w:jc w:val="both"/>
                        <w:rPr>
                          <w:color w:val="000000"/>
                          <w:szCs w:val="24"/>
                        </w:rPr>
                      </w:pPr>
                      <w:r>
                        <w:rPr>
                          <w:color w:val="000000"/>
                          <w:szCs w:val="24"/>
                        </w:rPr>
                        <w:t>- kai pastate nenaudojama iš fotovoltinių Saulės kolektorių pagamintos elektros energijos dvipusė apskaita ir kai fotovoltinės Saulės kolektorių sistemos pagamina daugiau elektros energijos už elektros prietaisų energijos sąnaudas pastate, t. y. jei</w:t>
                      </w:r>
                    </w:p>
                    <w:tbl>
                      <w:tblPr>
                        <w:tblW w:w="5000" w:type="pct"/>
                        <w:jc w:val="center"/>
                        <w:tblLook w:val="01E0" w:firstRow="1" w:lastRow="1" w:firstColumn="1" w:lastColumn="1" w:noHBand="0" w:noVBand="0"/>
                      </w:tblPr>
                      <w:tblGrid>
                        <w:gridCol w:w="8930"/>
                        <w:gridCol w:w="924"/>
                      </w:tblGrid>
                      <w:tr>
                        <w:trPr>
                          <w:jc w:val="center"/>
                        </w:trPr>
                        <w:tc>
                          <w:tcPr>
                            <w:tcW w:w="4531" w:type="pct"/>
                            <w:vAlign w:val="center"/>
                            <w:hideMark/>
                          </w:tcPr>
                          <w:p>
                            <w:pPr>
                              <w:spacing w:line="276" w:lineRule="auto"/>
                              <w:jc w:val="center"/>
                              <w:rPr>
                                <w:rFonts w:eastAsia="Calibri"/>
                                <w:color w:val="000000"/>
                                <w:szCs w:val="24"/>
                              </w:rPr>
                            </w:pPr>
                            <w:r>
                              <w:rPr>
                                <w:rFonts w:eastAsia="Calibri"/>
                                <w:color w:val="000000"/>
                                <w:szCs w:val="24"/>
                              </w:rPr>
                              <w:object w:dxaOrig="5560" w:dyaOrig="840">
                                <v:shape id="_x0000_i1338" type="#_x0000_t75" style="width:278.3pt;height:42.05pt" o:ole="">
                                  <v:imagedata r:id="rId864" o:title=""/>
                                </v:shape>
                                <o:OLEObject Type="Embed" ProgID="Equation.3" ShapeID="_x0000_i1338" DrawAspect="Content" ObjectID="_0000000001" r:id="rId865"/>
                              </w:object>
                            </w:r>
                          </w:p>
                        </w:tc>
                        <w:tc>
                          <w:tcPr>
                            <w:tcW w:w="469" w:type="pct"/>
                            <w:vAlign w:val="center"/>
                            <w:hideMark/>
                          </w:tcPr>
                          <w:p>
                            <w:pPr>
                              <w:spacing w:line="276" w:lineRule="auto"/>
                              <w:jc w:val="right"/>
                              <w:rPr>
                                <w:rFonts w:eastAsia="Calibri"/>
                                <w:color w:val="000000"/>
                                <w:szCs w:val="24"/>
                              </w:rPr>
                            </w:pPr>
                            <w:r>
                              <w:rPr>
                                <w:color w:val="000000"/>
                                <w:szCs w:val="24"/>
                              </w:rPr>
                              <w:t xml:space="preserve">(2.273) </w:t>
                            </w:r>
                          </w:p>
                        </w:tc>
                      </w:tr>
                    </w:tbl>
                    <w:p>
                      <w:pPr>
                        <w:tabs>
                          <w:tab w:val="left" w:pos="1200"/>
                        </w:tabs>
                        <w:ind w:left="1200" w:hanging="360"/>
                        <w:jc w:val="both"/>
                        <w:rPr>
                          <w:rFonts w:eastAsia="Calibri"/>
                          <w:color w:val="000000"/>
                          <w:szCs w:val="24"/>
                        </w:rPr>
                      </w:pPr>
                      <w:r>
                        <w:rPr>
                          <w:color w:val="000000"/>
                          <w:szCs w:val="24"/>
                        </w:rPr>
                        <w:t>-</w:t>
                        <w:tab/>
                        <w:t>tai</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5560" w:dyaOrig="840">
                                <v:shape id="_x0000_i1339" type="#_x0000_t75" style="width:278.3pt;height:42.05pt" o:ole="">
                                  <v:imagedata r:id="rId866" o:title=""/>
                                </v:shape>
                                <o:OLEObject Type="Embed" ProgID="Equation.3" ShapeID="_x0000_i1339" DrawAspect="Content" ObjectID="_0000000001" r:id="rId867"/>
                              </w:object>
                            </w:r>
                          </w:p>
                        </w:tc>
                        <w:tc>
                          <w:tcPr>
                            <w:tcW w:w="479" w:type="pct"/>
                            <w:vAlign w:val="center"/>
                            <w:hideMark/>
                          </w:tcPr>
                          <w:p>
                            <w:pPr>
                              <w:spacing w:line="276" w:lineRule="auto"/>
                              <w:jc w:val="right"/>
                              <w:rPr>
                                <w:rFonts w:eastAsia="Calibri"/>
                                <w:color w:val="000000"/>
                                <w:szCs w:val="24"/>
                              </w:rPr>
                            </w:pPr>
                            <w:r>
                              <w:rPr>
                                <w:color w:val="000000"/>
                                <w:szCs w:val="24"/>
                              </w:rPr>
                              <w:t xml:space="preserve">(2.274) </w:t>
                            </w:r>
                          </w:p>
                        </w:tc>
                      </w:tr>
                    </w:tbl>
                    <w:p>
                      <w:pPr>
                        <w:rPr>
                          <w:rFonts w:eastAsia="Calibri"/>
                          <w:color w:val="000000"/>
                          <w:szCs w:val="24"/>
                        </w:rPr>
                      </w:pPr>
                      <w:r>
                        <w:rPr>
                          <w:color w:val="000000"/>
                          <w:szCs w:val="24"/>
                        </w:rPr>
                        <w:t>kitais atvejais skaičiavimo rezultatas atitinka gautam pagal (2.272) formulę;</w:t>
                      </w:r>
                    </w:p>
                    <w:p>
                      <w:pPr>
                        <w:tabs>
                          <w:tab w:val="left" w:pos="1134"/>
                        </w:tabs>
                        <w:ind w:firstLine="840"/>
                        <w:jc w:val="both"/>
                        <w:rPr>
                          <w:color w:val="000000"/>
                          <w:szCs w:val="24"/>
                        </w:rPr>
                      </w:pPr>
                      <w:r>
                        <w:rPr>
                          <w:color w:val="000000"/>
                          <w:szCs w:val="24"/>
                        </w:rPr>
                        <w:t>-</w:t>
                        <w:tab/>
                        <w:t>kai pastate naudojama iš fotovoltinių Saulės kolektorių pagamintos elektros energijos dvipusė apskaita, jei</w:t>
                      </w:r>
                    </w:p>
                    <w:tbl>
                      <w:tblPr>
                        <w:tblW w:w="4951" w:type="pct"/>
                        <w:tblLook w:val="01E0" w:firstRow="1" w:lastRow="1" w:firstColumn="1" w:lastColumn="1" w:noHBand="0" w:noVBand="0"/>
                      </w:tblPr>
                      <w:tblGrid>
                        <w:gridCol w:w="8514"/>
                        <w:gridCol w:w="1243"/>
                      </w:tblGrid>
                      <w:tr>
                        <w:tc>
                          <w:tcPr>
                            <w:tcW w:w="4363" w:type="pct"/>
                            <w:hideMark/>
                          </w:tcPr>
                          <w:p>
                            <w:pPr>
                              <w:spacing w:line="276" w:lineRule="auto"/>
                              <w:jc w:val="center"/>
                              <w:rPr>
                                <w:rFonts w:eastAsia="Calibri"/>
                                <w:strike/>
                                <w:color w:val="000000"/>
                                <w:szCs w:val="24"/>
                              </w:rPr>
                            </w:pPr>
                            <w:r>
                              <w:rPr>
                                <w:szCs w:val="24"/>
                              </w:rPr>
                              <w:object w:dxaOrig="7500" w:dyaOrig="1950">
                                <v:shape id="_x0000_i1340" type="#_x0000_t75" style="width:375.35pt;height:97.9pt" o:ole="">
                                  <v:imagedata r:id="rId868" o:title=""/>
                                </v:shape>
                                <o:OLEObject Type="Embed" ProgID="Equation.3" ShapeID="_x0000_i1340" DrawAspect="Content" ObjectID="_0000000001" r:id="rId869"/>
                              </w:object>
                            </w:r>
                          </w:p>
                        </w:tc>
                        <w:tc>
                          <w:tcPr>
                            <w:tcW w:w="637" w:type="pct"/>
                            <w:vAlign w:val="center"/>
                            <w:hideMark/>
                          </w:tcPr>
                          <w:p>
                            <w:pPr>
                              <w:spacing w:line="276" w:lineRule="auto"/>
                              <w:jc w:val="right"/>
                              <w:rPr>
                                <w:rFonts w:eastAsia="Calibri"/>
                                <w:color w:val="000000"/>
                                <w:szCs w:val="24"/>
                              </w:rPr>
                            </w:pPr>
                            <w:r>
                              <w:rPr>
                                <w:color w:val="000000"/>
                                <w:szCs w:val="24"/>
                              </w:rPr>
                              <w:t>(2.275)</w:t>
                            </w:r>
                          </w:p>
                        </w:tc>
                      </w:tr>
                    </w:tbl>
                    <w:p>
                      <w:pPr>
                        <w:ind w:firstLine="124"/>
                        <w:rPr>
                          <w:color w:val="000000"/>
                          <w:szCs w:val="24"/>
                        </w:rPr>
                      </w:pPr>
                    </w:p>
                    <w:p>
                      <w:pPr>
                        <w:ind w:firstLine="124"/>
                        <w:rPr>
                          <w:rFonts w:eastAsia="Calibri"/>
                          <w:color w:val="000000"/>
                          <w:szCs w:val="24"/>
                        </w:rPr>
                      </w:pPr>
                      <w:r>
                        <w:rPr>
                          <w:color w:val="000000"/>
                          <w:szCs w:val="24"/>
                        </w:rPr>
                        <w:t xml:space="preserve">tai </w:t>
                      </w:r>
                      <w:r>
                        <w:rPr>
                          <w:i/>
                          <w:color w:val="000000"/>
                          <w:szCs w:val="24"/>
                        </w:rPr>
                        <w:t>Q</w:t>
                      </w:r>
                      <w:r>
                        <w:rPr>
                          <w:i/>
                          <w:color w:val="000000"/>
                          <w:szCs w:val="24"/>
                          <w:vertAlign w:val="superscript"/>
                        </w:rPr>
                        <w:t>II</w:t>
                      </w:r>
                      <w:r>
                        <w:rPr>
                          <w:i/>
                          <w:color w:val="000000"/>
                          <w:szCs w:val="24"/>
                          <w:vertAlign w:val="subscript"/>
                        </w:rPr>
                        <w:t>E.fvSK,m</w:t>
                      </w:r>
                      <w:r>
                        <w:rPr>
                          <w:color w:val="000000"/>
                          <w:szCs w:val="24"/>
                        </w:rPr>
                        <w:t xml:space="preserve"> apskaičiuojama pagal (2.274) formulę, bet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strike/>
                                <w:color w:val="000000"/>
                                <w:szCs w:val="24"/>
                              </w:rPr>
                            </w:pPr>
                            <w:r>
                              <w:rPr>
                                <w:szCs w:val="24"/>
                              </w:rPr>
                              <w:object w:dxaOrig="6790" w:dyaOrig="1120">
                                <v:shape id="_x0000_i1341" type="#_x0000_t75" style="width:339.8pt;height:55.8pt" o:ole="">
                                  <v:imagedata r:id="rId870" o:title=""/>
                                </v:shape>
                                <o:OLEObject Type="Embed" ProgID="Equation.3" ShapeID="_x0000_i1341" DrawAspect="Content" ObjectID="_0000000001" r:id="rId871"/>
                              </w:object>
                            </w:r>
                          </w:p>
                        </w:tc>
                        <w:tc>
                          <w:tcPr>
                            <w:tcW w:w="1292" w:type="dxa"/>
                            <w:vAlign w:val="center"/>
                            <w:hideMark/>
                          </w:tcPr>
                          <w:p>
                            <w:pPr>
                              <w:spacing w:line="276" w:lineRule="auto"/>
                              <w:jc w:val="right"/>
                              <w:rPr>
                                <w:rFonts w:eastAsia="Calibri"/>
                                <w:color w:val="000000"/>
                                <w:szCs w:val="24"/>
                              </w:rPr>
                            </w:pPr>
                            <w:r>
                              <w:rPr>
                                <w:color w:val="000000"/>
                                <w:szCs w:val="24"/>
                              </w:rPr>
                              <w:t xml:space="preserve">(2.276) </w:t>
                            </w:r>
                          </w:p>
                        </w:tc>
                      </w:tr>
                    </w:tbl>
                    <w:p>
                      <w:pPr>
                        <w:rPr>
                          <w:rFonts w:eastAsia="Calibri"/>
                          <w:color w:val="000000"/>
                          <w:szCs w:val="24"/>
                        </w:rPr>
                      </w:pPr>
                      <w:r>
                        <w:rPr>
                          <w:color w:val="000000"/>
                          <w:szCs w:val="24"/>
                        </w:rPr>
                        <w:t>ir pagal (2.276)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color w:val="000000"/>
                                <w:szCs w:val="24"/>
                              </w:rPr>
                            </w:pPr>
                            <w:r>
                              <w:rPr>
                                <w:position w:val="-14"/>
                                <w:szCs w:val="24"/>
                              </w:rPr>
                              <w:object w:dxaOrig="2560" w:dyaOrig="400">
                                <v:shape id="_x0000_i1342" type="#_x0000_t75" style="width:128.65pt;height:20.2pt" o:ole="">
                                  <v:imagedata r:id="rId872" o:title=""/>
                                </v:shape>
                                <o:OLEObject Type="Embed" ProgID="Equation.3" ShapeID="_x0000_i1342" DrawAspect="Content" ObjectID="_0000000001" r:id="rId873"/>
                              </w:object>
                            </w:r>
                            <w:r>
                              <w:rPr>
                                <w:color w:val="000000"/>
                                <w:szCs w:val="24"/>
                              </w:rPr>
                              <w:t xml:space="preserve">, kitais mėnesiais </w:t>
                            </w:r>
                            <w:r>
                              <w:rPr>
                                <w:rFonts w:eastAsia="Calibri"/>
                                <w:color w:val="000000"/>
                                <w:position w:val="-14"/>
                                <w:szCs w:val="24"/>
                              </w:rPr>
                              <w:object w:dxaOrig="1200" w:dyaOrig="400">
                                <v:shape id="_x0000_i1343" type="#_x0000_t75" style="width:59.85pt;height:20.2pt" o:ole="">
                                  <v:imagedata r:id="rId874" o:title=""/>
                                </v:shape>
                                <o:OLEObject Type="Embed" ProgID="Equation.3" ShapeID="_x0000_i1343" DrawAspect="Content" ObjectID="_0000000001" r:id="rId875"/>
                              </w:object>
                            </w:r>
                            <w:r>
                              <w:rPr>
                                <w:color w:val="000000"/>
                                <w:szCs w:val="24"/>
                              </w:rPr>
                              <w:t>;</w:t>
                            </w:r>
                          </w:p>
                        </w:tc>
                        <w:tc>
                          <w:tcPr>
                            <w:tcW w:w="868" w:type="pct"/>
                            <w:vAlign w:val="center"/>
                            <w:hideMark/>
                          </w:tcPr>
                          <w:p>
                            <w:pPr>
                              <w:spacing w:line="276" w:lineRule="auto"/>
                              <w:jc w:val="right"/>
                              <w:rPr>
                                <w:rFonts w:eastAsia="Calibri"/>
                                <w:color w:val="000000"/>
                                <w:szCs w:val="24"/>
                              </w:rPr>
                            </w:pPr>
                            <w:r>
                              <w:rPr>
                                <w:color w:val="000000"/>
                                <w:szCs w:val="24"/>
                              </w:rPr>
                              <w:t>(2.277)</w:t>
                            </w:r>
                          </w:p>
                        </w:tc>
                      </w:tr>
                    </w:tbl>
                    <w:p>
                      <w:pPr>
                        <w:rPr>
                          <w:rFonts w:eastAsia="Calibri"/>
                          <w:color w:val="000000"/>
                          <w:szCs w:val="24"/>
                        </w:rPr>
                      </w:pPr>
                      <w:r>
                        <w:rPr>
                          <w:color w:val="000000"/>
                          <w:szCs w:val="24"/>
                        </w:rPr>
                        <w:t>jei pagal (2.276) formulę rezultatas gaunamas kitą (ne sausio) mėnesį, tai šį mėnesį</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jc w:val="center"/>
                              <w:rPr>
                                <w:szCs w:val="24"/>
                              </w:rPr>
                            </w:pPr>
                            <w:r>
                              <w:rPr>
                                <w:szCs w:val="24"/>
                              </w:rPr>
                              <w:object w:dxaOrig="7090" w:dyaOrig="1120">
                                <v:shape id="_x0000_i1344" type="#_x0000_t75" style="width:355.15pt;height:55.8pt" o:ole="">
                                  <v:imagedata r:id="rId876" o:title=""/>
                                </v:shape>
                                <o:OLEObject Type="Embed" ProgID="Equation.3" ShapeID="_x0000_i1344" DrawAspect="Content" ObjectID="_0000000001" r:id="rId877"/>
                              </w:object>
                              <w:t xml:space="preserve">, </w:t>
                            </w:r>
                          </w:p>
                          <w:p>
                            <w:pPr>
                              <w:spacing w:line="276" w:lineRule="auto"/>
                              <w:jc w:val="center"/>
                              <w:rPr>
                                <w:rFonts w:eastAsia="Calibri"/>
                                <w:color w:val="000000"/>
                                <w:szCs w:val="24"/>
                              </w:rPr>
                            </w:pPr>
                            <w:r>
                              <w:rPr>
                                <w:color w:val="000000"/>
                                <w:szCs w:val="24"/>
                              </w:rPr>
                              <w:t xml:space="preserve">kitais mėnesiais </w:t>
                            </w:r>
                            <w:r>
                              <w:rPr>
                                <w:rFonts w:eastAsia="Calibri"/>
                                <w:color w:val="000000"/>
                                <w:position w:val="-14"/>
                                <w:szCs w:val="24"/>
                              </w:rPr>
                              <w:object w:dxaOrig="1200" w:dyaOrig="400">
                                <v:shape id="_x0000_i1345" type="#_x0000_t75" style="width:59.85pt;height:20.2pt" o:ole="">
                                  <v:imagedata r:id="rId878" o:title=""/>
                                </v:shape>
                                <o:OLEObject Type="Embed" ProgID="Equation.3" ShapeID="_x0000_i1345" DrawAspect="Content" ObjectID="_0000000001" r:id="rId879"/>
                              </w:object>
                            </w:r>
                            <w:r>
                              <w:rPr>
                                <w:color w:val="000000"/>
                                <w:szCs w:val="24"/>
                              </w:rPr>
                              <w:t>;</w:t>
                            </w:r>
                          </w:p>
                        </w:tc>
                        <w:tc>
                          <w:tcPr>
                            <w:tcW w:w="1292" w:type="dxa"/>
                            <w:vAlign w:val="center"/>
                          </w:tcPr>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p>
                            <w:pPr>
                              <w:spacing w:line="276" w:lineRule="auto"/>
                              <w:jc w:val="right"/>
                              <w:rPr>
                                <w:rFonts w:eastAsia="Calibri"/>
                                <w:color w:val="000000"/>
                                <w:szCs w:val="24"/>
                              </w:rPr>
                            </w:pPr>
                            <w:r>
                              <w:rPr>
                                <w:color w:val="000000"/>
                                <w:szCs w:val="24"/>
                              </w:rPr>
                              <w:t xml:space="preserve">(2.278) </w:t>
                            </w:r>
                          </w:p>
                        </w:tc>
                      </w:tr>
                    </w:tbl>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r>
                      <w:r>
                        <w:rPr>
                          <w:i/>
                          <w:color w:val="000000"/>
                          <w:szCs w:val="24"/>
                        </w:rPr>
                        <w:t>Q</w:t>
                      </w:r>
                      <w:r>
                        <w:rPr>
                          <w:i/>
                          <w:color w:val="000000"/>
                          <w:szCs w:val="24"/>
                          <w:vertAlign w:val="subscript"/>
                        </w:rPr>
                        <w:t>E.eq,m</w:t>
                      </w:r>
                      <w:r>
                        <w:rPr>
                          <w:i/>
                          <w:color w:val="000000"/>
                          <w:szCs w:val="24"/>
                        </w:rPr>
                        <w:t>, Q</w:t>
                      </w:r>
                      <w:r>
                        <w:rPr>
                          <w:i/>
                          <w:color w:val="000000"/>
                          <w:szCs w:val="24"/>
                          <w:vertAlign w:val="subscript"/>
                        </w:rPr>
                        <w:t>E.lg,m,x</w:t>
                      </w:r>
                      <w:r>
                        <w:rPr>
                          <w:i/>
                          <w:color w:val="000000"/>
                          <w:szCs w:val="24"/>
                        </w:rPr>
                        <w:t>, Q</w:t>
                      </w:r>
                      <w:r>
                        <w:rPr>
                          <w:i/>
                          <w:color w:val="000000"/>
                          <w:szCs w:val="24"/>
                          <w:vertAlign w:val="subscript"/>
                        </w:rPr>
                        <w:t>E.e,m</w:t>
                      </w:r>
                      <w:r>
                        <w:rPr>
                          <w:i/>
                          <w:color w:val="000000"/>
                          <w:szCs w:val="24"/>
                        </w:rPr>
                        <w:t>, Q</w:t>
                      </w:r>
                      <w:r>
                        <w:rPr>
                          <w:i/>
                          <w:color w:val="000000"/>
                          <w:szCs w:val="24"/>
                          <w:vertAlign w:val="subscript"/>
                        </w:rPr>
                        <w:t>E.vent,m</w:t>
                      </w:r>
                      <w:r>
                        <w:rPr>
                          <w:i/>
                          <w:color w:val="000000"/>
                          <w:szCs w:val="24"/>
                        </w:rPr>
                        <w:t>, Q</w:t>
                      </w:r>
                      <w:r>
                        <w:rPr>
                          <w:i/>
                          <w:color w:val="000000"/>
                          <w:szCs w:val="24"/>
                          <w:vertAlign w:val="subscript"/>
                        </w:rPr>
                        <w:t>E.hw.hwSK,m</w:t>
                      </w:r>
                      <w:r>
                        <w:rPr>
                          <w:i/>
                          <w:color w:val="000000"/>
                          <w:szCs w:val="24"/>
                        </w:rPr>
                        <w:t>, Q</w:t>
                      </w:r>
                      <w:r>
                        <w:rPr>
                          <w:i/>
                          <w:color w:val="000000"/>
                          <w:szCs w:val="24"/>
                          <w:vertAlign w:val="subscript"/>
                        </w:rPr>
                        <w:t>E.H.hwSK,m</w:t>
                      </w:r>
                      <w:r>
                        <w:rPr>
                          <w:i/>
                          <w:color w:val="000000"/>
                          <w:szCs w:val="24"/>
                        </w:rPr>
                        <w:t>, Q</w:t>
                      </w:r>
                      <w:r>
                        <w:rPr>
                          <w:i/>
                          <w:color w:val="000000"/>
                          <w:szCs w:val="24"/>
                          <w:vertAlign w:val="subscript"/>
                        </w:rPr>
                        <w:t>E.(hw+H).hwSK,m</w:t>
                      </w:r>
                      <w:r>
                        <w:rPr>
                          <w:i/>
                          <w:color w:val="000000"/>
                          <w:szCs w:val="24"/>
                        </w:rPr>
                        <w:t>, Q</w:t>
                      </w:r>
                      <w:r>
                        <w:rPr>
                          <w:i/>
                          <w:color w:val="000000"/>
                          <w:szCs w:val="24"/>
                          <w:vertAlign w:val="subscript"/>
                        </w:rPr>
                        <w:t>E.fvSK,m</w:t>
                      </w:r>
                      <w:r>
                        <w:rPr>
                          <w:i/>
                          <w:color w:val="000000"/>
                          <w:szCs w:val="24"/>
                        </w:rPr>
                        <w:t>, Q</w:t>
                      </w:r>
                      <w:r>
                        <w:rPr>
                          <w:i/>
                          <w:color w:val="000000"/>
                          <w:szCs w:val="24"/>
                          <w:vertAlign w:val="superscript"/>
                        </w:rPr>
                        <w:t>I</w:t>
                      </w:r>
                      <w:r>
                        <w:rPr>
                          <w:i/>
                          <w:color w:val="000000"/>
                          <w:szCs w:val="24"/>
                          <w:vertAlign w:val="subscript"/>
                        </w:rPr>
                        <w:t xml:space="preserve">E.fvSK,m </w:t>
                      </w:r>
                      <w:r>
                        <w:rPr>
                          <w:color w:val="000000"/>
                          <w:szCs w:val="24"/>
                        </w:rPr>
                        <w:t xml:space="preserve">– elektros energijos suvartojimai atitinkamą </w:t>
                      </w:r>
                      <w:r>
                        <w:rPr>
                          <w:i/>
                          <w:color w:val="000000"/>
                          <w:szCs w:val="24"/>
                        </w:rPr>
                        <w:t>„m“</w:t>
                      </w:r>
                      <w:r>
                        <w:rPr>
                          <w:color w:val="000000"/>
                          <w:szCs w:val="24"/>
                        </w:rPr>
                        <w:t xml:space="preserve"> mėnesį (kWh/(m²·mėn.)) pastate. Apskaičiuojami pagal (2.128), (2.129), (2.130), (2.131), (2.190), (2.200), (2.220), (2.229) ir (2.253) formules;</w:t>
                      </w:r>
                    </w:p>
                    <w:p>
                      <w:pPr>
                        <w:ind w:firstLine="600"/>
                        <w:rPr>
                          <w:szCs w:val="24"/>
                        </w:rPr>
                      </w:pPr>
                      <w:r>
                        <w:rPr>
                          <w:szCs w:val="24"/>
                        </w:rPr>
                        <w:t xml:space="preserve">– jei kurį mėnesį reikia pastatą vėsinti, tačiau pastate neįrengta oro vėsinimo sistema, imama </w:t>
                      </w:r>
                      <w:r>
                        <w:rPr>
                          <w:i/>
                          <w:szCs w:val="24"/>
                        </w:rPr>
                        <w:t>Q</w:t>
                      </w:r>
                      <w:r>
                        <w:rPr>
                          <w:i/>
                          <w:szCs w:val="24"/>
                          <w:vertAlign w:val="subscript"/>
                        </w:rPr>
                        <w:t>C.E,m</w:t>
                      </w:r>
                      <w:r>
                        <w:rPr>
                          <w:szCs w:val="24"/>
                        </w:rPr>
                        <w:t>=0;</w:t>
                      </w:r>
                    </w:p>
                  </w:sdtContent>
                </w:sdt>
                <w:sdt>
                  <w:sdtPr>
                    <w:alias w:val="2 pr. 58.4 pp."/>
                    <w:tag w:val="part_933e14f8266d49248e17b789f637e4c9"/>
                    <w:lock w:val="sdtLocked"/>
                    <w:richText/>
                  </w:sdtPr>
                  <w:sdtContent>
                    <w:p>
                      <w:pPr>
                        <w:tabs>
                          <w:tab w:val="left" w:pos="567"/>
                        </w:tabs>
                        <w:suppressAutoHyphens/>
                        <w:ind w:firstLine="567"/>
                        <w:jc w:val="both"/>
                        <w:rPr>
                          <w:color w:val="000000"/>
                          <w:szCs w:val="24"/>
                          <w:lang w:eastAsia="lt-LT"/>
                        </w:rPr>
                      </w:pPr>
                      <w:sdt>
                        <w:sdtPr>
                          <w:alias w:val="Numeris"/>
                          <w:tag w:val="nr_933e14f8266d49248e17b789f637e4c9"/>
                          <w:lock w:val="sdtLocked"/>
                          <w:richText/>
                        </w:sdtPr>
                        <w:sdtContent>
                          <w:r>
                            <w:rPr>
                              <w:color w:val="000000"/>
                              <w:szCs w:val="24"/>
                              <w:lang w:eastAsia="lt-LT"/>
                            </w:rPr>
                            <w:t>58.4</w:t>
                          </w:r>
                        </w:sdtContent>
                      </w:sdt>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elektros energijos sąnaudos pastatui šildyti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 xml:space="preserve">H.fvSK,m </w:t>
                      </w:r>
                      <w:r>
                        <w:rPr>
                          <w:color w:val="000000"/>
                          <w:szCs w:val="24"/>
                          <w:lang w:eastAsia="lt-LT"/>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400" w:dyaOrig="680">
                                <v:shape id="_x0000_i1346" type="#_x0000_t75" style="width:120.55pt;height:34.8pt" o:ole="">
                                  <v:imagedata r:id="rId880" o:title=""/>
                                </v:shape>
                                <o:OLEObject Type="Embed" ProgID="Equation.3" ShapeID="_x0000_i1346" DrawAspect="Content" ObjectID="_0000000001" r:id="rId881"/>
                              </w:object>
                              <w:t>;</w:t>
                            </w:r>
                          </w:p>
                        </w:tc>
                        <w:tc>
                          <w:tcPr>
                            <w:tcW w:w="1062" w:type="dxa"/>
                            <w:vAlign w:val="center"/>
                          </w:tcPr>
                          <w:p>
                            <w:pPr>
                              <w:tabs>
                                <w:tab w:val="left" w:pos="567"/>
                              </w:tabs>
                              <w:suppressAutoHyphens/>
                              <w:spacing w:line="276" w:lineRule="auto"/>
                              <w:jc w:val="right"/>
                              <w:rPr>
                                <w:rFonts w:eastAsia="Calibri"/>
                                <w:color w:val="000000"/>
                                <w:szCs w:val="24"/>
                                <w:lang w:eastAsia="lt-LT"/>
                              </w:rPr>
                            </w:pPr>
                            <w:r>
                              <w:rPr>
                                <w:color w:val="000000"/>
                                <w:szCs w:val="24"/>
                                <w:lang w:eastAsia="lt-LT"/>
                              </w:rPr>
                              <w:t>(2.279)</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II</w:t>
                      </w:r>
                      <w:r>
                        <w:rPr>
                          <w:i/>
                          <w:color w:val="000000"/>
                          <w:szCs w:val="24"/>
                          <w:vertAlign w:val="subscript"/>
                          <w:lang w:eastAsia="lt-LT"/>
                        </w:rPr>
                        <w:t>H.fvSK,m,x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elektros energijos kiekis pastatui šildyti (kWh/(m²·mėn.)). Apskaičiuojama pagal (2.286) formulę;</w:t>
                      </w:r>
                    </w:p>
                    <w:p>
                      <w:pPr>
                        <w:tabs>
                          <w:tab w:val="left" w:pos="567"/>
                        </w:tabs>
                        <w:suppressAutoHyphens/>
                        <w:ind w:firstLine="662"/>
                        <w:rPr>
                          <w:color w:val="000000"/>
                          <w:szCs w:val="24"/>
                          <w:lang w:eastAsia="lt-LT"/>
                        </w:rPr>
                      </w:pPr>
                      <w:r>
                        <w:rPr>
                          <w:color w:val="000000"/>
                          <w:szCs w:val="24"/>
                          <w:lang w:eastAsia="lt-LT"/>
                        </w:rPr>
                        <w:t>(2.279) formulės taikymo sąlygos:</w:t>
                      </w:r>
                    </w:p>
                    <w:p>
                      <w:pPr>
                        <w:tabs>
                          <w:tab w:val="left" w:pos="567"/>
                          <w:tab w:val="left" w:pos="1200"/>
                        </w:tabs>
                        <w:suppressAutoHyphens/>
                        <w:ind w:left="1200" w:hanging="360"/>
                        <w:jc w:val="both"/>
                        <w:rPr>
                          <w:color w:val="000000"/>
                          <w:szCs w:val="24"/>
                          <w:lang w:eastAsia="lt-LT"/>
                        </w:rPr>
                      </w:pPr>
                      <w:r>
                        <w:rPr>
                          <w:color w:val="000000"/>
                          <w:szCs w:val="24"/>
                          <w:lang w:eastAsia="lt-LT"/>
                        </w:rPr>
                        <w:t>-</w:t>
                        <w:tab/>
                        <w:t xml:space="preserve">jei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H.fvSK,m</w:t>
                      </w:r>
                      <w:r>
                        <w:rPr>
                          <w:color w:val="000000"/>
                          <w:szCs w:val="24"/>
                          <w:lang w:eastAsia="lt-LT"/>
                        </w:rPr>
                        <w:t xml:space="preserve">&lt; 0 arba </w:t>
                      </w:r>
                      <w:r>
                        <w:rPr>
                          <w:i/>
                          <w:color w:val="000000"/>
                          <w:szCs w:val="24"/>
                          <w:lang w:eastAsia="lt-LT"/>
                        </w:rPr>
                        <w:t>Q</w:t>
                      </w:r>
                      <w:r>
                        <w:rPr>
                          <w:i/>
                          <w:color w:val="000000"/>
                          <w:szCs w:val="24"/>
                          <w:vertAlign w:val="subscript"/>
                          <w:lang w:eastAsia="lt-LT"/>
                        </w:rPr>
                        <w:t>H,m</w:t>
                      </w:r>
                      <w:r>
                        <w:rPr>
                          <w:color w:val="000000"/>
                          <w:szCs w:val="24"/>
                          <w:lang w:eastAsia="lt-LT"/>
                        </w:rPr>
                        <w:t xml:space="preserve">= 0, 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H.fvSK,m</w:t>
                      </w:r>
                      <w:r>
                        <w:rPr>
                          <w:color w:val="000000"/>
                          <w:szCs w:val="24"/>
                          <w:lang w:eastAsia="lt-LT"/>
                        </w:rPr>
                        <w:t>= 0,</w:t>
                      </w:r>
                    </w:p>
                    <w:p>
                      <w:pPr>
                        <w:tabs>
                          <w:tab w:val="left" w:pos="567"/>
                          <w:tab w:val="left" w:pos="1134"/>
                        </w:tabs>
                        <w:suppressAutoHyphens/>
                        <w:ind w:firstLine="840"/>
                        <w:jc w:val="both"/>
                        <w:rPr>
                          <w:color w:val="000000"/>
                          <w:szCs w:val="24"/>
                          <w:lang w:eastAsia="lt-LT"/>
                        </w:rPr>
                      </w:pPr>
                      <w:r>
                        <w:rPr>
                          <w:color w:val="000000"/>
                          <w:szCs w:val="24"/>
                          <w:lang w:eastAsia="lt-LT"/>
                        </w:rPr>
                        <w:t>-</w:t>
                        <w:tab/>
                        <w:t xml:space="preserve"> kai pastate nenaudojama iš fotovoltinių Saulės kolektorių pagamintos elektros energijos dvipusė apskaita ir kai fotovoltinės Saulės kolektorių sistemos pagamina daugiau elektros energijos už elektros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2844" w:dyaOrig="408">
                                <v:shape id="_x0000_i1347" type="#_x0000_t75" style="width:141.55pt;height:20.2pt" o:ole="">
                                  <v:imagedata r:id="rId882" o:title=""/>
                                </v:shape>
                                <o:OLEObject Type="Embed" ProgID="Equation.3" ShapeID="_x0000_i1347" DrawAspect="Content" ObjectID="_0000000001" r:id="rId883"/>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(2.280)</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2784" w:dyaOrig="408">
                                <v:shape id="_x0000_i1348" type="#_x0000_t75" style="width:139.95pt;height:20.2pt" o:ole="">
                                  <v:imagedata r:id="rId884" o:title=""/>
                                </v:shape>
                                <o:OLEObject Type="Embed" ProgID="Equation.3" ShapeID="_x0000_i1348" DrawAspect="Content" ObjectID="_0000000001" r:id="rId885"/>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(2.281)</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 xml:space="preserve">H.hwSK,m </w:t>
                      </w:r>
                      <w:r>
                        <w:rPr>
                          <w:color w:val="000000"/>
                          <w:szCs w:val="24"/>
                          <w:lang w:eastAsia="lt-LT"/>
                        </w:rPr>
                        <w:t>atitinka skaičiavimo rezultatą, gautą pagal (2.279) formulę;</w:t>
                      </w:r>
                    </w:p>
                    <w:p>
                      <w:pPr>
                        <w:tabs>
                          <w:tab w:val="left" w:pos="567"/>
                          <w:tab w:val="left" w:pos="1276"/>
                          <w:tab w:val="left" w:pos="1650"/>
                        </w:tabs>
                        <w:suppressAutoHyphens/>
                        <w:ind w:firstLine="840"/>
                        <w:jc w:val="both"/>
                        <w:rPr>
                          <w:color w:val="000000"/>
                          <w:szCs w:val="24"/>
                          <w:lang w:eastAsia="lt-LT"/>
                        </w:rPr>
                      </w:pPr>
                      <w:r>
                        <w:rPr>
                          <w:color w:val="000000"/>
                          <w:szCs w:val="24"/>
                          <w:lang w:eastAsia="lt-LT"/>
                        </w:rPr>
                        <w:t>- kai pastate naudojama iš fotovoltinių Saulės kolektorių pagamintos elektros energijos dvipusė apskaita, jei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020" w:dyaOrig="680">
                                <v:shape id="_x0000_i1349" type="#_x0000_t75" style="width:304.2pt;height:36.4pt" o:ole="">
                                  <v:imagedata r:id="rId886" o:title=""/>
                                </v:shape>
                                <o:OLEObject Type="Embed" ProgID="Equation.3" ShapeID="_x0000_i1349" DrawAspect="Content" ObjectID="_0000000001" r:id="rId887"/>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(2.282)</w:t>
                            </w:r>
                          </w:p>
                        </w:tc>
                      </w:tr>
                    </w:tbl>
                    <w:p>
                      <w:pPr>
                        <w:tabs>
                          <w:tab w:val="left" w:pos="567"/>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 xml:space="preserve">H.fvSK,m  </w:t>
                      </w:r>
                      <w:r>
                        <w:rPr>
                          <w:color w:val="000000"/>
                          <w:szCs w:val="24"/>
                          <w:lang w:eastAsia="lt-LT"/>
                        </w:rPr>
                        <w:t>apskaičiuojama pagal (2.281) formulę, bet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520" w:dyaOrig="680">
                                <v:shape id="_x0000_i1350" type="#_x0000_t75" style="width:227.35pt;height:36.4pt" o:ole="">
                                  <v:imagedata r:id="rId888" o:title=""/>
                                </v:shape>
                                <o:OLEObject Type="Embed" ProgID="Equation.3" ShapeID="_x0000_i1350" DrawAspect="Content" ObjectID="_0000000001" r:id="rId889"/>
                              </w:object>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(2.283) </w:t>
                            </w:r>
                          </w:p>
                        </w:tc>
                      </w:tr>
                    </w:tbl>
                    <w:p>
                      <w:pPr>
                        <w:tabs>
                          <w:tab w:val="left" w:pos="567"/>
                        </w:tabs>
                        <w:suppressAutoHyphens/>
                        <w:rPr>
                          <w:rFonts w:eastAsia="Calibri"/>
                          <w:color w:val="000000"/>
                          <w:szCs w:val="24"/>
                          <w:lang w:eastAsia="lt-LT"/>
                        </w:rPr>
                      </w:pPr>
                      <w:r>
                        <w:rPr>
                          <w:color w:val="000000"/>
                          <w:szCs w:val="24"/>
                          <w:lang w:eastAsia="lt-LT"/>
                        </w:rPr>
                        <w:t>ir pagal (2.283)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620" w:dyaOrig="400">
                                <v:shape id="_x0000_i1351" type="#_x0000_t75" style="width:127.8pt;height:20.2pt" o:ole="">
                                  <v:imagedata r:id="rId890" o:title=""/>
                                </v:shape>
                                <o:OLEObject Type="Embed" ProgID="Equation.3" ShapeID="_x0000_i1351" DrawAspect="Content" ObjectID="_0000000001" r:id="rId891"/>
                              </w:object>
                            </w:r>
                            <w:r>
                              <w:rPr>
                                <w:color w:val="000000"/>
                                <w:szCs w:val="24"/>
                                <w:lang w:eastAsia="lt-LT"/>
                              </w:rPr>
                              <w:t xml:space="preserve">, kitais mėnesiais </w:t>
                            </w:r>
                            <w:r>
                              <w:rPr>
                                <w:rFonts w:eastAsia="Calibri"/>
                                <w:color w:val="000000"/>
                                <w:position w:val="-14"/>
                                <w:szCs w:val="24"/>
                                <w:lang w:eastAsia="lt-LT"/>
                              </w:rPr>
                              <w:object w:dxaOrig="1212" w:dyaOrig="396">
                                <v:shape id="_x0000_i1352" type="#_x0000_t75" style="width:59.85pt;height:20.2pt" o:ole="">
                                  <v:imagedata r:id="rId892" o:title=""/>
                                </v:shape>
                                <o:OLEObject Type="Embed" ProgID="Equation.3" ShapeID="_x0000_i1352" DrawAspect="Content" ObjectID="_0000000001" r:id="rId893"/>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(2.284)</w:t>
                            </w:r>
                          </w:p>
                        </w:tc>
                      </w:tr>
                    </w:tbl>
                    <w:p>
                      <w:pPr>
                        <w:tabs>
                          <w:tab w:val="left" w:pos="567"/>
                        </w:tabs>
                        <w:suppressAutoHyphens/>
                        <w:rPr>
                          <w:rFonts w:eastAsia="Calibri"/>
                          <w:color w:val="000000"/>
                          <w:szCs w:val="24"/>
                          <w:lang w:eastAsia="lt-LT"/>
                        </w:rPr>
                      </w:pPr>
                      <w:r>
                        <w:rPr>
                          <w:color w:val="000000"/>
                          <w:szCs w:val="24"/>
                          <w:lang w:eastAsia="lt-LT"/>
                        </w:rPr>
                        <w:t>jei pagal (2.283) formulę rezultatas gaunamas kitą (ne sausio) mėnesį, tai šį mėnesį</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5120" w:dyaOrig="680">
                                <v:shape id="_x0000_i1353" type="#_x0000_t75" style="width:250pt;height:36.4pt" o:ole="">
                                  <v:imagedata r:id="rId894" o:title=""/>
                                </v:shape>
                                <o:OLEObject Type="Embed" ProgID="Equation.3" ShapeID="_x0000_i1353" DrawAspect="Content" ObjectID="_0000000001" r:id="rId895"/>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212" w:dyaOrig="396">
                                <v:shape id="_x0000_i1354" type="#_x0000_t75" style="width:59.85pt;height:20.2pt" o:ole="">
                                  <v:imagedata r:id="rId896" o:title=""/>
                                </v:shape>
                                <o:OLEObject Type="Embed" ProgID="Equation.3" ShapeID="_x0000_i1354" DrawAspect="Content" ObjectID="_0000000001" r:id="rId897"/>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(2.285) </w:t>
                            </w:r>
                          </w:p>
                        </w:tc>
                      </w:tr>
                    </w:tbl>
                    <w:p>
                      <w:pPr>
                        <w:tabs>
                          <w:tab w:val="left" w:pos="567"/>
                        </w:tabs>
                        <w:suppressAutoHyphens/>
                        <w:jc w:val="both"/>
                        <w:rPr>
                          <w:rFonts w:eastAsia="Calibri"/>
                          <w:bCs/>
                          <w:color w:val="000000"/>
                          <w:szCs w:val="24"/>
                          <w:lang w:eastAsia="lt-LT"/>
                        </w:rPr>
                      </w:pPr>
                      <w:r>
                        <w:rPr>
                          <w:bCs/>
                          <w:color w:val="000000"/>
                          <w:szCs w:val="24"/>
                          <w:lang w:eastAsia="lt-LT"/>
                        </w:rPr>
                        <w:t>čia:</w:t>
                        <w:tab/>
                      </w:r>
                      <w:r>
                        <w:rPr>
                          <w:bCs/>
                          <w:i/>
                          <w:color w:val="000000"/>
                          <w:szCs w:val="24"/>
                          <w:lang w:eastAsia="lt-LT"/>
                        </w:rPr>
                        <w:t>Q</w:t>
                      </w:r>
                      <w:r>
                        <w:rPr>
                          <w:bCs/>
                          <w:i/>
                          <w:color w:val="000000"/>
                          <w:szCs w:val="24"/>
                          <w:vertAlign w:val="subscript"/>
                          <w:lang w:eastAsia="lt-LT"/>
                        </w:rPr>
                        <w:t>H.E,m</w:t>
                      </w:r>
                      <w:r>
                        <w:rPr>
                          <w:bCs/>
                          <w:color w:val="000000"/>
                          <w:szCs w:val="24"/>
                          <w:lang w:eastAsia="lt-LT"/>
                        </w:rPr>
                        <w:t xml:space="preserve"> – pagrindinių pastato šildymo sistemos šilumos šaltinių elektros energijos sąnaudų ir elektros energijos sąnaudų orui pašildyti vėdinimo sistemos įrenginiuose atitinkamo „m“ mėnesio suminės elektros energijos sąnaudos, kai nenaudojama elektros energija iš Saulės kolektorių, vėjo ir hidroelektrinių. Apskaičiuojama pagal (2.587) arba (2.588) formules;</w:t>
                      </w:r>
                    </w:p>
                    <w:p>
                      <w:pPr>
                        <w:tabs>
                          <w:tab w:val="left" w:pos="567"/>
                        </w:tabs>
                        <w:suppressAutoHyphens/>
                        <w:ind w:firstLine="570"/>
                        <w:jc w:val="both"/>
                        <w:rPr>
                          <w:color w:val="000000"/>
                          <w:szCs w:val="24"/>
                        </w:rPr>
                      </w:pPr>
                      <w:r>
                        <w:rPr>
                          <w:i/>
                          <w:color w:val="000000"/>
                          <w:szCs w:val="24"/>
                          <w:lang w:eastAsia="lt-LT"/>
                        </w:rPr>
                        <w:t>Q</w:t>
                      </w:r>
                      <w:r>
                        <w:rPr>
                          <w:i/>
                          <w:color w:val="000000"/>
                          <w:szCs w:val="24"/>
                          <w:vertAlign w:val="subscript"/>
                          <w:lang w:eastAsia="lt-LT"/>
                        </w:rPr>
                        <w:t xml:space="preserve">H.fvSK,m </w:t>
                      </w:r>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elektros energijos sąnaudos pastatui šildyti (kWh/(m²·mėn.)). Apskaičiuojama pagal (2.247) formulę;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8.5 pp."/>
                    <w:tag w:val="part_efccd6bd1eeb45ebb9c727df2229fe89"/>
                    <w:lock w:val="sdtLocked"/>
                    <w:richText/>
                  </w:sdtPr>
                  <w:sdtContent>
                    <w:p>
                      <w:pPr>
                        <w:ind w:firstLine="600"/>
                        <w:jc w:val="both"/>
                        <w:rPr>
                          <w:color w:val="000000"/>
                          <w:szCs w:val="24"/>
                        </w:rPr>
                      </w:pPr>
                      <w:sdt>
                        <w:sdtPr>
                          <w:alias w:val="Numeris"/>
                          <w:tag w:val="nr_efccd6bd1eeb45ebb9c727df2229fe89"/>
                          <w:lock w:val="sdtLocked"/>
                          <w:richText/>
                        </w:sdtPr>
                        <w:sdtContent>
                          <w:r>
                            <w:rPr>
                              <w:color w:val="000000"/>
                              <w:szCs w:val="24"/>
                            </w:rPr>
                            <w:t>58.5</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elektros energijos kiekis pastatui šildyti </w:t>
                      </w:r>
                      <w:r>
                        <w:rPr>
                          <w:i/>
                          <w:color w:val="000000"/>
                          <w:szCs w:val="24"/>
                        </w:rPr>
                        <w:t>Q</w:t>
                      </w:r>
                      <w:r>
                        <w:rPr>
                          <w:i/>
                          <w:color w:val="000000"/>
                          <w:szCs w:val="24"/>
                          <w:vertAlign w:val="superscript"/>
                        </w:rPr>
                        <w:t>II</w:t>
                      </w:r>
                      <w:r>
                        <w:rPr>
                          <w:i/>
                          <w:color w:val="000000"/>
                          <w:szCs w:val="24"/>
                          <w:vertAlign w:val="subscript"/>
                        </w:rPr>
                        <w:t xml:space="preserve">H.fvSK,m </w:t>
                      </w:r>
                      <w:r>
                        <w:rPr>
                          <w:color w:val="000000"/>
                          <w:szCs w:val="24"/>
                        </w:rPr>
                        <w:t>(kWh/(m²·mėn.)) apskaičiuojamos pagal (2.286)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szCs w:val="24"/>
                              </w:rPr>
                              <w:object w:dxaOrig="3920" w:dyaOrig="1490">
                                <v:shape id="_x0000_i1355" type="#_x0000_t75" style="width:195.8pt;height:74.45pt" o:ole="">
                                  <v:imagedata r:id="rId898" o:title=""/>
                                </v:shape>
                                <o:OLEObject Type="Embed" ProgID="Equation.3" ShapeID="_x0000_i1355" DrawAspect="Content" ObjectID="_0000000001" r:id="rId899"/>
                              </w:object>
                            </w:r>
                          </w:p>
                        </w:tc>
                        <w:tc>
                          <w:tcPr>
                            <w:tcW w:w="1247" w:type="dxa"/>
                            <w:vAlign w:val="center"/>
                            <w:hideMark/>
                          </w:tcPr>
                          <w:p>
                            <w:pPr>
                              <w:spacing w:line="276" w:lineRule="auto"/>
                              <w:jc w:val="right"/>
                              <w:rPr>
                                <w:rFonts w:eastAsia="Calibri"/>
                                <w:color w:val="000000"/>
                                <w:szCs w:val="24"/>
                              </w:rPr>
                            </w:pPr>
                            <w:r>
                              <w:rPr>
                                <w:color w:val="000000"/>
                                <w:szCs w:val="24"/>
                              </w:rPr>
                              <w:t xml:space="preserve">(2.286) </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.II</w:t>
                      </w:r>
                      <w:r>
                        <w:rPr>
                          <w:i/>
                          <w:color w:val="000000"/>
                          <w:szCs w:val="24"/>
                          <w:vertAlign w:val="subscript"/>
                        </w:rPr>
                        <w:t>H.fvSK,m</w:t>
                      </w:r>
                      <w:r>
                        <w:rPr>
                          <w:color w:val="000000"/>
                          <w:szCs w:val="24"/>
                        </w:rPr>
                        <w:t xml:space="preserve"> – apskaičiuojamas pagal (2.271) formulę (vnt. dalys);</w:t>
                      </w:r>
                    </w:p>
                    <w:p>
                      <w:pPr>
                        <w:ind w:left="600"/>
                        <w:rPr>
                          <w:color w:val="000000"/>
                          <w:szCs w:val="24"/>
                        </w:rPr>
                      </w:pPr>
                      <w:r>
                        <w:rPr>
                          <w:color w:val="000000"/>
                          <w:szCs w:val="24"/>
                        </w:rPr>
                        <w:t>kitus formulės paaiškinimus žiūrėti prie (2.229) formulės.</w:t>
                      </w:r>
                    </w:p>
                  </w:sdtContent>
                </w:sdt>
              </w:sdtContent>
            </w:sdt>
            <w:sdt>
              <w:sdtPr>
                <w:alias w:val="2 pr. 59 p."/>
                <w:tag w:val="part_c0156c35273c4e0599a85bd9f0d2f22e"/>
                <w:lock w:val="sdtLocked"/>
                <w:richText/>
              </w:sdtPr>
              <w:sdtContent>
                <w:p>
                  <w:pPr>
                    <w:ind w:firstLine="567"/>
                    <w:rPr>
                      <w:szCs w:val="24"/>
                    </w:rPr>
                  </w:pPr>
                  <w:sdt>
                    <w:sdtPr>
                      <w:alias w:val="Numeris"/>
                      <w:tag w:val="nr_c0156c35273c4e0599a85bd9f0d2f22e"/>
                      <w:lock w:val="sdtLocked"/>
                      <w:richText/>
                    </w:sdtPr>
                    <w:sdtContent>
                      <w:r>
                        <w:rPr>
                          <w:szCs w:val="24"/>
                        </w:rPr>
                        <w:t>59</w:t>
                      </w:r>
                    </w:sdtContent>
                  </w:sdt>
                  <w:r>
                    <w:rPr>
                      <w:szCs w:val="24"/>
                    </w:rPr>
                    <w:t>. Energijos iš fotovoltinių Saulės kolektorių neatsinaujinančios pirminės energijos sąnaudos pastate, kai ši energija naudojama karštam vandeniui ruošti ir pastatui šildyti, apskaičiuojamos taip:</w:t>
                  </w:r>
                </w:p>
                <w:sdt>
                  <w:sdtPr>
                    <w:alias w:val="2 pr. 59.1 pp."/>
                    <w:tag w:val="part_de1fd9bd346a499a9a20cf4c799b3184"/>
                    <w:lock w:val="sdtLocked"/>
                    <w:richText/>
                  </w:sdtPr>
                  <w:sdtContent>
                    <w:p>
                      <w:pPr>
                        <w:ind w:firstLine="600"/>
                        <w:jc w:val="both"/>
                        <w:rPr>
                          <w:color w:val="000000"/>
                          <w:szCs w:val="24"/>
                        </w:rPr>
                      </w:pPr>
                      <w:sdt>
                        <w:sdtPr>
                          <w:alias w:val="Numeris"/>
                          <w:tag w:val="nr_de1fd9bd346a499a9a20cf4c799b3184"/>
                          <w:lock w:val="sdtLocked"/>
                          <w:richText/>
                        </w:sdtPr>
                        <w:sdtContent>
                          <w:r>
                            <w:rPr>
                              <w:color w:val="000000"/>
                              <w:szCs w:val="24"/>
                            </w:rPr>
                            <w:t>59.1</w:t>
                          </w:r>
                        </w:sdtContent>
                      </w:sdt>
                      <w:r>
                        <w:rPr>
                          <w:color w:val="000000"/>
                          <w:szCs w:val="24"/>
                        </w:rPr>
                        <w:t xml:space="preserve">. kiekvieną mėnesį </w:t>
                      </w:r>
                      <w:r>
                        <w:rPr>
                          <w:i/>
                          <w:color w:val="000000"/>
                          <w:szCs w:val="24"/>
                        </w:rPr>
                        <w:t xml:space="preserve">„m“ </w:t>
                      </w:r>
                      <w:r>
                        <w:rPr>
                          <w:color w:val="000000"/>
                          <w:szCs w:val="24"/>
                        </w:rPr>
                        <w:t xml:space="preserve">energijos iš fotovoltinių Saulės kolektorių neatsinaujinančios pirminės energijos sąnaudos karštam buitiniam vandeniui ruošti ir pastatui šildyti pastato šildomo ploto vienetui </w:t>
                      </w:r>
                      <w:r>
                        <w:rPr>
                          <w:i/>
                          <w:color w:val="000000"/>
                          <w:szCs w:val="24"/>
                        </w:rPr>
                        <w:t>Q</w:t>
                      </w:r>
                      <w:r>
                        <w:rPr>
                          <w:i/>
                          <w:color w:val="000000"/>
                          <w:szCs w:val="24"/>
                          <w:vertAlign w:val="subscript"/>
                        </w:rPr>
                        <w:t>PRn.(hw+H).fvSK,m</w:t>
                      </w:r>
                      <w:r>
                        <w:rPr>
                          <w:color w:val="000000"/>
                          <w:szCs w:val="24"/>
                        </w:rPr>
                        <w:t>(kWh/(m²·mėn.))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tcPr>
                          <w:p>
                            <w:pPr>
                              <w:rPr>
                                <w:sz w:val="10"/>
                                <w:szCs w:val="10"/>
                              </w:rPr>
                            </w:pPr>
                          </w:p>
                          <w:p>
                            <w:pPr>
                              <w:spacing w:line="276" w:lineRule="auto"/>
                              <w:jc w:val="center"/>
                              <w:rPr>
                                <w:rFonts w:eastAsia="Calibri"/>
                                <w:color w:val="000000"/>
                                <w:szCs w:val="24"/>
                              </w:rPr>
                            </w:pPr>
                            <w:r>
                              <w:rPr>
                                <w:rFonts w:eastAsia="Calibri"/>
                                <w:color w:val="000000"/>
                                <w:szCs w:val="24"/>
                              </w:rPr>
                              <w:object w:dxaOrig="4830" w:dyaOrig="400">
                                <v:shape id="_x0000_i1356" type="#_x0000_t75" style="width:241.9pt;height:20.2pt" o:ole="">
                                  <v:imagedata r:id="rId900" o:title=""/>
                                </v:shape>
                                <o:OLEObject Type="Embed" ProgID="Equation.3" ShapeID="_x0000_i1356" DrawAspect="Content" ObjectID="_0000000001" r:id="rId901"/>
                              </w:object>
                            </w:r>
                            <w:r>
                              <w:rPr>
                                <w:color w:val="000000"/>
                                <w:szCs w:val="24"/>
                              </w:rPr>
                              <w:t>;</w:t>
                            </w:r>
                          </w:p>
                        </w:tc>
                        <w:tc>
                          <w:tcPr>
                            <w:tcW w:w="1292" w:type="dxa"/>
                            <w:vAlign w:val="center"/>
                            <w:hideMark/>
                          </w:tcPr>
                          <w:p>
                            <w:pPr>
                              <w:spacing w:line="276" w:lineRule="auto"/>
                              <w:jc w:val="right"/>
                              <w:rPr>
                                <w:rFonts w:eastAsia="Calibri"/>
                                <w:color w:val="000000"/>
                                <w:szCs w:val="24"/>
                              </w:rPr>
                            </w:pPr>
                            <w:r>
                              <w:rPr>
                                <w:color w:val="000000"/>
                                <w:szCs w:val="24"/>
                              </w:rPr>
                              <w:t xml:space="preserve">(2.288) </w:t>
                            </w:r>
                          </w:p>
                        </w:tc>
                      </w:tr>
                    </w:tbl>
                    <w:p>
                      <w:pPr>
                        <w:tabs>
                          <w:tab w:val="left" w:pos="567"/>
                        </w:tabs>
                        <w:rPr>
                          <w:color w:val="000000"/>
                          <w:szCs w:val="24"/>
                        </w:rPr>
                      </w:pPr>
                    </w:p>
                    <w:p>
                      <w:pPr>
                        <w:tabs>
                          <w:tab w:val="left" w:pos="567"/>
                        </w:tabs>
                        <w:rPr>
                          <w:color w:val="000000"/>
                          <w:szCs w:val="24"/>
                        </w:rPr>
                      </w:pPr>
                    </w:p>
                    <w:p>
                      <w:pPr>
                        <w:tabs>
                          <w:tab w:val="left" w:pos="567"/>
                        </w:tabs>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III</w:t>
                      </w:r>
                      <w:r>
                        <w:rPr>
                          <w:i/>
                          <w:color w:val="000000"/>
                          <w:szCs w:val="24"/>
                          <w:vertAlign w:val="subscript"/>
                        </w:rPr>
                        <w:t xml:space="preserve">hw.fvSK,m </w:t>
                      </w:r>
                      <w:r>
                        <w:rPr>
                          <w:color w:val="000000"/>
                          <w:szCs w:val="24"/>
                        </w:rPr>
                        <w:t>– apskaičiuojamas pagal (2.291) formulę;</w:t>
                      </w:r>
                    </w:p>
                    <w:p>
                      <w:pPr>
                        <w:ind w:left="600"/>
                        <w:rPr>
                          <w:color w:val="000000"/>
                          <w:szCs w:val="24"/>
                        </w:rPr>
                      </w:pPr>
                      <w:r>
                        <w:rPr>
                          <w:i/>
                          <w:color w:val="000000"/>
                          <w:szCs w:val="24"/>
                        </w:rPr>
                        <w:t>Q</w:t>
                      </w:r>
                      <w:r>
                        <w:rPr>
                          <w:i/>
                          <w:color w:val="000000"/>
                          <w:szCs w:val="24"/>
                          <w:vertAlign w:val="superscript"/>
                        </w:rPr>
                        <w:t>III</w:t>
                      </w:r>
                      <w:r>
                        <w:rPr>
                          <w:i/>
                          <w:color w:val="000000"/>
                          <w:szCs w:val="24"/>
                          <w:vertAlign w:val="subscript"/>
                        </w:rPr>
                        <w:t xml:space="preserve">H.fvSK,m </w:t>
                      </w:r>
                      <w:r>
                        <w:rPr>
                          <w:color w:val="000000"/>
                          <w:szCs w:val="24"/>
                        </w:rPr>
                        <w:t>– apskaičiuojamas pagal (2.300) formulę;</w:t>
                      </w:r>
                    </w:p>
                  </w:sdtContent>
                </w:sdt>
                <w:sdt>
                  <w:sdtPr>
                    <w:alias w:val="2 pr. 59.2 pp."/>
                    <w:tag w:val="part_f9945835324c47d08cb4185e8456191f"/>
                    <w:lock w:val="sdtLocked"/>
                    <w:richText/>
                  </w:sdtPr>
                  <w:sdtContent>
                    <w:p>
                      <w:pPr>
                        <w:ind w:firstLine="600"/>
                        <w:jc w:val="both"/>
                        <w:rPr>
                          <w:color w:val="000000"/>
                          <w:szCs w:val="24"/>
                        </w:rPr>
                      </w:pPr>
                      <w:sdt>
                        <w:sdtPr>
                          <w:alias w:val="Numeris"/>
                          <w:tag w:val="nr_f9945835324c47d08cb4185e8456191f"/>
                          <w:lock w:val="sdtLocked"/>
                          <w:richText/>
                        </w:sdtPr>
                        <w:sdtContent>
                          <w:r>
                            <w:rPr>
                              <w:color w:val="000000"/>
                              <w:szCs w:val="24"/>
                            </w:rPr>
                            <w:t>59.2</w:t>
                          </w:r>
                        </w:sdtContent>
                      </w:sdt>
                      <w:r>
                        <w:rPr>
                          <w:color w:val="000000"/>
                          <w:szCs w:val="24"/>
                        </w:rPr>
                        <w:t xml:space="preserve">. fotovoltinių Saulės kolektorių sistemų pagamintos energijos dalys per atitinkamą mėnesį </w:t>
                      </w:r>
                      <w:r>
                        <w:rPr>
                          <w:i/>
                          <w:color w:val="000000"/>
                          <w:szCs w:val="24"/>
                        </w:rPr>
                        <w:t>„m“</w:t>
                      </w:r>
                      <w:r>
                        <w:rPr>
                          <w:color w:val="000000"/>
                          <w:szCs w:val="24"/>
                        </w:rPr>
                        <w:t xml:space="preserve">, kurios priskiriamos energijos suvartojimui karštam buitiniam vandeniui ruošti </w:t>
                      </w:r>
                      <w:r>
                        <w:rPr>
                          <w:i/>
                          <w:color w:val="000000"/>
                          <w:szCs w:val="24"/>
                        </w:rPr>
                        <w:t>f</w:t>
                      </w:r>
                      <w:r>
                        <w:rPr>
                          <w:i/>
                          <w:color w:val="000000"/>
                          <w:szCs w:val="24"/>
                          <w:vertAlign w:val="superscript"/>
                        </w:rPr>
                        <w:t>.III</w:t>
                      </w:r>
                      <w:r>
                        <w:rPr>
                          <w:i/>
                          <w:color w:val="000000"/>
                          <w:szCs w:val="24"/>
                          <w:vertAlign w:val="subscript"/>
                        </w:rPr>
                        <w:t>hw.fvSK,m</w:t>
                      </w:r>
                      <w:r>
                        <w:rPr>
                          <w:color w:val="000000"/>
                          <w:szCs w:val="24"/>
                        </w:rPr>
                        <w:t xml:space="preserve"> (vnt. dalis) ir energijos suvartojimui pastatui šildyti</w:t>
                      </w:r>
                      <w:r>
                        <w:rPr>
                          <w:i/>
                          <w:color w:val="000000"/>
                          <w:szCs w:val="24"/>
                        </w:rPr>
                        <w:t xml:space="preserve"> f</w:t>
                      </w:r>
                      <w:r>
                        <w:rPr>
                          <w:i/>
                          <w:color w:val="000000"/>
                          <w:szCs w:val="24"/>
                          <w:vertAlign w:val="superscript"/>
                        </w:rPr>
                        <w:t>.III</w:t>
                      </w:r>
                      <w:r>
                        <w:rPr>
                          <w:i/>
                          <w:color w:val="000000"/>
                          <w:szCs w:val="24"/>
                          <w:vertAlign w:val="subscript"/>
                        </w:rPr>
                        <w:t>H.fvSK,m</w:t>
                      </w:r>
                      <w:r>
                        <w:rPr>
                          <w:color w:val="000000"/>
                          <w:szCs w:val="24"/>
                        </w:rPr>
                        <w:t xml:space="preserve"> (vnt. dalis),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080" w:dyaOrig="840">
                                <v:shape id="_x0000_i1357" type="#_x0000_t75" style="width:254.85pt;height:42.05pt" o:ole="">
                                  <v:imagedata r:id="rId902" o:title=""/>
                                </v:shape>
                                <o:OLEObject Type="Embed" ProgID="Equation.3" ShapeID="_x0000_i1357" DrawAspect="Content" ObjectID="_0000000001" r:id="rId903"/>
                              </w:object>
                            </w:r>
                          </w:p>
                        </w:tc>
                        <w:tc>
                          <w:tcPr>
                            <w:tcW w:w="1062" w:type="dxa"/>
                            <w:vAlign w:val="center"/>
                            <w:hideMark/>
                          </w:tcPr>
                          <w:p>
                            <w:pPr>
                              <w:spacing w:line="276" w:lineRule="auto"/>
                              <w:jc w:val="right"/>
                              <w:rPr>
                                <w:rFonts w:eastAsia="Calibri"/>
                                <w:color w:val="000000"/>
                                <w:szCs w:val="24"/>
                              </w:rPr>
                            </w:pPr>
                            <w:r>
                              <w:rPr>
                                <w:color w:val="000000"/>
                                <w:szCs w:val="24"/>
                              </w:rPr>
                              <w:t>(2.289)</w:t>
                            </w:r>
                          </w:p>
                        </w:tc>
                      </w:tr>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080" w:dyaOrig="840">
                                <v:shape id="_x0000_i1358" type="#_x0000_t75" style="width:254.85pt;height:42.05pt" o:ole="">
                                  <v:imagedata r:id="rId904" o:title=""/>
                                </v:shape>
                                <o:OLEObject Type="Embed" ProgID="Equation.3" ShapeID="_x0000_i1358" DrawAspect="Content" ObjectID="_0000000001" r:id="rId905"/>
                              </w:object>
                            </w:r>
                          </w:p>
                        </w:tc>
                        <w:tc>
                          <w:tcPr>
                            <w:tcW w:w="1062" w:type="dxa"/>
                            <w:vAlign w:val="center"/>
                            <w:hideMark/>
                          </w:tcPr>
                          <w:p>
                            <w:pPr>
                              <w:spacing w:line="276" w:lineRule="auto"/>
                              <w:jc w:val="right"/>
                              <w:rPr>
                                <w:rFonts w:eastAsia="Calibri"/>
                                <w:color w:val="000000"/>
                                <w:szCs w:val="24"/>
                              </w:rPr>
                            </w:pPr>
                            <w:r>
                              <w:rPr>
                                <w:color w:val="000000"/>
                                <w:szCs w:val="24"/>
                              </w:rPr>
                              <w:t>(2.290)</w:t>
                            </w:r>
                          </w:p>
                        </w:tc>
                      </w:tr>
                    </w:tbl>
                    <w:p>
                      <w:pPr>
                        <w:ind w:firstLine="600"/>
                        <w:rPr>
                          <w:rFonts w:eastAsia="Calibri"/>
                          <w:color w:val="000000"/>
                          <w:szCs w:val="24"/>
                        </w:rPr>
                      </w:pPr>
                    </w:p>
                  </w:sdtContent>
                </w:sdt>
                <w:sdt>
                  <w:sdtPr>
                    <w:alias w:val="2 pr. 59.3 pp."/>
                    <w:tag w:val="part_e62a129ce62f415fb19c4f13d141775d"/>
                    <w:lock w:val="sdtLocked"/>
                    <w:richText/>
                  </w:sdtPr>
                  <w:sdtContent>
                    <w:p>
                      <w:pPr>
                        <w:tabs>
                          <w:tab w:val="left" w:pos="567"/>
                        </w:tabs>
                        <w:suppressAutoHyphens/>
                        <w:ind w:firstLine="567"/>
                        <w:jc w:val="both"/>
                        <w:rPr>
                          <w:color w:val="000000"/>
                          <w:szCs w:val="24"/>
                        </w:rPr>
                      </w:pPr>
                      <w:sdt>
                        <w:sdtPr>
                          <w:alias w:val="Numeris"/>
                          <w:tag w:val="nr_e62a129ce62f415fb19c4f13d141775d"/>
                          <w:lock w:val="sdtLocked"/>
                          <w:richText/>
                        </w:sdtPr>
                        <w:sdtContent>
                          <w:r>
                            <w:rPr>
                              <w:color w:val="000000"/>
                              <w:szCs w:val="24"/>
                            </w:rPr>
                            <w:t>59.3</w:t>
                          </w:r>
                        </w:sdtContent>
                      </w:sdt>
                      <w:r>
                        <w:rPr>
                          <w:color w:val="000000"/>
                          <w:szCs w:val="24"/>
                        </w:rPr>
                        <w:t xml:space="preserve">. fotovoltinių Saulės kolektorių sistemos atitinkamą </w:t>
                      </w:r>
                      <w:r>
                        <w:rPr>
                          <w:i/>
                          <w:color w:val="000000"/>
                          <w:szCs w:val="24"/>
                        </w:rPr>
                        <w:t>„m“</w:t>
                      </w:r>
                      <w:r>
                        <w:rPr>
                          <w:color w:val="000000"/>
                          <w:szCs w:val="24"/>
                        </w:rPr>
                        <w:t xml:space="preserve"> mėnesį pagamintos energijos sąnaudos karštam vandeniui ruošti </w:t>
                      </w:r>
                      <w:r>
                        <w:rPr>
                          <w:i/>
                          <w:color w:val="000000"/>
                          <w:szCs w:val="24"/>
                        </w:rPr>
                        <w:t>Q</w:t>
                      </w:r>
                      <w:r>
                        <w:rPr>
                          <w:i/>
                          <w:color w:val="000000"/>
                          <w:szCs w:val="24"/>
                          <w:vertAlign w:val="superscript"/>
                        </w:rPr>
                        <w:t>III</w:t>
                      </w:r>
                      <w:r>
                        <w:rPr>
                          <w:i/>
                          <w:color w:val="000000"/>
                          <w:szCs w:val="24"/>
                          <w:vertAlign w:val="subscript"/>
                        </w:rPr>
                        <w:t xml:space="preserve">hw.fvSK,m,x </w:t>
                      </w:r>
                      <w:r>
                        <w:rPr>
                          <w:color w:val="000000"/>
                          <w:szCs w:val="24"/>
                        </w:rPr>
                        <w:t>(kWh/(m²·mėn.)) apskaičiuojamos taip:</w:t>
                      </w:r>
                    </w:p>
                    <w:p>
                      <w:pPr>
                        <w:tabs>
                          <w:tab w:val="left" w:pos="567"/>
                        </w:tabs>
                        <w:jc w:val="both"/>
                        <w:rPr>
                          <w:color w:val="000000"/>
                          <w:szCs w:val="24"/>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28"/>
                                <w:szCs w:val="24"/>
                                <w:lang w:eastAsia="lt-LT"/>
                              </w:rPr>
                              <w:object w:dxaOrig="2480" w:dyaOrig="680">
                                <v:shape id="_x0000_i1359" type="#_x0000_t75" style="width:124.6pt;height:34.8pt" o:ole="">
                                  <v:imagedata r:id="rId906" o:title=""/>
                                </v:shape>
                                <o:OLEObject Type="Embed" ProgID="Equation.3" ShapeID="_x0000_i1359" DrawAspect="Content" ObjectID="_0000000001" r:id="rId907"/>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(2.291)</w:t>
                            </w:r>
                          </w:p>
                        </w:tc>
                      </w:tr>
                    </w:tbl>
                    <w:p>
                      <w:pPr>
                        <w:tabs>
                          <w:tab w:val="left" w:pos="567"/>
                        </w:tabs>
                        <w:jc w:val="both"/>
                        <w:rPr>
                          <w:b/>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III</w:t>
                      </w:r>
                      <w:r>
                        <w:rPr>
                          <w:i/>
                          <w:color w:val="000000"/>
                          <w:szCs w:val="24"/>
                          <w:vertAlign w:val="subscript"/>
                        </w:rPr>
                        <w:t>hw.fvSK,m,x</w:t>
                      </w:r>
                      <w:r>
                        <w:rPr>
                          <w:color w:val="000000"/>
                          <w:szCs w:val="24"/>
                        </w:rPr>
                        <w:t xml:space="preserve">– kiekvieną mėnesį </w:t>
                      </w:r>
                      <w:r>
                        <w:rPr>
                          <w:i/>
                          <w:color w:val="000000"/>
                          <w:szCs w:val="24"/>
                        </w:rPr>
                        <w:t xml:space="preserve">„m“ </w:t>
                      </w:r>
                      <w:r>
                        <w:rPr>
                          <w:color w:val="000000"/>
                          <w:szCs w:val="24"/>
                        </w:rPr>
                        <w:t xml:space="preserve">atitinkamos </w:t>
                      </w:r>
                      <w:r>
                        <w:rPr>
                          <w:i/>
                          <w:color w:val="000000"/>
                          <w:szCs w:val="24"/>
                        </w:rPr>
                        <w:t>„x“</w:t>
                      </w:r>
                      <w:r>
                        <w:rPr>
                          <w:color w:val="000000"/>
                          <w:szCs w:val="24"/>
                        </w:rPr>
                        <w:t xml:space="preserve"> sistemos fotovoltinių Saulės kolektorių pagamintas energijos kiekis karštam buitiniam vandeniui ruošti (kWh/(m²·mėn.)). Apskaičiuojama pagal (2.267) formulę;</w:t>
                      </w:r>
                    </w:p>
                    <w:p>
                      <w:pPr>
                        <w:tabs>
                          <w:tab w:val="left" w:pos="567"/>
                        </w:tabs>
                        <w:ind w:firstLine="600"/>
                        <w:rPr>
                          <w:color w:val="000000"/>
                          <w:szCs w:val="24"/>
                        </w:rPr>
                      </w:pPr>
                      <w:r>
                        <w:rPr>
                          <w:color w:val="000000"/>
                          <w:szCs w:val="24"/>
                        </w:rPr>
                        <w:t>(2.291) formulės taikymo sąlygos:</w:t>
                      </w:r>
                    </w:p>
                    <w:p>
                      <w:pPr>
                        <w:tabs>
                          <w:tab w:val="left" w:pos="567"/>
                          <w:tab w:val="left" w:pos="1200"/>
                        </w:tabs>
                        <w:ind w:left="1200" w:hanging="360"/>
                        <w:jc w:val="both"/>
                        <w:rPr>
                          <w:color w:val="000000"/>
                          <w:szCs w:val="24"/>
                        </w:rPr>
                      </w:pPr>
                      <w:r>
                        <w:rPr>
                          <w:color w:val="000000"/>
                          <w:szCs w:val="24"/>
                        </w:rPr>
                        <w:t xml:space="preserve">- jei </w:t>
                      </w:r>
                      <w:r>
                        <w:rPr>
                          <w:i/>
                          <w:color w:val="000000"/>
                          <w:szCs w:val="24"/>
                        </w:rPr>
                        <w:t>Q</w:t>
                      </w:r>
                      <w:r>
                        <w:rPr>
                          <w:i/>
                          <w:color w:val="000000"/>
                          <w:szCs w:val="24"/>
                          <w:vertAlign w:val="superscript"/>
                        </w:rPr>
                        <w:t>III</w:t>
                      </w:r>
                      <w:r>
                        <w:rPr>
                          <w:i/>
                          <w:color w:val="000000"/>
                          <w:szCs w:val="24"/>
                          <w:vertAlign w:val="subscript"/>
                        </w:rPr>
                        <w:t>hw.fvSK,m</w:t>
                      </w:r>
                      <w:r>
                        <w:rPr>
                          <w:color w:val="000000"/>
                          <w:szCs w:val="24"/>
                        </w:rPr>
                        <w:t xml:space="preserve">&lt;0, tai </w:t>
                      </w:r>
                      <w:r>
                        <w:rPr>
                          <w:i/>
                          <w:color w:val="000000"/>
                          <w:szCs w:val="24"/>
                        </w:rPr>
                        <w:t>Q</w:t>
                      </w:r>
                      <w:r>
                        <w:rPr>
                          <w:i/>
                          <w:color w:val="000000"/>
                          <w:szCs w:val="24"/>
                          <w:vertAlign w:val="superscript"/>
                        </w:rPr>
                        <w:t>III</w:t>
                      </w:r>
                      <w:r>
                        <w:rPr>
                          <w:i/>
                          <w:color w:val="000000"/>
                          <w:szCs w:val="24"/>
                          <w:vertAlign w:val="subscript"/>
                        </w:rPr>
                        <w:t>hw.fvSK,m</w:t>
                      </w:r>
                      <w:r>
                        <w:rPr>
                          <w:color w:val="000000"/>
                          <w:szCs w:val="24"/>
                        </w:rPr>
                        <w:t>=0,</w:t>
                      </w:r>
                    </w:p>
                    <w:p>
                      <w:pPr>
                        <w:tabs>
                          <w:tab w:val="left" w:pos="567"/>
                          <w:tab w:val="left" w:pos="1134"/>
                        </w:tabs>
                        <w:ind w:firstLine="840"/>
                        <w:jc w:val="both"/>
                        <w:rPr>
                          <w:color w:val="000000"/>
                          <w:szCs w:val="24"/>
                        </w:rPr>
                      </w:pPr>
                      <w:r>
                        <w:rPr>
                          <w:color w:val="000000"/>
                          <w:szCs w:val="24"/>
                        </w:rPr>
                        <w:t>- kai pastate nenaudojama iš fotovoltinių Saulės kolektorių pagamintos elektros energijos dvipusė apskaita ir kai fotovoltinės Saulės kolektorių sistemos pagamina daugiau elektros energijos už elektros energijos poreikį karštam vandeniui ruošti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pacing w:line="276" w:lineRule="auto"/>
                              <w:jc w:val="center"/>
                              <w:rPr>
                                <w:rFonts w:eastAsia="Calibri"/>
                                <w:color w:val="000000"/>
                                <w:szCs w:val="24"/>
                              </w:rPr>
                            </w:pPr>
                            <w:r>
                              <w:rPr>
                                <w:rFonts w:eastAsia="Calibri"/>
                                <w:color w:val="000000"/>
                                <w:position w:val="-16"/>
                                <w:szCs w:val="24"/>
                              </w:rPr>
                              <w:object w:dxaOrig="3912" w:dyaOrig="432">
                                <v:shape id="_x0000_i1360" type="#_x0000_t75" style="width:196.6pt;height:20.2pt" o:ole="">
                                  <v:imagedata r:id="rId908" o:title=""/>
                                </v:shape>
                                <o:OLEObject Type="Embed" ProgID="Equation.3" ShapeID="_x0000_i1360" DrawAspect="Content" ObjectID="_0000000001" r:id="rId909"/>
                              </w:object>
                            </w:r>
                            <w:r>
                              <w:rPr>
                                <w:color w:val="000000"/>
                                <w:szCs w:val="24"/>
                              </w:rPr>
                              <w:t>,</w:t>
                            </w:r>
                          </w:p>
                        </w:tc>
                        <w:tc>
                          <w:tcPr>
                            <w:tcW w:w="1062" w:type="dxa"/>
                            <w:vAlign w:val="center"/>
                            <w:hideMark/>
                          </w:tcPr>
                          <w:p>
                            <w:pPr>
                              <w:tabs>
                                <w:tab w:val="left" w:pos="567"/>
                              </w:tabs>
                              <w:spacing w:line="276" w:lineRule="auto"/>
                              <w:jc w:val="right"/>
                              <w:rPr>
                                <w:rFonts w:eastAsia="Calibri"/>
                                <w:color w:val="000000"/>
                                <w:szCs w:val="24"/>
                              </w:rPr>
                            </w:pPr>
                            <w:r>
                              <w:rPr>
                                <w:color w:val="000000"/>
                                <w:szCs w:val="24"/>
                              </w:rPr>
                              <w:t>(2.292)</w:t>
                            </w:r>
                          </w:p>
                        </w:tc>
                      </w:tr>
                    </w:tbl>
                    <w:p>
                      <w:pPr>
                        <w:tabs>
                          <w:tab w:val="left" w:pos="567"/>
                        </w:tabs>
                        <w:ind w:left="840"/>
                        <w:rPr>
                          <w:rFonts w:eastAsia="Calibri"/>
                          <w:color w:val="000000"/>
                          <w:szCs w:val="24"/>
                        </w:rPr>
                      </w:pPr>
                      <w:r>
                        <w:rPr>
                          <w:color w:val="000000"/>
                          <w:szCs w:val="24"/>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pacing w:line="276" w:lineRule="auto"/>
                              <w:jc w:val="center"/>
                              <w:rPr>
                                <w:rFonts w:eastAsia="Calibri"/>
                                <w:color w:val="000000"/>
                                <w:szCs w:val="24"/>
                              </w:rPr>
                            </w:pPr>
                            <w:r>
                              <w:rPr>
                                <w:rFonts w:eastAsia="Calibri"/>
                                <w:color w:val="000000"/>
                                <w:position w:val="-16"/>
                                <w:szCs w:val="24"/>
                              </w:rPr>
                              <w:object w:dxaOrig="3912" w:dyaOrig="432">
                                <v:shape id="_x0000_i1361" type="#_x0000_t75" style="width:196.6pt;height:20.2pt" o:ole="">
                                  <v:imagedata r:id="rId910" o:title=""/>
                                </v:shape>
                                <o:OLEObject Type="Embed" ProgID="Equation.3" ShapeID="_x0000_i1361" DrawAspect="Content" ObjectID="_0000000001" r:id="rId911"/>
                              </w:object>
                            </w:r>
                            <w:r>
                              <w:rPr>
                                <w:color w:val="000000"/>
                                <w:szCs w:val="24"/>
                              </w:rPr>
                              <w:t>,</w:t>
                            </w:r>
                          </w:p>
                        </w:tc>
                        <w:tc>
                          <w:tcPr>
                            <w:tcW w:w="1062" w:type="dxa"/>
                            <w:vAlign w:val="center"/>
                            <w:hideMark/>
                          </w:tcPr>
                          <w:p>
                            <w:pPr>
                              <w:tabs>
                                <w:tab w:val="left" w:pos="567"/>
                              </w:tabs>
                              <w:spacing w:line="276" w:lineRule="auto"/>
                              <w:jc w:val="right"/>
                              <w:rPr>
                                <w:rFonts w:eastAsia="Calibri"/>
                                <w:color w:val="000000"/>
                                <w:szCs w:val="24"/>
                              </w:rPr>
                            </w:pPr>
                            <w:r>
                              <w:rPr>
                                <w:color w:val="000000"/>
                                <w:szCs w:val="24"/>
                              </w:rPr>
                              <w:t>(2.293)</w:t>
                            </w:r>
                          </w:p>
                        </w:tc>
                      </w:tr>
                    </w:tbl>
                    <w:p>
                      <w:pPr>
                        <w:tabs>
                          <w:tab w:val="left" w:pos="567"/>
                        </w:tabs>
                        <w:rPr>
                          <w:rFonts w:eastAsia="Calibri"/>
                          <w:color w:val="000000"/>
                          <w:szCs w:val="24"/>
                        </w:rPr>
                      </w:pPr>
                      <w:r>
                        <w:rPr>
                          <w:color w:val="000000"/>
                          <w:szCs w:val="24"/>
                        </w:rPr>
                        <w:t xml:space="preserve">kitais atvejais </w:t>
                      </w:r>
                      <w:r>
                        <w:rPr>
                          <w:i/>
                          <w:color w:val="000000"/>
                          <w:szCs w:val="24"/>
                        </w:rPr>
                        <w:t>Q</w:t>
                      </w:r>
                      <w:r>
                        <w:rPr>
                          <w:i/>
                          <w:color w:val="000000"/>
                          <w:szCs w:val="24"/>
                          <w:vertAlign w:val="superscript"/>
                        </w:rPr>
                        <w:t>III</w:t>
                      </w:r>
                      <w:r>
                        <w:rPr>
                          <w:i/>
                          <w:color w:val="000000"/>
                          <w:szCs w:val="24"/>
                          <w:vertAlign w:val="subscript"/>
                        </w:rPr>
                        <w:t xml:space="preserve">hw.fvSK,m </w:t>
                      </w:r>
                      <w:r>
                        <w:rPr>
                          <w:color w:val="000000"/>
                          <w:szCs w:val="24"/>
                        </w:rPr>
                        <w:t>atitinka skaičiavimo rezultatą, gautą pagal (2.291) formulę;</w:t>
                      </w:r>
                    </w:p>
                    <w:p>
                      <w:pPr>
                        <w:tabs>
                          <w:tab w:val="left" w:pos="567"/>
                          <w:tab w:val="left" w:pos="1134"/>
                        </w:tabs>
                        <w:ind w:firstLine="840"/>
                        <w:jc w:val="both"/>
                        <w:rPr>
                          <w:color w:val="000000"/>
                          <w:szCs w:val="24"/>
                        </w:rPr>
                      </w:pPr>
                      <w:r>
                        <w:rPr>
                          <w:color w:val="000000"/>
                          <w:szCs w:val="24"/>
                        </w:rPr>
                        <w:t>- kai pastate naudojama iš fotovoltinių Saulės kolektorių pagamintos elektros energijos dvipusė apskaita,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pacing w:line="276" w:lineRule="auto"/>
                              <w:jc w:val="center"/>
                              <w:rPr>
                                <w:rFonts w:eastAsia="Calibri"/>
                                <w:color w:val="000000"/>
                                <w:szCs w:val="24"/>
                              </w:rPr>
                            </w:pPr>
                            <w:r>
                              <w:rPr>
                                <w:position w:val="-28"/>
                                <w:szCs w:val="24"/>
                                <w:lang w:eastAsia="lt-LT"/>
                              </w:rPr>
                              <w:object w:dxaOrig="8100" w:dyaOrig="680">
                                <v:shape id="_x0000_i1362" type="#_x0000_t75" style="width:407.75pt;height:36.4pt" o:ole="">
                                  <v:imagedata r:id="rId912" o:title=""/>
                                </v:shape>
                                <o:OLEObject Type="Embed" ProgID="Equation.3" ShapeID="_x0000_i1362" DrawAspect="Content" ObjectID="_0000000001" r:id="rId913"/>
                              </w:object>
                            </w:r>
                            <w:r>
                              <w:rPr>
                                <w:color w:val="000000"/>
                                <w:szCs w:val="24"/>
                              </w:rPr>
                              <w:t>,</w:t>
                            </w:r>
                          </w:p>
                        </w:tc>
                        <w:tc>
                          <w:tcPr>
                            <w:tcW w:w="680" w:type="pct"/>
                            <w:vAlign w:val="center"/>
                            <w:hideMark/>
                          </w:tcPr>
                          <w:p>
                            <w:pPr>
                              <w:tabs>
                                <w:tab w:val="left" w:pos="567"/>
                              </w:tabs>
                              <w:spacing w:line="276" w:lineRule="auto"/>
                              <w:jc w:val="right"/>
                              <w:rPr>
                                <w:rFonts w:eastAsia="Calibri"/>
                                <w:color w:val="000000"/>
                                <w:szCs w:val="24"/>
                              </w:rPr>
                            </w:pPr>
                            <w:r>
                              <w:rPr>
                                <w:color w:val="000000"/>
                                <w:szCs w:val="24"/>
                              </w:rPr>
                              <w:t>(2.294)</w:t>
                            </w:r>
                          </w:p>
                        </w:tc>
                      </w:tr>
                    </w:tbl>
                    <w:p>
                      <w:pPr>
                        <w:tabs>
                          <w:tab w:val="left" w:pos="567"/>
                        </w:tabs>
                        <w:rPr>
                          <w:rFonts w:eastAsia="Calibri"/>
                          <w:color w:val="000000"/>
                          <w:szCs w:val="24"/>
                        </w:rPr>
                      </w:pPr>
                      <w:r>
                        <w:rPr>
                          <w:color w:val="000000"/>
                          <w:szCs w:val="24"/>
                        </w:rPr>
                        <w:t xml:space="preserve">tai </w:t>
                      </w:r>
                      <w:r>
                        <w:rPr>
                          <w:i/>
                          <w:color w:val="000000"/>
                          <w:szCs w:val="24"/>
                        </w:rPr>
                        <w:t>Q</w:t>
                      </w:r>
                      <w:r>
                        <w:rPr>
                          <w:i/>
                          <w:color w:val="000000"/>
                          <w:szCs w:val="24"/>
                          <w:vertAlign w:val="superscript"/>
                        </w:rPr>
                        <w:t>III</w:t>
                      </w:r>
                      <w:r>
                        <w:rPr>
                          <w:i/>
                          <w:color w:val="000000"/>
                          <w:szCs w:val="24"/>
                          <w:vertAlign w:val="subscript"/>
                        </w:rPr>
                        <w:t xml:space="preserve">hw.fvSK,m  </w:t>
                      </w:r>
                      <w:r>
                        <w:rPr>
                          <w:color w:val="000000"/>
                          <w:szCs w:val="24"/>
                        </w:rPr>
                        <w:t>apskaičiuojama pagal (2.293) formulę;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pacing w:line="276" w:lineRule="auto"/>
                              <w:jc w:val="center"/>
                              <w:rPr>
                                <w:rFonts w:eastAsia="Calibri"/>
                                <w:color w:val="000000"/>
                                <w:szCs w:val="24"/>
                              </w:rPr>
                            </w:pPr>
                            <w:r>
                              <w:rPr>
                                <w:szCs w:val="24"/>
                                <w:lang w:eastAsia="lt-LT"/>
                              </w:rPr>
                              <w:object w:dxaOrig="5620" w:dyaOrig="680">
                                <v:shape id="_x0000_i1363" type="#_x0000_t75" style="width:279.9pt;height:36.4pt" o:ole="">
                                  <v:imagedata r:id="rId914" o:title=""/>
                                </v:shape>
                                <o:OLEObject Type="Embed" ProgID="Equation.3" ShapeID="_x0000_i1363" DrawAspect="Content" ObjectID="_0000000001" r:id="rId915"/>
                              </w:object>
                            </w:r>
                          </w:p>
                        </w:tc>
                        <w:tc>
                          <w:tcPr>
                            <w:tcW w:w="680" w:type="pct"/>
                            <w:vAlign w:val="center"/>
                            <w:hideMark/>
                          </w:tcPr>
                          <w:p>
                            <w:pPr>
                              <w:tabs>
                                <w:tab w:val="left" w:pos="567"/>
                              </w:tabs>
                              <w:spacing w:line="276" w:lineRule="auto"/>
                              <w:jc w:val="right"/>
                              <w:rPr>
                                <w:rFonts w:eastAsia="Calibri"/>
                                <w:color w:val="000000"/>
                                <w:szCs w:val="24"/>
                              </w:rPr>
                            </w:pPr>
                            <w:r>
                              <w:rPr>
                                <w:color w:val="000000"/>
                                <w:szCs w:val="24"/>
                              </w:rPr>
                              <w:t>(2.295)</w:t>
                            </w:r>
                          </w:p>
                        </w:tc>
                      </w:tr>
                    </w:tbl>
                    <w:p>
                      <w:pPr>
                        <w:tabs>
                          <w:tab w:val="left" w:pos="567"/>
                        </w:tabs>
                        <w:rPr>
                          <w:rFonts w:eastAsia="Calibri"/>
                          <w:color w:val="000000"/>
                          <w:szCs w:val="24"/>
                        </w:rPr>
                      </w:pPr>
                      <w:r>
                        <w:rPr>
                          <w:color w:val="000000"/>
                          <w:szCs w:val="24"/>
                        </w:rPr>
                        <w:t>ir pagal (2.295)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pacing w:line="276" w:lineRule="auto"/>
                              <w:jc w:val="center"/>
                              <w:rPr>
                                <w:rFonts w:eastAsia="Calibri"/>
                                <w:color w:val="000000"/>
                                <w:szCs w:val="24"/>
                              </w:rPr>
                            </w:pPr>
                            <w:r>
                              <w:rPr>
                                <w:position w:val="-14"/>
                                <w:szCs w:val="24"/>
                                <w:lang w:eastAsia="lt-LT"/>
                              </w:rPr>
                              <w:object w:dxaOrig="2740" w:dyaOrig="400">
                                <v:shape id="_x0000_i1364" type="#_x0000_t75" style="width:139.95pt;height:20.2pt" o:ole="">
                                  <v:imagedata r:id="rId916" o:title=""/>
                                </v:shape>
                                <o:OLEObject Type="Embed" ProgID="Equation.3" ShapeID="_x0000_i1364" DrawAspect="Content" ObjectID="_0000000001" r:id="rId917"/>
                              </w:object>
                            </w:r>
                            <w:r>
                              <w:rPr>
                                <w:color w:val="000000"/>
                                <w:szCs w:val="24"/>
                              </w:rPr>
                              <w:t xml:space="preserve">, kitais mėnesiais </w:t>
                            </w:r>
                            <w:r>
                              <w:rPr>
                                <w:rFonts w:eastAsia="Calibri"/>
                                <w:color w:val="000000"/>
                                <w:position w:val="-14"/>
                                <w:szCs w:val="24"/>
                              </w:rPr>
                              <w:object w:dxaOrig="1236" w:dyaOrig="396">
                                <v:shape id="_x0000_i1365" type="#_x0000_t75" style="width:62.3pt;height:20.2pt" o:ole="">
                                  <v:imagedata r:id="rId918" o:title=""/>
                                </v:shape>
                                <o:OLEObject Type="Embed" ProgID="Equation.3" ShapeID="_x0000_i1365" DrawAspect="Content" ObjectID="_0000000001" r:id="rId919"/>
                              </w:object>
                            </w:r>
                            <w:r>
                              <w:rPr>
                                <w:color w:val="000000"/>
                                <w:szCs w:val="24"/>
                              </w:rPr>
                              <w:t>,</w:t>
                            </w:r>
                          </w:p>
                        </w:tc>
                        <w:tc>
                          <w:tcPr>
                            <w:tcW w:w="868" w:type="pct"/>
                            <w:vAlign w:val="center"/>
                            <w:hideMark/>
                          </w:tcPr>
                          <w:p>
                            <w:pPr>
                              <w:tabs>
                                <w:tab w:val="left" w:pos="567"/>
                              </w:tabs>
                              <w:spacing w:line="276" w:lineRule="auto"/>
                              <w:jc w:val="right"/>
                              <w:rPr>
                                <w:rFonts w:eastAsia="Calibri"/>
                                <w:color w:val="000000"/>
                                <w:szCs w:val="24"/>
                              </w:rPr>
                            </w:pPr>
                            <w:r>
                              <w:rPr>
                                <w:color w:val="000000"/>
                                <w:szCs w:val="24"/>
                              </w:rPr>
                              <w:t>(2.296)</w:t>
                            </w:r>
                          </w:p>
                        </w:tc>
                      </w:tr>
                    </w:tbl>
                    <w:p>
                      <w:pPr>
                        <w:tabs>
                          <w:tab w:val="left" w:pos="567"/>
                        </w:tabs>
                        <w:rPr>
                          <w:rFonts w:eastAsia="Calibri"/>
                          <w:color w:val="000000"/>
                          <w:szCs w:val="24"/>
                        </w:rPr>
                      </w:pPr>
                      <w:r>
                        <w:rPr>
                          <w:color w:val="000000"/>
                          <w:szCs w:val="24"/>
                        </w:rPr>
                        <w:t>jei pagal (2.295) formulę rezultatas gaunamas kitą (ne sausio) mėnesį, tai šį mėnesį</w:t>
                      </w:r>
                    </w:p>
                    <w:tbl>
                      <w:tblPr>
                        <w:tblW w:w="5000" w:type="pct"/>
                        <w:tblLook w:val="01E0" w:firstRow="1" w:lastRow="1" w:firstColumn="1" w:lastColumn="1" w:noHBand="0" w:noVBand="0"/>
                      </w:tblPr>
                      <w:tblGrid>
                        <w:gridCol w:w="8171"/>
                        <w:gridCol w:w="1683"/>
                      </w:tblGrid>
                      <w:tr>
                        <w:tc>
                          <w:tcPr>
                            <w:tcW w:w="4146" w:type="pct"/>
                            <w:hideMark/>
                          </w:tcPr>
                          <w:p>
                            <w:pPr>
                              <w:tabs>
                                <w:tab w:val="left" w:pos="567"/>
                              </w:tabs>
                              <w:spacing w:line="276" w:lineRule="auto"/>
                              <w:jc w:val="center"/>
                              <w:rPr>
                                <w:rFonts w:eastAsia="Calibri"/>
                                <w:color w:val="000000"/>
                                <w:szCs w:val="24"/>
                              </w:rPr>
                            </w:pPr>
                            <w:r>
                              <w:rPr>
                                <w:position w:val="-28"/>
                                <w:szCs w:val="24"/>
                                <w:lang w:eastAsia="lt-LT"/>
                              </w:rPr>
                              <w:object w:dxaOrig="6260" w:dyaOrig="680">
                                <v:shape id="_x0000_i1366" type="#_x0000_t75" style="width:314.7pt;height:36.4pt" o:ole="">
                                  <v:imagedata r:id="rId920" o:title=""/>
                                </v:shape>
                                <o:OLEObject Type="Embed" ProgID="Equation.3" ShapeID="_x0000_i1366" DrawAspect="Content" ObjectID="_0000000001" r:id="rId921"/>
                              </w:object>
                            </w:r>
                            <w:r>
                              <w:rPr>
                                <w:color w:val="000000"/>
                                <w:szCs w:val="24"/>
                              </w:rPr>
                              <w:t>,</w:t>
                            </w:r>
                          </w:p>
                          <w:p>
                            <w:pPr>
                              <w:tabs>
                                <w:tab w:val="left" w:pos="567"/>
                              </w:tabs>
                              <w:spacing w:line="276" w:lineRule="auto"/>
                              <w:jc w:val="center"/>
                              <w:rPr>
                                <w:rFonts w:eastAsia="Calibri"/>
                                <w:color w:val="000000"/>
                                <w:szCs w:val="24"/>
                              </w:rPr>
                            </w:pPr>
                            <w:r>
                              <w:rPr>
                                <w:color w:val="000000"/>
                                <w:szCs w:val="24"/>
                              </w:rPr>
                              <w:t xml:space="preserve">kitai mėnesiais </w:t>
                            </w:r>
                            <w:r>
                              <w:rPr>
                                <w:rFonts w:eastAsia="Calibri"/>
                                <w:color w:val="000000"/>
                                <w:position w:val="-16"/>
                                <w:szCs w:val="24"/>
                              </w:rPr>
                              <w:object w:dxaOrig="1236" w:dyaOrig="432">
                                <v:shape id="_x0000_i1367" type="#_x0000_t75" style="width:62.3pt;height:20.2pt" o:ole="">
                                  <v:imagedata r:id="rId922" o:title=""/>
                                </v:shape>
                                <o:OLEObject Type="Embed" ProgID="Equation.3" ShapeID="_x0000_i1367" DrawAspect="Content" ObjectID="_0000000001" r:id="rId923"/>
                              </w:object>
                            </w:r>
                            <w:r>
                              <w:rPr>
                                <w:color w:val="000000"/>
                                <w:szCs w:val="24"/>
                              </w:rPr>
                              <w:t>;</w:t>
                            </w:r>
                          </w:p>
                        </w:tc>
                        <w:tc>
                          <w:tcPr>
                            <w:tcW w:w="854" w:type="pct"/>
                            <w:vAlign w:val="center"/>
                            <w:hideMark/>
                          </w:tcPr>
                          <w:p>
                            <w:pPr>
                              <w:tabs>
                                <w:tab w:val="left" w:pos="567"/>
                              </w:tabs>
                              <w:spacing w:line="276" w:lineRule="auto"/>
                              <w:jc w:val="right"/>
                              <w:rPr>
                                <w:rFonts w:eastAsia="Calibri"/>
                                <w:color w:val="000000"/>
                                <w:szCs w:val="24"/>
                              </w:rPr>
                            </w:pPr>
                            <w:r>
                              <w:rPr>
                                <w:color w:val="000000"/>
                                <w:szCs w:val="24"/>
                              </w:rPr>
                              <w:t>(2.297)</w:t>
                            </w:r>
                          </w:p>
                        </w:tc>
                      </w:tr>
                    </w:tbl>
                    <w:p>
                      <w:pPr>
                        <w:tabs>
                          <w:tab w:val="left" w:pos="567"/>
                        </w:tabs>
                        <w:jc w:val="both"/>
                        <w:rPr>
                          <w:color w:val="000000"/>
                          <w:szCs w:val="24"/>
                        </w:rPr>
                      </w:pPr>
                    </w:p>
                    <w:p>
                      <w:pPr>
                        <w:tabs>
                          <w:tab w:val="left" w:pos="567"/>
                        </w:tabs>
                        <w:jc w:val="both"/>
                        <w:rPr>
                          <w:rFonts w:eastAsia="Calibri"/>
                          <w:i/>
                          <w:color w:val="000000"/>
                          <w:szCs w:val="24"/>
                        </w:rPr>
                      </w:pPr>
                      <w:r>
                        <w:rPr>
                          <w:color w:val="000000"/>
                          <w:szCs w:val="24"/>
                        </w:rPr>
                        <w:t>čia:</w:t>
                        <w:tab/>
                      </w:r>
                      <w:r>
                        <w:rPr>
                          <w:i/>
                          <w:color w:val="000000"/>
                          <w:szCs w:val="24"/>
                        </w:rPr>
                        <w:t>Q</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w:t>
                      </w:r>
                      <w:r>
                        <w:rPr>
                          <w:i/>
                          <w:color w:val="000000"/>
                          <w:szCs w:val="24"/>
                          <w:vertAlign w:val="subscript"/>
                        </w:rPr>
                        <w:t>hw.fvSK,m</w:t>
                      </w:r>
                      <w:r>
                        <w:rPr>
                          <w:color w:val="000000"/>
                          <w:szCs w:val="24"/>
                        </w:rPr>
                        <w:t xml:space="preserve"> – Saulės kolektorių sistemų pagamintos elektros energijos sąnaudos karštam vandeniui ruošti (kWh/(m²·mėn.)). Apskaičiuojama pagal (2.237) ir (2.260) formules;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9.4 pp."/>
                    <w:tag w:val="part_6ca585c786df42ae9e520bb85905084e"/>
                    <w:lock w:val="sdtLocked"/>
                    <w:richText/>
                  </w:sdtPr>
                  <w:sdtContent>
                    <w:p>
                      <w:pPr>
                        <w:ind w:firstLine="600"/>
                        <w:jc w:val="both"/>
                        <w:rPr>
                          <w:color w:val="000000"/>
                          <w:szCs w:val="24"/>
                        </w:rPr>
                      </w:pPr>
                      <w:sdt>
                        <w:sdtPr>
                          <w:alias w:val="Numeris"/>
                          <w:tag w:val="nr_6ca585c786df42ae9e520bb85905084e"/>
                          <w:lock w:val="sdtLocked"/>
                          <w:richText/>
                        </w:sdtPr>
                        <w:sdtContent>
                          <w:r>
                            <w:rPr>
                              <w:color w:val="000000"/>
                              <w:szCs w:val="24"/>
                            </w:rPr>
                            <w:t>59.4</w:t>
                          </w:r>
                        </w:sdtContent>
                      </w:sdt>
                      <w:r>
                        <w:rPr>
                          <w:color w:val="000000"/>
                          <w:szCs w:val="24"/>
                        </w:rPr>
                        <w:t xml:space="preserve">. aitinkamos </w:t>
                      </w:r>
                      <w:r>
                        <w:rPr>
                          <w:i/>
                          <w:color w:val="000000"/>
                          <w:szCs w:val="24"/>
                        </w:rPr>
                        <w:t>„x“</w:t>
                      </w:r>
                      <w:r>
                        <w:rPr>
                          <w:color w:val="000000"/>
                          <w:szCs w:val="24"/>
                        </w:rPr>
                        <w:t xml:space="preserve"> fotovoltinių Saulės kolektorių sistemos atitinkamą </w:t>
                      </w:r>
                      <w:r>
                        <w:rPr>
                          <w:i/>
                          <w:color w:val="000000"/>
                          <w:szCs w:val="24"/>
                        </w:rPr>
                        <w:t>„m“</w:t>
                      </w:r>
                      <w:r>
                        <w:rPr>
                          <w:color w:val="000000"/>
                          <w:szCs w:val="24"/>
                        </w:rPr>
                        <w:t xml:space="preserve"> mėnesį pagamintos energijos kiekis karštam vandeniui ruošti </w:t>
                      </w:r>
                      <w:r>
                        <w:rPr>
                          <w:i/>
                          <w:color w:val="000000"/>
                          <w:szCs w:val="24"/>
                        </w:rPr>
                        <w:t>Q</w:t>
                      </w:r>
                      <w:r>
                        <w:rPr>
                          <w:i/>
                          <w:color w:val="000000"/>
                          <w:szCs w:val="24"/>
                          <w:vertAlign w:val="superscript"/>
                        </w:rPr>
                        <w:t>III</w:t>
                      </w:r>
                      <w:r>
                        <w:rPr>
                          <w:i/>
                          <w:color w:val="000000"/>
                          <w:szCs w:val="24"/>
                          <w:vertAlign w:val="subscript"/>
                        </w:rPr>
                        <w:t xml:space="preserve">hw.fvSK,m,x </w:t>
                      </w:r>
                      <w:r>
                        <w:rPr>
                          <w:color w:val="000000"/>
                          <w:szCs w:val="24"/>
                        </w:rPr>
                        <w:t>(kWh/(m²·mėn.)) apskaičiuojamos pagal (2.298)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szCs w:val="24"/>
                              </w:rPr>
                              <w:object w:dxaOrig="3810" w:dyaOrig="1460">
                                <v:shape id="_x0000_i1368" type="#_x0000_t75" style="width:190.1pt;height:72.8pt" o:ole="">
                                  <v:imagedata r:id="rId924" o:title=""/>
                                </v:shape>
                                <o:OLEObject Type="Embed" ProgID="Equation.3" ShapeID="_x0000_i1368" DrawAspect="Content" ObjectID="_0000000001" r:id="rId925"/>
                              </w:object>
                            </w:r>
                          </w:p>
                        </w:tc>
                        <w:tc>
                          <w:tcPr>
                            <w:tcW w:w="1247" w:type="dxa"/>
                            <w:vAlign w:val="center"/>
                            <w:hideMark/>
                          </w:tcPr>
                          <w:p>
                            <w:pPr>
                              <w:spacing w:line="276" w:lineRule="auto"/>
                              <w:jc w:val="right"/>
                              <w:rPr>
                                <w:rFonts w:eastAsia="Calibri"/>
                                <w:color w:val="000000"/>
                                <w:szCs w:val="24"/>
                              </w:rPr>
                            </w:pPr>
                            <w:r>
                              <w:rPr>
                                <w:color w:val="000000"/>
                                <w:szCs w:val="24"/>
                              </w:rPr>
                              <w:t xml:space="preserve">(2.298) </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.III</w:t>
                      </w:r>
                      <w:r>
                        <w:rPr>
                          <w:i/>
                          <w:color w:val="000000"/>
                          <w:szCs w:val="24"/>
                          <w:vertAlign w:val="subscript"/>
                        </w:rPr>
                        <w:t>hw.fvSK,m</w:t>
                      </w:r>
                      <w:r>
                        <w:rPr>
                          <w:color w:val="000000"/>
                          <w:szCs w:val="24"/>
                        </w:rPr>
                        <w:t xml:space="preserve"> – apskaičiuojamas pagal (2.289) formulę (vnt. dalys);</w:t>
                      </w:r>
                    </w:p>
                    <w:p>
                      <w:pPr>
                        <w:ind w:left="600"/>
                        <w:rPr>
                          <w:color w:val="000000"/>
                          <w:szCs w:val="24"/>
                        </w:rPr>
                      </w:pPr>
                      <w:r>
                        <w:rPr>
                          <w:color w:val="000000"/>
                          <w:szCs w:val="24"/>
                        </w:rPr>
                        <w:t>kitus formulės paaiškinimus žiūrėti prie (2.229) formulės;</w:t>
                      </w:r>
                    </w:p>
                  </w:sdtContent>
                </w:sdt>
                <w:sdt>
                  <w:sdtPr>
                    <w:alias w:val="2 pr. 59.5 pp."/>
                    <w:tag w:val="part_7b68eff5cdba41fea7bb389706e16aa9"/>
                    <w:lock w:val="sdtLocked"/>
                    <w:richText/>
                  </w:sdtPr>
                  <w:sdtContent>
                    <w:p>
                      <w:pPr>
                        <w:pStyle w:val="PlainText"/>
                        <w:ind w:firstLine="567"/>
                        <w:jc w:val="both"/>
                        <w:rPr>
                          <w:rFonts w:ascii="Times New Roman" w:hAnsi="Times New Roman"/>
                          <w:b/>
                          <w:bCs/>
                          <w:sz w:val="22"/>
                        </w:rPr>
                      </w:pPr>
                      <w:r>
                        <w:rPr>
                          <w:rFonts w:ascii="Times New Roman" w:hAnsi="Times New Roman"/>
                          <w:sz w:val="22"/>
                        </w:rPr>
                        <w:t>59.5</w:t>
                      </w:r>
                      <w:r>
                        <w:rPr>
                          <w:rFonts w:ascii="Times New Roman" w:hAnsi="Times New Roman"/>
                          <w:sz w:val="22"/>
                        </w:rPr>
                        <w:t>.</w:t>
                      </w:r>
                      <w:r>
                        <w:rPr>
                          <w:rFonts w:ascii="Times New Roman" w:eastAsia="MS Mincho" w:hAnsi="Times New Roman"/>
                          <w:sz w:val="20"/>
                          <w:i/>
                          <w:iCs/>
                        </w:rPr>
                        <w:t xml:space="preserve"> Neteko galios nuo 2022-08-26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9.6 pp."/>
                    <w:tag w:val="part_d3a6bfddd6804bba8cfafba0b3129049"/>
                    <w:lock w:val="sdtLocked"/>
                    <w:richText/>
                  </w:sdtPr>
                  <w:sdtContent>
                    <w:p>
                      <w:pPr>
                        <w:tabs>
                          <w:tab w:val="left" w:pos="567"/>
                        </w:tabs>
                        <w:suppressAutoHyphens/>
                        <w:ind w:firstLine="567"/>
                        <w:jc w:val="both"/>
                        <w:rPr>
                          <w:color w:val="000000"/>
                          <w:szCs w:val="24"/>
                          <w:lang w:eastAsia="lt-LT"/>
                        </w:rPr>
                      </w:pPr>
                      <w:sdt>
                        <w:sdtPr>
                          <w:alias w:val="Numeris"/>
                          <w:tag w:val="nr_d3a6bfddd6804bba8cfafba0b3129049"/>
                          <w:lock w:val="sdtLocked"/>
                          <w:richText/>
                        </w:sdtPr>
                        <w:sdtContent>
                          <w:r>
                            <w:rPr>
                              <w:color w:val="000000"/>
                              <w:szCs w:val="24"/>
                              <w:lang w:eastAsia="lt-LT"/>
                            </w:rPr>
                            <w:t>59.6</w:t>
                          </w:r>
                        </w:sdtContent>
                      </w:sdt>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energijos sąnaudos pastatui šildyti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H.fvSK,m </w:t>
                      </w:r>
                      <w:r>
                        <w:rPr>
                          <w:color w:val="000000"/>
                          <w:szCs w:val="24"/>
                          <w:lang w:eastAsia="lt-LT"/>
                        </w:rPr>
                        <w:t>(kWh/(m²·mėn.)) apskaičiuojamos taip:</w:t>
                      </w:r>
                    </w:p>
                    <w:p>
                      <w:pPr>
                        <w:tabs>
                          <w:tab w:val="left" w:pos="567"/>
                        </w:tabs>
                        <w:suppressAutoHyphens/>
                        <w:jc w:val="both"/>
                        <w:rPr>
                          <w:color w:val="000000"/>
                          <w:szCs w:val="24"/>
                          <w:lang w:eastAsia="lt-LT"/>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00" w:dyaOrig="680">
                                <v:shape id="_x0000_i1369" type="#_x0000_t75" style="width:120.55pt;height:34.8pt" o:ole="">
                                  <v:imagedata r:id="rId926" o:title=""/>
                                </v:shape>
                                <o:OLEObject Type="Embed" ProgID="Equation.3" ShapeID="_x0000_i1369" DrawAspect="Content" ObjectID="_0000000001" r:id="rId927"/>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(2.300)</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H.fvSK,m,x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energijos kiekis pastatui šildyti (kWh/(m²·mėn.)). Apskaičiuojama pagal (2.307) formulę;</w:t>
                      </w:r>
                    </w:p>
                    <w:p>
                      <w:pPr>
                        <w:tabs>
                          <w:tab w:val="left" w:pos="567"/>
                        </w:tabs>
                        <w:suppressAutoHyphens/>
                        <w:ind w:left="600" w:firstLine="62"/>
                        <w:jc w:val="both"/>
                        <w:rPr>
                          <w:color w:val="000000"/>
                          <w:szCs w:val="24"/>
                          <w:lang w:eastAsia="lt-LT"/>
                        </w:rPr>
                      </w:pPr>
                      <w:r>
                        <w:rPr>
                          <w:color w:val="000000"/>
                          <w:szCs w:val="24"/>
                          <w:lang w:eastAsia="lt-LT"/>
                        </w:rPr>
                        <w:t>(2.300)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jei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H.fvSK,m</w:t>
                      </w:r>
                      <w:r>
                        <w:rPr>
                          <w:color w:val="000000"/>
                          <w:szCs w:val="24"/>
                          <w:lang w:eastAsia="lt-LT"/>
                        </w:rPr>
                        <w:t xml:space="preserve">&lt;0 arba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H.fvSK,m</w:t>
                      </w:r>
                      <w:r>
                        <w:rPr>
                          <w:color w:val="000000"/>
                          <w:szCs w:val="24"/>
                          <w:lang w:eastAsia="lt-LT"/>
                        </w:rPr>
                        <w:t>=0,</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fotovoltinių Saulės kolektorių pagamintos elektros energijos dvipusė apskaita ir kai fotovoltinės Saulės kolektorių sistemos pagamina daugiau elektros energijos už elektros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3732" w:dyaOrig="432">
                                <v:shape id="_x0000_i1370" type="#_x0000_t75" style="width:186.05pt;height:20.2pt" o:ole="">
                                  <v:imagedata r:id="rId928" o:title=""/>
                                </v:shape>
                                <o:OLEObject Type="Embed" ProgID="Equation.3" ShapeID="_x0000_i1370" DrawAspect="Content" ObjectID="_0000000001" r:id="rId929"/>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(2.301)</w:t>
                            </w:r>
                          </w:p>
                        </w:tc>
                      </w:tr>
                    </w:tbl>
                    <w:p>
                      <w:pPr>
                        <w:tabs>
                          <w:tab w:val="left" w:pos="567"/>
                        </w:tabs>
                        <w:suppressAutoHyphens/>
                        <w:ind w:firstLine="1296"/>
                        <w:rPr>
                          <w:rFonts w:eastAsia="Calibri"/>
                          <w:color w:val="000000"/>
                          <w:szCs w:val="24"/>
                          <w:lang w:eastAsia="lt-LT"/>
                        </w:rPr>
                      </w:pPr>
                      <w:r>
                        <w:rPr>
                          <w:color w:val="000000"/>
                          <w:szCs w:val="24"/>
                          <w:lang w:eastAsia="lt-LT"/>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732" w:dyaOrig="432">
                                <v:shape id="_x0000_i1371" type="#_x0000_t75" style="width:186.05pt;height:20.2pt" o:ole="">
                                  <v:imagedata r:id="rId930" o:title=""/>
                                </v:shape>
                                <o:OLEObject Type="Embed" ProgID="Equation.3" ShapeID="_x0000_i1371" DrawAspect="Content" ObjectID="_0000000001" r:id="rId931"/>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(2.302)</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H.fvSK,m </w:t>
                      </w:r>
                      <w:r>
                        <w:rPr>
                          <w:color w:val="000000"/>
                          <w:szCs w:val="24"/>
                          <w:lang w:eastAsia="lt-LT"/>
                        </w:rPr>
                        <w:t>atitinka skaičiavimo rezultatą, gautą pagal (2.300) formulę;</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7800" w:dyaOrig="680">
                                <v:shape id="_x0000_i1372" type="#_x0000_t75" style="width:391.55pt;height:36.4pt" o:ole="">
                                  <v:imagedata r:id="rId932" o:title=""/>
                                </v:shape>
                                <o:OLEObject Type="Embed" ProgID="Equation.3" ShapeID="_x0000_i1372" DrawAspect="Content" ObjectID="_0000000001" r:id="rId933"/>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(2.303)</w:t>
                            </w:r>
                          </w:p>
                        </w:tc>
                      </w:tr>
                    </w:tbl>
                    <w:p>
                      <w:pPr>
                        <w:tabs>
                          <w:tab w:val="left" w:pos="567"/>
                        </w:tabs>
                        <w:suppressAutoHyphens/>
                        <w:rPr>
                          <w:rFonts w:eastAsia="Calibri"/>
                          <w:color w:val="000000"/>
                          <w:szCs w:val="24"/>
                          <w:lang w:eastAsia="lt-LT"/>
                        </w:rPr>
                      </w:pPr>
                      <w:r>
                        <w:rPr>
                          <w:color w:val="000000"/>
                          <w:szCs w:val="24"/>
                          <w:lang w:eastAsia="lt-LT"/>
                        </w:rPr>
                        <w:t>tai</w:t>
                      </w:r>
                      <w:r>
                        <w:rPr>
                          <w:i/>
                          <w:color w:val="000000"/>
                          <w:szCs w:val="24"/>
                          <w:lang w:eastAsia="lt-LT"/>
                        </w:rPr>
                        <w:t xml:space="preserve"> Q</w:t>
                      </w:r>
                      <w:r>
                        <w:rPr>
                          <w:i/>
                          <w:color w:val="000000"/>
                          <w:szCs w:val="24"/>
                          <w:vertAlign w:val="superscript"/>
                          <w:lang w:eastAsia="lt-LT"/>
                        </w:rPr>
                        <w:t>III</w:t>
                      </w:r>
                      <w:r>
                        <w:rPr>
                          <w:i/>
                          <w:color w:val="000000"/>
                          <w:szCs w:val="24"/>
                          <w:vertAlign w:val="subscript"/>
                          <w:lang w:eastAsia="lt-LT"/>
                        </w:rPr>
                        <w:t xml:space="preserve">H.fvSK,m  </w:t>
                      </w:r>
                      <w:r>
                        <w:rPr>
                          <w:color w:val="000000"/>
                          <w:szCs w:val="24"/>
                          <w:lang w:eastAsia="lt-LT"/>
                        </w:rPr>
                        <w:t>apskaičiuojama pagal (2.302)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480" w:dyaOrig="680">
                                <v:shape id="_x0000_i1373" type="#_x0000_t75" style="width:273.45pt;height:36.4pt" o:ole="">
                                  <v:imagedata r:id="rId934" o:title=""/>
                                </v:shape>
                                <o:OLEObject Type="Embed" ProgID="Equation.3" ShapeID="_x0000_i1373" DrawAspect="Content" ObjectID="_0000000001" r:id="rId935"/>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(2.304)</w:t>
                            </w:r>
                          </w:p>
                        </w:tc>
                      </w:tr>
                    </w:tbl>
                    <w:p>
                      <w:pPr>
                        <w:tabs>
                          <w:tab w:val="left" w:pos="567"/>
                        </w:tabs>
                        <w:suppressAutoHyphens/>
                        <w:rPr>
                          <w:rFonts w:eastAsia="Calibri"/>
                          <w:color w:val="000000"/>
                          <w:szCs w:val="24"/>
                          <w:lang w:eastAsia="lt-LT"/>
                        </w:rPr>
                      </w:pPr>
                      <w:r>
                        <w:rPr>
                          <w:color w:val="000000"/>
                          <w:szCs w:val="24"/>
                          <w:lang w:eastAsia="lt-LT"/>
                        </w:rPr>
                        <w:t>ir pagal (2.304) formulę rezultatas gaunamas pirmąjį skaičiuojamąjį mėnesį (sausio mėnesį), tai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680" w:dyaOrig="400">
                                <v:shape id="_x0000_i1374" type="#_x0000_t75" style="width:134.3pt;height:20.2pt" o:ole="">
                                  <v:imagedata r:id="rId936" o:title=""/>
                                </v:shape>
                                <o:OLEObject Type="Embed" ProgID="Equation.3" ShapeID="_x0000_i1374" DrawAspect="Content" ObjectID="_0000000001" r:id="rId937"/>
                              </w:object>
                            </w:r>
                            <w:r>
                              <w:rPr>
                                <w:color w:val="000000"/>
                                <w:szCs w:val="24"/>
                                <w:lang w:eastAsia="lt-LT"/>
                              </w:rPr>
                              <w:t xml:space="preserve">, o kitais mėnesiais </w:t>
                            </w:r>
                            <w:r>
                              <w:rPr>
                                <w:rFonts w:eastAsia="Calibri"/>
                                <w:color w:val="000000"/>
                                <w:position w:val="-14"/>
                                <w:szCs w:val="24"/>
                                <w:lang w:eastAsia="lt-LT"/>
                              </w:rPr>
                              <w:object w:dxaOrig="1212" w:dyaOrig="396">
                                <v:shape id="_x0000_i1375" type="#_x0000_t75" style="width:59.85pt;height:20.2pt" o:ole="">
                                  <v:imagedata r:id="rId938" o:title=""/>
                                </v:shape>
                                <o:OLEObject Type="Embed" ProgID="Equation.3" ShapeID="_x0000_i1375" DrawAspect="Content" ObjectID="_0000000001" r:id="rId939"/>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(2.305)</w:t>
                            </w:r>
                          </w:p>
                        </w:tc>
                      </w:tr>
                    </w:tbl>
                    <w:p>
                      <w:pPr>
                        <w:tabs>
                          <w:tab w:val="left" w:pos="567"/>
                        </w:tabs>
                        <w:suppressAutoHyphens/>
                        <w:rPr>
                          <w:rFonts w:eastAsia="Calibri"/>
                          <w:color w:val="000000"/>
                          <w:szCs w:val="24"/>
                          <w:lang w:eastAsia="lt-LT"/>
                        </w:rPr>
                      </w:pPr>
                      <w:r>
                        <w:rPr>
                          <w:color w:val="000000"/>
                          <w:szCs w:val="24"/>
                          <w:lang w:eastAsia="lt-LT"/>
                        </w:rPr>
                        <w:t>o jei pagal (2.304)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6060" w:dyaOrig="680">
                                <v:shape id="_x0000_i1376" type="#_x0000_t75" style="width:303.35pt;height:36.4pt" o:ole="">
                                  <v:imagedata r:id="rId940" o:title=""/>
                                </v:shape>
                                <o:OLEObject Type="Embed" ProgID="Equation.3" ShapeID="_x0000_i1376" DrawAspect="Content" ObjectID="_0000000001" r:id="rId941"/>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o kitais mėnesiais </w:t>
                            </w:r>
                            <w:r>
                              <w:rPr>
                                <w:rFonts w:eastAsia="Calibri"/>
                                <w:color w:val="000000"/>
                                <w:position w:val="-14"/>
                                <w:szCs w:val="24"/>
                                <w:lang w:eastAsia="lt-LT"/>
                              </w:rPr>
                              <w:object w:dxaOrig="1212" w:dyaOrig="396">
                                <v:shape id="_x0000_i1377" type="#_x0000_t75" style="width:59.85pt;height:20.2pt" o:ole="">
                                  <v:imagedata r:id="rId942" o:title=""/>
                                </v:shape>
                                <o:OLEObject Type="Embed" ProgID="Equation.3" ShapeID="_x0000_i1377" DrawAspect="Content" ObjectID="_0000000001" r:id="rId943"/>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(2.306)</w:t>
                            </w:r>
                          </w:p>
                        </w:tc>
                      </w:tr>
                    </w:tbl>
                    <w:p>
                      <w:pPr>
                        <w:tabs>
                          <w:tab w:val="left" w:pos="567"/>
                        </w:tabs>
                        <w:suppressAutoHyphens/>
                        <w:ind w:left="600" w:hanging="600"/>
                        <w:rPr>
                          <w:rFonts w:eastAsia="Calibri"/>
                          <w:color w:val="000000"/>
                          <w:szCs w:val="24"/>
                        </w:rPr>
                      </w:pPr>
                      <w:r>
                        <w:rPr>
                          <w:color w:val="000000"/>
                          <w:szCs w:val="24"/>
                          <w:lang w:eastAsia="lt-LT"/>
                        </w:rPr>
                        <w:t>čia:</w:t>
                        <w:tab/>
                      </w:r>
                      <w:r>
                        <w:rPr>
                          <w:i/>
                          <w:color w:val="000000"/>
                          <w:szCs w:val="24"/>
                          <w:lang w:eastAsia="lt-LT"/>
                        </w:rPr>
                        <w:t>Q</w:t>
                      </w:r>
                      <w:r>
                        <w:rPr>
                          <w:i/>
                          <w:color w:val="000000"/>
                          <w:szCs w:val="24"/>
                          <w:vertAlign w:val="subscript"/>
                          <w:lang w:eastAsia="lt-LT"/>
                        </w:rPr>
                        <w:t>H.fvSK,m</w:t>
                      </w:r>
                      <w:r>
                        <w:rPr>
                          <w:i/>
                          <w:color w:val="000000"/>
                          <w:szCs w:val="24"/>
                          <w:lang w:eastAsia="lt-LT"/>
                        </w:rPr>
                        <w:t>, Q</w:t>
                      </w:r>
                      <w:r>
                        <w:rPr>
                          <w:i/>
                          <w:color w:val="000000"/>
                          <w:szCs w:val="24"/>
                          <w:vertAlign w:val="superscript"/>
                          <w:lang w:eastAsia="lt-LT"/>
                        </w:rPr>
                        <w:t>II</w:t>
                      </w:r>
                      <w:r>
                        <w:rPr>
                          <w:i/>
                          <w:color w:val="000000"/>
                          <w:szCs w:val="24"/>
                          <w:vertAlign w:val="subscript"/>
                          <w:lang w:eastAsia="lt-LT"/>
                        </w:rPr>
                        <w:t xml:space="preserve">H.fvSK,m </w:t>
                      </w:r>
                      <w:r>
                        <w:rPr>
                          <w:color w:val="000000"/>
                          <w:szCs w:val="24"/>
                          <w:lang w:eastAsia="lt-LT"/>
                        </w:rPr>
                        <w:t>– apskaičiuojami pagal (2.247) ir (2.279) formules;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59.7 pp."/>
                    <w:tag w:val="part_d7bf60ab76ff425598d9c82bdf2a146d"/>
                    <w:lock w:val="sdtLocked"/>
                    <w:richText/>
                  </w:sdtPr>
                  <w:sdtContent>
                    <w:p>
                      <w:pPr>
                        <w:ind w:firstLine="600"/>
                        <w:jc w:val="both"/>
                        <w:rPr>
                          <w:color w:val="000000"/>
                          <w:szCs w:val="24"/>
                        </w:rPr>
                      </w:pPr>
                      <w:sdt>
                        <w:sdtPr>
                          <w:alias w:val="Numeris"/>
                          <w:tag w:val="nr_d7bf60ab76ff425598d9c82bdf2a146d"/>
                          <w:lock w:val="sdtLocked"/>
                          <w:richText/>
                        </w:sdtPr>
                        <w:sdtContent>
                          <w:r>
                            <w:rPr>
                              <w:color w:val="000000"/>
                              <w:szCs w:val="24"/>
                            </w:rPr>
                            <w:t>59.7</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energijos kiekis pastatui šildyti </w:t>
                      </w:r>
                      <w:r>
                        <w:rPr>
                          <w:i/>
                          <w:color w:val="000000"/>
                          <w:szCs w:val="24"/>
                        </w:rPr>
                        <w:t>Q</w:t>
                      </w:r>
                      <w:r>
                        <w:rPr>
                          <w:i/>
                          <w:color w:val="000000"/>
                          <w:szCs w:val="24"/>
                          <w:vertAlign w:val="superscript"/>
                        </w:rPr>
                        <w:t>III</w:t>
                      </w:r>
                      <w:r>
                        <w:rPr>
                          <w:i/>
                          <w:color w:val="000000"/>
                          <w:szCs w:val="24"/>
                          <w:vertAlign w:val="subscript"/>
                        </w:rPr>
                        <w:t xml:space="preserve">H.fvSK,m </w:t>
                      </w:r>
                      <w:r>
                        <w:rPr>
                          <w:color w:val="000000"/>
                          <w:szCs w:val="24"/>
                        </w:rPr>
                        <w:t>(kWh/(m²·mėn.)) apskaičiuojamos pagal (2.307)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position w:val="-68"/>
                                <w:szCs w:val="24"/>
                              </w:rPr>
                              <w:object w:dxaOrig="3920" w:dyaOrig="1490">
                                <v:shape id="_x0000_i1378" type="#_x0000_t75" style="width:195.8pt;height:74.45pt" o:ole="">
                                  <v:imagedata r:id="rId944" o:title=""/>
                                </v:shape>
                                <o:OLEObject Type="Embed" ProgID="Equation.3" ShapeID="_x0000_i1378" DrawAspect="Content" ObjectID="_0000000001" r:id="rId945"/>
                              </w:object>
                            </w:r>
                          </w:p>
                        </w:tc>
                        <w:tc>
                          <w:tcPr>
                            <w:tcW w:w="1247" w:type="dxa"/>
                            <w:vAlign w:val="center"/>
                            <w:hideMark/>
                          </w:tcPr>
                          <w:p>
                            <w:pPr>
                              <w:spacing w:line="276" w:lineRule="auto"/>
                              <w:jc w:val="right"/>
                              <w:rPr>
                                <w:rFonts w:eastAsia="Calibri"/>
                                <w:color w:val="000000"/>
                                <w:szCs w:val="24"/>
                              </w:rPr>
                            </w:pPr>
                            <w:r>
                              <w:rPr>
                                <w:color w:val="000000"/>
                                <w:szCs w:val="24"/>
                              </w:rPr>
                              <w:t xml:space="preserve">(2.307) </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.III</w:t>
                      </w:r>
                      <w:r>
                        <w:rPr>
                          <w:i/>
                          <w:color w:val="000000"/>
                          <w:szCs w:val="24"/>
                          <w:vertAlign w:val="subscript"/>
                        </w:rPr>
                        <w:t>H.fvSK,m</w:t>
                      </w:r>
                      <w:r>
                        <w:rPr>
                          <w:color w:val="000000"/>
                          <w:szCs w:val="24"/>
                        </w:rPr>
                        <w:t xml:space="preserve"> – apskaičiuojamas pagal (2.290) formulę (vnt. dalys);</w:t>
                      </w:r>
                    </w:p>
                    <w:p>
                      <w:pPr>
                        <w:ind w:left="600"/>
                        <w:rPr>
                          <w:color w:val="000000"/>
                          <w:szCs w:val="24"/>
                        </w:rPr>
                      </w:pPr>
                      <w:r>
                        <w:rPr>
                          <w:color w:val="000000"/>
                          <w:szCs w:val="24"/>
                        </w:rPr>
                        <w:t>kitus formulės paaiškinimus žiūrėti prie (2.229) formulės.</w:t>
                      </w:r>
                    </w:p>
                  </w:sdtContent>
                </w:sdt>
              </w:sdtContent>
            </w:sdt>
            <w:sdt>
              <w:sdtPr>
                <w:alias w:val="2 pr. 60 p."/>
                <w:tag w:val="part_be26ad4f62ce4f69a53dada7c2acd1d7"/>
                <w:lock w:val="sdtLocked"/>
                <w:richText/>
              </w:sdtPr>
              <w:sdtContent>
                <w:p>
                  <w:pPr>
                    <w:ind w:firstLine="567"/>
                    <w:jc w:val="both"/>
                    <w:rPr>
                      <w:color w:val="000000"/>
                      <w:szCs w:val="24"/>
                    </w:rPr>
                  </w:pPr>
                  <w:sdt>
                    <w:sdtPr>
                      <w:alias w:val="Numeris"/>
                      <w:tag w:val="nr_be26ad4f62ce4f69a53dada7c2acd1d7"/>
                      <w:lock w:val="sdtLocked"/>
                      <w:richText/>
                    </w:sdtPr>
                    <w:sdtContent>
                      <w:r>
                        <w:rPr>
                          <w:color w:val="000000"/>
                          <w:szCs w:val="24"/>
                        </w:rPr>
                        <w:t>60</w:t>
                      </w:r>
                    </w:sdtContent>
                  </w:sdt>
                  <w:r>
                    <w:rPr>
                      <w:color w:val="000000"/>
                      <w:szCs w:val="24"/>
                    </w:rPr>
                    <w:t>. Energijos iš fotovoltinių Saulės kolektorių neatsinaujinančios pirminės energijos sąnaudos pastate, kai ši energija naudojama elektros prietaisams, karštam vandeniui ruošti ir pastatui šildyti, apskaičiuojamos taip:</w:t>
                  </w:r>
                </w:p>
                <w:sdt>
                  <w:sdtPr>
                    <w:alias w:val="2 pr. 60.1 pp."/>
                    <w:tag w:val="part_f258fa49bccb4862b40efbc50289cad4"/>
                    <w:lock w:val="sdtLocked"/>
                    <w:richText/>
                  </w:sdtPr>
                  <w:sdtContent>
                    <w:p>
                      <w:pPr>
                        <w:ind w:firstLine="600"/>
                        <w:jc w:val="both"/>
                        <w:rPr>
                          <w:color w:val="000000"/>
                          <w:szCs w:val="24"/>
                        </w:rPr>
                      </w:pPr>
                      <w:sdt>
                        <w:sdtPr>
                          <w:alias w:val="Numeris"/>
                          <w:tag w:val="nr_f258fa49bccb4862b40efbc50289cad4"/>
                          <w:lock w:val="sdtLocked"/>
                          <w:richText/>
                        </w:sdtPr>
                        <w:sdtContent>
                          <w:r>
                            <w:rPr>
                              <w:color w:val="000000"/>
                              <w:szCs w:val="24"/>
                            </w:rPr>
                            <w:t>60.1</w:t>
                          </w:r>
                        </w:sdtContent>
                      </w:sdt>
                      <w:r>
                        <w:rPr>
                          <w:color w:val="000000"/>
                          <w:szCs w:val="24"/>
                        </w:rPr>
                        <w:t xml:space="preserve">. kiekvieną mėnesį </w:t>
                      </w:r>
                      <w:r>
                        <w:rPr>
                          <w:i/>
                          <w:color w:val="000000"/>
                          <w:szCs w:val="24"/>
                        </w:rPr>
                        <w:t xml:space="preserve">„m“ </w:t>
                      </w:r>
                      <w:r>
                        <w:rPr>
                          <w:color w:val="000000"/>
                          <w:szCs w:val="24"/>
                        </w:rPr>
                        <w:t xml:space="preserve">energijos iš fotovoltinių Saulės kolektorių neatsinaujinančios pirminės energijos sąnaudos elektros prietaisams, karštam buitiniam vandeniui ruošti ir pastatui šildyti pastato šildomo ploto vienetui </w:t>
                      </w:r>
                      <w:r>
                        <w:rPr>
                          <w:i/>
                          <w:color w:val="000000"/>
                          <w:szCs w:val="24"/>
                        </w:rPr>
                        <w:t>Q</w:t>
                      </w:r>
                      <w:r>
                        <w:rPr>
                          <w:i/>
                          <w:color w:val="000000"/>
                          <w:szCs w:val="24"/>
                          <w:vertAlign w:val="subscript"/>
                        </w:rPr>
                        <w:t>PRn.(E+hw+H).fvSK,m</w:t>
                      </w:r>
                      <w:r>
                        <w:rPr>
                          <w:color w:val="000000"/>
                          <w:szCs w:val="24"/>
                        </w:rPr>
                        <w:t>(kWh/(m²·mėn.))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color w:val="000000"/>
                                <w:szCs w:val="24"/>
                              </w:rPr>
                              <w:object w:dxaOrig="5960" w:dyaOrig="400">
                                <v:shape id="_x0000_i1379" type="#_x0000_t75" style="width:297.7pt;height:20.2pt" o:ole="">
                                  <v:imagedata r:id="rId946" o:title=""/>
                                </v:shape>
                                <o:OLEObject Type="Embed" ProgID="Equation.3" ShapeID="_x0000_i1379" DrawAspect="Content" ObjectID="_0000000001" r:id="rId947"/>
                              </w:object>
                              <w:t>;</w:t>
                            </w:r>
                          </w:p>
                        </w:tc>
                        <w:tc>
                          <w:tcPr>
                            <w:tcW w:w="1292" w:type="dxa"/>
                            <w:vAlign w:val="center"/>
                            <w:hideMark/>
                          </w:tcPr>
                          <w:p>
                            <w:pPr>
                              <w:spacing w:line="276" w:lineRule="auto"/>
                              <w:jc w:val="right"/>
                              <w:rPr>
                                <w:rFonts w:eastAsia="Calibri"/>
                                <w:color w:val="000000"/>
                                <w:szCs w:val="24"/>
                              </w:rPr>
                            </w:pPr>
                            <w:r>
                              <w:rPr>
                                <w:color w:val="000000"/>
                                <w:szCs w:val="24"/>
                              </w:rPr>
                              <w:t xml:space="preserve">(2.309) </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 xml:space="preserve">čia: </w:t>
                        <w:tab/>
                      </w:r>
                      <w:r>
                        <w:rPr>
                          <w:i/>
                          <w:color w:val="000000"/>
                          <w:szCs w:val="24"/>
                        </w:rPr>
                        <w:t>A</w:t>
                      </w:r>
                      <w:r>
                        <w:rPr>
                          <w:i/>
                          <w:color w:val="000000"/>
                          <w:szCs w:val="24"/>
                          <w:vertAlign w:val="subscript"/>
                        </w:rPr>
                        <w:t>p.(E+hw+H).fvSK</w:t>
                      </w:r>
                      <w:r>
                        <w:rPr>
                          <w:color w:val="000000"/>
                          <w:szCs w:val="24"/>
                        </w:rPr>
                        <w:t xml:space="preserve"> – pastato šildomas plotas, kuriame atitinkamos </w:t>
                      </w:r>
                      <w:r>
                        <w:rPr>
                          <w:i/>
                          <w:color w:val="000000"/>
                          <w:szCs w:val="24"/>
                        </w:rPr>
                        <w:t>„x“</w:t>
                      </w:r>
                      <w:r>
                        <w:rPr>
                          <w:color w:val="000000"/>
                          <w:szCs w:val="24"/>
                        </w:rPr>
                        <w:t xml:space="preserve"> fotovoltinių Saulės kolektorių sistemos pagaminta energija naudojama elektros prietaisams, karštam vandeniui ruošti ir pastatui šildyti (m²);</w:t>
                      </w:r>
                    </w:p>
                    <w:p>
                      <w:pPr>
                        <w:ind w:left="600"/>
                        <w:rPr>
                          <w:color w:val="000000"/>
                          <w:szCs w:val="24"/>
                        </w:rPr>
                      </w:pPr>
                      <w:r>
                        <w:rPr>
                          <w:i/>
                          <w:color w:val="000000"/>
                          <w:szCs w:val="24"/>
                        </w:rPr>
                        <w:t>Q</w:t>
                      </w:r>
                      <w:r>
                        <w:rPr>
                          <w:i/>
                          <w:color w:val="000000"/>
                          <w:szCs w:val="24"/>
                          <w:vertAlign w:val="superscript"/>
                        </w:rPr>
                        <w:t>IV</w:t>
                      </w:r>
                      <w:r>
                        <w:rPr>
                          <w:i/>
                          <w:color w:val="000000"/>
                          <w:szCs w:val="24"/>
                          <w:vertAlign w:val="subscript"/>
                        </w:rPr>
                        <w:t>E.fvSK,m</w:t>
                      </w:r>
                      <w:r>
                        <w:rPr>
                          <w:color w:val="000000"/>
                          <w:szCs w:val="24"/>
                        </w:rPr>
                        <w:t>– apskaičiuojamas pagal (2.313) formulę;</w:t>
                      </w:r>
                    </w:p>
                    <w:p>
                      <w:pPr>
                        <w:ind w:left="600"/>
                        <w:rPr>
                          <w:color w:val="000000"/>
                          <w:szCs w:val="24"/>
                        </w:rPr>
                      </w:pPr>
                      <w:r>
                        <w:rPr>
                          <w:i/>
                          <w:color w:val="000000"/>
                          <w:szCs w:val="24"/>
                        </w:rPr>
                        <w:t>Q</w:t>
                      </w:r>
                      <w:r>
                        <w:rPr>
                          <w:i/>
                          <w:color w:val="000000"/>
                          <w:szCs w:val="24"/>
                          <w:vertAlign w:val="superscript"/>
                        </w:rPr>
                        <w:t>IV</w:t>
                      </w:r>
                      <w:r>
                        <w:rPr>
                          <w:i/>
                          <w:color w:val="000000"/>
                          <w:szCs w:val="24"/>
                          <w:vertAlign w:val="subscript"/>
                        </w:rPr>
                        <w:t>hw.fvSK,m</w:t>
                      </w:r>
                      <w:r>
                        <w:rPr>
                          <w:color w:val="000000"/>
                          <w:szCs w:val="24"/>
                        </w:rPr>
                        <w:t>– apskaičiuojamas pagal (2.320) formulę;</w:t>
                      </w:r>
                    </w:p>
                    <w:p>
                      <w:pPr>
                        <w:ind w:left="600"/>
                        <w:rPr>
                          <w:color w:val="000000"/>
                          <w:szCs w:val="24"/>
                        </w:rPr>
                      </w:pPr>
                      <w:r>
                        <w:rPr>
                          <w:i/>
                          <w:color w:val="000000"/>
                          <w:szCs w:val="24"/>
                        </w:rPr>
                        <w:t>Q</w:t>
                      </w:r>
                      <w:r>
                        <w:rPr>
                          <w:i/>
                          <w:color w:val="000000"/>
                          <w:szCs w:val="24"/>
                          <w:vertAlign w:val="superscript"/>
                        </w:rPr>
                        <w:t>IV</w:t>
                      </w:r>
                      <w:r>
                        <w:rPr>
                          <w:i/>
                          <w:color w:val="000000"/>
                          <w:szCs w:val="24"/>
                          <w:vertAlign w:val="subscript"/>
                        </w:rPr>
                        <w:t>H.fvSK,m</w:t>
                      </w:r>
                      <w:r>
                        <w:rPr>
                          <w:color w:val="000000"/>
                          <w:szCs w:val="24"/>
                        </w:rPr>
                        <w:t>– apskaičiuojamas pagal (2.329) formulę;</w:t>
                      </w:r>
                    </w:p>
                  </w:sdtContent>
                </w:sdt>
                <w:sdt>
                  <w:sdtPr>
                    <w:alias w:val="2 pr. 60.2 pp."/>
                    <w:tag w:val="part_111a3db0e35243ddaa5dc5b6cebcd213"/>
                    <w:lock w:val="sdtLocked"/>
                    <w:richText/>
                  </w:sdtPr>
                  <w:sdtContent>
                    <w:p>
                      <w:pPr>
                        <w:ind w:firstLine="600"/>
                        <w:jc w:val="both"/>
                        <w:rPr>
                          <w:color w:val="000000"/>
                          <w:szCs w:val="24"/>
                        </w:rPr>
                      </w:pPr>
                      <w:sdt>
                        <w:sdtPr>
                          <w:alias w:val="Numeris"/>
                          <w:tag w:val="nr_111a3db0e35243ddaa5dc5b6cebcd213"/>
                          <w:lock w:val="sdtLocked"/>
                          <w:richText/>
                        </w:sdtPr>
                        <w:sdtContent>
                          <w:r>
                            <w:rPr>
                              <w:color w:val="000000"/>
                              <w:szCs w:val="24"/>
                            </w:rPr>
                            <w:t>60.2</w:t>
                          </w:r>
                        </w:sdtContent>
                      </w:sdt>
                      <w:r>
                        <w:rPr>
                          <w:color w:val="000000"/>
                          <w:szCs w:val="24"/>
                        </w:rPr>
                        <w:t xml:space="preserve">. fotovoltinių Saulės kolektorių sistemų pagamintos energijos dalys per atitinkamą mėnesį </w:t>
                      </w:r>
                      <w:r>
                        <w:rPr>
                          <w:i/>
                          <w:color w:val="000000"/>
                          <w:szCs w:val="24"/>
                        </w:rPr>
                        <w:t>„m“</w:t>
                      </w:r>
                      <w:r>
                        <w:rPr>
                          <w:color w:val="000000"/>
                          <w:szCs w:val="24"/>
                        </w:rPr>
                        <w:t xml:space="preserve">, kurios priskiriamos elektros prietaisų energijos suvartojimui </w:t>
                      </w:r>
                      <w:r>
                        <w:rPr>
                          <w:i/>
                          <w:color w:val="000000"/>
                          <w:szCs w:val="24"/>
                        </w:rPr>
                        <w:t>f</w:t>
                      </w:r>
                      <w:r>
                        <w:rPr>
                          <w:i/>
                          <w:color w:val="000000"/>
                          <w:szCs w:val="24"/>
                          <w:vertAlign w:val="superscript"/>
                        </w:rPr>
                        <w:t>.IV</w:t>
                      </w:r>
                      <w:r>
                        <w:rPr>
                          <w:i/>
                          <w:color w:val="000000"/>
                          <w:szCs w:val="24"/>
                          <w:vertAlign w:val="subscript"/>
                        </w:rPr>
                        <w:t>E.fvSK,m</w:t>
                      </w:r>
                      <w:r>
                        <w:rPr>
                          <w:color w:val="000000"/>
                          <w:szCs w:val="24"/>
                        </w:rPr>
                        <w:t xml:space="preserve"> (vnt. dalys), energijos suvartojimui karštam vandeniui ruošti </w:t>
                      </w:r>
                      <w:r>
                        <w:rPr>
                          <w:i/>
                          <w:color w:val="000000"/>
                          <w:szCs w:val="24"/>
                        </w:rPr>
                        <w:t>f</w:t>
                      </w:r>
                      <w:r>
                        <w:rPr>
                          <w:i/>
                          <w:color w:val="000000"/>
                          <w:szCs w:val="24"/>
                          <w:vertAlign w:val="superscript"/>
                        </w:rPr>
                        <w:t>.IV</w:t>
                      </w:r>
                      <w:r>
                        <w:rPr>
                          <w:i/>
                          <w:color w:val="000000"/>
                          <w:szCs w:val="24"/>
                          <w:vertAlign w:val="subscript"/>
                        </w:rPr>
                        <w:t>hw.fvSK,m</w:t>
                      </w:r>
                      <w:r>
                        <w:rPr>
                          <w:color w:val="000000"/>
                          <w:szCs w:val="24"/>
                        </w:rPr>
                        <w:t xml:space="preserve"> (vnt. dalys) ir energijos suvartojimui pastatui šildyti</w:t>
                      </w:r>
                      <w:r>
                        <w:rPr>
                          <w:i/>
                          <w:color w:val="000000"/>
                          <w:szCs w:val="24"/>
                        </w:rPr>
                        <w:t xml:space="preserve"> f</w:t>
                      </w:r>
                      <w:r>
                        <w:rPr>
                          <w:i/>
                          <w:color w:val="000000"/>
                          <w:szCs w:val="24"/>
                          <w:vertAlign w:val="superscript"/>
                        </w:rPr>
                        <w:t>.IV</w:t>
                      </w:r>
                      <w:r>
                        <w:rPr>
                          <w:i/>
                          <w:color w:val="000000"/>
                          <w:szCs w:val="24"/>
                          <w:vertAlign w:val="subscript"/>
                        </w:rPr>
                        <w:t>H.fvSK,m</w:t>
                      </w:r>
                      <w:r>
                        <w:rPr>
                          <w:color w:val="000000"/>
                          <w:szCs w:val="24"/>
                        </w:rPr>
                        <w:t xml:space="preserve"> (vnt. dalys)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6710" w:dyaOrig="2480">
                                <v:shape id="_x0000_i1380" type="#_x0000_t75" style="width:334.9pt;height:123.8pt" o:ole="">
                                  <v:imagedata r:id="rId948" o:title=""/>
                                </v:shape>
                                <o:OLEObject Type="Embed" ProgID="Equation.3" ShapeID="_x0000_i1380" DrawAspect="Content" ObjectID="_0000000001" r:id="rId949"/>
                              </w:object>
                            </w:r>
                          </w:p>
                        </w:tc>
                        <w:tc>
                          <w:tcPr>
                            <w:tcW w:w="479" w:type="pct"/>
                            <w:vAlign w:val="center"/>
                            <w:hideMark/>
                          </w:tcPr>
                          <w:p>
                            <w:pPr>
                              <w:spacing w:line="276" w:lineRule="auto"/>
                              <w:jc w:val="right"/>
                              <w:rPr>
                                <w:rFonts w:eastAsia="Calibri"/>
                                <w:color w:val="000000"/>
                                <w:szCs w:val="24"/>
                              </w:rPr>
                            </w:pPr>
                            <w:r>
                              <w:rPr>
                                <w:color w:val="000000"/>
                                <w:szCs w:val="24"/>
                              </w:rPr>
                              <w:t>(2.310)</w:t>
                            </w:r>
                          </w:p>
                        </w:tc>
                      </w:tr>
                    </w:tbl>
                    <w:p>
                      <w:pPr>
                        <w:rPr>
                          <w:rFonts w:eastAsia="Calibri"/>
                          <w:color w:val="000000"/>
                          <w:szCs w:val="24"/>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890" w:dyaOrig="2040">
                                <v:shape id="_x0000_i1381" type="#_x0000_t75" style="width:295.3pt;height:101.95pt" o:ole="">
                                  <v:imagedata r:id="rId950" o:title=""/>
                                </v:shape>
                                <o:OLEObject Type="Embed" ProgID="Equation.3" ShapeID="_x0000_i1381" DrawAspect="Content" ObjectID="_0000000001" r:id="rId951"/>
                              </w:object>
                            </w:r>
                          </w:p>
                        </w:tc>
                        <w:tc>
                          <w:tcPr>
                            <w:tcW w:w="1062" w:type="dxa"/>
                            <w:vAlign w:val="center"/>
                            <w:hideMark/>
                          </w:tcPr>
                          <w:p>
                            <w:pPr>
                              <w:spacing w:line="276" w:lineRule="auto"/>
                              <w:jc w:val="right"/>
                              <w:rPr>
                                <w:rFonts w:eastAsia="Calibri"/>
                                <w:color w:val="000000"/>
                                <w:szCs w:val="24"/>
                              </w:rPr>
                            </w:pPr>
                            <w:r>
                              <w:rPr>
                                <w:color w:val="000000"/>
                                <w:szCs w:val="24"/>
                              </w:rPr>
                              <w:t>(2.311)</w:t>
                            </w:r>
                          </w:p>
                        </w:tc>
                      </w:tr>
                    </w:tbl>
                    <w:p>
                      <w:pPr>
                        <w:rPr>
                          <w:rFonts w:eastAsia="Calibri"/>
                          <w:color w:val="000000"/>
                          <w:szCs w:val="24"/>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890" w:dyaOrig="2040">
                                <v:shape id="_x0000_i1382" type="#_x0000_t75" style="width:295.3pt;height:101.95pt" o:ole="">
                                  <v:imagedata r:id="rId952" o:title=""/>
                                </v:shape>
                                <o:OLEObject Type="Embed" ProgID="Equation.3" ShapeID="_x0000_i1382" DrawAspect="Content" ObjectID="_0000000001" r:id="rId953"/>
                              </w:object>
                            </w:r>
                          </w:p>
                        </w:tc>
                        <w:tc>
                          <w:tcPr>
                            <w:tcW w:w="1062" w:type="dxa"/>
                            <w:vAlign w:val="center"/>
                            <w:hideMark/>
                          </w:tcPr>
                          <w:p>
                            <w:pPr>
                              <w:spacing w:line="276" w:lineRule="auto"/>
                              <w:jc w:val="right"/>
                              <w:rPr>
                                <w:rFonts w:eastAsia="Calibri"/>
                                <w:color w:val="000000"/>
                                <w:szCs w:val="24"/>
                              </w:rPr>
                            </w:pPr>
                            <w:r>
                              <w:rPr>
                                <w:color w:val="000000"/>
                                <w:szCs w:val="24"/>
                              </w:rPr>
                              <w:t>(2.312)</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tab/>
                        <w:t xml:space="preserve"> – jei kurį nors mėnesį reikia pastatą vėsinti, tačiau pastate neįrengta oro vėsinimo sistema, imama </w:t>
                      </w:r>
                      <w:r>
                        <w:rPr>
                          <w:i/>
                          <w:color w:val="000000"/>
                          <w:szCs w:val="24"/>
                        </w:rPr>
                        <w:t>Q</w:t>
                      </w:r>
                      <w:r>
                        <w:rPr>
                          <w:i/>
                          <w:color w:val="000000"/>
                          <w:szCs w:val="24"/>
                          <w:vertAlign w:val="subscript"/>
                        </w:rPr>
                        <w:t>C.E,m</w:t>
                      </w:r>
                      <w:r>
                        <w:rPr>
                          <w:color w:val="000000"/>
                          <w:szCs w:val="24"/>
                        </w:rPr>
                        <w:t>=0;</w:t>
                      </w:r>
                    </w:p>
                  </w:sdtContent>
                </w:sdt>
                <w:sdt>
                  <w:sdtPr>
                    <w:alias w:val="2 pr. 60.3 pp."/>
                    <w:tag w:val="part_76894fcd5a61461fa9489230696b981e"/>
                    <w:lock w:val="sdtLocked"/>
                    <w:richText/>
                  </w:sdtPr>
                  <w:sdtContent>
                    <w:p>
                      <w:pPr>
                        <w:ind w:firstLine="600"/>
                        <w:jc w:val="both"/>
                        <w:rPr>
                          <w:color w:val="000000"/>
                          <w:szCs w:val="24"/>
                        </w:rPr>
                      </w:pPr>
                      <w:sdt>
                        <w:sdtPr>
                          <w:alias w:val="Numeris"/>
                          <w:tag w:val="nr_76894fcd5a61461fa9489230696b981e"/>
                          <w:lock w:val="sdtLocked"/>
                          <w:richText/>
                        </w:sdtPr>
                        <w:sdtContent>
                          <w:r>
                            <w:rPr>
                              <w:color w:val="000000"/>
                              <w:szCs w:val="24"/>
                            </w:rPr>
                            <w:t>60.3</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energijos sąnaudos elektros prietaisams </w:t>
                      </w:r>
                      <w:r>
                        <w:rPr>
                          <w:i/>
                          <w:color w:val="000000"/>
                          <w:szCs w:val="24"/>
                        </w:rPr>
                        <w:t>Q</w:t>
                      </w:r>
                      <w:r>
                        <w:rPr>
                          <w:i/>
                          <w:color w:val="000000"/>
                          <w:szCs w:val="24"/>
                          <w:vertAlign w:val="superscript"/>
                        </w:rPr>
                        <w:t>IV</w:t>
                      </w:r>
                      <w:r>
                        <w:rPr>
                          <w:i/>
                          <w:color w:val="000000"/>
                          <w:szCs w:val="24"/>
                          <w:vertAlign w:val="subscript"/>
                        </w:rPr>
                        <w:t xml:space="preserve">E.fvSK,m </w:t>
                      </w:r>
                      <w:r>
                        <w:rPr>
                          <w:color w:val="000000"/>
                          <w:szCs w:val="24"/>
                        </w:rPr>
                        <w:t>(kWh/(m²·mėn.)) apskaičiuojamos pagal (2.313) formulę ir formulės taikymo sąlygas:</w:t>
                      </w:r>
                    </w:p>
                    <w:tbl>
                      <w:tblPr>
                        <w:tblW w:w="5000" w:type="pct"/>
                        <w:jc w:val="center"/>
                        <w:tblLook w:val="01E0" w:firstRow="1" w:lastRow="1" w:firstColumn="1" w:lastColumn="1" w:noHBand="0" w:noVBand="0"/>
                      </w:tblPr>
                      <w:tblGrid>
                        <w:gridCol w:w="8930"/>
                        <w:gridCol w:w="924"/>
                      </w:tblGrid>
                      <w:tr>
                        <w:trPr>
                          <w:jc w:val="center"/>
                        </w:trPr>
                        <w:tc>
                          <w:tcPr>
                            <w:tcW w:w="4531" w:type="pct"/>
                            <w:vAlign w:val="center"/>
                            <w:hideMark/>
                          </w:tcPr>
                          <w:p>
                            <w:pPr>
                              <w:spacing w:line="276" w:lineRule="auto"/>
                              <w:jc w:val="center"/>
                              <w:rPr>
                                <w:rFonts w:eastAsia="Calibri"/>
                                <w:color w:val="000000"/>
                                <w:szCs w:val="24"/>
                              </w:rPr>
                            </w:pPr>
                            <w:r>
                              <w:rPr>
                                <w:rFonts w:eastAsia="Calibri"/>
                                <w:color w:val="000000"/>
                                <w:szCs w:val="24"/>
                              </w:rPr>
                              <w:object w:dxaOrig="3920" w:dyaOrig="1460">
                                <v:shape id="_x0000_i1383" type="#_x0000_t75" style="width:195.8pt;height:72.8pt" o:ole="">
                                  <v:imagedata r:id="rId954" o:title=""/>
                                </v:shape>
                                <o:OLEObject Type="Embed" ProgID="Equation.3" ShapeID="_x0000_i1383" DrawAspect="Content" ObjectID="_0000000001" r:id="rId955"/>
                              </w:object>
                            </w:r>
                          </w:p>
                        </w:tc>
                        <w:tc>
                          <w:tcPr>
                            <w:tcW w:w="469" w:type="pct"/>
                            <w:vAlign w:val="center"/>
                            <w:hideMark/>
                          </w:tcPr>
                          <w:p>
                            <w:pPr>
                              <w:spacing w:line="276" w:lineRule="auto"/>
                              <w:jc w:val="right"/>
                              <w:rPr>
                                <w:rFonts w:eastAsia="Calibri"/>
                                <w:color w:val="000000"/>
                                <w:szCs w:val="24"/>
                              </w:rPr>
                            </w:pPr>
                            <w:r>
                              <w:rPr>
                                <w:color w:val="000000"/>
                                <w:szCs w:val="24"/>
                              </w:rPr>
                              <w:t xml:space="preserve">(2.313) </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.IV</w:t>
                      </w:r>
                      <w:r>
                        <w:rPr>
                          <w:i/>
                          <w:color w:val="000000"/>
                          <w:szCs w:val="24"/>
                          <w:vertAlign w:val="subscript"/>
                        </w:rPr>
                        <w:t>E.fvSK,m</w:t>
                      </w:r>
                      <w:r>
                        <w:rPr>
                          <w:color w:val="000000"/>
                          <w:szCs w:val="24"/>
                        </w:rPr>
                        <w:t xml:space="preserve"> – apskaičiuojamas pagal (2.310) formulę (vnt. dalys);</w:t>
                      </w:r>
                    </w:p>
                    <w:p>
                      <w:pPr>
                        <w:ind w:left="600"/>
                        <w:rPr>
                          <w:color w:val="000000"/>
                          <w:szCs w:val="24"/>
                        </w:rPr>
                      </w:pPr>
                      <w:r>
                        <w:rPr>
                          <w:color w:val="000000"/>
                          <w:szCs w:val="24"/>
                        </w:rPr>
                        <w:t>kitus formulės paaiškinimus žiūrėti prie (2.229) formulės;</w:t>
                      </w:r>
                    </w:p>
                    <w:p>
                      <w:pPr>
                        <w:ind w:firstLine="600"/>
                        <w:rPr>
                          <w:color w:val="000000"/>
                          <w:szCs w:val="24"/>
                        </w:rPr>
                      </w:pPr>
                      <w:r>
                        <w:rPr>
                          <w:color w:val="000000"/>
                          <w:szCs w:val="24"/>
                        </w:rPr>
                        <w:t>(2.313) formulės taikymo sąlygos:</w:t>
                      </w:r>
                    </w:p>
                    <w:p>
                      <w:pPr>
                        <w:ind w:firstLine="600"/>
                        <w:jc w:val="both"/>
                        <w:rPr>
                          <w:color w:val="000000"/>
                          <w:szCs w:val="24"/>
                        </w:rPr>
                      </w:pPr>
                      <w:r>
                        <w:rPr>
                          <w:color w:val="000000"/>
                          <w:szCs w:val="24"/>
                        </w:rPr>
                        <w:t>- kai pastate nenaudojama iš fotovoltinių Saulės kolektorių pagamintos elektros energijos dvipusė apskaita ir kai fotovoltinės Saulės kolektorių sistemos pagamina daugiau elektros energijos už elektros prietaisų energijos sąnaudas šiame plote, t. y. jei</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6610" w:dyaOrig="840">
                                <v:shape id="_x0000_i1384" type="#_x0000_t75" style="width:331.7pt;height:42.05pt" o:ole="">
                                  <v:imagedata r:id="rId956" o:title=""/>
                                </v:shape>
                                <o:OLEObject Type="Embed" ProgID="Equation.3" ShapeID="_x0000_i1384" DrawAspect="Content" ObjectID="_0000000001" r:id="rId957"/>
                              </w:object>
                            </w:r>
                          </w:p>
                        </w:tc>
                        <w:tc>
                          <w:tcPr>
                            <w:tcW w:w="479" w:type="pct"/>
                            <w:vAlign w:val="center"/>
                            <w:hideMark/>
                          </w:tcPr>
                          <w:p>
                            <w:pPr>
                              <w:spacing w:line="276" w:lineRule="auto"/>
                              <w:jc w:val="right"/>
                              <w:rPr>
                                <w:rFonts w:eastAsia="Calibri"/>
                                <w:color w:val="000000"/>
                                <w:szCs w:val="24"/>
                              </w:rPr>
                            </w:pPr>
                            <w:r>
                              <w:rPr>
                                <w:color w:val="000000"/>
                                <w:szCs w:val="24"/>
                              </w:rPr>
                              <w:t>(2.314)</w:t>
                            </w:r>
                          </w:p>
                        </w:tc>
                      </w:tr>
                    </w:tbl>
                    <w:p>
                      <w:pPr>
                        <w:ind w:left="840"/>
                        <w:rPr>
                          <w:rFonts w:eastAsia="Calibri"/>
                          <w:color w:val="000000"/>
                          <w:szCs w:val="24"/>
                        </w:rPr>
                      </w:pPr>
                      <w:r>
                        <w:rPr>
                          <w:color w:val="000000"/>
                          <w:szCs w:val="24"/>
                        </w:rPr>
                        <w:t xml:space="preserve">tai </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6580" w:dyaOrig="840">
                                <v:shape id="_x0000_i1385" type="#_x0000_t75" style="width:329.25pt;height:42.05pt" o:ole="">
                                  <v:imagedata r:id="rId958" o:title=""/>
                                </v:shape>
                                <o:OLEObject Type="Embed" ProgID="Equation.3" ShapeID="_x0000_i1385" DrawAspect="Content" ObjectID="_0000000001" r:id="rId959"/>
                              </w:object>
                            </w:r>
                          </w:p>
                        </w:tc>
                        <w:tc>
                          <w:tcPr>
                            <w:tcW w:w="479" w:type="pct"/>
                            <w:vAlign w:val="center"/>
                            <w:hideMark/>
                          </w:tcPr>
                          <w:p>
                            <w:pPr>
                              <w:spacing w:line="276" w:lineRule="auto"/>
                              <w:jc w:val="right"/>
                              <w:rPr>
                                <w:rFonts w:eastAsia="Calibri"/>
                                <w:color w:val="000000"/>
                                <w:szCs w:val="24"/>
                              </w:rPr>
                            </w:pPr>
                            <w:r>
                              <w:rPr>
                                <w:color w:val="000000"/>
                                <w:szCs w:val="24"/>
                              </w:rPr>
                              <w:t>(2.315)</w:t>
                            </w:r>
                          </w:p>
                        </w:tc>
                      </w:tr>
                    </w:tbl>
                    <w:p>
                      <w:pPr>
                        <w:rPr>
                          <w:color w:val="000000"/>
                          <w:szCs w:val="24"/>
                        </w:rPr>
                      </w:pPr>
                    </w:p>
                    <w:p>
                      <w:pPr>
                        <w:rPr>
                          <w:rFonts w:eastAsia="Calibri"/>
                          <w:color w:val="000000"/>
                          <w:szCs w:val="24"/>
                        </w:rPr>
                      </w:pPr>
                      <w:r>
                        <w:rPr>
                          <w:color w:val="000000"/>
                          <w:szCs w:val="24"/>
                        </w:rPr>
                        <w:t xml:space="preserve">kitais atvejais skaičiavimo rezultatas atitinka gautą pagal (2.313) formulę; </w:t>
                      </w:r>
                    </w:p>
                    <w:p>
                      <w:pPr>
                        <w:tabs>
                          <w:tab w:val="left" w:pos="851"/>
                        </w:tabs>
                        <w:ind w:firstLine="600"/>
                        <w:jc w:val="both"/>
                        <w:rPr>
                          <w:color w:val="000000"/>
                          <w:szCs w:val="24"/>
                        </w:rPr>
                      </w:pPr>
                      <w:r>
                        <w:rPr>
                          <w:color w:val="000000"/>
                          <w:szCs w:val="24"/>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spacing w:line="276" w:lineRule="auto"/>
                              <w:jc w:val="center"/>
                              <w:rPr>
                                <w:rFonts w:eastAsia="Calibri"/>
                                <w:strike/>
                                <w:color w:val="000000"/>
                                <w:szCs w:val="24"/>
                              </w:rPr>
                            </w:pPr>
                            <w:r>
                              <w:rPr>
                                <w:szCs w:val="24"/>
                              </w:rPr>
                              <w:object w:dxaOrig="6710" w:dyaOrig="1950">
                                <v:shape id="_x0000_i1386" type="#_x0000_t75" style="width:334.9pt;height:97.9pt" o:ole="">
                                  <v:imagedata r:id="rId960" o:title=""/>
                                </v:shape>
                                <o:OLEObject Type="Embed" ProgID="Equation.3" ShapeID="_x0000_i1386" DrawAspect="Content" ObjectID="_0000000001" r:id="rId961"/>
                              </w:object>
                              <w:t>,</w:t>
                            </w:r>
                          </w:p>
                        </w:tc>
                        <w:tc>
                          <w:tcPr>
                            <w:tcW w:w="618" w:type="pct"/>
                            <w:vAlign w:val="center"/>
                            <w:hideMark/>
                          </w:tcPr>
                          <w:p>
                            <w:pPr>
                              <w:spacing w:line="276" w:lineRule="auto"/>
                              <w:jc w:val="right"/>
                              <w:rPr>
                                <w:rFonts w:eastAsia="Calibri"/>
                                <w:color w:val="000000"/>
                                <w:szCs w:val="24"/>
                              </w:rPr>
                            </w:pPr>
                            <w:r>
                              <w:rPr>
                                <w:color w:val="000000"/>
                                <w:szCs w:val="24"/>
                              </w:rPr>
                              <w:t>(2.316)</w:t>
                            </w:r>
                          </w:p>
                        </w:tc>
                      </w:tr>
                    </w:tbl>
                    <w:p>
                      <w:pPr>
                        <w:tabs>
                          <w:tab w:val="num" w:pos="1200"/>
                        </w:tabs>
                        <w:rPr>
                          <w:color w:val="000000"/>
                          <w:szCs w:val="24"/>
                        </w:rPr>
                      </w:pPr>
                    </w:p>
                    <w:p>
                      <w:pPr>
                        <w:tabs>
                          <w:tab w:val="num" w:pos="1200"/>
                        </w:tabs>
                        <w:rPr>
                          <w:rFonts w:eastAsia="Calibri"/>
                          <w:color w:val="000000"/>
                          <w:szCs w:val="24"/>
                        </w:rPr>
                      </w:pPr>
                      <w:r>
                        <w:rPr>
                          <w:color w:val="000000"/>
                          <w:szCs w:val="24"/>
                        </w:rPr>
                        <w:t xml:space="preserve">tai </w:t>
                      </w:r>
                      <w:r>
                        <w:rPr>
                          <w:i/>
                          <w:color w:val="000000"/>
                          <w:szCs w:val="24"/>
                        </w:rPr>
                        <w:t>Q</w:t>
                      </w:r>
                      <w:r>
                        <w:rPr>
                          <w:i/>
                          <w:color w:val="000000"/>
                          <w:szCs w:val="24"/>
                          <w:vertAlign w:val="superscript"/>
                        </w:rPr>
                        <w:t>IV</w:t>
                      </w:r>
                      <w:r>
                        <w:rPr>
                          <w:i/>
                          <w:color w:val="000000"/>
                          <w:szCs w:val="24"/>
                          <w:vertAlign w:val="subscript"/>
                        </w:rPr>
                        <w:t xml:space="preserve">E.fvSK,m </w:t>
                      </w:r>
                      <w:r>
                        <w:rPr>
                          <w:color w:val="000000"/>
                          <w:szCs w:val="24"/>
                        </w:rPr>
                        <w:t>apskaičiuojama pagal (2.313) formulę, bet jei</w:t>
                      </w:r>
                    </w:p>
                    <w:tbl>
                      <w:tblPr>
                        <w:tblW w:w="5000" w:type="pct"/>
                        <w:tblLook w:val="01E0" w:firstRow="1" w:lastRow="1" w:firstColumn="1" w:lastColumn="1" w:noHBand="0" w:noVBand="0"/>
                      </w:tblPr>
                      <w:tblGrid>
                        <w:gridCol w:w="8514"/>
                        <w:gridCol w:w="1340"/>
                      </w:tblGrid>
                      <w:tr>
                        <w:tc>
                          <w:tcPr>
                            <w:tcW w:w="4320" w:type="pct"/>
                            <w:hideMark/>
                          </w:tcPr>
                          <w:p>
                            <w:pPr>
                              <w:spacing w:line="276" w:lineRule="auto"/>
                              <w:ind w:left="426"/>
                              <w:jc w:val="center"/>
                              <w:rPr>
                                <w:rFonts w:eastAsia="Calibri"/>
                                <w:strike/>
                                <w:color w:val="000000"/>
                                <w:szCs w:val="24"/>
                              </w:rPr>
                            </w:pPr>
                            <w:r>
                              <w:rPr>
                                <w:szCs w:val="24"/>
                                <w:lang w:eastAsia="lt-LT"/>
                              </w:rPr>
                              <w:object w:dxaOrig="7800" w:dyaOrig="1120">
                                <v:shape id="_x0000_i1387" type="#_x0000_t75" style="width:390.75pt;height:55.8pt" o:ole="">
                                  <v:imagedata r:id="rId962" o:title=""/>
                                </v:shape>
                                <o:OLEObject Type="Embed" ProgID="Equation.3" ShapeID="_x0000_i1387" DrawAspect="Content" ObjectID="_0000000001" r:id="rId963"/>
                              </w:object>
                            </w:r>
                          </w:p>
                        </w:tc>
                        <w:tc>
                          <w:tcPr>
                            <w:tcW w:w="680" w:type="pct"/>
                            <w:vAlign w:val="center"/>
                            <w:hideMark/>
                          </w:tcPr>
                          <w:p>
                            <w:pPr>
                              <w:spacing w:line="276" w:lineRule="auto"/>
                              <w:jc w:val="right"/>
                              <w:rPr>
                                <w:rFonts w:eastAsia="Calibri"/>
                                <w:color w:val="000000"/>
                                <w:szCs w:val="24"/>
                              </w:rPr>
                            </w:pPr>
                            <w:r>
                              <w:rPr>
                                <w:color w:val="000000"/>
                                <w:szCs w:val="24"/>
                              </w:rPr>
                              <w:t>(2.317)</w:t>
                            </w:r>
                          </w:p>
                        </w:tc>
                      </w:tr>
                    </w:tbl>
                    <w:p>
                      <w:pPr>
                        <w:rPr>
                          <w:rFonts w:eastAsia="Calibri"/>
                          <w:color w:val="000000"/>
                          <w:szCs w:val="24"/>
                        </w:rPr>
                      </w:pPr>
                      <w:r>
                        <w:rPr>
                          <w:color w:val="000000"/>
                          <w:szCs w:val="24"/>
                        </w:rPr>
                        <w:t>ir pagal (2.317)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color w:val="000000"/>
                                <w:szCs w:val="24"/>
                              </w:rPr>
                            </w:pPr>
                            <w:r>
                              <w:rPr>
                                <w:szCs w:val="24"/>
                                <w:lang w:eastAsia="lt-LT"/>
                              </w:rPr>
                              <w:object w:dxaOrig="2570" w:dyaOrig="400">
                                <v:shape id="_x0000_i1388" type="#_x0000_t75" style="width:127.8pt;height:20.2pt" o:ole="">
                                  <v:imagedata r:id="rId964" o:title=""/>
                                </v:shape>
                                <o:OLEObject Type="Embed" ProgID="Equation.3" ShapeID="_x0000_i1388" DrawAspect="Content" ObjectID="_0000000001" r:id="rId965"/>
                              </w:object>
                            </w:r>
                            <w:r>
                              <w:rPr>
                                <w:color w:val="000000"/>
                                <w:szCs w:val="24"/>
                              </w:rPr>
                              <w:t>, kitais mėnesiais</w:t>
                            </w:r>
                            <w:r>
                              <w:rPr>
                                <w:rFonts w:eastAsia="Calibri"/>
                                <w:color w:val="000000"/>
                                <w:szCs w:val="24"/>
                              </w:rPr>
                              <w:object w:dxaOrig="1200" w:dyaOrig="400">
                                <v:shape id="_x0000_i1389" type="#_x0000_t75" style="width:59.85pt;height:20.2pt" o:ole="">
                                  <v:imagedata r:id="rId966" o:title=""/>
                                </v:shape>
                                <o:OLEObject Type="Embed" ProgID="Equation.3" ShapeID="_x0000_i1389" DrawAspect="Content" ObjectID="_0000000001" r:id="rId967"/>
                              </w:object>
                            </w:r>
                            <w:r>
                              <w:rPr>
                                <w:color w:val="000000"/>
                                <w:szCs w:val="24"/>
                              </w:rPr>
                              <w:t>,</w:t>
                            </w:r>
                          </w:p>
                        </w:tc>
                        <w:tc>
                          <w:tcPr>
                            <w:tcW w:w="868" w:type="pct"/>
                            <w:vAlign w:val="center"/>
                            <w:hideMark/>
                          </w:tcPr>
                          <w:p>
                            <w:pPr>
                              <w:spacing w:line="276" w:lineRule="auto"/>
                              <w:jc w:val="right"/>
                              <w:rPr>
                                <w:rFonts w:eastAsia="Calibri"/>
                                <w:color w:val="000000"/>
                                <w:szCs w:val="24"/>
                              </w:rPr>
                            </w:pPr>
                            <w:r>
                              <w:rPr>
                                <w:color w:val="000000"/>
                                <w:szCs w:val="24"/>
                              </w:rPr>
                              <w:t>(2.318)</w:t>
                            </w:r>
                          </w:p>
                        </w:tc>
                      </w:tr>
                    </w:tbl>
                    <w:p>
                      <w:pPr>
                        <w:rPr>
                          <w:rFonts w:eastAsia="Calibri"/>
                          <w:color w:val="000000"/>
                          <w:szCs w:val="24"/>
                        </w:rPr>
                      </w:pPr>
                      <w:r>
                        <w:rPr>
                          <w:color w:val="000000"/>
                          <w:szCs w:val="24"/>
                        </w:rPr>
                        <w:t>o jei pagal (2.317) formulę rezultatas gaunamas kitą (ne sausio) mėnesį, tai šį mėnesį</w:t>
                      </w:r>
                    </w:p>
                    <w:tbl>
                      <w:tblPr>
                        <w:tblW w:w="5000" w:type="pct"/>
                        <w:tblLook w:val="01E0" w:firstRow="1" w:lastRow="1" w:firstColumn="1" w:lastColumn="1" w:noHBand="0" w:noVBand="0"/>
                      </w:tblPr>
                      <w:tblGrid>
                        <w:gridCol w:w="8171"/>
                        <w:gridCol w:w="1683"/>
                      </w:tblGrid>
                      <w:tr>
                        <w:tc>
                          <w:tcPr>
                            <w:tcW w:w="4146" w:type="pct"/>
                            <w:hideMark/>
                          </w:tcPr>
                          <w:p>
                            <w:pPr>
                              <w:jc w:val="center"/>
                              <w:rPr>
                                <w:szCs w:val="24"/>
                              </w:rPr>
                            </w:pPr>
                            <w:r>
                              <w:rPr>
                                <w:szCs w:val="24"/>
                              </w:rPr>
                              <w:object w:dxaOrig="7420" w:dyaOrig="1120">
                                <v:shape id="_x0000_i1390" type="#_x0000_t75" style="width:371.35pt;height:55.8pt" o:ole="">
                                  <v:imagedata r:id="rId968" o:title=""/>
                                </v:shape>
                                <o:OLEObject Type="Embed" ProgID="Equation.3" ShapeID="_x0000_i1390" DrawAspect="Content" ObjectID="_0000000001" r:id="rId969"/>
                              </w:object>
                              <w:t>,</w:t>
                            </w:r>
                          </w:p>
                          <w:p>
                            <w:pPr>
                              <w:spacing w:line="276" w:lineRule="auto"/>
                              <w:jc w:val="center"/>
                              <w:rPr>
                                <w:rFonts w:eastAsia="Calibri"/>
                                <w:color w:val="000000"/>
                                <w:szCs w:val="24"/>
                              </w:rPr>
                            </w:pPr>
                            <w:r>
                              <w:rPr>
                                <w:color w:val="000000"/>
                                <w:szCs w:val="24"/>
                              </w:rPr>
                              <w:t>kitais mėnesiais</w:t>
                            </w:r>
                            <w:r>
                              <w:rPr>
                                <w:rFonts w:eastAsia="Calibri"/>
                                <w:color w:val="000000"/>
                                <w:szCs w:val="24"/>
                              </w:rPr>
                              <w:object w:dxaOrig="1200" w:dyaOrig="400">
                                <v:shape id="_x0000_i1391" type="#_x0000_t75" style="width:59.85pt;height:20.2pt" o:ole="">
                                  <v:imagedata r:id="rId970" o:title=""/>
                                </v:shape>
                                <o:OLEObject Type="Embed" ProgID="Equation.3" ShapeID="_x0000_i1391" DrawAspect="Content" ObjectID="_0000000001" r:id="rId971"/>
                              </w:object>
                            </w:r>
                            <w:r>
                              <w:rPr>
                                <w:color w:val="000000"/>
                                <w:szCs w:val="24"/>
                              </w:rPr>
                              <w:t>;</w:t>
                            </w:r>
                          </w:p>
                        </w:tc>
                        <w:tc>
                          <w:tcPr>
                            <w:tcW w:w="854" w:type="pct"/>
                            <w:vAlign w:val="center"/>
                            <w:hideMark/>
                          </w:tcPr>
                          <w:p>
                            <w:pPr>
                              <w:spacing w:line="276" w:lineRule="auto"/>
                              <w:jc w:val="right"/>
                              <w:rPr>
                                <w:rFonts w:eastAsia="Calibri"/>
                                <w:color w:val="000000"/>
                                <w:szCs w:val="24"/>
                              </w:rPr>
                            </w:pPr>
                            <w:r>
                              <w:rPr>
                                <w:color w:val="000000"/>
                                <w:szCs w:val="24"/>
                              </w:rPr>
                              <w:t>(2.319)</w:t>
                            </w:r>
                          </w:p>
                        </w:tc>
                      </w:tr>
                    </w:tbl>
                    <w:p>
                      <w:pPr>
                        <w:tabs>
                          <w:tab w:val="left" w:pos="567"/>
                        </w:tabs>
                        <w:jc w:val="both"/>
                        <w:rPr>
                          <w:color w:val="000000"/>
                          <w:szCs w:val="24"/>
                        </w:rPr>
                      </w:pPr>
                    </w:p>
                    <w:p>
                      <w:pPr>
                        <w:tabs>
                          <w:tab w:val="left" w:pos="567"/>
                        </w:tabs>
                        <w:jc w:val="both"/>
                        <w:rPr>
                          <w:color w:val="000000"/>
                          <w:szCs w:val="24"/>
                        </w:rPr>
                      </w:pPr>
                    </w:p>
                    <w:p>
                      <w:pPr>
                        <w:tabs>
                          <w:tab w:val="left" w:pos="567"/>
                        </w:tabs>
                        <w:jc w:val="both"/>
                        <w:rPr>
                          <w:rFonts w:eastAsia="Calibri"/>
                          <w:color w:val="000000"/>
                          <w:szCs w:val="24"/>
                        </w:rPr>
                      </w:pPr>
                      <w:r>
                        <w:rPr>
                          <w:color w:val="000000"/>
                          <w:szCs w:val="24"/>
                        </w:rPr>
                        <w:t>čia:</w:t>
                      </w:r>
                      <w:r>
                        <w:rPr>
                          <w:i/>
                          <w:color w:val="000000"/>
                          <w:szCs w:val="24"/>
                        </w:rPr>
                        <w:tab/>
                        <w:t>Q</w:t>
                      </w:r>
                      <w:r>
                        <w:rPr>
                          <w:i/>
                          <w:color w:val="000000"/>
                          <w:szCs w:val="24"/>
                          <w:vertAlign w:val="subscript"/>
                        </w:rPr>
                        <w:t>E.eq,m</w:t>
                      </w:r>
                      <w:r>
                        <w:rPr>
                          <w:i/>
                          <w:color w:val="000000"/>
                          <w:szCs w:val="24"/>
                        </w:rPr>
                        <w:t>, Q</w:t>
                      </w:r>
                      <w:r>
                        <w:rPr>
                          <w:i/>
                          <w:color w:val="000000"/>
                          <w:szCs w:val="24"/>
                          <w:vertAlign w:val="subscript"/>
                        </w:rPr>
                        <w:t>E.lg,m</w:t>
                      </w:r>
                      <w:r>
                        <w:rPr>
                          <w:i/>
                          <w:color w:val="000000"/>
                          <w:szCs w:val="24"/>
                        </w:rPr>
                        <w:t>, Q</w:t>
                      </w:r>
                      <w:r>
                        <w:rPr>
                          <w:i/>
                          <w:color w:val="000000"/>
                          <w:szCs w:val="24"/>
                          <w:vertAlign w:val="subscript"/>
                        </w:rPr>
                        <w:t>E.e,m</w:t>
                      </w:r>
                      <w:r>
                        <w:rPr>
                          <w:i/>
                          <w:color w:val="000000"/>
                          <w:szCs w:val="24"/>
                        </w:rPr>
                        <w:t>, Q</w:t>
                      </w:r>
                      <w:r>
                        <w:rPr>
                          <w:i/>
                          <w:color w:val="000000"/>
                          <w:szCs w:val="24"/>
                          <w:vertAlign w:val="subscript"/>
                        </w:rPr>
                        <w:t>E.vent,m</w:t>
                      </w:r>
                      <w:r>
                        <w:rPr>
                          <w:i/>
                          <w:color w:val="000000"/>
                          <w:szCs w:val="24"/>
                        </w:rPr>
                        <w:t>, Q</w:t>
                      </w:r>
                      <w:r>
                        <w:rPr>
                          <w:i/>
                          <w:color w:val="000000"/>
                          <w:szCs w:val="24"/>
                          <w:vertAlign w:val="subscript"/>
                        </w:rPr>
                        <w:t>E.hw.hwSK,m</w:t>
                      </w:r>
                      <w:r>
                        <w:rPr>
                          <w:i/>
                          <w:color w:val="000000"/>
                          <w:szCs w:val="24"/>
                        </w:rPr>
                        <w:t>, Q</w:t>
                      </w:r>
                      <w:r>
                        <w:rPr>
                          <w:i/>
                          <w:color w:val="000000"/>
                          <w:szCs w:val="24"/>
                          <w:vertAlign w:val="subscript"/>
                        </w:rPr>
                        <w:t>E.H.hwSK,m</w:t>
                      </w:r>
                      <w:r>
                        <w:rPr>
                          <w:i/>
                          <w:color w:val="000000"/>
                          <w:szCs w:val="24"/>
                        </w:rPr>
                        <w:t>, Q</w:t>
                      </w:r>
                      <w:r>
                        <w:rPr>
                          <w:i/>
                          <w:color w:val="000000"/>
                          <w:szCs w:val="24"/>
                          <w:vertAlign w:val="subscript"/>
                        </w:rPr>
                        <w:t>E.(hw+H).hwSK,m</w:t>
                      </w:r>
                      <w:r>
                        <w:rPr>
                          <w:i/>
                          <w:color w:val="000000"/>
                          <w:szCs w:val="24"/>
                        </w:rPr>
                        <w:t>, Q</w:t>
                      </w:r>
                      <w:r>
                        <w:rPr>
                          <w:i/>
                          <w:color w:val="000000"/>
                          <w:szCs w:val="24"/>
                          <w:vertAlign w:val="subscript"/>
                        </w:rPr>
                        <w:t>C.E,m</w:t>
                      </w:r>
                      <w:r>
                        <w:rPr>
                          <w:i/>
                          <w:color w:val="000000"/>
                          <w:szCs w:val="24"/>
                        </w:rPr>
                        <w:t>, Q</w:t>
                      </w:r>
                      <w:r>
                        <w:rPr>
                          <w:i/>
                          <w:color w:val="000000"/>
                          <w:szCs w:val="24"/>
                          <w:vertAlign w:val="subscript"/>
                        </w:rPr>
                        <w:t>E.fvSK,m</w:t>
                      </w:r>
                      <w:r>
                        <w:rPr>
                          <w:i/>
                          <w:color w:val="000000"/>
                          <w:szCs w:val="24"/>
                        </w:rPr>
                        <w:t>,Q</w:t>
                      </w:r>
                      <w:r>
                        <w:rPr>
                          <w:i/>
                          <w:color w:val="000000"/>
                          <w:szCs w:val="24"/>
                          <w:vertAlign w:val="superscript"/>
                        </w:rPr>
                        <w:t>I</w:t>
                      </w:r>
                      <w:r>
                        <w:rPr>
                          <w:i/>
                          <w:color w:val="000000"/>
                          <w:szCs w:val="24"/>
                          <w:vertAlign w:val="subscript"/>
                        </w:rPr>
                        <w:t>E.fvSK,m</w:t>
                      </w:r>
                      <w:r>
                        <w:rPr>
                          <w:i/>
                          <w:color w:val="000000"/>
                          <w:szCs w:val="24"/>
                        </w:rPr>
                        <w:t>, Q</w:t>
                      </w:r>
                      <w:r>
                        <w:rPr>
                          <w:i/>
                          <w:color w:val="000000"/>
                          <w:szCs w:val="24"/>
                          <w:vertAlign w:val="superscript"/>
                        </w:rPr>
                        <w:t>II</w:t>
                      </w:r>
                      <w:r>
                        <w:rPr>
                          <w:i/>
                          <w:color w:val="000000"/>
                          <w:szCs w:val="24"/>
                          <w:vertAlign w:val="subscript"/>
                        </w:rPr>
                        <w:t xml:space="preserve">E.fvSK,m </w:t>
                      </w:r>
                      <w:r>
                        <w:rPr>
                          <w:color w:val="000000"/>
                          <w:szCs w:val="24"/>
                        </w:rPr>
                        <w:t xml:space="preserve">– elektros energijos sąnaudos pastate atitinkamą </w:t>
                      </w:r>
                      <w:r>
                        <w:rPr>
                          <w:i/>
                          <w:color w:val="000000"/>
                          <w:szCs w:val="24"/>
                        </w:rPr>
                        <w:t>„m“</w:t>
                      </w:r>
                      <w:r>
                        <w:rPr>
                          <w:color w:val="000000"/>
                          <w:szCs w:val="24"/>
                        </w:rPr>
                        <w:t xml:space="preserve"> mėnesį (kWh/(m²·mėn.)). Apskaičiuojama pagal (2.128), (2.129), (2.130), (2.190), (2.200), (2.220), (2.566), (2.229), (2.253) ir (2.272) formules. Jei kurį nors mėnesį reikia pastatą vėsinti, tačiau pastate neįrengta oro vėsinimo sistema, imama </w:t>
                      </w:r>
                      <w:r>
                        <w:rPr>
                          <w:i/>
                          <w:color w:val="000000"/>
                          <w:szCs w:val="24"/>
                        </w:rPr>
                        <w:t>Q</w:t>
                      </w:r>
                      <w:r>
                        <w:rPr>
                          <w:i/>
                          <w:color w:val="000000"/>
                          <w:szCs w:val="24"/>
                          <w:vertAlign w:val="subscript"/>
                        </w:rPr>
                        <w:t>C.E,m</w:t>
                      </w:r>
                      <w:r>
                        <w:rPr>
                          <w:color w:val="000000"/>
                          <w:szCs w:val="24"/>
                        </w:rPr>
                        <w:t>=0;</w:t>
                      </w:r>
                    </w:p>
                  </w:sdtContent>
                </w:sdt>
                <w:sdt>
                  <w:sdtPr>
                    <w:alias w:val="2 pr. 60.4 pp."/>
                    <w:tag w:val="part_78c32764ff844686ac317014ce7358ad"/>
                    <w:lock w:val="sdtLocked"/>
                    <w:richText/>
                  </w:sdtPr>
                  <w:sdtContent>
                    <w:p>
                      <w:pPr>
                        <w:tabs>
                          <w:tab w:val="left" w:pos="567"/>
                        </w:tabs>
                        <w:suppressAutoHyphens/>
                        <w:ind w:firstLine="567"/>
                        <w:jc w:val="both"/>
                        <w:rPr>
                          <w:color w:val="000000"/>
                          <w:szCs w:val="24"/>
                          <w:lang w:eastAsia="lt-LT"/>
                        </w:rPr>
                      </w:pPr>
                      <w:sdt>
                        <w:sdtPr>
                          <w:alias w:val="Numeris"/>
                          <w:tag w:val="nr_78c32764ff844686ac317014ce7358ad"/>
                          <w:lock w:val="sdtLocked"/>
                          <w:richText/>
                        </w:sdtPr>
                        <w:sdtContent>
                          <w:r>
                            <w:rPr>
                              <w:color w:val="000000"/>
                              <w:szCs w:val="24"/>
                              <w:lang w:eastAsia="lt-LT"/>
                            </w:rPr>
                            <w:t>60.4</w:t>
                          </w:r>
                        </w:sdtContent>
                      </w:sdt>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energijos sąnaudos karštam vandeniui ruošti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hw.fvSK,m </w:t>
                      </w:r>
                      <w:r>
                        <w:rPr>
                          <w:color w:val="000000"/>
                          <w:szCs w:val="24"/>
                          <w:lang w:eastAsia="lt-LT"/>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shd w:val="clear" w:color="auto" w:fill="auto"/>
                            <w:vAlign w:val="center"/>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80" w:dyaOrig="680">
                                <v:shape id="_x0000_i1392" type="#_x0000_t75" style="width:124.6pt;height:34.8pt" o:ole="">
                                  <v:imagedata r:id="rId972" o:title=""/>
                                </v:shape>
                                <o:OLEObject Type="Embed" ProgID="Equation.3" ShapeID="_x0000_i1392" DrawAspect="Content" ObjectID="_0000000001" r:id="rId973"/>
                              </w:object>
                            </w:r>
                            <w:r>
                              <w:rPr>
                                <w:color w:val="000000"/>
                                <w:szCs w:val="24"/>
                                <w:lang w:eastAsia="lt-LT"/>
                              </w:rPr>
                              <w:t>;</w:t>
                            </w:r>
                          </w:p>
                        </w:tc>
                        <w:tc>
                          <w:tcPr>
                            <w:tcW w:w="1062" w:type="dxa"/>
                            <w:shd w:val="clear" w:color="auto" w:fill="auto"/>
                            <w:vAlign w:val="center"/>
                          </w:tcPr>
                          <w:p>
                            <w:pPr>
                              <w:tabs>
                                <w:tab w:val="left" w:pos="567"/>
                              </w:tabs>
                              <w:suppressAutoHyphens/>
                              <w:spacing w:line="276" w:lineRule="auto"/>
                              <w:jc w:val="right"/>
                              <w:rPr>
                                <w:rFonts w:eastAsia="Calibri"/>
                                <w:color w:val="000000"/>
                                <w:szCs w:val="24"/>
                                <w:lang w:eastAsia="lt-LT"/>
                              </w:rPr>
                            </w:pPr>
                            <w:r>
                              <w:rPr>
                                <w:color w:val="000000"/>
                                <w:szCs w:val="24"/>
                                <w:lang w:eastAsia="lt-LT"/>
                              </w:rPr>
                              <w:t>(2.320)</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hw.fvSK,m,x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energijos kiekis karštam buitiniam vandeniui ruošti (kWh/(m²·mėn.)). Apskaičiuojama pagal (2.327) formulę;</w:t>
                      </w:r>
                    </w:p>
                    <w:p>
                      <w:pPr>
                        <w:tabs>
                          <w:tab w:val="left" w:pos="567"/>
                        </w:tabs>
                        <w:suppressAutoHyphens/>
                        <w:ind w:firstLine="600"/>
                        <w:rPr>
                          <w:color w:val="000000"/>
                          <w:szCs w:val="24"/>
                          <w:lang w:eastAsia="lt-LT"/>
                        </w:rPr>
                      </w:pPr>
                      <w:r>
                        <w:rPr>
                          <w:color w:val="000000"/>
                          <w:szCs w:val="24"/>
                          <w:lang w:eastAsia="lt-LT"/>
                        </w:rPr>
                        <w:t>(2.320) formulės taikymo sąlygos:</w:t>
                      </w:r>
                    </w:p>
                    <w:p>
                      <w:pPr>
                        <w:tabs>
                          <w:tab w:val="left" w:pos="567"/>
                          <w:tab w:val="left" w:pos="1200"/>
                        </w:tabs>
                        <w:suppressAutoHyphens/>
                        <w:ind w:left="1200" w:hanging="360"/>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hw.fvSK,m</w:t>
                      </w:r>
                      <w:r>
                        <w:rPr>
                          <w:color w:val="000000"/>
                          <w:szCs w:val="24"/>
                          <w:lang w:eastAsia="lt-LT"/>
                        </w:rPr>
                        <w:t xml:space="preserve">&lt;0, tai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hw.fvSK,m</w:t>
                      </w:r>
                      <w:r>
                        <w:rPr>
                          <w:color w:val="000000"/>
                          <w:szCs w:val="24"/>
                          <w:lang w:eastAsia="lt-LT"/>
                        </w:rPr>
                        <w:t>=0,</w:t>
                      </w:r>
                    </w:p>
                    <w:p>
                      <w:pPr>
                        <w:tabs>
                          <w:tab w:val="left" w:pos="567"/>
                          <w:tab w:val="left" w:pos="1650"/>
                        </w:tabs>
                        <w:suppressAutoHyphens/>
                        <w:ind w:firstLine="840"/>
                        <w:jc w:val="both"/>
                        <w:rPr>
                          <w:color w:val="000000"/>
                          <w:szCs w:val="24"/>
                          <w:lang w:eastAsia="lt-LT"/>
                        </w:rPr>
                      </w:pPr>
                      <w:r>
                        <w:rPr>
                          <w:color w:val="000000"/>
                          <w:szCs w:val="24"/>
                          <w:lang w:eastAsia="lt-LT"/>
                        </w:rPr>
                        <w:t>- kai pastate nenaudojama iš fotovoltinių Saulės kolektorių pagamintos elektros energijos dvipusė apskaita ir kai fotovoltinės Saulės kolektorių sistemos pagamina daugiau energijos už energijos poreikį karštam vandeniui ruošti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5028" w:dyaOrig="432">
                                <v:shape id="_x0000_i1393" type="#_x0000_t75" style="width:250pt;height:20.2pt" o:ole="">
                                  <v:imagedata r:id="rId974" o:title=""/>
                                </v:shape>
                                <o:OLEObject Type="Embed" ProgID="Equation.3" ShapeID="_x0000_i1393" DrawAspect="Content" ObjectID="_0000000001" r:id="rId975"/>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(2.321)</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 w:val="left" w:pos="7030"/>
                              </w:tabs>
                              <w:suppressAutoHyphens/>
                              <w:spacing w:line="276" w:lineRule="auto"/>
                              <w:jc w:val="center"/>
                              <w:rPr>
                                <w:rFonts w:eastAsia="Calibri"/>
                                <w:color w:val="000000"/>
                                <w:szCs w:val="24"/>
                                <w:lang w:eastAsia="lt-LT"/>
                              </w:rPr>
                            </w:pPr>
                            <w:r>
                              <w:rPr>
                                <w:rFonts w:eastAsia="Calibri"/>
                                <w:color w:val="000000"/>
                                <w:position w:val="-16"/>
                                <w:szCs w:val="24"/>
                                <w:lang w:eastAsia="lt-LT"/>
                              </w:rPr>
                              <w:object w:dxaOrig="4980" w:dyaOrig="432">
                                <v:shape id="_x0000_i1394" type="#_x0000_t75" style="width:249.15pt;height:20.2pt" o:ole="">
                                  <v:imagedata r:id="rId976" o:title=""/>
                                </v:shape>
                                <o:OLEObject Type="Embed" ProgID="Equation.3" ShapeID="_x0000_i1394" DrawAspect="Content" ObjectID="_0000000001" r:id="rId977"/>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(2.322)</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hw.fvSK,m </w:t>
                      </w:r>
                      <w:r>
                        <w:rPr>
                          <w:color w:val="000000"/>
                          <w:szCs w:val="24"/>
                          <w:lang w:eastAsia="lt-LT"/>
                        </w:rPr>
                        <w:t>atitinka skaičiavimo rezultatą, gautą pagal (2.320) formulę;</w:t>
                      </w:r>
                    </w:p>
                    <w:p>
                      <w:pPr>
                        <w:tabs>
                          <w:tab w:val="left" w:pos="567"/>
                          <w:tab w:val="left" w:pos="1650"/>
                        </w:tabs>
                        <w:suppressAutoHyphens/>
                        <w:ind w:firstLine="600"/>
                        <w:jc w:val="both"/>
                        <w:rPr>
                          <w:color w:val="000000"/>
                          <w:szCs w:val="24"/>
                          <w:lang w:eastAsia="lt-LT"/>
                        </w:rPr>
                      </w:pPr>
                      <w:r>
                        <w:rPr>
                          <w:color w:val="000000"/>
                          <w:szCs w:val="24"/>
                          <w:lang w:eastAsia="lt-LT"/>
                        </w:rPr>
                        <w:t>- kai pastate naudojama iš fotovoltinių Saulės kolektorių pagamintos elektros energijos dvipusė apskaita,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strike/>
                                <w:color w:val="000000"/>
                                <w:szCs w:val="24"/>
                                <w:lang w:val="en-US" w:eastAsia="lt-LT"/>
                              </w:rPr>
                            </w:pPr>
                            <w:r>
                              <w:rPr>
                                <w:szCs w:val="24"/>
                                <w:lang w:eastAsia="lt-LT"/>
                              </w:rPr>
                              <w:object w:dxaOrig="5880" w:dyaOrig="1120">
                                <v:shape id="_x0000_i1395" type="#_x0000_t75" style="width:292.85pt;height:55.8pt" o:ole="">
                                  <v:imagedata r:id="rId978" o:title=""/>
                                </v:shape>
                                <o:OLEObject Type="Embed" ProgID="Equation.3" ShapeID="_x0000_i1395" DrawAspect="Content" ObjectID="_0000000001" r:id="rId979"/>
                              </w:object>
                              <w:t>,</w:t>
                            </w:r>
                          </w:p>
                        </w:tc>
                        <w:tc>
                          <w:tcPr>
                            <w:tcW w:w="680" w:type="pct"/>
                            <w:vAlign w:val="center"/>
                            <w:hideMark/>
                          </w:tcPr>
                          <w:p>
                            <w:pPr>
                              <w:tabs>
                                <w:tab w:val="left" w:pos="567"/>
                              </w:tabs>
                              <w:suppressAutoHyphens/>
                              <w:spacing w:line="276" w:lineRule="auto"/>
                              <w:rPr>
                                <w:szCs w:val="24"/>
                                <w:lang w:eastAsia="lt-LT"/>
                              </w:rPr>
                            </w:pPr>
                          </w:p>
                          <w:p>
                            <w:pPr>
                              <w:tabs>
                                <w:tab w:val="left" w:pos="567"/>
                              </w:tabs>
                              <w:suppressAutoHyphens/>
                              <w:spacing w:line="276" w:lineRule="auto"/>
                              <w:rPr>
                                <w:szCs w:val="24"/>
                                <w:lang w:eastAsia="lt-LT"/>
                              </w:rPr>
                            </w:pPr>
                          </w:p>
                          <w:p>
                            <w:pPr>
                              <w:tabs>
                                <w:tab w:val="left" w:pos="567"/>
                              </w:tabs>
                              <w:suppressAutoHyphens/>
                              <w:spacing w:line="276" w:lineRule="auto"/>
                              <w:ind w:left="-5" w:firstLine="372"/>
                              <w:rPr>
                                <w:rFonts w:eastAsia="Calibri"/>
                                <w:szCs w:val="24"/>
                                <w:highlight w:val="green"/>
                                <w:lang w:eastAsia="lt-LT"/>
                              </w:rPr>
                            </w:pPr>
                            <w:r>
                              <w:rPr>
                                <w:szCs w:val="24"/>
                                <w:lang w:eastAsia="lt-LT"/>
                              </w:rPr>
                              <w:t>(2.323)</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E.fvSK,m </w:t>
                      </w:r>
                      <w:r>
                        <w:rPr>
                          <w:color w:val="000000"/>
                          <w:szCs w:val="24"/>
                          <w:lang w:eastAsia="lt-LT"/>
                        </w:rPr>
                        <w:t>apskaičiuojama pagal (2.320)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6620" w:dyaOrig="680">
                                <v:shape id="_x0000_i1396" type="#_x0000_t75" style="width:335.75pt;height:36.4pt" o:ole="">
                                  <v:imagedata r:id="rId980" o:title=""/>
                                </v:shape>
                                <o:OLEObject Type="Embed" ProgID="Equation.3" ShapeID="_x0000_i1396" DrawAspect="Content" ObjectID="_0000000001" r:id="rId981"/>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(2.324)</w:t>
                            </w:r>
                          </w:p>
                        </w:tc>
                      </w:tr>
                    </w:tbl>
                    <w:p>
                      <w:pPr>
                        <w:tabs>
                          <w:tab w:val="left" w:pos="567"/>
                        </w:tabs>
                        <w:suppressAutoHyphens/>
                        <w:rPr>
                          <w:rFonts w:eastAsia="Calibri"/>
                          <w:color w:val="000000"/>
                          <w:szCs w:val="24"/>
                          <w:lang w:eastAsia="lt-LT"/>
                        </w:rPr>
                      </w:pPr>
                      <w:r>
                        <w:rPr>
                          <w:color w:val="000000"/>
                          <w:szCs w:val="24"/>
                          <w:lang w:eastAsia="lt-LT"/>
                        </w:rPr>
                        <w:t>ir pagal (2.324)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719" w:dyaOrig="400">
                                <v:shape id="_x0000_i1397" type="#_x0000_t75" style="width:133.5pt;height:20.2pt" o:ole="">
                                  <v:imagedata r:id="rId982" o:title=""/>
                                </v:shape>
                                <o:OLEObject Type="Embed" ProgID="Equation.3" ShapeID="_x0000_i1397" DrawAspect="Content" ObjectID="_0000000001" r:id="rId983"/>
                              </w:object>
                            </w:r>
                            <w:r>
                              <w:rPr>
                                <w:color w:val="000000"/>
                                <w:szCs w:val="24"/>
                                <w:lang w:eastAsia="lt-LT"/>
                              </w:rPr>
                              <w:t xml:space="preserve">, kitais mėnesiais </w:t>
                            </w:r>
                            <w:r>
                              <w:rPr>
                                <w:rFonts w:eastAsia="Calibri"/>
                                <w:color w:val="000000"/>
                                <w:position w:val="-14"/>
                                <w:szCs w:val="24"/>
                                <w:lang w:eastAsia="lt-LT"/>
                              </w:rPr>
                              <w:object w:dxaOrig="1212" w:dyaOrig="396">
                                <v:shape id="_x0000_i1398" type="#_x0000_t75" style="width:59.85pt;height:20.2pt" o:ole="">
                                  <v:imagedata r:id="rId984" o:title=""/>
                                </v:shape>
                                <o:OLEObject Type="Embed" ProgID="Equation.3" ShapeID="_x0000_i1398" DrawAspect="Content" ObjectID="_0000000001" r:id="rId985"/>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(2.325)</w:t>
                            </w:r>
                          </w:p>
                        </w:tc>
                      </w:tr>
                    </w:tbl>
                    <w:p>
                      <w:pPr>
                        <w:tabs>
                          <w:tab w:val="left" w:pos="567"/>
                        </w:tabs>
                        <w:suppressAutoHyphens/>
                        <w:rPr>
                          <w:rFonts w:eastAsia="Calibri"/>
                          <w:color w:val="000000"/>
                          <w:szCs w:val="24"/>
                          <w:lang w:eastAsia="lt-LT"/>
                        </w:rPr>
                      </w:pPr>
                      <w:r>
                        <w:rPr>
                          <w:color w:val="000000"/>
                          <w:szCs w:val="24"/>
                          <w:lang w:eastAsia="lt-LT"/>
                        </w:rPr>
                        <w:t>o jei pagal (2.324) formulę rezultatas gaunamas kitą (ne sausio) mėnesį, tai šį mėnesį</w:t>
                      </w:r>
                    </w:p>
                    <w:tbl>
                      <w:tblPr>
                        <w:tblW w:w="5000" w:type="pct"/>
                        <w:tblLook w:val="01E0" w:firstRow="1" w:lastRow="1" w:firstColumn="1" w:lastColumn="1" w:noHBand="0" w:noVBand="0"/>
                      </w:tblPr>
                      <w:tblGrid>
                        <w:gridCol w:w="8171"/>
                        <w:gridCol w:w="1683"/>
                      </w:tblGrid>
                      <w:tr>
                        <w:tc>
                          <w:tcPr>
                            <w:tcW w:w="4146" w:type="pct"/>
                            <w:hideMark/>
                          </w:tcPr>
                          <w:p>
                            <w:pPr>
                              <w:tabs>
                                <w:tab w:val="left" w:pos="567"/>
                              </w:tabs>
                              <w:suppressAutoHyphens/>
                              <w:spacing w:line="276" w:lineRule="auto"/>
                              <w:ind w:left="567"/>
                              <w:jc w:val="center"/>
                              <w:rPr>
                                <w:rFonts w:eastAsia="Calibri"/>
                                <w:color w:val="000000"/>
                                <w:szCs w:val="24"/>
                                <w:lang w:eastAsia="lt-LT"/>
                              </w:rPr>
                            </w:pPr>
                            <w:r>
                              <w:rPr>
                                <w:position w:val="-28"/>
                                <w:szCs w:val="24"/>
                                <w:lang w:eastAsia="lt-LT"/>
                              </w:rPr>
                              <w:object w:dxaOrig="7320" w:dyaOrig="680">
                                <v:shape id="_x0000_i1399" type="#_x0000_t75" style="width:366.45pt;height:36.4pt" o:ole="">
                                  <v:imagedata r:id="rId986" o:title=""/>
                                </v:shape>
                                <o:OLEObject Type="Embed" ProgID="Equation.3" ShapeID="_x0000_i1399" DrawAspect="Content" ObjectID="_0000000001" r:id="rId987"/>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212" w:dyaOrig="396">
                                <v:shape id="_x0000_i1400" type="#_x0000_t75" style="width:59.85pt;height:20.2pt" o:ole="">
                                  <v:imagedata r:id="rId988" o:title=""/>
                                </v:shape>
                                <o:OLEObject Type="Embed" ProgID="Equation.3" ShapeID="_x0000_i1400" DrawAspect="Content" ObjectID="_0000000001" r:id="rId989"/>
                              </w:object>
                            </w:r>
                            <w:r>
                              <w:rPr>
                                <w:color w:val="000000"/>
                                <w:szCs w:val="24"/>
                                <w:lang w:eastAsia="lt-LT"/>
                              </w:rPr>
                              <w:t>;</w:t>
                            </w:r>
                          </w:p>
                        </w:tc>
                        <w:tc>
                          <w:tcPr>
                            <w:tcW w:w="854"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(2.326)</w:t>
                            </w:r>
                          </w:p>
                        </w:tc>
                      </w:tr>
                    </w:tbl>
                    <w:p>
                      <w:pPr>
                        <w:tabs>
                          <w:tab w:val="left" w:pos="567"/>
                        </w:tabs>
                        <w:suppressAutoHyphens/>
                        <w:jc w:val="both"/>
                        <w:rPr>
                          <w:rFonts w:eastAsia="Calibri"/>
                          <w:color w:val="000000"/>
                          <w:szCs w:val="24"/>
                        </w:rPr>
                      </w:pPr>
                      <w:r>
                        <w:rPr>
                          <w:color w:val="000000"/>
                          <w:szCs w:val="24"/>
                          <w:lang w:eastAsia="lt-LT"/>
                        </w:rPr>
                        <w:t>čia:</w:t>
                        <w:tab/>
                      </w:r>
                      <w:r>
                        <w:rPr>
                          <w:i/>
                          <w:color w:val="000000"/>
                          <w:szCs w:val="24"/>
                          <w:lang w:eastAsia="lt-LT"/>
                        </w:rPr>
                        <w:t>Q</w:t>
                      </w:r>
                      <w:r>
                        <w:rPr>
                          <w:i/>
                          <w:color w:val="000000"/>
                          <w:szCs w:val="24"/>
                          <w:vertAlign w:val="subscript"/>
                          <w:lang w:eastAsia="lt-LT"/>
                        </w:rPr>
                        <w:t>hw.fvSK,m</w:t>
                      </w:r>
                      <w:r>
                        <w:rPr>
                          <w:color w:val="000000"/>
                          <w:szCs w:val="24"/>
                          <w:lang w:eastAsia="lt-LT"/>
                        </w:rPr>
                        <w:t xml:space="preserve">,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hw.fvSK,m</w:t>
                      </w:r>
                      <w:r>
                        <w:rPr>
                          <w:color w:val="000000"/>
                          <w:szCs w:val="24"/>
                          <w:lang w:eastAsia="lt-LT"/>
                        </w:rPr>
                        <w:t xml:space="preserve">,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hw.fvSK,m</w:t>
                      </w:r>
                      <w:r>
                        <w:rPr>
                          <w:color w:val="000000"/>
                          <w:szCs w:val="24"/>
                          <w:lang w:eastAsia="lt-LT"/>
                        </w:rPr>
                        <w:t xml:space="preserve"> – Saulės kolektorių sistemų pagamintos energijos mėnesinės sąnaudos karštam vandeniui ruošti (kWh/(m²·mėn.)). Apskaičiuojama pagal (2.237), (2.260) ir (2.291) formules;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0.5 pp."/>
                    <w:tag w:val="part_cb228d85b79243a9aab6ed22995fcf1c"/>
                    <w:lock w:val="sdtLocked"/>
                    <w:richText/>
                  </w:sdtPr>
                  <w:sdtContent>
                    <w:p>
                      <w:pPr>
                        <w:ind w:firstLine="600"/>
                        <w:jc w:val="both"/>
                        <w:rPr>
                          <w:color w:val="000000"/>
                          <w:szCs w:val="24"/>
                        </w:rPr>
                      </w:pPr>
                      <w:sdt>
                        <w:sdtPr>
                          <w:alias w:val="Numeris"/>
                          <w:tag w:val="nr_cb228d85b79243a9aab6ed22995fcf1c"/>
                          <w:lock w:val="sdtLocked"/>
                          <w:richText/>
                        </w:sdtPr>
                        <w:sdtContent>
                          <w:r>
                            <w:rPr>
                              <w:color w:val="000000"/>
                              <w:szCs w:val="24"/>
                            </w:rPr>
                            <w:t>60.5</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energijos kiekis karštam vandeniui ruošti </w:t>
                      </w:r>
                      <w:r>
                        <w:rPr>
                          <w:i/>
                          <w:color w:val="000000"/>
                          <w:szCs w:val="24"/>
                        </w:rPr>
                        <w:t>Q</w:t>
                      </w:r>
                      <w:r>
                        <w:rPr>
                          <w:i/>
                          <w:color w:val="000000"/>
                          <w:szCs w:val="24"/>
                          <w:vertAlign w:val="superscript"/>
                        </w:rPr>
                        <w:t>IV</w:t>
                      </w:r>
                      <w:r>
                        <w:rPr>
                          <w:i/>
                          <w:color w:val="000000"/>
                          <w:szCs w:val="24"/>
                          <w:vertAlign w:val="subscript"/>
                        </w:rPr>
                        <w:t xml:space="preserve">hw.fvSK,m </w:t>
                      </w:r>
                      <w:r>
                        <w:rPr>
                          <w:color w:val="000000"/>
                          <w:szCs w:val="24"/>
                        </w:rPr>
                        <w:t>(kWh/(m²·mėn.)) apskaičiuojamos pagal (2.327)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szCs w:val="24"/>
                              </w:rPr>
                              <w:object w:dxaOrig="3920" w:dyaOrig="1490">
                                <v:shape id="_x0000_i1401" type="#_x0000_t75" style="width:195.8pt;height:74.45pt" o:ole="">
                                  <v:imagedata r:id="rId990" o:title=""/>
                                </v:shape>
                                <o:OLEObject Type="Embed" ProgID="Equation.3" ShapeID="_x0000_i1401" DrawAspect="Content" ObjectID="_0000000001" r:id="rId991"/>
                              </w:object>
                            </w:r>
                          </w:p>
                        </w:tc>
                        <w:tc>
                          <w:tcPr>
                            <w:tcW w:w="1247" w:type="dxa"/>
                            <w:vAlign w:val="center"/>
                            <w:hideMark/>
                          </w:tcPr>
                          <w:p>
                            <w:pPr>
                              <w:spacing w:line="276" w:lineRule="auto"/>
                              <w:jc w:val="right"/>
                              <w:rPr>
                                <w:rFonts w:eastAsia="Calibri"/>
                                <w:color w:val="000000"/>
                                <w:szCs w:val="24"/>
                              </w:rPr>
                            </w:pPr>
                            <w:r>
                              <w:rPr>
                                <w:color w:val="000000"/>
                                <w:szCs w:val="24"/>
                              </w:rPr>
                              <w:t xml:space="preserve">(2.327) </w:t>
                            </w:r>
                          </w:p>
                        </w:tc>
                      </w:tr>
                    </w:tbl>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.IV</w:t>
                      </w:r>
                      <w:r>
                        <w:rPr>
                          <w:i/>
                          <w:color w:val="000000"/>
                          <w:szCs w:val="24"/>
                          <w:vertAlign w:val="subscript"/>
                        </w:rPr>
                        <w:t>hw.fvSK,m</w:t>
                      </w:r>
                      <w:r>
                        <w:rPr>
                          <w:color w:val="000000"/>
                          <w:szCs w:val="24"/>
                        </w:rPr>
                        <w:t xml:space="preserve"> – apskaičiuojamas pagal (2.311) formulę (vnt. dalys);</w:t>
                      </w:r>
                    </w:p>
                    <w:p>
                      <w:pPr>
                        <w:ind w:left="600"/>
                        <w:rPr>
                          <w:color w:val="000000"/>
                          <w:szCs w:val="24"/>
                        </w:rPr>
                      </w:pPr>
                      <w:r>
                        <w:rPr>
                          <w:color w:val="000000"/>
                          <w:szCs w:val="24"/>
                        </w:rPr>
                        <w:t>kitus formulės paaiškinimus žiūrėti prie (2.229) formulės;</w:t>
                      </w:r>
                    </w:p>
                  </w:sdtContent>
                </w:sdt>
                <w:sdt>
                  <w:sdtPr>
                    <w:alias w:val="2 pr. 60.6 pp."/>
                    <w:tag w:val="part_cf9cde769d76425e9e353559b02b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60.6</w:t>
                      </w:r>
                      <w:r>
                        <w:rPr>
                          <w:rFonts w:ascii="Times New Roman" w:hAnsi="Times New Roman"/>
                          <w:sz w:val="22"/>
                        </w:rPr>
                        <w:t>.</w:t>
                      </w:r>
                      <w:r>
                        <w:rPr>
                          <w:rFonts w:ascii="Times New Roman" w:eastAsia="MS Mincho" w:hAnsi="Times New Roman"/>
                          <w:sz w:val="20"/>
                          <w:i/>
                          <w:iCs/>
                        </w:rPr>
                        <w:t xml:space="preserve"> Neteko galios nuo 2022-08-26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0.7 pp."/>
                    <w:tag w:val="part_c62a63193b1942b5b59a72b267db0761"/>
                    <w:lock w:val="sdtLocked"/>
                    <w:richText/>
                  </w:sdtPr>
                  <w:sdtContent>
                    <w:p>
                      <w:pPr>
                        <w:tabs>
                          <w:tab w:val="left" w:pos="567"/>
                        </w:tabs>
                        <w:suppressAutoHyphens/>
                        <w:ind w:firstLine="567"/>
                        <w:jc w:val="both"/>
                        <w:rPr>
                          <w:color w:val="000000"/>
                          <w:szCs w:val="24"/>
                          <w:lang w:eastAsia="lt-LT"/>
                        </w:rPr>
                      </w:pPr>
                      <w:sdt>
                        <w:sdtPr>
                          <w:alias w:val="Numeris"/>
                          <w:tag w:val="nr_c62a63193b1942b5b59a72b267db0761"/>
                          <w:lock w:val="sdtLocked"/>
                          <w:richText/>
                        </w:sdtPr>
                        <w:sdtContent>
                          <w:r>
                            <w:rPr>
                              <w:color w:val="000000"/>
                              <w:szCs w:val="24"/>
                              <w:lang w:eastAsia="lt-LT"/>
                            </w:rPr>
                            <w:t>60.7</w:t>
                          </w:r>
                        </w:sdtContent>
                      </w:sdt>
                      <w:r>
                        <w:rPr>
                          <w:color w:val="000000"/>
                          <w:szCs w:val="24"/>
                          <w:lang w:eastAsia="lt-LT"/>
                        </w:rPr>
                        <w:t xml:space="preserve">. fotovoltinių Saulės kolektorių sistemų atitinkamą </w:t>
                      </w:r>
                      <w:r>
                        <w:rPr>
                          <w:i/>
                          <w:color w:val="000000"/>
                          <w:szCs w:val="24"/>
                          <w:lang w:eastAsia="lt-LT"/>
                        </w:rPr>
                        <w:t>„m“</w:t>
                      </w:r>
                      <w:r>
                        <w:rPr>
                          <w:color w:val="000000"/>
                          <w:szCs w:val="24"/>
                          <w:lang w:eastAsia="lt-LT"/>
                        </w:rPr>
                        <w:t xml:space="preserve"> mėnesį pagamintos energijos sąnaudos pastatui šildyti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H.fvSK,m </w:t>
                      </w:r>
                      <w:r>
                        <w:rPr>
                          <w:color w:val="000000"/>
                          <w:szCs w:val="24"/>
                          <w:lang w:eastAsia="lt-LT"/>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m:oMath>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H.fvSK,m</m:t>
                                  </m:r>
                                </m:sub>
                                <m:sup>
                                  <m:r>
                                    <w:rPr>
                                      <w:rFonts w:ascii="Cambria Math" w:eastAsia="Calibri"/>
                                      <w:color w:val="000000"/>
                                      <w:szCs w:val="24"/>
                                    </w:rPr>
                                    <m:t>IV</m:t>
                                  </m:r>
                                </m:sup>
                              </m:sSubSup>
                              <m:r>
                                <w:rPr>
                                  <w:rFonts w:ascii="Cambria Math" w:eastAsia="Calibri"/>
                                  <w:color w:val="000000"/>
                                  <w:szCs w:val="24"/>
                                </w:rPr>
                                <m:t>=</m:t>
                              </m:r>
                              <m:nary>
                                <m:naryPr>
                                  <m:chr m:val="∑"/>
                                  <m:ctrlPr>
                                    <w:rPr>
                                      <w:rFonts w:ascii="Cambria Math" w:eastAsia="Calibri" w:hAnsi="Cambria Math"/>
                                      <w:i/>
                                      <w:color w:val="000000"/>
                                      <w:szCs w:val="24"/>
                                    </w:rPr>
                                  </m:ctrlPr>
                                </m:naryPr>
                                <m:sub>
                                  <m:r>
                                    <w:rPr>
                                      <w:rFonts w:ascii="Cambria Math" w:eastAsia="Calibri"/>
                                      <w:color w:val="000000"/>
                                      <w:szCs w:val="24"/>
                                    </w:rPr>
                                    <m:t>x=1</m:t>
                                  </m:r>
                                </m:sub>
                                <m:sup>
                                  <m:r>
                                    <w:rPr>
                                      <w:rFonts w:ascii="Cambria Math" w:eastAsia="Calibri"/>
                                      <w:color w:val="000000"/>
                                      <w:szCs w:val="24"/>
                                    </w:rPr>
                                    <m:t>n</m:t>
                                  </m:r>
                                </m:sup>
                                <m:e/>
                              </m:nary>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H.fvSK,m,x</m:t>
                                  </m:r>
                                </m:sub>
                                <m:sup>
                                  <m:r>
                                    <w:rPr>
                                      <w:rFonts w:ascii="Cambria Math" w:eastAsia="Calibri"/>
                                      <w:color w:val="000000"/>
                                      <w:szCs w:val="24"/>
                                    </w:rPr>
                                    <m:t>IV</m:t>
                                  </m:r>
                                </m:sup>
                              </m:sSubSup>
                            </m:oMath>
                            <w:r>
                              <w:rPr>
                                <w:rFonts w:eastAsia="Calibri"/>
                                <w:color w:val="000000"/>
                                <w:szCs w:val="24"/>
                                <w:lang w:eastAsia="lt-LT"/>
                              </w:rPr>
                              <w:t>;</w:t>
                            </w:r>
                          </w:p>
                        </w:tc>
                        <w:tc>
                          <w:tcPr>
                            <w:tcW w:w="1062" w:type="dxa"/>
                            <w:vAlign w:val="center"/>
                            <w:hideMark/>
                          </w:tcPr>
                          <w:p>
                            <w:pPr>
                              <w:tabs>
                                <w:tab w:val="left" w:pos="567"/>
                              </w:tabs>
                              <w:suppressAutoHyphens/>
                              <w:spacing w:line="276" w:lineRule="auto"/>
                              <w:jc w:val="right"/>
                              <w:rPr>
                                <w:color w:val="000000"/>
                                <w:szCs w:val="24"/>
                                <w:lang w:eastAsia="lt-LT"/>
                              </w:rPr>
                            </w:pPr>
                            <w:r>
                              <w:rPr>
                                <w:color w:val="000000"/>
                                <w:szCs w:val="24"/>
                                <w:lang w:eastAsia="lt-LT"/>
                              </w:rPr>
                              <w:t>(2.329)</w:t>
                            </w:r>
                          </w:p>
                        </w:tc>
                      </w:tr>
                    </w:tbl>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H.fvSK,m,x </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sistemos fotovoltinių Saulės kolektorių pagamintas energijos kiekis pastatui šildyti (kWh/(m²·mėn.)). Apskaičiuojama pagal (2.336) formulę;</w:t>
                      </w:r>
                    </w:p>
                    <w:p>
                      <w:pPr>
                        <w:tabs>
                          <w:tab w:val="left" w:pos="567"/>
                        </w:tabs>
                        <w:suppressAutoHyphens/>
                        <w:ind w:left="600"/>
                        <w:rPr>
                          <w:color w:val="000000"/>
                          <w:szCs w:val="24"/>
                          <w:lang w:eastAsia="lt-LT"/>
                        </w:rPr>
                      </w:pPr>
                      <w:r>
                        <w:rPr>
                          <w:color w:val="000000"/>
                          <w:szCs w:val="24"/>
                          <w:lang w:eastAsia="lt-LT"/>
                        </w:rPr>
                        <w:t>(2.329) formulės taikymo sąlygos:</w:t>
                      </w:r>
                    </w:p>
                    <w:p>
                      <w:pPr>
                        <w:tabs>
                          <w:tab w:val="left" w:pos="567"/>
                          <w:tab w:val="left" w:pos="1200"/>
                        </w:tabs>
                        <w:suppressAutoHyphens/>
                        <w:ind w:left="1200" w:hanging="360"/>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H.fvSK,m</w:t>
                      </w:r>
                      <w:r>
                        <w:rPr>
                          <w:color w:val="000000"/>
                          <w:szCs w:val="24"/>
                          <w:lang w:eastAsia="lt-LT"/>
                        </w:rPr>
                        <w:t xml:space="preserve">&lt;0 arba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H.fvSK,m</w:t>
                      </w:r>
                      <w:r>
                        <w:rPr>
                          <w:color w:val="000000"/>
                          <w:szCs w:val="24"/>
                          <w:lang w:eastAsia="lt-LT"/>
                        </w:rPr>
                        <w:t>=0,</w:t>
                      </w:r>
                    </w:p>
                    <w:p>
                      <w:pPr>
                        <w:tabs>
                          <w:tab w:val="left" w:pos="567"/>
                          <w:tab w:val="left" w:pos="1134"/>
                          <w:tab w:val="left" w:pos="1650"/>
                        </w:tabs>
                        <w:suppressAutoHyphens/>
                        <w:ind w:firstLine="840"/>
                        <w:jc w:val="both"/>
                        <w:rPr>
                          <w:color w:val="000000"/>
                          <w:szCs w:val="24"/>
                          <w:lang w:eastAsia="lt-LT"/>
                        </w:rPr>
                      </w:pPr>
                      <w:r>
                        <w:rPr>
                          <w:color w:val="000000"/>
                          <w:szCs w:val="24"/>
                          <w:lang w:eastAsia="lt-LT"/>
                        </w:rPr>
                        <w:t>- kai pastate nenaudojama iš fotovoltinių Saulės kolektorių pagamintos elektros energijos dvipusė apskaita ir kai fotovoltinės Saulės kolektorių sistemos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5160" w:dyaOrig="408">
                                <v:shape id="_x0000_i1402" type="#_x0000_t75" style="width:257.25pt;height:20.2pt" o:ole="">
                                  <v:imagedata r:id="rId992" o:title=""/>
                                </v:shape>
                                <o:OLEObject Type="Embed" ProgID="Equation.3" ShapeID="_x0000_i1402" DrawAspect="Content" ObjectID="_0000000001" r:id="rId993"/>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(2.330)</w:t>
                            </w:r>
                          </w:p>
                        </w:tc>
                      </w:tr>
                    </w:tbl>
                    <w:p>
                      <w:pPr>
                        <w:tabs>
                          <w:tab w:val="left" w:pos="567"/>
                        </w:tabs>
                        <w:suppressAutoHyphens/>
                        <w:ind w:left="840"/>
                        <w:rPr>
                          <w:rFonts w:eastAsia="Calibri"/>
                          <w:color w:val="000000"/>
                          <w:szCs w:val="24"/>
                          <w:lang w:eastAsia="lt-LT"/>
                        </w:rPr>
                      </w:pPr>
                      <w:r>
                        <w:rPr>
                          <w:color w:val="000000"/>
                          <w:szCs w:val="24"/>
                          <w:lang w:eastAsia="lt-LT"/>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5064" w:dyaOrig="408">
                                <v:shape id="_x0000_i1403" type="#_x0000_t75" style="width:252.4pt;height:20.2pt" o:ole="">
                                  <v:imagedata r:id="rId994" o:title=""/>
                                </v:shape>
                                <o:OLEObject Type="Embed" ProgID="Equation.3" ShapeID="_x0000_i1403" DrawAspect="Content" ObjectID="_0000000001" r:id="rId995"/>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(2.331)</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H.fvSK,m </w:t>
                      </w:r>
                      <w:r>
                        <w:rPr>
                          <w:color w:val="000000"/>
                          <w:szCs w:val="24"/>
                          <w:lang w:eastAsia="lt-LT"/>
                        </w:rPr>
                        <w:t>atitinka skaičiavimo rezultatą, gautą pagal (2.329) formulę;</w:t>
                      </w:r>
                    </w:p>
                    <w:p>
                      <w:pPr>
                        <w:tabs>
                          <w:tab w:val="left" w:pos="284"/>
                          <w:tab w:val="left" w:pos="567"/>
                        </w:tabs>
                        <w:suppressAutoHyphens/>
                        <w:ind w:firstLine="600"/>
                        <w:jc w:val="both"/>
                        <w:rPr>
                          <w:color w:val="000000"/>
                          <w:szCs w:val="24"/>
                          <w:lang w:eastAsia="lt-LT"/>
                        </w:rPr>
                      </w:pPr>
                      <w:r>
                        <w:rPr>
                          <w:color w:val="000000"/>
                          <w:szCs w:val="24"/>
                          <w:lang w:eastAsia="lt-LT"/>
                        </w:rPr>
                        <w:t>-</w:t>
                        <w:tab/>
                        <w:t>kai pastate naudojama iš fotovoltinių Saulės kolektorių pagamintos elektros energijos dvipusė apskaita,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5960" w:dyaOrig="1120">
                                <v:shape id="_x0000_i1404" type="#_x0000_t75" style="width:300.95pt;height:55.8pt" o:ole="">
                                  <v:imagedata r:id="rId996" o:title=""/>
                                </v:shape>
                                <o:OLEObject Type="Embed" ProgID="Equation.3" ShapeID="_x0000_i1404" DrawAspect="Content" ObjectID="_0000000001" r:id="rId997"/>
                              </w:object>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(2.332)</w:t>
                            </w:r>
                          </w:p>
                        </w:tc>
                      </w:tr>
                    </w:tbl>
                    <w:p>
                      <w:pPr>
                        <w:tabs>
                          <w:tab w:val="left" w:pos="567"/>
                          <w:tab w:val="num" w:pos="1200"/>
                        </w:tabs>
                        <w:suppressAutoHyphens/>
                        <w:ind w:left="1134"/>
                        <w:rPr>
                          <w:color w:val="000000"/>
                          <w:szCs w:val="24"/>
                          <w:lang w:eastAsia="lt-LT"/>
                        </w:rPr>
                      </w:pPr>
                    </w:p>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E.fvSK,m </w:t>
                      </w:r>
                      <w:r>
                        <w:rPr>
                          <w:color w:val="000000"/>
                          <w:szCs w:val="24"/>
                          <w:lang w:eastAsia="lt-LT"/>
                        </w:rPr>
                        <w:t>apskaičiuojama pagal (2.329)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6660" w:dyaOrig="680">
                                <v:shape id="_x0000_i1405" type="#_x0000_t75" style="width:335.75pt;height:36.4pt" o:ole="">
                                  <v:imagedata r:id="rId998" o:title=""/>
                                </v:shape>
                                <o:OLEObject Type="Embed" ProgID="Equation.3" ShapeID="_x0000_i1405" DrawAspect="Content" ObjectID="_0000000001" r:id="rId999"/>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(2.333)</w:t>
                            </w:r>
                          </w:p>
                        </w:tc>
                      </w:tr>
                    </w:tbl>
                    <w:p>
                      <w:pPr>
                        <w:tabs>
                          <w:tab w:val="left" w:pos="567"/>
                        </w:tabs>
                        <w:suppressAutoHyphens/>
                        <w:rPr>
                          <w:rFonts w:eastAsia="Calibri"/>
                          <w:color w:val="000000"/>
                          <w:szCs w:val="24"/>
                          <w:lang w:eastAsia="lt-LT"/>
                        </w:rPr>
                      </w:pPr>
                      <w:r>
                        <w:rPr>
                          <w:color w:val="000000"/>
                          <w:szCs w:val="24"/>
                          <w:lang w:eastAsia="lt-LT"/>
                        </w:rPr>
                        <w:t>ir pagal (2.333)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2680" w:dyaOrig="400">
                                <v:shape id="_x0000_i1406" type="#_x0000_t75" style="width:134.3pt;height:20.2pt" o:ole="">
                                  <v:imagedata r:id="rId1000" o:title=""/>
                                </v:shape>
                                <o:OLEObject Type="Embed" ProgID="Equation.3" ShapeID="_x0000_i1406" DrawAspect="Content" ObjectID="_0000000001" r:id="rId1001"/>
                              </w:object>
                            </w:r>
                            <w:r>
                              <w:rPr>
                                <w:color w:val="000000"/>
                                <w:szCs w:val="24"/>
                                <w:lang w:eastAsia="lt-LT"/>
                              </w:rPr>
                              <w:t xml:space="preserve">, kitais mėnesiais </w:t>
                            </w:r>
                            <w:r>
                              <w:rPr>
                                <w:rFonts w:eastAsia="Calibri"/>
                                <w:color w:val="000000"/>
                                <w:position w:val="-14"/>
                                <w:szCs w:val="24"/>
                                <w:lang w:eastAsia="lt-LT"/>
                              </w:rPr>
                              <w:object w:dxaOrig="1212" w:dyaOrig="396">
                                <v:shape id="_x0000_i1407" type="#_x0000_t75" style="width:59.85pt;height:20.2pt" o:ole="">
                                  <v:imagedata r:id="rId1002" o:title=""/>
                                </v:shape>
                                <o:OLEObject Type="Embed" ProgID="Equation.3" ShapeID="_x0000_i1407" DrawAspect="Content" ObjectID="_0000000001" r:id="rId1003"/>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(2.334)</w:t>
                            </w:r>
                          </w:p>
                        </w:tc>
                      </w:tr>
                    </w:tbl>
                    <w:p>
                      <w:pPr>
                        <w:tabs>
                          <w:tab w:val="left" w:pos="567"/>
                        </w:tabs>
                        <w:suppressAutoHyphens/>
                        <w:rPr>
                          <w:rFonts w:eastAsia="Calibri"/>
                          <w:color w:val="000000"/>
                          <w:szCs w:val="24"/>
                          <w:lang w:eastAsia="lt-LT"/>
                        </w:rPr>
                      </w:pPr>
                      <w:r>
                        <w:rPr>
                          <w:color w:val="000000"/>
                          <w:szCs w:val="24"/>
                          <w:lang w:eastAsia="lt-LT"/>
                        </w:rPr>
                        <w:t>jei pagal (2.333) formulę rezultatas gaunamas kitą (ne sausio) mėnesį, tai šį mėnesį</w:t>
                      </w:r>
                    </w:p>
                    <w:tbl>
                      <w:tblPr>
                        <w:tblW w:w="5000" w:type="pct"/>
                        <w:tblLook w:val="01E0" w:firstRow="1" w:lastRow="1" w:firstColumn="1" w:lastColumn="1" w:noHBand="0" w:noVBand="0"/>
                      </w:tblPr>
                      <w:tblGrid>
                        <w:gridCol w:w="8171"/>
                        <w:gridCol w:w="1683"/>
                      </w:tblGrid>
                      <w:tr>
                        <w:tc>
                          <w:tcPr>
                            <w:tcW w:w="4146"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7220" w:dyaOrig="680">
                                <v:shape id="_x0000_i1408" type="#_x0000_t75" style="width:5in;height:36.4pt" o:ole="">
                                  <v:imagedata r:id="rId1004" o:title=""/>
                                </v:shape>
                                <o:OLEObject Type="Embed" ProgID="Equation.3" ShapeID="_x0000_i1408" DrawAspect="Content" ObjectID="_0000000001" r:id="rId1005"/>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212" w:dyaOrig="396">
                                <v:shape id="_x0000_i1409" type="#_x0000_t75" style="width:59.85pt;height:20.2pt" o:ole="">
                                  <v:imagedata r:id="rId1006" o:title=""/>
                                </v:shape>
                                <o:OLEObject Type="Embed" ProgID="Equation.3" ShapeID="_x0000_i1409" DrawAspect="Content" ObjectID="_0000000001" r:id="rId1007"/>
                              </w:object>
                            </w:r>
                            <w:r>
                              <w:rPr>
                                <w:color w:val="000000"/>
                                <w:szCs w:val="24"/>
                                <w:lang w:eastAsia="lt-LT"/>
                              </w:rPr>
                              <w:t>;</w:t>
                            </w:r>
                          </w:p>
                        </w:tc>
                        <w:tc>
                          <w:tcPr>
                            <w:tcW w:w="854"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(2.335)</w:t>
                            </w:r>
                          </w:p>
                        </w:tc>
                      </w:tr>
                    </w:tbl>
                    <w:p>
                      <w:pPr>
                        <w:tabs>
                          <w:tab w:val="left" w:pos="567"/>
                        </w:tabs>
                        <w:suppressAutoHyphens/>
                        <w:jc w:val="both"/>
                        <w:rPr>
                          <w:rFonts w:eastAsia="Calibri"/>
                          <w:i/>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H.E,m</w:t>
                      </w:r>
                      <w:r>
                        <w:rPr>
                          <w:i/>
                          <w:color w:val="000000"/>
                          <w:szCs w:val="24"/>
                          <w:lang w:eastAsia="lt-LT"/>
                        </w:rPr>
                        <w:t xml:space="preserve">, </w:t>
                      </w:r>
                      <w:r>
                        <w:rPr>
                          <w:color w:val="000000"/>
                          <w:szCs w:val="24"/>
                          <w:lang w:eastAsia="lt-LT"/>
                        </w:rPr>
                        <w:t>– elektros energijos poreikis pastatui šildyti. Apskaičiuojama pagal (2.587) arba (2.588) formules;</w:t>
                      </w:r>
                    </w:p>
                    <w:p>
                      <w:pPr>
                        <w:tabs>
                          <w:tab w:val="left" w:pos="567"/>
                        </w:tabs>
                        <w:suppressAutoHyphens/>
                        <w:ind w:firstLine="600"/>
                        <w:jc w:val="both"/>
                        <w:rPr>
                          <w:color w:val="000000"/>
                          <w:szCs w:val="24"/>
                        </w:rPr>
                      </w:pPr>
                      <w:r>
                        <w:rPr>
                          <w:i/>
                          <w:color w:val="000000"/>
                          <w:szCs w:val="24"/>
                          <w:lang w:eastAsia="lt-LT"/>
                        </w:rPr>
                        <w:t>Q</w:t>
                      </w:r>
                      <w:r>
                        <w:rPr>
                          <w:i/>
                          <w:color w:val="000000"/>
                          <w:szCs w:val="24"/>
                          <w:vertAlign w:val="subscript"/>
                          <w:lang w:eastAsia="lt-LT"/>
                        </w:rPr>
                        <w:t>H.fvSK,m</w:t>
                      </w:r>
                      <w:r>
                        <w:rPr>
                          <w:i/>
                          <w:color w:val="000000"/>
                          <w:szCs w:val="24"/>
                          <w:lang w:eastAsia="lt-LT"/>
                        </w:rPr>
                        <w:t>, Q</w:t>
                      </w:r>
                      <w:r>
                        <w:rPr>
                          <w:i/>
                          <w:color w:val="000000"/>
                          <w:szCs w:val="24"/>
                          <w:vertAlign w:val="superscript"/>
                          <w:lang w:eastAsia="lt-LT"/>
                        </w:rPr>
                        <w:t>II</w:t>
                      </w:r>
                      <w:r>
                        <w:rPr>
                          <w:i/>
                          <w:color w:val="000000"/>
                          <w:szCs w:val="24"/>
                          <w:vertAlign w:val="subscript"/>
                          <w:lang w:eastAsia="lt-LT"/>
                        </w:rPr>
                        <w:t>H.fvSK,m</w:t>
                      </w:r>
                      <w:r>
                        <w:rPr>
                          <w:i/>
                          <w:color w:val="000000"/>
                          <w:szCs w:val="24"/>
                          <w:lang w:eastAsia="lt-LT"/>
                        </w:rPr>
                        <w:t>, Q</w:t>
                      </w:r>
                      <w:r>
                        <w:rPr>
                          <w:i/>
                          <w:color w:val="000000"/>
                          <w:szCs w:val="24"/>
                          <w:vertAlign w:val="superscript"/>
                          <w:lang w:eastAsia="lt-LT"/>
                        </w:rPr>
                        <w:t>III</w:t>
                      </w:r>
                      <w:r>
                        <w:rPr>
                          <w:i/>
                          <w:color w:val="000000"/>
                          <w:szCs w:val="24"/>
                          <w:vertAlign w:val="subscript"/>
                          <w:lang w:eastAsia="lt-LT"/>
                        </w:rPr>
                        <w:t xml:space="preserve">H.fvSK,m </w:t>
                      </w:r>
                      <w:r>
                        <w:rPr>
                          <w:color w:val="000000"/>
                          <w:szCs w:val="24"/>
                          <w:lang w:eastAsia="lt-LT"/>
                        </w:rPr>
                        <w:t xml:space="preserve">– energijos sąnaudos pastatui šildyti atitinkamą </w:t>
                      </w:r>
                      <w:r>
                        <w:rPr>
                          <w:i/>
                          <w:color w:val="000000"/>
                          <w:szCs w:val="24"/>
                          <w:lang w:eastAsia="lt-LT"/>
                        </w:rPr>
                        <w:t>„m“</w:t>
                      </w:r>
                      <w:r>
                        <w:rPr>
                          <w:color w:val="000000"/>
                          <w:szCs w:val="24"/>
                          <w:lang w:eastAsia="lt-LT"/>
                        </w:rPr>
                        <w:t xml:space="preserve"> mėnesį (kWh/(m²·mėn.)). Apskaičiuojama pagal (2.247), (2.279) ir (2.300) formules;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0.8 pp."/>
                    <w:tag w:val="part_90ae0dfe53ff4819941ac730799e8a01"/>
                    <w:lock w:val="sdtLocked"/>
                    <w:richText/>
                  </w:sdtPr>
                  <w:sdtContent>
                    <w:p>
                      <w:pPr>
                        <w:ind w:firstLine="600"/>
                        <w:jc w:val="both"/>
                        <w:rPr>
                          <w:color w:val="000000"/>
                          <w:szCs w:val="24"/>
                        </w:rPr>
                      </w:pPr>
                      <w:sdt>
                        <w:sdtPr>
                          <w:alias w:val="Numeris"/>
                          <w:tag w:val="nr_90ae0dfe53ff4819941ac730799e8a01"/>
                          <w:lock w:val="sdtLocked"/>
                          <w:richText/>
                        </w:sdtPr>
                        <w:sdtContent>
                          <w:r>
                            <w:rPr>
                              <w:color w:val="000000"/>
                              <w:szCs w:val="24"/>
                            </w:rPr>
                            <w:t>60.8</w:t>
                          </w:r>
                        </w:sdtContent>
                      </w:sdt>
                      <w:r>
                        <w:rPr>
                          <w:color w:val="000000"/>
                          <w:szCs w:val="24"/>
                        </w:rPr>
                        <w:t xml:space="preserve">. fotovoltinių Saulės kolektorių sistemų atitinkamą </w:t>
                      </w:r>
                      <w:r>
                        <w:rPr>
                          <w:i/>
                          <w:color w:val="000000"/>
                          <w:szCs w:val="24"/>
                        </w:rPr>
                        <w:t>„m“</w:t>
                      </w:r>
                      <w:r>
                        <w:rPr>
                          <w:color w:val="000000"/>
                          <w:szCs w:val="24"/>
                        </w:rPr>
                        <w:t xml:space="preserve"> mėnesį pagamintos energijos kiekis pastatui šildyti </w:t>
                      </w:r>
                      <w:r>
                        <w:rPr>
                          <w:i/>
                          <w:color w:val="000000"/>
                          <w:szCs w:val="24"/>
                        </w:rPr>
                        <w:t>Q</w:t>
                      </w:r>
                      <w:r>
                        <w:rPr>
                          <w:i/>
                          <w:color w:val="000000"/>
                          <w:szCs w:val="24"/>
                          <w:vertAlign w:val="superscript"/>
                        </w:rPr>
                        <w:t>IV</w:t>
                      </w:r>
                      <w:r>
                        <w:rPr>
                          <w:i/>
                          <w:color w:val="000000"/>
                          <w:szCs w:val="24"/>
                          <w:vertAlign w:val="subscript"/>
                        </w:rPr>
                        <w:t xml:space="preserve">H.fvSK,m </w:t>
                      </w:r>
                      <w:r>
                        <w:rPr>
                          <w:color w:val="000000"/>
                          <w:szCs w:val="24"/>
                        </w:rPr>
                        <w:t>(kWh/(m²·mėn.)) apskaičiuojamos pagal (2.336) formulę:</w:t>
                      </w:r>
                    </w:p>
                    <w:tbl>
                      <w:tblPr>
                        <w:tblW w:w="5000" w:type="pct"/>
                        <w:jc w:val="center"/>
                        <w:tblLook w:val="01E0" w:firstRow="1" w:lastRow="1" w:firstColumn="1" w:lastColumn="1" w:noHBand="0" w:noVBand="0"/>
                      </w:tblPr>
                      <w:tblGrid>
                        <w:gridCol w:w="8524"/>
                        <w:gridCol w:w="1330"/>
                      </w:tblGrid>
                      <w:tr>
                        <w:trPr>
                          <w:jc w:val="center"/>
                        </w:trPr>
                        <w:tc>
                          <w:tcPr>
                            <w:tcW w:w="7993" w:type="dxa"/>
                            <w:vAlign w:val="center"/>
                            <w:hideMark/>
                          </w:tcPr>
                          <w:p>
                            <w:pPr>
                              <w:spacing w:line="276" w:lineRule="auto"/>
                              <w:jc w:val="center"/>
                              <w:rPr>
                                <w:rFonts w:eastAsia="Calibri"/>
                                <w:color w:val="000000"/>
                                <w:szCs w:val="24"/>
                              </w:rPr>
                            </w:pPr>
                            <w:r>
                              <w:rPr>
                                <w:rFonts w:eastAsia="Calibri"/>
                                <w:color w:val="000000"/>
                                <w:szCs w:val="24"/>
                              </w:rPr>
                              <w:object w:dxaOrig="3920" w:dyaOrig="1490">
                                <v:shape id="_x0000_i1410" type="#_x0000_t75" style="width:195.8pt;height:74.45pt" o:ole="">
                                  <v:imagedata r:id="rId1008" o:title=""/>
                                </v:shape>
                                <o:OLEObject Type="Embed" ProgID="Equation.3" ShapeID="_x0000_i1410" DrawAspect="Content" ObjectID="_0000000001" r:id="rId1009"/>
                              </w:object>
                            </w:r>
                          </w:p>
                        </w:tc>
                        <w:tc>
                          <w:tcPr>
                            <w:tcW w:w="1247" w:type="dxa"/>
                            <w:vAlign w:val="center"/>
                            <w:hideMark/>
                          </w:tcPr>
                          <w:p>
                            <w:pPr>
                              <w:spacing w:line="276" w:lineRule="auto"/>
                              <w:jc w:val="right"/>
                              <w:rPr>
                                <w:rFonts w:eastAsia="Calibri"/>
                                <w:color w:val="000000"/>
                                <w:szCs w:val="24"/>
                              </w:rPr>
                            </w:pPr>
                            <w:r>
                              <w:rPr>
                                <w:color w:val="000000"/>
                                <w:szCs w:val="24"/>
                              </w:rPr>
                              <w:t xml:space="preserve">(2.336) </w:t>
                            </w:r>
                          </w:p>
                        </w:tc>
                      </w:tr>
                    </w:tbl>
                    <w:p>
                      <w:pPr>
                        <w:ind w:left="600" w:hanging="600"/>
                        <w:rPr>
                          <w:rFonts w:eastAsia="Calibri"/>
                          <w:color w:val="000000"/>
                          <w:szCs w:val="24"/>
                        </w:rPr>
                      </w:pPr>
                      <w:r>
                        <w:rPr>
                          <w:color w:val="000000"/>
                          <w:szCs w:val="24"/>
                        </w:rPr>
                        <w:t xml:space="preserve">čia: </w:t>
                        <w:tab/>
                      </w:r>
                      <w:r>
                        <w:rPr>
                          <w:i/>
                          <w:color w:val="000000"/>
                          <w:szCs w:val="24"/>
                        </w:rPr>
                        <w:t>f</w:t>
                      </w:r>
                      <w:r>
                        <w:rPr>
                          <w:i/>
                          <w:color w:val="000000"/>
                          <w:szCs w:val="24"/>
                          <w:vertAlign w:val="superscript"/>
                        </w:rPr>
                        <w:t>.IV</w:t>
                      </w:r>
                      <w:r>
                        <w:rPr>
                          <w:i/>
                          <w:color w:val="000000"/>
                          <w:szCs w:val="24"/>
                          <w:vertAlign w:val="subscript"/>
                        </w:rPr>
                        <w:t>H.fvSK,m</w:t>
                      </w:r>
                      <w:r>
                        <w:rPr>
                          <w:color w:val="000000"/>
                          <w:szCs w:val="24"/>
                        </w:rPr>
                        <w:t xml:space="preserve"> – apskaičiuojamas pagal (2.312) formulę (vnt. dalys);</w:t>
                      </w:r>
                    </w:p>
                    <w:p>
                      <w:pPr>
                        <w:ind w:left="600"/>
                        <w:rPr>
                          <w:color w:val="000000"/>
                          <w:szCs w:val="24"/>
                        </w:rPr>
                      </w:pPr>
                      <w:r>
                        <w:rPr>
                          <w:color w:val="000000"/>
                          <w:szCs w:val="24"/>
                        </w:rPr>
                        <w:t>kitus formulės paaiškinimus žiūrėti prie (2.229) formulės.</w:t>
                      </w:r>
                    </w:p>
                  </w:sdtContent>
                </w:sdt>
              </w:sdtContent>
            </w:sdt>
            <w:sdt>
              <w:sdtPr>
                <w:alias w:val="2 pr. 61 p."/>
                <w:tag w:val="part_287e6dcb3bf440f9b357b24d76d78944"/>
                <w:lock w:val="sdtLocked"/>
                <w:richText/>
              </w:sdtPr>
              <w:sdtContent>
                <w:p>
                  <w:pPr>
                    <w:ind w:firstLine="567"/>
                    <w:jc w:val="both"/>
                    <w:rPr>
                      <w:color w:val="000000"/>
                      <w:szCs w:val="24"/>
                    </w:rPr>
                  </w:pPr>
                  <w:sdt>
                    <w:sdtPr>
                      <w:alias w:val="Numeris"/>
                      <w:tag w:val="nr_287e6dcb3bf440f9b357b24d76d78944"/>
                      <w:lock w:val="sdtLocked"/>
                      <w:richText/>
                    </w:sdtPr>
                    <w:sdtContent>
                      <w:r>
                        <w:rPr>
                          <w:color w:val="000000"/>
                          <w:szCs w:val="24"/>
                        </w:rPr>
                        <w:t>61</w:t>
                      </w:r>
                    </w:sdtContent>
                  </w:sdt>
                  <w:r>
                    <w:rPr>
                      <w:color w:val="000000"/>
                      <w:szCs w:val="24"/>
                    </w:rPr>
                    <w:t>. Energijos, pagamintos vandenį šildančiuose ir fotovoltiniuose Saulės kolektoriuose, suminės sąnaudos pastate apskaičiuojamos taip:</w:t>
                  </w:r>
                </w:p>
                <w:sdt>
                  <w:sdtPr>
                    <w:alias w:val="2 pr. 61.1 pp."/>
                    <w:tag w:val="part_8d4d2a49e24b49148c1fb4f61747bda6"/>
                    <w:lock w:val="sdtLocked"/>
                    <w:richText/>
                  </w:sdtPr>
                  <w:sdtContent>
                    <w:p>
                      <w:pPr>
                        <w:ind w:firstLine="600"/>
                        <w:jc w:val="both"/>
                        <w:rPr>
                          <w:color w:val="000000"/>
                          <w:szCs w:val="24"/>
                        </w:rPr>
                      </w:pPr>
                      <w:sdt>
                        <w:sdtPr>
                          <w:alias w:val="Numeris"/>
                          <w:tag w:val="nr_8d4d2a49e24b49148c1fb4f61747bda6"/>
                          <w:lock w:val="sdtLocked"/>
                          <w:richText/>
                        </w:sdtPr>
                        <w:sdtContent>
                          <w:r>
                            <w:rPr>
                              <w:color w:val="000000"/>
                              <w:szCs w:val="24"/>
                            </w:rPr>
                            <w:t>61.1</w:t>
                          </w:r>
                        </w:sdtContent>
                      </w:sdt>
                      <w:r>
                        <w:rPr>
                          <w:color w:val="000000"/>
                          <w:szCs w:val="24"/>
                        </w:rPr>
                        <w:t xml:space="preserve">. kiekvieną mėnesį </w:t>
                      </w:r>
                      <w:r>
                        <w:rPr>
                          <w:i/>
                          <w:color w:val="000000"/>
                          <w:szCs w:val="24"/>
                        </w:rPr>
                        <w:t xml:space="preserve">„m“ </w:t>
                      </w:r>
                      <w:r>
                        <w:rPr>
                          <w:color w:val="000000"/>
                          <w:szCs w:val="24"/>
                        </w:rPr>
                        <w:t xml:space="preserve">visų tipų Saulės kolektorių pagamintos energijos (šiluminės ir elektros) suminės sąnaudos karštam buitiniam vandeniui ruošti </w:t>
                      </w:r>
                      <w:r>
                        <w:rPr>
                          <w:i/>
                          <w:color w:val="000000"/>
                          <w:szCs w:val="24"/>
                        </w:rPr>
                        <w:t>Q</w:t>
                      </w:r>
                      <w:r>
                        <w:rPr>
                          <w:i/>
                          <w:color w:val="000000"/>
                          <w:szCs w:val="24"/>
                          <w:vertAlign w:val="subscript"/>
                        </w:rPr>
                        <w:t>hw.sum.SK,m</w:t>
                      </w:r>
                      <w:r>
                        <w:rPr>
                          <w:color w:val="000000"/>
                          <w:szCs w:val="24"/>
                        </w:rPr>
                        <w:t>(kWh/(m²·mėn.))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color w:val="000000"/>
                                <w:szCs w:val="24"/>
                              </w:rPr>
                              <w:object w:dxaOrig="7760" w:dyaOrig="430">
                                <v:shape id="_x0000_i1411" type="#_x0000_t75" style="width:387.5pt;height:21.85pt" o:ole="">
                                  <v:imagedata r:id="rId1010" o:title=""/>
                                </v:shape>
                                <o:OLEObject Type="Embed" ProgID="Equation.3" ShapeID="_x0000_i1411" DrawAspect="Content" ObjectID="_0000000001" r:id="rId1011"/>
                              </w:object>
                              <w:t>;</w:t>
                            </w:r>
                          </w:p>
                        </w:tc>
                        <w:tc>
                          <w:tcPr>
                            <w:tcW w:w="479" w:type="pct"/>
                            <w:vAlign w:val="center"/>
                            <w:hideMark/>
                          </w:tcPr>
                          <w:p>
                            <w:pPr>
                              <w:spacing w:line="276" w:lineRule="auto"/>
                              <w:jc w:val="right"/>
                              <w:rPr>
                                <w:rFonts w:eastAsia="Calibri"/>
                                <w:color w:val="000000"/>
                                <w:szCs w:val="24"/>
                              </w:rPr>
                            </w:pPr>
                            <w:r>
                              <w:rPr>
                                <w:color w:val="000000"/>
                                <w:szCs w:val="24"/>
                              </w:rPr>
                              <w:t>(2.338)</w:t>
                            </w:r>
                          </w:p>
                        </w:tc>
                      </w:tr>
                    </w:tbl>
                    <w:p>
                      <w:pPr>
                        <w:ind w:left="600" w:hanging="600"/>
                        <w:jc w:val="both"/>
                        <w:rPr>
                          <w:rFonts w:eastAsia="Calibri"/>
                          <w:color w:val="000000"/>
                          <w:szCs w:val="24"/>
                        </w:rPr>
                      </w:pPr>
                      <w:r>
                        <w:rPr>
                          <w:color w:val="000000"/>
                          <w:szCs w:val="24"/>
                        </w:rPr>
                        <w:t>čia:</w:t>
                      </w:r>
                      <w:r>
                        <w:rPr>
                          <w:i/>
                          <w:color w:val="000000"/>
                          <w:szCs w:val="24"/>
                        </w:rPr>
                        <w:tab/>
                        <w:t>Q</w:t>
                      </w:r>
                      <w:r>
                        <w:rPr>
                          <w:i/>
                          <w:color w:val="000000"/>
                          <w:szCs w:val="24"/>
                          <w:vertAlign w:val="subscript"/>
                        </w:rPr>
                        <w:t>hw.hwSK,m</w:t>
                      </w:r>
                      <w:r>
                        <w:rPr>
                          <w:color w:val="000000"/>
                          <w:szCs w:val="24"/>
                        </w:rPr>
                        <w:t xml:space="preserve">, </w:t>
                      </w:r>
                      <w:r>
                        <w:rPr>
                          <w:i/>
                          <w:color w:val="000000"/>
                          <w:szCs w:val="24"/>
                        </w:rPr>
                        <w:t>Q</w:t>
                      </w:r>
                      <w:r>
                        <w:rPr>
                          <w:i/>
                          <w:color w:val="000000"/>
                          <w:szCs w:val="24"/>
                          <w:vertAlign w:val="superscript"/>
                        </w:rPr>
                        <w:t>I</w:t>
                      </w:r>
                      <w:r>
                        <w:rPr>
                          <w:i/>
                          <w:color w:val="000000"/>
                          <w:szCs w:val="24"/>
                          <w:vertAlign w:val="subscript"/>
                        </w:rPr>
                        <w:t>hw.hwSK,m</w:t>
                      </w:r>
                      <w:r>
                        <w:rPr>
                          <w:color w:val="000000"/>
                          <w:szCs w:val="24"/>
                        </w:rPr>
                        <w:t xml:space="preserve">, </w:t>
                      </w:r>
                      <w:r>
                        <w:rPr>
                          <w:i/>
                          <w:color w:val="000000"/>
                          <w:szCs w:val="24"/>
                        </w:rPr>
                        <w:t>Q</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III</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hw.fvSK,m</w:t>
                      </w:r>
                      <w:r>
                        <w:rPr>
                          <w:color w:val="000000"/>
                          <w:szCs w:val="24"/>
                        </w:rPr>
                        <w:t xml:space="preserve"> – apskaičiuojama pagal (2.183), (2.206), (2.237), (2.260), (2.291) ir (2.320) formules; </w:t>
                      </w:r>
                    </w:p>
                  </w:sdtContent>
                </w:sdt>
                <w:sdt>
                  <w:sdtPr>
                    <w:alias w:val="2 pr. 61.2 pp."/>
                    <w:tag w:val="part_913f752ea7494a56bcdfd1480facff3c"/>
                    <w:lock w:val="sdtLocked"/>
                    <w:richText/>
                  </w:sdtPr>
                  <w:sdtContent>
                    <w:p>
                      <w:pPr>
                        <w:ind w:firstLine="600"/>
                        <w:rPr>
                          <w:color w:val="000000"/>
                          <w:szCs w:val="24"/>
                        </w:rPr>
                      </w:pPr>
                      <w:sdt>
                        <w:sdtPr>
                          <w:alias w:val="Numeris"/>
                          <w:tag w:val="nr_913f752ea7494a56bcdfd1480facff3c"/>
                          <w:lock w:val="sdtLocked"/>
                          <w:richText/>
                        </w:sdtPr>
                        <w:sdtContent>
                          <w:r>
                            <w:rPr>
                              <w:color w:val="000000"/>
                              <w:szCs w:val="24"/>
                            </w:rPr>
                            <w:t>61.2</w:t>
                          </w:r>
                        </w:sdtContent>
                      </w:sdt>
                      <w:r>
                        <w:rPr>
                          <w:color w:val="000000"/>
                          <w:szCs w:val="24"/>
                        </w:rPr>
                        <w:t xml:space="preserve">. kiekvieną mėnesį </w:t>
                      </w:r>
                      <w:r>
                        <w:rPr>
                          <w:i/>
                          <w:color w:val="000000"/>
                          <w:szCs w:val="24"/>
                        </w:rPr>
                        <w:t xml:space="preserve">„m“ </w:t>
                      </w:r>
                      <w:r>
                        <w:rPr>
                          <w:color w:val="000000"/>
                          <w:szCs w:val="24"/>
                        </w:rPr>
                        <w:t xml:space="preserve">visų tipų Saulės kolektorių neatsinaujinančios pirminės energijos sąnaudos karštam buitiniam vandeniui ruošti </w:t>
                      </w:r>
                      <w:r>
                        <w:rPr>
                          <w:i/>
                          <w:color w:val="000000"/>
                          <w:szCs w:val="24"/>
                        </w:rPr>
                        <w:t>Q</w:t>
                      </w:r>
                      <w:r>
                        <w:rPr>
                          <w:i/>
                          <w:color w:val="000000"/>
                          <w:szCs w:val="24"/>
                          <w:vertAlign w:val="subscript"/>
                        </w:rPr>
                        <w:t>PRn.hw.sum.SK,m</w:t>
                      </w:r>
                      <w:r>
                        <w:rPr>
                          <w:color w:val="000000"/>
                          <w:szCs w:val="24"/>
                        </w:rPr>
                        <w:t>(kWh/(m²·mėn.))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5890" w:dyaOrig="840">
                                <v:shape id="_x0000_i1412" type="#_x0000_t75" style="width:295.3pt;height:42.05pt" o:ole="">
                                  <v:imagedata r:id="rId1012" o:title=""/>
                                </v:shape>
                                <o:OLEObject Type="Embed" ProgID="Equation.3" ShapeID="_x0000_i1412" DrawAspect="Content" ObjectID="_0000000001" r:id="rId1013"/>
                              </w:object>
                            </w:r>
                            <w:r>
                              <w:rPr>
                                <w:color w:val="000000"/>
                                <w:szCs w:val="24"/>
                              </w:rPr>
                              <w:t>;</w:t>
                            </w:r>
                          </w:p>
                        </w:tc>
                        <w:tc>
                          <w:tcPr>
                            <w:tcW w:w="479" w:type="pct"/>
                            <w:vAlign w:val="center"/>
                            <w:hideMark/>
                          </w:tcPr>
                          <w:p>
                            <w:pPr>
                              <w:spacing w:line="276" w:lineRule="auto"/>
                              <w:jc w:val="right"/>
                              <w:rPr>
                                <w:rFonts w:eastAsia="Calibri"/>
                                <w:color w:val="000000"/>
                                <w:szCs w:val="24"/>
                              </w:rPr>
                            </w:pPr>
                            <w:r>
                              <w:rPr>
                                <w:color w:val="000000"/>
                                <w:szCs w:val="24"/>
                              </w:rPr>
                              <w:t>(2.339)</w:t>
                            </w:r>
                          </w:p>
                        </w:tc>
                      </w:tr>
                    </w:tbl>
                    <w:p>
                      <w:pPr>
                        <w:ind w:left="600" w:hanging="600"/>
                        <w:rPr>
                          <w:rFonts w:eastAsia="Calibri"/>
                          <w:color w:val="000000"/>
                          <w:szCs w:val="24"/>
                        </w:rPr>
                      </w:pPr>
                      <w:r>
                        <w:rPr>
                          <w:color w:val="000000"/>
                          <w:szCs w:val="24"/>
                        </w:rPr>
                        <w:t>čia:</w:t>
                      </w:r>
                      <w:r>
                        <w:rPr>
                          <w:i/>
                          <w:color w:val="000000"/>
                          <w:szCs w:val="24"/>
                        </w:rPr>
                        <w:tab/>
                        <w:t>Q</w:t>
                      </w:r>
                      <w:r>
                        <w:rPr>
                          <w:i/>
                          <w:color w:val="000000"/>
                          <w:szCs w:val="24"/>
                          <w:vertAlign w:val="subscript"/>
                        </w:rPr>
                        <w:t>PRn.hw.hwSK,m</w:t>
                      </w:r>
                      <w:r>
                        <w:rPr>
                          <w:color w:val="000000"/>
                          <w:szCs w:val="24"/>
                        </w:rPr>
                        <w:t>– apskaičiuojama pagal (2.182) formulę;</w:t>
                      </w:r>
                    </w:p>
                    <w:p>
                      <w:pPr>
                        <w:ind w:left="600"/>
                        <w:rPr>
                          <w:color w:val="000000"/>
                          <w:szCs w:val="24"/>
                        </w:rPr>
                      </w:pPr>
                      <w:r>
                        <w:rPr>
                          <w:i/>
                          <w:color w:val="000000"/>
                          <w:szCs w:val="24"/>
                        </w:rPr>
                        <w:t>f</w:t>
                      </w:r>
                      <w:r>
                        <w:rPr>
                          <w:i/>
                          <w:color w:val="000000"/>
                          <w:szCs w:val="24"/>
                          <w:vertAlign w:val="subscript"/>
                        </w:rPr>
                        <w:t>hw..hwSK,m</w:t>
                      </w:r>
                      <w:r>
                        <w:rPr>
                          <w:color w:val="000000"/>
                          <w:szCs w:val="24"/>
                        </w:rPr>
                        <w:t>– apskaičiuojama pagal (2.203) formulę;</w:t>
                      </w:r>
                    </w:p>
                    <w:p>
                      <w:pPr>
                        <w:ind w:left="600"/>
                        <w:rPr>
                          <w:color w:val="000000"/>
                          <w:szCs w:val="24"/>
                        </w:rPr>
                      </w:pPr>
                      <w:r>
                        <w:rPr>
                          <w:i/>
                          <w:color w:val="000000"/>
                          <w:szCs w:val="24"/>
                        </w:rPr>
                        <w:t>Q</w:t>
                      </w:r>
                      <w:r>
                        <w:rPr>
                          <w:i/>
                          <w:color w:val="000000"/>
                          <w:szCs w:val="24"/>
                          <w:vertAlign w:val="subscript"/>
                        </w:rPr>
                        <w:t>PRn.(hw+H).hwSK,m</w:t>
                      </w:r>
                      <w:r>
                        <w:rPr>
                          <w:color w:val="000000"/>
                          <w:szCs w:val="24"/>
                        </w:rPr>
                        <w:t>– apskaičiuojama pagal (2.202) formulę;</w:t>
                      </w:r>
                    </w:p>
                    <w:p>
                      <w:pPr>
                        <w:ind w:firstLine="567"/>
                        <w:rPr>
                          <w:color w:val="000000"/>
                          <w:szCs w:val="24"/>
                        </w:rPr>
                      </w:pPr>
                      <w:r>
                        <w:rPr>
                          <w:i/>
                          <w:color w:val="000000"/>
                          <w:szCs w:val="24"/>
                        </w:rPr>
                        <w:t>f</w:t>
                      </w:r>
                      <w:r>
                        <w:rPr>
                          <w:i/>
                          <w:color w:val="000000"/>
                          <w:szCs w:val="24"/>
                          <w:vertAlign w:val="subscript"/>
                        </w:rPr>
                        <w:t xml:space="preserve">PRn.fvSK </w:t>
                      </w:r>
                      <w:r>
                        <w:rPr>
                          <w:color w:val="000000"/>
                          <w:szCs w:val="24"/>
                        </w:rPr>
                        <w:t>– fotovoltinių Saulės kolektorių neatsinaujinančios pirminės energijos faktorius (vnt.). Imamas iš 2.18 lentelės;</w:t>
                      </w:r>
                    </w:p>
                  </w:sdtContent>
                </w:sdt>
                <w:sdt>
                  <w:sdtPr>
                    <w:alias w:val="2 pr. 61.3 pp."/>
                    <w:tag w:val="part_d833bc2bd91340b2abd87efe20255bd1"/>
                    <w:lock w:val="sdtLocked"/>
                    <w:richText/>
                  </w:sdtPr>
                  <w:sdtContent>
                    <w:p>
                      <w:pPr>
                        <w:ind w:firstLine="600"/>
                        <w:jc w:val="both"/>
                        <w:rPr>
                          <w:color w:val="000000"/>
                          <w:szCs w:val="24"/>
                        </w:rPr>
                      </w:pPr>
                      <w:sdt>
                        <w:sdtPr>
                          <w:alias w:val="Numeris"/>
                          <w:tag w:val="nr_d833bc2bd91340b2abd87efe20255bd1"/>
                          <w:lock w:val="sdtLocked"/>
                          <w:richText/>
                        </w:sdtPr>
                        <w:sdtContent>
                          <w:r>
                            <w:rPr>
                              <w:color w:val="000000"/>
                              <w:szCs w:val="24"/>
                            </w:rPr>
                            <w:t>61.3</w:t>
                          </w:r>
                        </w:sdtContent>
                      </w:sdt>
                      <w:r>
                        <w:rPr>
                          <w:color w:val="000000"/>
                          <w:szCs w:val="24"/>
                        </w:rPr>
                        <w:t xml:space="preserve">. kiekvieną mėnesį </w:t>
                      </w:r>
                      <w:r>
                        <w:rPr>
                          <w:i/>
                          <w:color w:val="000000"/>
                          <w:szCs w:val="24"/>
                        </w:rPr>
                        <w:t xml:space="preserve">„m“ </w:t>
                      </w:r>
                      <w:r>
                        <w:rPr>
                          <w:color w:val="000000"/>
                          <w:szCs w:val="24"/>
                        </w:rPr>
                        <w:t xml:space="preserve">visų tipų Saulės kolektorių pagamintos energijos (šiluminės ir elektros) suminės sąnaudos pastatui šildyti </w:t>
                      </w:r>
                      <w:r>
                        <w:rPr>
                          <w:i/>
                          <w:color w:val="000000"/>
                          <w:szCs w:val="24"/>
                        </w:rPr>
                        <w:t>Q</w:t>
                      </w:r>
                      <w:r>
                        <w:rPr>
                          <w:i/>
                          <w:color w:val="000000"/>
                          <w:szCs w:val="24"/>
                          <w:vertAlign w:val="subscript"/>
                        </w:rPr>
                        <w:t>H.sum.SK,m</w:t>
                      </w:r>
                      <w:r>
                        <w:rPr>
                          <w:color w:val="000000"/>
                          <w:szCs w:val="24"/>
                        </w:rPr>
                        <w:t>(kWh/(m²·mėn.))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color w:val="000000"/>
                                <w:szCs w:val="24"/>
                              </w:rPr>
                              <w:object w:dxaOrig="7250" w:dyaOrig="430">
                                <v:shape id="_x0000_i1413" type="#_x0000_t75" style="width:363.25pt;height:21.85pt" o:ole="">
                                  <v:imagedata r:id="rId1014" o:title=""/>
                                </v:shape>
                                <o:OLEObject Type="Embed" ProgID="Equation.3" ShapeID="_x0000_i1413" DrawAspect="Content" ObjectID="_0000000001" r:id="rId1015"/>
                              </w:object>
                              <w:t>;</w:t>
                            </w:r>
                          </w:p>
                        </w:tc>
                        <w:tc>
                          <w:tcPr>
                            <w:tcW w:w="479" w:type="pct"/>
                            <w:vAlign w:val="center"/>
                            <w:hideMark/>
                          </w:tcPr>
                          <w:p>
                            <w:pPr>
                              <w:spacing w:line="276" w:lineRule="auto"/>
                              <w:jc w:val="right"/>
                              <w:rPr>
                                <w:rFonts w:eastAsia="Calibri"/>
                                <w:color w:val="000000"/>
                                <w:szCs w:val="24"/>
                              </w:rPr>
                            </w:pPr>
                            <w:r>
                              <w:rPr>
                                <w:color w:val="000000"/>
                                <w:szCs w:val="24"/>
                              </w:rPr>
                              <w:t>(2.340)</w:t>
                            </w:r>
                          </w:p>
                        </w:tc>
                      </w:tr>
                    </w:tbl>
                    <w:p>
                      <w:pPr>
                        <w:ind w:left="600" w:hanging="600"/>
                        <w:jc w:val="both"/>
                        <w:rPr>
                          <w:rFonts w:eastAsia="Calibri"/>
                          <w:color w:val="000000"/>
                          <w:szCs w:val="24"/>
                        </w:rPr>
                      </w:pPr>
                      <w:r>
                        <w:rPr>
                          <w:color w:val="000000"/>
                          <w:szCs w:val="24"/>
                        </w:rPr>
                        <w:t>čia:</w:t>
                      </w:r>
                      <w:r>
                        <w:rPr>
                          <w:i/>
                          <w:color w:val="000000"/>
                          <w:szCs w:val="24"/>
                        </w:rPr>
                        <w:tab/>
                        <w:t>Q</w:t>
                      </w:r>
                      <w:r>
                        <w:rPr>
                          <w:i/>
                          <w:color w:val="000000"/>
                          <w:szCs w:val="24"/>
                          <w:vertAlign w:val="subscript"/>
                        </w:rPr>
                        <w:t>H.hwSK,m</w:t>
                      </w:r>
                      <w:r>
                        <w:rPr>
                          <w:i/>
                          <w:color w:val="000000"/>
                          <w:szCs w:val="24"/>
                        </w:rPr>
                        <w:t>, Q</w:t>
                      </w:r>
                      <w:r>
                        <w:rPr>
                          <w:i/>
                          <w:color w:val="000000"/>
                          <w:szCs w:val="24"/>
                          <w:vertAlign w:val="superscript"/>
                        </w:rPr>
                        <w:t>I</w:t>
                      </w:r>
                      <w:r>
                        <w:rPr>
                          <w:i/>
                          <w:color w:val="000000"/>
                          <w:szCs w:val="24"/>
                          <w:vertAlign w:val="subscript"/>
                        </w:rPr>
                        <w:t>H.hwSK,m</w:t>
                      </w:r>
                      <w:r>
                        <w:rPr>
                          <w:i/>
                          <w:color w:val="000000"/>
                          <w:szCs w:val="24"/>
                        </w:rPr>
                        <w:t>, Q</w:t>
                      </w:r>
                      <w:r>
                        <w:rPr>
                          <w:i/>
                          <w:color w:val="000000"/>
                          <w:szCs w:val="24"/>
                          <w:vertAlign w:val="subscript"/>
                        </w:rPr>
                        <w:t>H.fvSK,m</w:t>
                      </w:r>
                      <w:r>
                        <w:rPr>
                          <w:i/>
                          <w:color w:val="000000"/>
                          <w:szCs w:val="24"/>
                        </w:rPr>
                        <w:t>, Q</w:t>
                      </w:r>
                      <w:r>
                        <w:rPr>
                          <w:i/>
                          <w:color w:val="000000"/>
                          <w:szCs w:val="24"/>
                          <w:vertAlign w:val="superscript"/>
                        </w:rPr>
                        <w:t>II</w:t>
                      </w:r>
                      <w:r>
                        <w:rPr>
                          <w:i/>
                          <w:color w:val="000000"/>
                          <w:szCs w:val="24"/>
                          <w:vertAlign w:val="subscript"/>
                        </w:rPr>
                        <w:t>H.fvSK,m</w:t>
                      </w:r>
                      <w:r>
                        <w:rPr>
                          <w:i/>
                          <w:color w:val="000000"/>
                          <w:szCs w:val="24"/>
                        </w:rPr>
                        <w:t>, Q</w:t>
                      </w:r>
                      <w:r>
                        <w:rPr>
                          <w:i/>
                          <w:color w:val="000000"/>
                          <w:szCs w:val="24"/>
                          <w:vertAlign w:val="superscript"/>
                        </w:rPr>
                        <w:t>III</w:t>
                      </w:r>
                      <w:r>
                        <w:rPr>
                          <w:i/>
                          <w:color w:val="000000"/>
                          <w:szCs w:val="24"/>
                          <w:vertAlign w:val="subscript"/>
                        </w:rPr>
                        <w:t>H.fvSK,m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H.fvSK,m</w:t>
                      </w:r>
                      <w:r>
                        <w:rPr>
                          <w:color w:val="000000"/>
                          <w:szCs w:val="24"/>
                        </w:rPr>
                        <w:t xml:space="preserve">, – apskaičiuojami pagal (2.193), (2.209), (2.247), (2.279), (2.300) ir (2.329) formules; </w:t>
                      </w:r>
                    </w:p>
                  </w:sdtContent>
                </w:sdt>
                <w:sdt>
                  <w:sdtPr>
                    <w:alias w:val="2 pr. 61.4 pp."/>
                    <w:tag w:val="part_42eb6472e85a44cfa16dc39fe553b24e"/>
                    <w:lock w:val="sdtLocked"/>
                    <w:richText/>
                  </w:sdtPr>
                  <w:sdtContent>
                    <w:p>
                      <w:pPr>
                        <w:ind w:firstLine="600"/>
                        <w:jc w:val="both"/>
                        <w:rPr>
                          <w:color w:val="000000"/>
                          <w:szCs w:val="24"/>
                        </w:rPr>
                      </w:pPr>
                      <w:sdt>
                        <w:sdtPr>
                          <w:alias w:val="Numeris"/>
                          <w:tag w:val="nr_42eb6472e85a44cfa16dc39fe553b24e"/>
                          <w:lock w:val="sdtLocked"/>
                          <w:richText/>
                        </w:sdtPr>
                        <w:sdtContent>
                          <w:r>
                            <w:rPr>
                              <w:color w:val="000000"/>
                              <w:szCs w:val="24"/>
                            </w:rPr>
                            <w:t>61.4</w:t>
                          </w:r>
                        </w:sdtContent>
                      </w:sdt>
                      <w:r>
                        <w:rPr>
                          <w:color w:val="000000"/>
                          <w:szCs w:val="24"/>
                        </w:rPr>
                        <w:t xml:space="preserve">. kiekvieną mėnesį </w:t>
                      </w:r>
                      <w:r>
                        <w:rPr>
                          <w:i/>
                          <w:color w:val="000000"/>
                          <w:szCs w:val="24"/>
                        </w:rPr>
                        <w:t xml:space="preserve">„m“ </w:t>
                      </w:r>
                      <w:r>
                        <w:rPr>
                          <w:color w:val="000000"/>
                          <w:szCs w:val="24"/>
                        </w:rPr>
                        <w:t xml:space="preserve">visų tipų Saulės kolektorių neatsinaujinančios pirminės energijos sąnaudos pastatui šildyti </w:t>
                      </w:r>
                      <w:r>
                        <w:rPr>
                          <w:i/>
                          <w:color w:val="000000"/>
                          <w:szCs w:val="24"/>
                        </w:rPr>
                        <w:t>Q</w:t>
                      </w:r>
                      <w:r>
                        <w:rPr>
                          <w:i/>
                          <w:color w:val="000000"/>
                          <w:szCs w:val="24"/>
                          <w:vertAlign w:val="subscript"/>
                        </w:rPr>
                        <w:t>PRn.H.sum.SK,m</w:t>
                      </w:r>
                      <w:r>
                        <w:rPr>
                          <w:color w:val="000000"/>
                          <w:szCs w:val="24"/>
                        </w:rPr>
                        <w:t>(kWh/(m²·mėn.))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5280" w:dyaOrig="840">
                                <v:shape id="_x0000_i1414" type="#_x0000_t75" style="width:263.75pt;height:42.05pt" o:ole="">
                                  <v:imagedata r:id="rId1016" o:title=""/>
                                </v:shape>
                                <o:OLEObject Type="Embed" ProgID="Equation.3" ShapeID="_x0000_i1414" DrawAspect="Content" ObjectID="_0000000001" r:id="rId1017"/>
                              </w:object>
                            </w:r>
                          </w:p>
                        </w:tc>
                        <w:tc>
                          <w:tcPr>
                            <w:tcW w:w="479" w:type="pct"/>
                            <w:vAlign w:val="center"/>
                            <w:hideMark/>
                          </w:tcPr>
                          <w:p>
                            <w:pPr>
                              <w:spacing w:line="276" w:lineRule="auto"/>
                              <w:jc w:val="right"/>
                              <w:rPr>
                                <w:rFonts w:eastAsia="Calibri"/>
                                <w:color w:val="000000"/>
                                <w:szCs w:val="24"/>
                              </w:rPr>
                            </w:pPr>
                            <w:r>
                              <w:rPr>
                                <w:color w:val="000000"/>
                                <w:szCs w:val="24"/>
                              </w:rPr>
                              <w:t>(2.341)</w:t>
                            </w:r>
                          </w:p>
                        </w:tc>
                      </w:tr>
                    </w:tbl>
                    <w:p>
                      <w:pPr>
                        <w:tabs>
                          <w:tab w:val="left" w:pos="567"/>
                        </w:tabs>
                        <w:rPr>
                          <w:rFonts w:eastAsia="Calibri"/>
                          <w:color w:val="000000"/>
                          <w:szCs w:val="24"/>
                        </w:rPr>
                      </w:pPr>
                      <w:r>
                        <w:rPr>
                          <w:color w:val="000000"/>
                          <w:szCs w:val="24"/>
                        </w:rPr>
                        <w:t>čia:</w:t>
                      </w:r>
                      <w:r>
                        <w:rPr>
                          <w:i/>
                          <w:color w:val="000000"/>
                          <w:szCs w:val="24"/>
                        </w:rPr>
                        <w:tab/>
                        <w:t>Q</w:t>
                      </w:r>
                      <w:r>
                        <w:rPr>
                          <w:i/>
                          <w:color w:val="000000"/>
                          <w:szCs w:val="24"/>
                          <w:vertAlign w:val="subscript"/>
                        </w:rPr>
                        <w:t>PRn.H.hwSK,m</w:t>
                      </w:r>
                      <w:r>
                        <w:rPr>
                          <w:color w:val="000000"/>
                          <w:szCs w:val="24"/>
                        </w:rPr>
                        <w:t>– apskaičiuojama pagal (2.192) formulę;</w:t>
                      </w:r>
                    </w:p>
                    <w:p>
                      <w:pPr>
                        <w:ind w:firstLine="600"/>
                        <w:rPr>
                          <w:color w:val="000000"/>
                          <w:szCs w:val="24"/>
                        </w:rPr>
                      </w:pPr>
                      <w:r>
                        <w:rPr>
                          <w:i/>
                          <w:color w:val="000000"/>
                          <w:szCs w:val="24"/>
                        </w:rPr>
                        <w:t>f</w:t>
                      </w:r>
                      <w:r>
                        <w:rPr>
                          <w:i/>
                          <w:color w:val="000000"/>
                          <w:szCs w:val="24"/>
                          <w:vertAlign w:val="subscript"/>
                        </w:rPr>
                        <w:t>H.hwSK,m</w:t>
                      </w:r>
                      <w:r>
                        <w:rPr>
                          <w:color w:val="000000"/>
                          <w:szCs w:val="24"/>
                        </w:rPr>
                        <w:t>– apskaičiuojama pagal (2.204) formulę;</w:t>
                      </w:r>
                    </w:p>
                    <w:p>
                      <w:pPr>
                        <w:ind w:firstLine="600"/>
                        <w:rPr>
                          <w:color w:val="000000"/>
                          <w:szCs w:val="24"/>
                        </w:rPr>
                      </w:pPr>
                      <w:r>
                        <w:rPr>
                          <w:i/>
                          <w:color w:val="000000"/>
                          <w:szCs w:val="24"/>
                        </w:rPr>
                        <w:t>Q</w:t>
                      </w:r>
                      <w:r>
                        <w:rPr>
                          <w:i/>
                          <w:color w:val="000000"/>
                          <w:szCs w:val="24"/>
                          <w:vertAlign w:val="subscript"/>
                        </w:rPr>
                        <w:t>PRn.(hw+H).hwSK,m</w:t>
                      </w:r>
                      <w:r>
                        <w:rPr>
                          <w:color w:val="000000"/>
                          <w:szCs w:val="24"/>
                        </w:rPr>
                        <w:t>– apskaičiuojama pagal (2.202) formulę;</w:t>
                      </w:r>
                    </w:p>
                    <w:p>
                      <w:pPr>
                        <w:ind w:firstLine="600"/>
                        <w:jc w:val="both"/>
                        <w:rPr>
                          <w:color w:val="000000"/>
                          <w:szCs w:val="24"/>
                        </w:rPr>
                      </w:pPr>
                      <w:r>
                        <w:rPr>
                          <w:i/>
                          <w:color w:val="000000"/>
                          <w:szCs w:val="24"/>
                        </w:rPr>
                        <w:t>f</w:t>
                      </w:r>
                      <w:r>
                        <w:rPr>
                          <w:i/>
                          <w:color w:val="000000"/>
                          <w:szCs w:val="24"/>
                          <w:vertAlign w:val="subscript"/>
                        </w:rPr>
                        <w:t xml:space="preserve">PRn.fvSK </w:t>
                      </w:r>
                      <w:r>
                        <w:rPr>
                          <w:color w:val="000000"/>
                          <w:szCs w:val="24"/>
                        </w:rPr>
                        <w:t>– fotovoltinių Saulės kolektorių neatsinaujinančios pirminės energijos faktorius (vnt.). Imamas iš 2.18 lentelės;</w:t>
                      </w:r>
                    </w:p>
                  </w:sdtContent>
                </w:sdt>
                <w:sdt>
                  <w:sdtPr>
                    <w:alias w:val="2 pr. 61.5 pp."/>
                    <w:tag w:val="part_d07a5f03641e4d4586b3772aa290ea8a"/>
                    <w:lock w:val="sdtLocked"/>
                    <w:richText/>
                  </w:sdtPr>
                  <w:sdtContent>
                    <w:p>
                      <w:pPr>
                        <w:ind w:firstLine="600"/>
                        <w:rPr>
                          <w:color w:val="000000"/>
                          <w:szCs w:val="24"/>
                        </w:rPr>
                      </w:pPr>
                      <w:sdt>
                        <w:sdtPr>
                          <w:alias w:val="Numeris"/>
                          <w:tag w:val="nr_d07a5f03641e4d4586b3772aa290ea8a"/>
                          <w:lock w:val="sdtLocked"/>
                          <w:richText/>
                        </w:sdtPr>
                        <w:sdtContent>
                          <w:r>
                            <w:rPr>
                              <w:color w:val="000000"/>
                              <w:szCs w:val="24"/>
                            </w:rPr>
                            <w:t>61.5</w:t>
                          </w:r>
                        </w:sdtContent>
                      </w:sdt>
                      <w:r>
                        <w:rPr>
                          <w:color w:val="000000"/>
                          <w:szCs w:val="24"/>
                        </w:rPr>
                        <w:t xml:space="preserve">. kiekvieną mėnesį </w:t>
                      </w:r>
                      <w:r>
                        <w:rPr>
                          <w:i/>
                          <w:color w:val="000000"/>
                          <w:szCs w:val="24"/>
                        </w:rPr>
                        <w:t xml:space="preserve">„m“ </w:t>
                      </w:r>
                      <w:r>
                        <w:rPr>
                          <w:color w:val="000000"/>
                          <w:szCs w:val="24"/>
                        </w:rPr>
                        <w:t xml:space="preserve">fotovoltinių Saulės kolektorių pateiktas į pastato elektros sistemą suminis elektros energijos kiekis </w:t>
                      </w:r>
                      <w:r>
                        <w:rPr>
                          <w:i/>
                          <w:color w:val="000000"/>
                          <w:szCs w:val="24"/>
                        </w:rPr>
                        <w:t>Q</w:t>
                      </w:r>
                      <w:r>
                        <w:rPr>
                          <w:i/>
                          <w:color w:val="000000"/>
                          <w:szCs w:val="24"/>
                          <w:vertAlign w:val="subscript"/>
                        </w:rPr>
                        <w:t>E.sum.SK,m</w:t>
                      </w:r>
                      <w:r>
                        <w:rPr>
                          <w:color w:val="000000"/>
                          <w:szCs w:val="24"/>
                        </w:rPr>
                        <w:t>(kWh/(m²·mėn.)) apskaičiuojamas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5080" w:dyaOrig="1230">
                                <v:shape id="_x0000_i1415" type="#_x0000_t75" style="width:254.85pt;height:61.5pt" o:ole="">
                                  <v:imagedata r:id="rId1018" o:title=""/>
                                </v:shape>
                                <o:OLEObject Type="Embed" ProgID="Equation.3" ShapeID="_x0000_i1415" DrawAspect="Content" ObjectID="_0000000001" r:id="rId1019"/>
                              </w:object>
                            </w:r>
                          </w:p>
                        </w:tc>
                        <w:tc>
                          <w:tcPr>
                            <w:tcW w:w="479" w:type="pct"/>
                            <w:vAlign w:val="center"/>
                            <w:hideMark/>
                          </w:tcPr>
                          <w:p>
                            <w:pPr>
                              <w:spacing w:line="276" w:lineRule="auto"/>
                              <w:jc w:val="right"/>
                              <w:rPr>
                                <w:rFonts w:eastAsia="Calibri"/>
                                <w:color w:val="000000"/>
                                <w:szCs w:val="24"/>
                              </w:rPr>
                            </w:pPr>
                            <w:r>
                              <w:rPr>
                                <w:color w:val="000000"/>
                                <w:szCs w:val="24"/>
                              </w:rPr>
                              <w:t>(2.342)</w:t>
                            </w:r>
                          </w:p>
                        </w:tc>
                      </w:tr>
                    </w:tbl>
                    <w:p>
                      <w:pPr>
                        <w:tabs>
                          <w:tab w:val="left" w:pos="567"/>
                        </w:tabs>
                        <w:jc w:val="both"/>
                        <w:rPr>
                          <w:rFonts w:eastAsia="Calibri"/>
                          <w:color w:val="000000"/>
                          <w:szCs w:val="24"/>
                        </w:rPr>
                      </w:pPr>
                      <w:r>
                        <w:rPr>
                          <w:color w:val="000000"/>
                          <w:szCs w:val="24"/>
                        </w:rPr>
                        <w:t>čia:</w:t>
                      </w:r>
                      <w:r>
                        <w:rPr>
                          <w:i/>
                          <w:color w:val="000000"/>
                          <w:szCs w:val="24"/>
                        </w:rPr>
                        <w:tab/>
                        <w:t>Q</w:t>
                      </w:r>
                      <w:r>
                        <w:rPr>
                          <w:i/>
                          <w:color w:val="000000"/>
                          <w:szCs w:val="24"/>
                          <w:vertAlign w:val="subscript"/>
                        </w:rPr>
                        <w:t>E.fvSK,m</w:t>
                      </w:r>
                      <w:r>
                        <w:rPr>
                          <w:i/>
                          <w:color w:val="000000"/>
                          <w:szCs w:val="24"/>
                        </w:rPr>
                        <w:t>, Q</w:t>
                      </w:r>
                      <w:r>
                        <w:rPr>
                          <w:i/>
                          <w:color w:val="000000"/>
                          <w:szCs w:val="24"/>
                          <w:vertAlign w:val="superscript"/>
                        </w:rPr>
                        <w:t>I</w:t>
                      </w:r>
                      <w:r>
                        <w:rPr>
                          <w:i/>
                          <w:color w:val="000000"/>
                          <w:szCs w:val="24"/>
                          <w:vertAlign w:val="subscript"/>
                        </w:rPr>
                        <w:t>E.fvSK,m</w:t>
                      </w:r>
                      <w:r>
                        <w:rPr>
                          <w:i/>
                          <w:color w:val="000000"/>
                          <w:szCs w:val="24"/>
                        </w:rPr>
                        <w:t>, Q</w:t>
                      </w:r>
                      <w:r>
                        <w:rPr>
                          <w:i/>
                          <w:color w:val="000000"/>
                          <w:szCs w:val="24"/>
                          <w:vertAlign w:val="superscript"/>
                        </w:rPr>
                        <w:t>II</w:t>
                      </w:r>
                      <w:r>
                        <w:rPr>
                          <w:i/>
                          <w:color w:val="000000"/>
                          <w:szCs w:val="24"/>
                          <w:vertAlign w:val="subscript"/>
                        </w:rPr>
                        <w:t>E.fvSK,m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E.fvSK,m</w:t>
                      </w:r>
                      <w:r>
                        <w:rPr>
                          <w:color w:val="000000"/>
                          <w:szCs w:val="24"/>
                        </w:rPr>
                        <w:t xml:space="preserve"> – apskaičiuojama pagal (2.229), (2.253), (2.272) ir (2.313) formules; </w:t>
                      </w:r>
                    </w:p>
                    <w:p>
                      <w:pPr>
                        <w:ind w:firstLine="600"/>
                        <w:jc w:val="both"/>
                        <w:rPr>
                          <w:color w:val="000000"/>
                          <w:szCs w:val="24"/>
                          <w:shd w:val="clear" w:color="auto" w:fill="00FF00"/>
                        </w:rPr>
                      </w:pPr>
                      <w:r>
                        <w:rPr>
                          <w:i/>
                          <w:color w:val="000000"/>
                          <w:szCs w:val="24"/>
                        </w:rPr>
                        <w:t>Q</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III</w:t>
                      </w:r>
                      <w:r>
                        <w:rPr>
                          <w:i/>
                          <w:color w:val="000000"/>
                          <w:szCs w:val="24"/>
                          <w:vertAlign w:val="subscript"/>
                        </w:rPr>
                        <w:t>hw.fvSK,m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hw.fvSK,m</w:t>
                      </w:r>
                      <w:r>
                        <w:rPr>
                          <w:color w:val="000000"/>
                          <w:szCs w:val="24"/>
                        </w:rPr>
                        <w:t xml:space="preserve"> –  apskaičiuojama pagal (2.237), (2.260), (2.291) ir (2.320) formules;</w:t>
                      </w:r>
                    </w:p>
                    <w:p>
                      <w:pPr>
                        <w:ind w:firstLine="600"/>
                        <w:jc w:val="both"/>
                        <w:rPr>
                          <w:color w:val="000000"/>
                          <w:szCs w:val="24"/>
                        </w:rPr>
                      </w:pPr>
                      <w:r>
                        <w:rPr>
                          <w:i/>
                          <w:color w:val="000000"/>
                          <w:szCs w:val="24"/>
                        </w:rPr>
                        <w:t>Q</w:t>
                      </w:r>
                      <w:r>
                        <w:rPr>
                          <w:i/>
                          <w:color w:val="000000"/>
                          <w:szCs w:val="24"/>
                          <w:vertAlign w:val="subscript"/>
                        </w:rPr>
                        <w:t>H.fvSK,m</w:t>
                      </w:r>
                      <w:r>
                        <w:rPr>
                          <w:i/>
                          <w:color w:val="000000"/>
                          <w:szCs w:val="24"/>
                        </w:rPr>
                        <w:t>, Q</w:t>
                      </w:r>
                      <w:r>
                        <w:rPr>
                          <w:i/>
                          <w:color w:val="000000"/>
                          <w:szCs w:val="24"/>
                          <w:vertAlign w:val="superscript"/>
                        </w:rPr>
                        <w:t>II</w:t>
                      </w:r>
                      <w:r>
                        <w:rPr>
                          <w:i/>
                          <w:color w:val="000000"/>
                          <w:szCs w:val="24"/>
                          <w:vertAlign w:val="subscript"/>
                        </w:rPr>
                        <w:t>H.fvSK,m</w:t>
                      </w:r>
                      <w:r>
                        <w:rPr>
                          <w:i/>
                          <w:color w:val="000000"/>
                          <w:szCs w:val="24"/>
                        </w:rPr>
                        <w:t>, Q</w:t>
                      </w:r>
                      <w:r>
                        <w:rPr>
                          <w:i/>
                          <w:color w:val="000000"/>
                          <w:szCs w:val="24"/>
                          <w:vertAlign w:val="superscript"/>
                        </w:rPr>
                        <w:t>III</w:t>
                      </w:r>
                      <w:r>
                        <w:rPr>
                          <w:i/>
                          <w:color w:val="000000"/>
                          <w:szCs w:val="24"/>
                          <w:vertAlign w:val="subscript"/>
                        </w:rPr>
                        <w:t>H.fvSK,m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H.fvSK,m</w:t>
                      </w:r>
                      <w:r>
                        <w:rPr>
                          <w:color w:val="000000"/>
                          <w:szCs w:val="24"/>
                        </w:rPr>
                        <w:t xml:space="preserve"> – apskaičiuojama pagal (2.247), (2.279), (2.300) ir (2.329) formules;</w:t>
                      </w:r>
                    </w:p>
                  </w:sdtContent>
                </w:sdt>
                <w:sdt>
                  <w:sdtPr>
                    <w:alias w:val="2 pr. 61.6 pp."/>
                    <w:tag w:val="part_2cf588c1a27f44c882eb82b4d57848a3"/>
                    <w:lock w:val="sdtLocked"/>
                    <w:richText/>
                  </w:sdtPr>
                  <w:sdtContent>
                    <w:p>
                      <w:pPr>
                        <w:ind w:firstLine="600"/>
                        <w:jc w:val="both"/>
                        <w:rPr>
                          <w:color w:val="000000"/>
                          <w:szCs w:val="24"/>
                        </w:rPr>
                      </w:pPr>
                      <w:sdt>
                        <w:sdtPr>
                          <w:alias w:val="Numeris"/>
                          <w:tag w:val="nr_2cf588c1a27f44c882eb82b4d57848a3"/>
                          <w:lock w:val="sdtLocked"/>
                          <w:richText/>
                        </w:sdtPr>
                        <w:sdtContent>
                          <w:r>
                            <w:rPr>
                              <w:color w:val="000000"/>
                              <w:szCs w:val="24"/>
                            </w:rPr>
                            <w:t>61.6</w:t>
                          </w:r>
                        </w:sdtContent>
                      </w:sdt>
                      <w:r>
                        <w:rPr>
                          <w:color w:val="000000"/>
                          <w:szCs w:val="24"/>
                        </w:rPr>
                        <w:t xml:space="preserve">. kiekvieną mėnesį </w:t>
                      </w:r>
                      <w:r>
                        <w:rPr>
                          <w:i/>
                          <w:color w:val="000000"/>
                          <w:szCs w:val="24"/>
                        </w:rPr>
                        <w:t xml:space="preserve">„m“ </w:t>
                      </w:r>
                      <w:r>
                        <w:rPr>
                          <w:color w:val="000000"/>
                          <w:szCs w:val="24"/>
                        </w:rPr>
                        <w:t xml:space="preserve">visų tipų Saulės kolektorių į pastato elektros sistemą pateiktos elektros energijos neatsinaujinančios pirminės energijos sąnaudos </w:t>
                      </w:r>
                      <w:r>
                        <w:rPr>
                          <w:i/>
                          <w:color w:val="000000"/>
                          <w:szCs w:val="24"/>
                        </w:rPr>
                        <w:t>Q</w:t>
                      </w:r>
                      <w:r>
                        <w:rPr>
                          <w:i/>
                          <w:color w:val="000000"/>
                          <w:szCs w:val="24"/>
                          <w:vertAlign w:val="subscript"/>
                        </w:rPr>
                        <w:t>PRn.E.sum.SK,m</w:t>
                      </w:r>
                      <w:r>
                        <w:rPr>
                          <w:color w:val="000000"/>
                          <w:szCs w:val="24"/>
                        </w:rPr>
                        <w:t>(kWh/(m²·mėn.)) apskaičiuojamos taip:</w:t>
                      </w:r>
                    </w:p>
                    <w:tbl>
                      <w:tblPr>
                        <w:tblW w:w="5000" w:type="pct"/>
                        <w:jc w:val="center"/>
                        <w:tblLook w:val="01E0" w:firstRow="1" w:lastRow="1" w:firstColumn="1" w:lastColumn="1" w:noHBand="0" w:noVBand="0"/>
                      </w:tblPr>
                      <w:tblGrid>
                        <w:gridCol w:w="8910"/>
                        <w:gridCol w:w="944"/>
                      </w:tblGrid>
                      <w:tr>
                        <w:trPr>
                          <w:jc w:val="center"/>
                        </w:trPr>
                        <w:tc>
                          <w:tcPr>
                            <w:tcW w:w="4521" w:type="pct"/>
                            <w:vAlign w:val="center"/>
                            <w:hideMark/>
                          </w:tcPr>
                          <w:p>
                            <w:pPr>
                              <w:spacing w:line="276" w:lineRule="auto"/>
                              <w:jc w:val="center"/>
                              <w:rPr>
                                <w:rFonts w:eastAsia="Calibri"/>
                                <w:color w:val="000000"/>
                                <w:szCs w:val="24"/>
                              </w:rPr>
                            </w:pPr>
                            <w:r>
                              <w:rPr>
                                <w:rFonts w:eastAsia="Calibri"/>
                                <w:color w:val="000000"/>
                                <w:szCs w:val="24"/>
                              </w:rPr>
                              <w:object w:dxaOrig="5490" w:dyaOrig="1230">
                                <v:shape id="_x0000_i1416" type="#_x0000_t75" style="width:273.45pt;height:61.5pt" o:ole="">
                                  <v:imagedata r:id="rId1020" o:title=""/>
                                </v:shape>
                                <o:OLEObject Type="Embed" ProgID="Equation.3" ShapeID="_x0000_i1416" DrawAspect="Content" ObjectID="_0000000001" r:id="rId1021"/>
                              </w:object>
                            </w:r>
                          </w:p>
                        </w:tc>
                        <w:tc>
                          <w:tcPr>
                            <w:tcW w:w="479" w:type="pct"/>
                            <w:vAlign w:val="center"/>
                            <w:hideMark/>
                          </w:tcPr>
                          <w:p>
                            <w:pPr>
                              <w:spacing w:line="276" w:lineRule="auto"/>
                              <w:jc w:val="right"/>
                              <w:rPr>
                                <w:rFonts w:eastAsia="Calibri"/>
                                <w:color w:val="000000"/>
                                <w:szCs w:val="24"/>
                              </w:rPr>
                            </w:pPr>
                            <w:r>
                              <w:rPr>
                                <w:color w:val="000000"/>
                                <w:szCs w:val="24"/>
                              </w:rPr>
                              <w:t>(2.343)</w:t>
                            </w:r>
                          </w:p>
                        </w:tc>
                      </w:tr>
                    </w:tbl>
                    <w:p/>
                  </w:sdtContent>
                </w:sdt>
              </w:sdtContent>
            </w:sdt>
            <w:sdt>
              <w:sdtPr>
                <w:alias w:val="2 pr. 62 p."/>
                <w:tag w:val="part_97aa58a1f97c48f6a58790f2f1dccaa7"/>
                <w:lock w:val="sdtLocked"/>
                <w:richText/>
              </w:sdtPr>
              <w:sdtContent>
                <w:p>
                  <w:pPr>
                    <w:suppressAutoHyphens/>
                    <w:ind w:firstLine="567"/>
                    <w:jc w:val="both"/>
                    <w:rPr>
                      <w:rFonts w:eastAsia="Calibri"/>
                      <w:color w:val="000000"/>
                      <w:szCs w:val="24"/>
                      <w:lang w:eastAsia="lt-LT"/>
                    </w:rPr>
                  </w:pPr>
                  <w:sdt>
                    <w:sdtPr>
                      <w:alias w:val="Numeris"/>
                      <w:tag w:val="nr_97aa58a1f97c48f6a58790f2f1dccaa7"/>
                      <w:lock w:val="sdtLocked"/>
                      <w:richText/>
                    </w:sdtPr>
                    <w:sdtContent>
                      <w:r>
                        <w:rPr>
                          <w:color w:val="000000"/>
                          <w:szCs w:val="24"/>
                          <w:lang w:eastAsia="lt-LT"/>
                        </w:rPr>
                        <w:t>62</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vėjo ir hidroelektrinių neatsinaujinančios pirminės energijos sąnaudos pastato šildomo ploto vienetui </w:t>
                  </w:r>
                  <w:r>
                    <w:rPr>
                      <w:i/>
                      <w:color w:val="000000"/>
                      <w:szCs w:val="24"/>
                      <w:lang w:eastAsia="lt-LT"/>
                    </w:rPr>
                    <w:t>Q</w:t>
                  </w:r>
                  <w:r>
                    <w:rPr>
                      <w:i/>
                      <w:color w:val="000000"/>
                      <w:szCs w:val="24"/>
                      <w:vertAlign w:val="subscript"/>
                      <w:lang w:eastAsia="lt-LT"/>
                    </w:rPr>
                    <w:t>PRn.E.WE+HE,m</w:t>
                  </w:r>
                  <w:r>
                    <w:rPr>
                      <w:color w:val="000000"/>
                      <w:szCs w:val="24"/>
                      <w:lang w:eastAsia="lt-LT"/>
                    </w:rPr>
                    <w:t>(kWh/(m²·mėn.)), kai ši energija naudojama tik elektros prietaisams,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color w:val="000000"/>
                            <w:szCs w:val="24"/>
                            <w:lang w:eastAsia="lt-LT"/>
                          </w:rPr>
                          <w:object w:dxaOrig="4860" w:dyaOrig="430">
                            <v:shape id="_x0000_i1417" type="#_x0000_t75" style="width:242.7pt;height:21.85pt" o:ole="">
                              <v:imagedata r:id="rId1022" o:title=""/>
                            </v:shape>
                            <o:OLEObject Type="Embed" ProgID="Equation.3" ShapeID="_x0000_i1417" DrawAspect="Content" ObjectID="_0000000001" r:id="rId1023"/>
                          </w:object>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(2.344) </w:t>
                        </w:r>
                      </w:p>
                    </w:tc>
                  </w:tr>
                </w:tbl>
                <w:p>
                  <w:pPr>
                    <w:tabs>
                      <w:tab w:val="left" w:pos="567"/>
                    </w:tabs>
                    <w:suppressAutoHyphens/>
                    <w:jc w:val="both"/>
                    <w:rPr>
                      <w:rFonts w:eastAsia="Calibri"/>
                      <w:bCs/>
                      <w:color w:val="000000"/>
                      <w:szCs w:val="24"/>
                    </w:rPr>
                  </w:pPr>
                  <w:r>
                    <w:rPr>
                      <w:color w:val="000000"/>
                      <w:szCs w:val="24"/>
                      <w:lang w:eastAsia="lt-LT"/>
                    </w:rPr>
                    <w:t xml:space="preserve">čia: </w:t>
                    <w:tab/>
                  </w:r>
                  <w:r>
                    <w:rPr>
                      <w:i/>
                      <w:color w:val="000000"/>
                      <w:szCs w:val="24"/>
                      <w:lang w:eastAsia="lt-LT"/>
                    </w:rPr>
                    <w:t>f</w:t>
                  </w:r>
                  <w:r>
                    <w:rPr>
                      <w:i/>
                      <w:color w:val="000000"/>
                      <w:szCs w:val="24"/>
                      <w:vertAlign w:val="subscript"/>
                      <w:lang w:eastAsia="lt-LT"/>
                    </w:rPr>
                    <w:t>PRn.WE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vėjo elektrinės</w:t>
                  </w:r>
                  <w:r>
                    <w:rPr>
                      <w:bCs/>
                      <w:color w:val="000000"/>
                      <w:szCs w:val="24"/>
                      <w:lang w:eastAsia="lt-LT"/>
                    </w:rPr>
                    <w:t>. Imamas iš 2.18 lentelės;</w:t>
                  </w:r>
                </w:p>
                <w:p>
                  <w:pPr>
                    <w:suppressAutoHyphens/>
                    <w:ind w:firstLine="567"/>
                    <w:jc w:val="both"/>
                    <w:rPr>
                      <w:bCs/>
                      <w:color w:val="000000"/>
                      <w:szCs w:val="24"/>
                      <w:lang w:eastAsia="lt-LT"/>
                    </w:rPr>
                  </w:pPr>
                  <w:r>
                    <w:rPr>
                      <w:i/>
                      <w:color w:val="000000"/>
                      <w:szCs w:val="24"/>
                      <w:lang w:eastAsia="lt-LT"/>
                    </w:rPr>
                    <w:t>f</w:t>
                  </w:r>
                  <w:r>
                    <w:rPr>
                      <w:i/>
                      <w:color w:val="000000"/>
                      <w:szCs w:val="24"/>
                      <w:vertAlign w:val="subscript"/>
                      <w:lang w:eastAsia="lt-LT"/>
                    </w:rPr>
                    <w:t>PRn.HE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hidroelektrinės</w:t>
                  </w:r>
                  <w:r>
                    <w:rPr>
                      <w:bCs/>
                      <w:color w:val="000000"/>
                      <w:szCs w:val="24"/>
                      <w:lang w:eastAsia="lt-LT"/>
                    </w:rPr>
                    <w:t>. Imamas iš 2.18 lentelės;</w:t>
                  </w:r>
                </w:p>
                <w:p>
                  <w:pPr>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E.WE,m</w:t>
                  </w:r>
                  <w:r>
                    <w:rPr>
                      <w:color w:val="000000"/>
                      <w:szCs w:val="24"/>
                      <w:vertAlign w:val="subscript"/>
                      <w:lang w:eastAsia="lt-LT"/>
                    </w:rPr>
                    <w:t>,</w:t>
                  </w:r>
                  <w:r>
                    <w:rPr>
                      <w:i/>
                      <w:color w:val="000000"/>
                      <w:szCs w:val="24"/>
                      <w:lang w:eastAsia="lt-LT"/>
                    </w:rPr>
                    <w:t>Q</w:t>
                  </w:r>
                  <w:r>
                    <w:rPr>
                      <w:i/>
                      <w:color w:val="000000"/>
                      <w:szCs w:val="24"/>
                      <w:vertAlign w:val="subscript"/>
                      <w:lang w:eastAsia="lt-LT"/>
                    </w:rPr>
                    <w:t xml:space="preserve">E.HE,m </w:t>
                  </w:r>
                  <w:r>
                    <w:rPr>
                      <w:color w:val="000000"/>
                      <w:szCs w:val="24"/>
                      <w:lang w:eastAsia="lt-LT"/>
                    </w:rPr>
                    <w:t xml:space="preserve">– atitinkamai vėjo ir hidroelektrinių pagamintos elektros energijos suvartojimas atitinkamą </w:t>
                  </w:r>
                  <w:r>
                    <w:rPr>
                      <w:i/>
                      <w:color w:val="000000"/>
                      <w:szCs w:val="24"/>
                      <w:lang w:eastAsia="lt-LT"/>
                    </w:rPr>
                    <w:t>„m“</w:t>
                  </w:r>
                  <w:r>
                    <w:rPr>
                      <w:color w:val="000000"/>
                      <w:szCs w:val="24"/>
                      <w:lang w:eastAsia="lt-LT"/>
                    </w:rPr>
                    <w:t xml:space="preserve"> mėnesį pastate (kWh/(m²·mėn.)). Apskaičiuojamas taip:</w:t>
                  </w:r>
                </w:p>
                <w:tbl>
                  <w:tblPr>
                    <w:tblW w:w="5000" w:type="pct"/>
                    <w:jc w:val="center"/>
                    <w:tblLook w:val="01E0" w:firstRow="1" w:lastRow="1" w:firstColumn="1" w:lastColumn="1" w:noHBand="0" w:noVBand="0"/>
                  </w:tblPr>
                  <w:tblGrid>
                    <w:gridCol w:w="8543"/>
                    <w:gridCol w:w="1311"/>
                  </w:tblGrid>
                  <w:tr>
                    <w:trPr>
                      <w:jc w:val="center"/>
                    </w:trPr>
                    <w:tc>
                      <w:tcPr>
                        <w:tcW w:w="8278" w:type="dxa"/>
                        <w:vAlign w:val="center"/>
                        <w:hideMark/>
                      </w:tcPr>
                      <w:p>
                        <w:pPr>
                          <w:suppressAutoHyphens/>
                          <w:spacing w:line="276" w:lineRule="auto"/>
                          <w:jc w:val="center"/>
                          <w:rPr>
                            <w:rFonts w:eastAsia="Calibri"/>
                            <w:color w:val="000000"/>
                            <w:szCs w:val="24"/>
                          </w:rPr>
                        </w:pPr>
                        <w:r>
                          <w:rPr>
                            <w:rFonts w:eastAsia="Calibri"/>
                            <w:color w:val="000000"/>
                            <w:szCs w:val="24"/>
                          </w:rPr>
                          <w:object w:dxaOrig="8200" w:dyaOrig="1570">
                            <v:shape id="_x0000_i1418" type="#_x0000_t75" style="width:410.15pt;height:77.65pt" o:ole="">
                              <v:imagedata r:id="rId1024" o:title=""/>
                            </v:shape>
                            <o:OLEObject Type="Embed" ProgID="Equation.3" ShapeID="_x0000_i1418" DrawAspect="Content" ObjectID="_0000000001" r:id="rId1025"/>
                          </w:object>
                        </w:r>
                        <w:r>
                          <w:rPr>
                            <w:color w:val="000000"/>
                            <w:szCs w:val="24"/>
                            <w:lang w:eastAsia="lt-LT"/>
                          </w:rPr>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(2.345) </w:t>
                        </w:r>
                      </w:p>
                    </w:tc>
                  </w:tr>
                </w:tbl>
                <w:p>
                  <w:pPr>
                    <w:suppressAutoHyphens/>
                    <w:ind w:left="600" w:hanging="600"/>
                    <w:rPr>
                      <w:rFonts w:eastAsia="Calibri"/>
                      <w:color w:val="000000"/>
                      <w:szCs w:val="24"/>
                    </w:rPr>
                  </w:pPr>
                </w:p>
                <w:tbl>
                  <w:tblPr>
                    <w:tblW w:w="5000" w:type="pct"/>
                    <w:jc w:val="center"/>
                    <w:tblLook w:val="01E0" w:firstRow="1" w:lastRow="1" w:firstColumn="1" w:lastColumn="1" w:noHBand="0" w:noVBand="0"/>
                  </w:tblPr>
                  <w:tblGrid>
                    <w:gridCol w:w="8524"/>
                    <w:gridCol w:w="1330"/>
                  </w:tblGrid>
                  <w:tr>
                    <w:trPr>
                      <w:jc w:val="center"/>
                    </w:trPr>
                    <w:tc>
                      <w:tcPr>
                        <w:tcW w:w="8524" w:type="dxa"/>
                        <w:vAlign w:val="center"/>
                        <w:hideMark/>
                      </w:tcPr>
                      <w:p>
                        <w:pPr>
                          <w:suppressAutoHyphens/>
                          <w:spacing w:line="276" w:lineRule="auto"/>
                          <w:jc w:val="center"/>
                          <w:rPr>
                            <w:rFonts w:eastAsia="Calibri"/>
                            <w:color w:val="000000"/>
                            <w:szCs w:val="24"/>
                          </w:rPr>
                        </w:pPr>
                        <w:r>
                          <w:rPr>
                            <w:color w:val="000000"/>
                            <w:szCs w:val="24"/>
                            <w:lang w:eastAsia="lt-LT"/>
                          </w:rPr>
                          <w:object w:dxaOrig="4430" w:dyaOrig="840">
                            <v:shape id="_x0000_i1419" type="#_x0000_t75" style="width:221.65pt;height:42.05pt" o:ole="">
                              <v:imagedata r:id="rId1026" o:title=""/>
                            </v:shape>
                            <o:OLEObject Type="Embed" ProgID="Equation.3" ShapeID="_x0000_i1419" DrawAspect="Content" ObjectID="_0000000001" r:id="rId1027"/>
                          </w:object>
                          <w:t>;</w:t>
                        </w:r>
                      </w:p>
                    </w:tc>
                    <w:tc>
                      <w:tcPr>
                        <w:tcW w:w="1330" w:type="dxa"/>
                        <w:vAlign w:val="center"/>
                        <w:hideMark/>
                      </w:tcPr>
                      <w:p>
                        <w:pPr>
                          <w:suppressAutoHyphens/>
                          <w:spacing w:line="276" w:lineRule="auto"/>
                          <w:jc w:val="right"/>
                          <w:rPr>
                            <w:rFonts w:eastAsia="Calibri"/>
                            <w:color w:val="000000"/>
                            <w:szCs w:val="24"/>
                          </w:rPr>
                        </w:pPr>
                        <w:r>
                          <w:rPr>
                            <w:color w:val="000000"/>
                            <w:szCs w:val="24"/>
                            <w:lang w:eastAsia="lt-LT"/>
                          </w:rPr>
                          <w:t xml:space="preserve">(2.346) </w:t>
                        </w:r>
                      </w:p>
                    </w:tc>
                  </w:tr>
                </w:tbl>
                <w:p>
                  <w:pPr>
                    <w:suppressAutoHyphens/>
                    <w:ind w:firstLine="567"/>
                    <w:rPr>
                      <w:szCs w:val="24"/>
                      <w:lang w:eastAsia="lt-LT"/>
                    </w:rPr>
                  </w:pPr>
                  <w:r>
                    <w:rPr>
                      <w:szCs w:val="24"/>
                      <w:lang w:eastAsia="lt-LT"/>
                    </w:rPr>
                    <w:t xml:space="preserve">Vėjo ir hidroelektrinėse per metus pagaminti elektros energijos kiekiai </w:t>
                  </w:r>
                  <w:r>
                    <w:rPr>
                      <w:i/>
                      <w:szCs w:val="24"/>
                      <w:lang w:eastAsia="lt-LT"/>
                    </w:rPr>
                    <w:t>Q</w:t>
                  </w:r>
                  <w:r>
                    <w:rPr>
                      <w:i/>
                      <w:szCs w:val="24"/>
                      <w:vertAlign w:val="subscript"/>
                      <w:lang w:eastAsia="lt-LT"/>
                    </w:rPr>
                    <w:t>GEN.WE</w:t>
                  </w:r>
                  <w:r>
                    <w:rPr>
                      <w:szCs w:val="24"/>
                      <w:lang w:eastAsia="lt-LT"/>
                    </w:rPr>
                    <w:t xml:space="preserve"> ir </w:t>
                  </w:r>
                  <w:r>
                    <w:rPr>
                      <w:i/>
                      <w:szCs w:val="24"/>
                      <w:lang w:eastAsia="lt-LT"/>
                    </w:rPr>
                    <w:t>Q</w:t>
                  </w:r>
                  <w:r>
                    <w:rPr>
                      <w:i/>
                      <w:szCs w:val="24"/>
                      <w:vertAlign w:val="subscript"/>
                      <w:lang w:eastAsia="lt-LT"/>
                    </w:rPr>
                    <w:t xml:space="preserve">GEN.HE </w:t>
                  </w:r>
                  <w:r>
                    <w:rPr>
                      <w:szCs w:val="24"/>
                      <w:lang w:eastAsia="lt-LT"/>
                    </w:rPr>
                    <w:t>(kWh/m²·per metus) apskaičiuojami taip:</w:t>
                  </w:r>
                </w:p>
                <w:sdt>
                  <w:sdtPr>
                    <w:alias w:val="2 pr. 62.1 pp."/>
                    <w:tag w:val="part_1bdf25106bf046f695fca4b96f41621f"/>
                    <w:lock w:val="sdtLocked"/>
                    <w:richText/>
                  </w:sdtPr>
                  <w:sdtContent>
                    <w:p>
                      <w:pPr>
                        <w:suppressAutoHyphens/>
                        <w:ind w:firstLine="567"/>
                        <w:jc w:val="both"/>
                        <w:rPr>
                          <w:szCs w:val="24"/>
                        </w:rPr>
                      </w:pPr>
                      <w:sdt>
                        <w:sdtPr>
                          <w:alias w:val="Numeris"/>
                          <w:tag w:val="nr_1bdf25106bf046f695fca4b96f41621f"/>
                          <w:lock w:val="sdtLocked"/>
                          <w:richText/>
                        </w:sdtPr>
                        <w:sdtContent>
                          <w:r>
                            <w:rPr>
                              <w:szCs w:val="24"/>
                              <w:lang w:eastAsia="lt-LT"/>
                            </w:rPr>
                            <w:t>62.1</w:t>
                          </w:r>
                        </w:sdtContent>
                      </w:sdt>
                      <w:r>
                        <w:rPr>
                          <w:szCs w:val="24"/>
                          <w:lang w:eastAsia="lt-LT"/>
                        </w:rPr>
                        <w:t>. jei elektros energija pastatui tiekiama iš prie pastato esančių vėjo ir hidroelektrinių ir pastate įrengta dvipusė elektros energijos apskaita:</w:t>
                      </w:r>
                    </w:p>
                    <w:tbl>
                      <w:tblPr>
                        <w:tblW w:w="5000" w:type="pct"/>
                        <w:jc w:val="center"/>
                        <w:tblLook w:val="01E0" w:firstRow="1" w:lastRow="1" w:firstColumn="1" w:lastColumn="1" w:noHBand="0" w:noVBand="0"/>
                      </w:tblPr>
                      <w:tblGrid>
                        <w:gridCol w:w="8524"/>
                        <w:gridCol w:w="1330"/>
                      </w:tblGrid>
                      <w:tr>
                        <w:trPr>
                          <w:jc w:val="center"/>
                        </w:trPr>
                        <w:tc>
                          <w:tcPr>
                            <w:tcW w:w="8400" w:type="dxa"/>
                            <w:vAlign w:val="center"/>
                            <w:hideMark/>
                          </w:tcPr>
                          <w:p>
                            <w:pPr>
                              <w:suppressAutoHyphens/>
                              <w:jc w:val="center"/>
                              <w:rPr>
                                <w:szCs w:val="24"/>
                              </w:rPr>
                            </w:pPr>
                            <w:r>
                              <w:rPr>
                                <w:szCs w:val="24"/>
                                <w:lang w:eastAsia="lt-LT"/>
                              </w:rPr>
                              <w:object w:dxaOrig="2040" w:dyaOrig="730">
                                <v:shape id="_x0000_i1420" type="#_x0000_t75" style="width:101.95pt;height:37.2pt" o:ole="">
                                  <v:imagedata r:id="rId1028" o:title=""/>
                                </v:shape>
                                <o:OLEObject Type="Embed" ProgID="Equation.3" ShapeID="_x0000_i1420" DrawAspect="Content" ObjectID="_0000000001" r:id="rId1029"/>
                              </w:object>
                              <w:t xml:space="preserve">  ir  </w:t>
                            </w:r>
                            <w:r>
                              <w:rPr>
                                <w:szCs w:val="24"/>
                              </w:rPr>
                              <w:object w:dxaOrig="2040" w:dyaOrig="730">
                                <v:shape id="_x0000_i1421" type="#_x0000_t75" style="width:101.95pt;height:37.2pt" o:ole="">
                                  <v:imagedata r:id="rId1030" o:title=""/>
                                </v:shape>
                                <o:OLEObject Type="Embed" ProgID="Equation.3" ShapeID="_x0000_i1421" DrawAspect="Content" ObjectID="_0000000001" r:id="rId1031"/>
                              </w:object>
                            </w:r>
                            <w:r>
                              <w:rPr>
                                <w:szCs w:val="24"/>
                                <w:lang w:eastAsia="lt-LT"/>
                              </w:rPr>
                              <w:t>;</w:t>
                            </w:r>
                          </w:p>
                        </w:tc>
                        <w:tc>
                          <w:tcPr>
                            <w:tcW w:w="1311" w:type="dxa"/>
                            <w:vAlign w:val="center"/>
                            <w:hideMark/>
                          </w:tcPr>
                          <w:p>
                            <w:pPr>
                              <w:suppressAutoHyphens/>
                              <w:jc w:val="right"/>
                              <w:rPr>
                                <w:szCs w:val="24"/>
                              </w:rPr>
                            </w:pPr>
                            <w:r>
                              <w:rPr>
                                <w:szCs w:val="24"/>
                                <w:lang w:eastAsia="lt-LT"/>
                              </w:rPr>
                              <w:t>(2.346</w:t>
                            </w:r>
                            <w:r>
                              <w:rPr>
                                <w:szCs w:val="24"/>
                                <w:vertAlign w:val="superscript"/>
                                <w:lang w:eastAsia="lt-LT"/>
                              </w:rPr>
                              <w:t>1</w:t>
                            </w:r>
                            <w:r>
                              <w:rPr>
                                <w:szCs w:val="24"/>
                                <w:lang w:eastAsia="lt-LT"/>
                              </w:rPr>
                              <w:t xml:space="preserve">) </w:t>
                            </w:r>
                          </w:p>
                        </w:tc>
                      </w:tr>
                    </w:tbl>
                    <w:p/>
                  </w:sdtContent>
                </w:sdt>
                <w:sdt>
                  <w:sdtPr>
                    <w:alias w:val="2 pr. 62.2 pp."/>
                    <w:tag w:val="part_4a8e3b86153d4b8e8558a24e67395a34"/>
                    <w:lock w:val="sdtLocked"/>
                    <w:richText/>
                  </w:sdtPr>
                  <w:sdtContent>
                    <w:p>
                      <w:pPr>
                        <w:suppressAutoHyphens/>
                        <w:ind w:firstLine="567"/>
                        <w:rPr>
                          <w:szCs w:val="24"/>
                          <w:lang w:eastAsia="lt-LT"/>
                        </w:rPr>
                      </w:pPr>
                      <w:sdt>
                        <w:sdtPr>
                          <w:alias w:val="Numeris"/>
                          <w:tag w:val="nr_4a8e3b86153d4b8e8558a24e67395a34"/>
                          <w:lock w:val="sdtLocked"/>
                          <w:richText/>
                        </w:sdtPr>
                        <w:sdtContent>
                          <w:r>
                            <w:rPr>
                              <w:szCs w:val="24"/>
                              <w:lang w:eastAsia="lt-LT"/>
                            </w:rPr>
                            <w:t>62.2</w:t>
                          </w:r>
                        </w:sdtContent>
                      </w:sdt>
                      <w:r>
                        <w:rPr>
                          <w:szCs w:val="24"/>
                          <w:lang w:eastAsia="lt-LT"/>
                        </w:rPr>
                        <w:t xml:space="preserve">. jei elektros energija pastatui tiekiama iš nutolusių vėjo ir hidroelektrinių: </w:t>
                      </w:r>
                    </w:p>
                    <w:p>
                      <w:pPr>
                        <w:suppressAutoHyphens/>
                        <w:rPr>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jc w:val="center"/>
                              <w:rPr>
                                <w:szCs w:val="24"/>
                                <w:lang w:eastAsia="lt-LT"/>
                              </w:rPr>
                            </w:pPr>
                            <w:r>
                              <w:rPr>
                                <w:szCs w:val="24"/>
                                <w:lang w:eastAsia="lt-LT"/>
                              </w:rPr>
                              <w:object w:dxaOrig="1580" w:dyaOrig="740">
                                <v:shape id="_x0000_i1422" type="#_x0000_t75" style="width:79.3pt;height:36.4pt" o:ole="">
                                  <v:imagedata r:id="rId1032" o:title=""/>
                                </v:shape>
                                <o:OLEObject Type="Embed" ProgID="Equation.3" ShapeID="_x0000_i1422" DrawAspect="Content" ObjectID="_0000000001" r:id="rId1033"/>
                              </w:object>
                              <w:t xml:space="preserve">  ir  </w:t>
                              <w:object w:dxaOrig="1540" w:dyaOrig="740">
                                <v:shape id="_x0000_i1423" type="#_x0000_t75" style="width:76.85pt;height:36.4pt" o:ole="">
                                  <v:imagedata r:id="rId1034" o:title=""/>
                                </v:shape>
                                <o:OLEObject Type="Embed" ProgID="Equation.3" ShapeID="_x0000_i1423" DrawAspect="Content" ObjectID="_0000000001" r:id="rId1035"/>
                              </w:object>
                              <w:t>;</w:t>
                            </w:r>
                          </w:p>
                        </w:tc>
                        <w:tc>
                          <w:tcPr>
                            <w:tcW w:w="1292" w:type="dxa"/>
                            <w:vAlign w:val="center"/>
                            <w:hideMark/>
                          </w:tcPr>
                          <w:p>
                            <w:pPr>
                              <w:suppressAutoHyphens/>
                              <w:jc w:val="right"/>
                              <w:rPr>
                                <w:szCs w:val="24"/>
                                <w:lang w:eastAsia="lt-LT"/>
                              </w:rPr>
                            </w:pPr>
                            <w:r>
                              <w:rPr>
                                <w:szCs w:val="24"/>
                                <w:lang w:eastAsia="lt-LT"/>
                              </w:rPr>
                              <w:t>(2.346</w:t>
                            </w:r>
                            <w:r>
                              <w:rPr>
                                <w:szCs w:val="24"/>
                                <w:vertAlign w:val="superscript"/>
                                <w:lang w:eastAsia="lt-LT"/>
                              </w:rPr>
                              <w:t>2</w:t>
                            </w:r>
                            <w:r>
                              <w:rPr>
                                <w:szCs w:val="24"/>
                                <w:lang w:eastAsia="lt-LT"/>
                              </w:rPr>
                              <w:t xml:space="preserve">) </w:t>
                            </w:r>
                          </w:p>
                        </w:tc>
                      </w:tr>
                    </w:tbl>
                    <w:p>
                      <w:pPr>
                        <w:tabs>
                          <w:tab w:val="left" w:pos="567"/>
                        </w:tabs>
                        <w:suppressAutoHyphens/>
                        <w:jc w:val="both"/>
                        <w:rPr>
                          <w:szCs w:val="24"/>
                          <w:lang w:eastAsia="lt-LT"/>
                        </w:rPr>
                      </w:pPr>
                      <w:r>
                        <w:rPr>
                          <w:color w:val="000000"/>
                          <w:szCs w:val="24"/>
                          <w:lang w:eastAsia="lt-LT"/>
                        </w:rPr>
                        <w:t xml:space="preserve">čia: </w:t>
                        <w:tab/>
                      </w:r>
                      <w:r>
                        <w:rPr>
                          <w:i/>
                          <w:szCs w:val="24"/>
                          <w:lang w:eastAsia="lt-LT"/>
                        </w:rPr>
                        <w:t>Q</w:t>
                      </w:r>
                      <w:r>
                        <w:rPr>
                          <w:i/>
                          <w:szCs w:val="24"/>
                          <w:vertAlign w:val="subscript"/>
                          <w:lang w:eastAsia="lt-LT"/>
                        </w:rPr>
                        <w:t>NWE</w:t>
                      </w:r>
                      <w:r>
                        <w:rPr>
                          <w:szCs w:val="24"/>
                          <w:lang w:eastAsia="lt-LT"/>
                        </w:rPr>
                        <w:t xml:space="preserve"> ir </w:t>
                      </w:r>
                      <w:r>
                        <w:rPr>
                          <w:i/>
                          <w:szCs w:val="24"/>
                          <w:lang w:eastAsia="lt-LT"/>
                        </w:rPr>
                        <w:t>Q</w:t>
                      </w:r>
                      <w:r>
                        <w:rPr>
                          <w:i/>
                          <w:szCs w:val="24"/>
                          <w:vertAlign w:val="subscript"/>
                          <w:lang w:eastAsia="lt-LT"/>
                        </w:rPr>
                        <w:t>NHE</w:t>
                      </w:r>
                      <w:r>
                        <w:rPr>
                          <w:szCs w:val="24"/>
                          <w:lang w:eastAsia="lt-LT"/>
                        </w:rPr>
                        <w:t xml:space="preserve"> - pagal elektros energijos tiekimo sutartį iš nutolusios atitinkamai vėjo ir hidroelektrinės per metus pastatui patiekti įsipareigotas elektros energijos kiekis (kWh per metus);</w:t>
                      </w:r>
                    </w:p>
                    <w:p>
                      <w:pPr>
                        <w:tabs>
                          <w:tab w:val="left" w:pos="567"/>
                        </w:tabs>
                        <w:suppressAutoHyphens/>
                        <w:jc w:val="both"/>
                        <w:rPr>
                          <w:rFonts w:eastAsia="Calibri"/>
                          <w:color w:val="000000"/>
                          <w:szCs w:val="24"/>
                        </w:rPr>
                      </w:pPr>
                      <w:r>
                        <w:rPr>
                          <w:i/>
                          <w:color w:val="000000"/>
                          <w:szCs w:val="24"/>
                          <w:lang w:eastAsia="lt-LT"/>
                        </w:rPr>
                        <w:t>P</w:t>
                      </w:r>
                      <w:r>
                        <w:rPr>
                          <w:i/>
                          <w:color w:val="000000"/>
                          <w:szCs w:val="24"/>
                          <w:vertAlign w:val="subscript"/>
                          <w:lang w:eastAsia="lt-LT"/>
                        </w:rPr>
                        <w:t>HE,m,x,y</w:t>
                      </w:r>
                      <w:r>
                        <w:rPr>
                          <w:color w:val="000000"/>
                          <w:szCs w:val="24"/>
                          <w:lang w:eastAsia="lt-LT"/>
                        </w:rPr>
                        <w:t xml:space="preserve"> – atitinkamos </w:t>
                      </w:r>
                      <w:r>
                        <w:rPr>
                          <w:i/>
                          <w:color w:val="000000"/>
                          <w:szCs w:val="24"/>
                          <w:lang w:eastAsia="lt-LT"/>
                        </w:rPr>
                        <w:t>„x“</w:t>
                      </w:r>
                      <w:r>
                        <w:rPr>
                          <w:color w:val="000000"/>
                          <w:szCs w:val="24"/>
                          <w:lang w:eastAsia="lt-LT"/>
                        </w:rPr>
                        <w:t xml:space="preserve"> hidroelektrinių sistemos atitinkamos </w:t>
                      </w:r>
                      <w:r>
                        <w:rPr>
                          <w:i/>
                          <w:color w:val="000000"/>
                          <w:szCs w:val="24"/>
                          <w:lang w:eastAsia="lt-LT"/>
                        </w:rPr>
                        <w:t>„y“</w:t>
                      </w:r>
                      <w:r>
                        <w:rPr>
                          <w:color w:val="000000"/>
                          <w:szCs w:val="24"/>
                          <w:lang w:eastAsia="lt-LT"/>
                        </w:rPr>
                        <w:t xml:space="preserve"> hidroelektrinės vidutinė metinė elektros gamybos galia (W). Imama iš hidroelektrinės techninės dokumentacijos, jei nėra duomenų imama </w:t>
                      </w:r>
                      <w:r>
                        <w:rPr>
                          <w:i/>
                          <w:color w:val="000000"/>
                          <w:szCs w:val="24"/>
                          <w:lang w:eastAsia="lt-LT"/>
                        </w:rPr>
                        <w:t>P</w:t>
                      </w:r>
                      <w:r>
                        <w:rPr>
                          <w:i/>
                          <w:color w:val="000000"/>
                          <w:szCs w:val="24"/>
                          <w:vertAlign w:val="subscript"/>
                          <w:lang w:eastAsia="lt-LT"/>
                        </w:rPr>
                        <w:t>HE,m,x,y</w:t>
                      </w:r>
                      <w:r>
                        <w:rPr>
                          <w:color w:val="000000"/>
                          <w:szCs w:val="24"/>
                          <w:lang w:eastAsia="lt-LT"/>
                        </w:rPr>
                        <w:t xml:space="preserve"> = 0;</w:t>
                      </w:r>
                    </w:p>
                    <w:p>
                      <w:pPr>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E.(hw+H).hwSK,m</w:t>
                      </w:r>
                      <w:r>
                        <w:rPr>
                          <w:i/>
                          <w:color w:val="000000"/>
                          <w:szCs w:val="24"/>
                          <w:lang w:eastAsia="lt-LT"/>
                        </w:rPr>
                        <w:t>, Q</w:t>
                      </w:r>
                      <w:r>
                        <w:rPr>
                          <w:i/>
                          <w:color w:val="000000"/>
                          <w:szCs w:val="24"/>
                          <w:vertAlign w:val="subscript"/>
                          <w:lang w:eastAsia="lt-LT"/>
                        </w:rPr>
                        <w:t xml:space="preserve">E.sum.SK,m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Apskaičiuojami pagal (2.128), (2.129), (2.130), (2.242), (2.190), (2.200), (2.220) ir (2.342) formules.</w:t>
                      </w:r>
                    </w:p>
                    <w:p>
                      <w:pPr>
                        <w:suppressAutoHyphens/>
                        <w:ind w:firstLine="600"/>
                        <w:jc w:val="both"/>
                        <w:rPr>
                          <w:color w:val="000000"/>
                          <w:szCs w:val="24"/>
                          <w:lang w:eastAsia="lt-LT"/>
                        </w:rPr>
                      </w:pPr>
                      <w:r>
                        <w:rPr>
                          <w:i/>
                          <w:color w:val="000000"/>
                          <w:szCs w:val="24"/>
                          <w:lang w:eastAsia="lt-LT"/>
                        </w:rPr>
                        <w:t>E</w:t>
                      </w:r>
                      <w:r>
                        <w:rPr>
                          <w:i/>
                          <w:color w:val="000000"/>
                          <w:szCs w:val="24"/>
                          <w:vertAlign w:val="subscript"/>
                          <w:lang w:eastAsia="lt-LT"/>
                        </w:rPr>
                        <w:t>m,x,y</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skaičiuojamasis vietovės vėjo energetinis potencialas atitinkamą </w:t>
                      </w:r>
                      <w:r>
                        <w:rPr>
                          <w:i/>
                          <w:color w:val="000000"/>
                          <w:szCs w:val="24"/>
                          <w:lang w:eastAsia="lt-LT"/>
                        </w:rPr>
                        <w:t>„m“</w:t>
                      </w:r>
                      <w:r>
                        <w:rPr>
                          <w:color w:val="000000"/>
                          <w:szCs w:val="24"/>
                          <w:lang w:eastAsia="lt-LT"/>
                        </w:rPr>
                        <w:t xml:space="preserve"> mėnesį (W/m²). Apskaičiuojamas pagal empirinę (2.360) formulę;</w:t>
                      </w:r>
                    </w:p>
                    <w:p>
                      <w:pPr>
                        <w:suppressAutoHyphens/>
                        <w:ind w:firstLine="600"/>
                        <w:jc w:val="both"/>
                        <w:rPr>
                          <w:color w:val="000000"/>
                          <w:szCs w:val="24"/>
                          <w:lang w:eastAsia="lt-LT"/>
                        </w:rPr>
                      </w:pPr>
                      <w:r>
                        <w:rPr>
                          <w:i/>
                          <w:color w:val="000000"/>
                          <w:szCs w:val="24"/>
                          <w:lang w:eastAsia="lt-LT"/>
                        </w:rPr>
                        <w:t>A</w:t>
                      </w:r>
                      <w:r>
                        <w:rPr>
                          <w:i/>
                          <w:color w:val="000000"/>
                          <w:szCs w:val="24"/>
                          <w:vertAlign w:val="subscript"/>
                          <w:lang w:eastAsia="lt-LT"/>
                        </w:rPr>
                        <w:t xml:space="preserve">HWE,x,y </w:t>
                      </w:r>
                      <w:r>
                        <w:rPr>
                          <w:color w:val="000000"/>
                          <w:szCs w:val="24"/>
                          <w:lang w:eastAsia="lt-LT"/>
                        </w:rPr>
                        <w:t xml:space="preserve">–  atitinkamos </w:t>
                      </w:r>
                      <w:r>
                        <w:rPr>
                          <w:i/>
                          <w:color w:val="000000"/>
                          <w:szCs w:val="24"/>
                          <w:lang w:eastAsia="lt-LT"/>
                        </w:rPr>
                        <w:t>„y“</w:t>
                      </w:r>
                      <w:r>
                        <w:rPr>
                          <w:color w:val="000000"/>
                          <w:szCs w:val="24"/>
                          <w:lang w:eastAsia="lt-LT"/>
                        </w:rPr>
                        <w:t xml:space="preserve"> horizontalios ašies vėjo elektrinės vėjaračio darbinis plotas (m²). Imamas iš vėjo elektrinės techninės dokumentacijos, jei nėra duomenų, apskaičiuojamas pagal (2.362) formulę;</w:t>
                      </w:r>
                    </w:p>
                    <w:p>
                      <w:pPr>
                        <w:suppressAutoHyphens/>
                        <w:ind w:firstLine="600"/>
                        <w:jc w:val="both"/>
                        <w:rPr>
                          <w:color w:val="000000"/>
                          <w:szCs w:val="24"/>
                          <w:lang w:eastAsia="lt-LT"/>
                        </w:rPr>
                      </w:pP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 atitinkamos </w:t>
                      </w:r>
                      <w:r>
                        <w:rPr>
                          <w:i/>
                          <w:color w:val="000000"/>
                          <w:szCs w:val="24"/>
                          <w:lang w:eastAsia="lt-LT"/>
                        </w:rPr>
                        <w:t>„y“</w:t>
                      </w:r>
                      <w:r>
                        <w:rPr>
                          <w:color w:val="000000"/>
                          <w:szCs w:val="24"/>
                          <w:lang w:eastAsia="lt-LT"/>
                        </w:rPr>
                        <w:t xml:space="preserve"> horizontalios ašies vėjo elektrinės vėjaračio galios koeficientas atitinkamą </w:t>
                      </w:r>
                      <w:r>
                        <w:rPr>
                          <w:i/>
                          <w:color w:val="000000"/>
                          <w:szCs w:val="24"/>
                          <w:lang w:eastAsia="lt-LT"/>
                        </w:rPr>
                        <w:t>„m“</w:t>
                      </w:r>
                      <w:r>
                        <w:rPr>
                          <w:color w:val="000000"/>
                          <w:szCs w:val="24"/>
                          <w:lang w:eastAsia="lt-LT"/>
                        </w:rPr>
                        <w:t xml:space="preserve"> mėnesį. Pagal vidutinį pastato vietovės mėnesinį vėjo greitį elektrinės vėjaračio ašies aukštyje virš žemės paviršiaus </w:t>
                      </w:r>
                      <w:r>
                        <w:rPr>
                          <w:i/>
                          <w:color w:val="000000"/>
                          <w:szCs w:val="24"/>
                          <w:lang w:eastAsia="lt-LT"/>
                        </w:rPr>
                        <w:t>ν</w:t>
                      </w:r>
                      <w:r>
                        <w:rPr>
                          <w:i/>
                          <w:color w:val="000000"/>
                          <w:szCs w:val="24"/>
                          <w:vertAlign w:val="subscript"/>
                          <w:lang w:eastAsia="lt-LT"/>
                        </w:rPr>
                        <w:t>wind.HWE,m,x,y</w:t>
                      </w:r>
                      <w:r>
                        <w:rPr>
                          <w:color w:val="000000"/>
                          <w:szCs w:val="24"/>
                          <w:lang w:eastAsia="lt-LT"/>
                        </w:rPr>
                        <w:t xml:space="preserve">, kuris apskaičiuojamas pagal (2.361) formulę, </w:t>
                      </w: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vertė nustatoma iš grafiko vėjo elektrinės techninėje dokumentacijoje, nusakančio priklausomybę tarp vidutinio vėjo greičio ir šio koeficiento vertės.  </w:t>
                      </w:r>
                      <w:r>
                        <w:rPr>
                          <w:i/>
                          <w:color w:val="000000"/>
                          <w:szCs w:val="24"/>
                          <w:lang w:eastAsia="lt-LT"/>
                        </w:rPr>
                        <w:t>C</w:t>
                      </w:r>
                      <w:r>
                        <w:rPr>
                          <w:i/>
                          <w:color w:val="000000"/>
                          <w:szCs w:val="24"/>
                          <w:vertAlign w:val="subscript"/>
                          <w:lang w:eastAsia="lt-LT"/>
                        </w:rPr>
                        <w:t xml:space="preserve">HWEm,x,y </w:t>
                      </w:r>
                      <w:r>
                        <w:rPr>
                          <w:color w:val="000000"/>
                          <w:szCs w:val="24"/>
                          <w:lang w:eastAsia="lt-LT"/>
                        </w:rPr>
                        <w:t xml:space="preserve">vertė neturi būti didesnė už 0,593. Jei nėra duomenų, </w:t>
                      </w:r>
                      <w:r>
                        <w:rPr>
                          <w:i/>
                          <w:color w:val="000000"/>
                          <w:szCs w:val="24"/>
                          <w:lang w:eastAsia="lt-LT"/>
                        </w:rPr>
                        <w:t>C</w:t>
                      </w:r>
                      <w:r>
                        <w:rPr>
                          <w:i/>
                          <w:color w:val="000000"/>
                          <w:szCs w:val="24"/>
                          <w:vertAlign w:val="subscript"/>
                          <w:lang w:eastAsia="lt-LT"/>
                        </w:rPr>
                        <w:t>HWEm,x,y</w:t>
                      </w:r>
                      <w:r>
                        <w:rPr>
                          <w:color w:val="000000"/>
                          <w:szCs w:val="24"/>
                          <w:lang w:eastAsia="lt-LT"/>
                        </w:rPr>
                        <w:t xml:space="preserve"> laikomas nekintamu dydžiu visais metų mėnesiais, t. y. </w:t>
                      </w:r>
                      <w:r>
                        <w:rPr>
                          <w:i/>
                          <w:color w:val="000000"/>
                          <w:szCs w:val="24"/>
                          <w:lang w:eastAsia="lt-LT"/>
                        </w:rPr>
                        <w:t>C</w:t>
                      </w:r>
                      <w:r>
                        <w:rPr>
                          <w:i/>
                          <w:color w:val="000000"/>
                          <w:szCs w:val="24"/>
                          <w:vertAlign w:val="subscript"/>
                          <w:lang w:eastAsia="lt-LT"/>
                        </w:rPr>
                        <w:t>HWEm,x,y</w:t>
                      </w:r>
                      <w:r>
                        <w:rPr>
                          <w:color w:val="000000"/>
                          <w:szCs w:val="24"/>
                          <w:lang w:eastAsia="lt-LT"/>
                        </w:rPr>
                        <w:t xml:space="preserve"> = const = 0,48;</w:t>
                      </w:r>
                    </w:p>
                    <w:p>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 xml:space="preserve">1,HWE,x,y </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mechaninis naudingumo koeficientas. Imamas iš vėjo elektrinės techninės dokumentacijos, jei nėra duomenų, laikoma </w:t>
                      </w:r>
                      <w:r>
                        <w:rPr>
                          <w:i/>
                          <w:color w:val="000000"/>
                          <w:szCs w:val="24"/>
                          <w:lang w:eastAsia="lt-LT"/>
                        </w:rPr>
                        <w:t>η</w:t>
                      </w:r>
                      <w:r>
                        <w:rPr>
                          <w:i/>
                          <w:color w:val="000000"/>
                          <w:szCs w:val="24"/>
                          <w:vertAlign w:val="subscript"/>
                          <w:lang w:eastAsia="lt-LT"/>
                        </w:rPr>
                        <w:t>1,HWE,x,y</w:t>
                      </w:r>
                      <w:r>
                        <w:rPr>
                          <w:color w:val="000000"/>
                          <w:szCs w:val="24"/>
                          <w:lang w:eastAsia="lt-LT"/>
                        </w:rPr>
                        <w:t xml:space="preserve"> = 0,99;</w:t>
                      </w:r>
                    </w:p>
                    <w:p>
                      <w:pPr>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 xml:space="preserve">2,HWE,x,y </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elektrinis naudingumo koeficientas. Imamas iš vėjo elektrinės techninės dokumentacijos, jei nėra duomenų, laikoma </w:t>
                      </w:r>
                      <w:r>
                        <w:rPr>
                          <w:i/>
                          <w:color w:val="000000"/>
                          <w:szCs w:val="24"/>
                          <w:lang w:eastAsia="lt-LT"/>
                        </w:rPr>
                        <w:t>η</w:t>
                      </w:r>
                      <w:r>
                        <w:rPr>
                          <w:i/>
                          <w:color w:val="000000"/>
                          <w:szCs w:val="24"/>
                          <w:vertAlign w:val="subscript"/>
                          <w:lang w:eastAsia="lt-LT"/>
                        </w:rPr>
                        <w:t>2,HWE,x,y</w:t>
                      </w:r>
                      <w:r>
                        <w:rPr>
                          <w:color w:val="000000"/>
                          <w:szCs w:val="24"/>
                          <w:lang w:eastAsia="lt-LT"/>
                        </w:rPr>
                        <w:t xml:space="preserve"> = 0,96;</w:t>
                      </w:r>
                    </w:p>
                    <w:p>
                      <w:pPr>
                        <w:suppressAutoHyphens/>
                        <w:ind w:firstLine="600"/>
                        <w:jc w:val="both"/>
                        <w:rPr>
                          <w:color w:val="000000"/>
                          <w:szCs w:val="24"/>
                          <w:lang w:eastAsia="lt-LT"/>
                        </w:rPr>
                      </w:pPr>
                      <w:r>
                        <w:rPr>
                          <w:i/>
                          <w:color w:val="000000"/>
                          <w:szCs w:val="24"/>
                          <w:lang w:eastAsia="lt-LT"/>
                        </w:rPr>
                        <w:t>P</w:t>
                      </w:r>
                      <w:r>
                        <w:rPr>
                          <w:i/>
                          <w:color w:val="000000"/>
                          <w:szCs w:val="24"/>
                          <w:vertAlign w:val="subscript"/>
                          <w:lang w:eastAsia="lt-LT"/>
                        </w:rPr>
                        <w:t>VWE,x,y</w:t>
                      </w:r>
                      <w:r>
                        <w:rPr>
                          <w:color w:val="000000"/>
                          <w:szCs w:val="24"/>
                          <w:lang w:eastAsia="lt-LT"/>
                        </w:rPr>
                        <w:t xml:space="preserve"> – atitinkamos </w:t>
                      </w:r>
                      <w:r>
                        <w:rPr>
                          <w:i/>
                          <w:color w:val="000000"/>
                          <w:szCs w:val="24"/>
                          <w:lang w:eastAsia="lt-LT"/>
                        </w:rPr>
                        <w:t>„x“</w:t>
                      </w:r>
                      <w:r>
                        <w:rPr>
                          <w:color w:val="000000"/>
                          <w:szCs w:val="24"/>
                          <w:lang w:eastAsia="lt-LT"/>
                        </w:rPr>
                        <w:t xml:space="preserve"> vėjo elektrinių sistemos atitinkamos </w:t>
                      </w:r>
                      <w:r>
                        <w:rPr>
                          <w:i/>
                          <w:color w:val="000000"/>
                          <w:szCs w:val="24"/>
                          <w:lang w:eastAsia="lt-LT"/>
                        </w:rPr>
                        <w:t>„y“</w:t>
                      </w:r>
                      <w:r>
                        <w:rPr>
                          <w:color w:val="000000"/>
                          <w:szCs w:val="24"/>
                          <w:lang w:eastAsia="lt-LT"/>
                        </w:rPr>
                        <w:t xml:space="preserve"> vertikalios ašies vėjo elektrinės elektros gamybos galia (W) esant vidutiniam mėnesio vėjo greičiui </w:t>
                      </w:r>
                      <w:r>
                        <w:rPr>
                          <w:i/>
                          <w:color w:val="000000"/>
                          <w:szCs w:val="24"/>
                          <w:lang w:eastAsia="lt-LT"/>
                        </w:rPr>
                        <w:t>ν</w:t>
                      </w:r>
                      <w:r>
                        <w:rPr>
                          <w:i/>
                          <w:color w:val="000000"/>
                          <w:szCs w:val="24"/>
                          <w:vertAlign w:val="subscript"/>
                          <w:lang w:eastAsia="lt-LT"/>
                        </w:rPr>
                        <w:t>wind.VWE,ds</w:t>
                      </w:r>
                      <w:r>
                        <w:rPr>
                          <w:color w:val="000000"/>
                          <w:szCs w:val="24"/>
                          <w:lang w:eastAsia="lt-LT"/>
                        </w:rPr>
                        <w:t xml:space="preserve"> (m/s). Imama iš vėjo elektrinės techninės dokumentacijos, jei nėra duomenų imama </w:t>
                      </w:r>
                      <w:r>
                        <w:rPr>
                          <w:i/>
                          <w:color w:val="000000"/>
                          <w:szCs w:val="24"/>
                          <w:lang w:eastAsia="lt-LT"/>
                        </w:rPr>
                        <w:t>P</w:t>
                      </w:r>
                      <w:r>
                        <w:rPr>
                          <w:i/>
                          <w:color w:val="000000"/>
                          <w:szCs w:val="24"/>
                          <w:vertAlign w:val="subscript"/>
                          <w:lang w:eastAsia="lt-LT"/>
                        </w:rPr>
                        <w:t>VWE,x,y</w:t>
                      </w:r>
                      <w:r>
                        <w:rPr>
                          <w:color w:val="000000"/>
                          <w:szCs w:val="24"/>
                          <w:lang w:eastAsia="lt-LT"/>
                        </w:rPr>
                        <w:t xml:space="preserve"> = 0;</w:t>
                      </w:r>
                    </w:p>
                    <w:p>
                      <w:pPr>
                        <w:suppressAutoHyphens/>
                        <w:ind w:firstLine="600"/>
                        <w:jc w:val="both"/>
                        <w:rPr>
                          <w:color w:val="000000"/>
                          <w:szCs w:val="24"/>
                          <w:lang w:eastAsia="lt-LT"/>
                        </w:rPr>
                      </w:pPr>
                      <w:r>
                        <w:rPr>
                          <w:i/>
                          <w:color w:val="000000"/>
                          <w:szCs w:val="24"/>
                          <w:lang w:eastAsia="lt-LT"/>
                        </w:rPr>
                        <w:t>ν</w:t>
                      </w:r>
                      <w:r>
                        <w:rPr>
                          <w:i/>
                          <w:color w:val="000000"/>
                          <w:szCs w:val="24"/>
                          <w:vertAlign w:val="subscript"/>
                          <w:lang w:eastAsia="lt-LT"/>
                        </w:rPr>
                        <w:t>wind.VWE,m,x,y</w:t>
                      </w:r>
                      <w:r>
                        <w:rPr>
                          <w:color w:val="000000"/>
                          <w:szCs w:val="24"/>
                          <w:lang w:eastAsia="lt-LT"/>
                        </w:rPr>
                        <w:t xml:space="preserve"> – apskaičiuojamas pagal (2.361) formulę, kurioje vietoje  </w:t>
                      </w:r>
                      <w:r>
                        <w:rPr>
                          <w:i/>
                          <w:color w:val="000000"/>
                          <w:szCs w:val="24"/>
                          <w:lang w:eastAsia="lt-LT"/>
                        </w:rPr>
                        <w:t>h</w:t>
                      </w:r>
                      <w:r>
                        <w:rPr>
                          <w:i/>
                          <w:color w:val="000000"/>
                          <w:szCs w:val="24"/>
                          <w:vertAlign w:val="subscript"/>
                          <w:lang w:eastAsia="lt-LT"/>
                        </w:rPr>
                        <w:t>HWE,y</w:t>
                      </w:r>
                      <w:r>
                        <w:rPr>
                          <w:color w:val="000000"/>
                          <w:szCs w:val="24"/>
                          <w:lang w:eastAsia="lt-LT"/>
                        </w:rPr>
                        <w:t xml:space="preserve"> skaičiavimams naudojamas aukštis nuo žemės paviršiaus iki vertikalios ašies vėjo elektrinės vėjaračio centro </w:t>
                      </w:r>
                      <w:r>
                        <w:rPr>
                          <w:i/>
                          <w:color w:val="000000"/>
                          <w:szCs w:val="24"/>
                          <w:lang w:eastAsia="lt-LT"/>
                        </w:rPr>
                        <w:t>h</w:t>
                      </w:r>
                      <w:r>
                        <w:rPr>
                          <w:i/>
                          <w:color w:val="000000"/>
                          <w:szCs w:val="24"/>
                          <w:vertAlign w:val="subscript"/>
                          <w:lang w:eastAsia="lt-LT"/>
                        </w:rPr>
                        <w:t>VWE,y</w:t>
                      </w:r>
                      <w:r>
                        <w:rPr>
                          <w:color w:val="000000"/>
                          <w:szCs w:val="24"/>
                          <w:lang w:eastAsia="lt-LT"/>
                        </w:rPr>
                        <w:t xml:space="preserve"> (m);</w:t>
                      </w:r>
                    </w:p>
                    <w:p>
                      <w:pPr>
                        <w:suppressAutoHyphens/>
                        <w:ind w:firstLine="600"/>
                        <w:jc w:val="both"/>
                        <w:rPr>
                          <w:color w:val="000000"/>
                          <w:szCs w:val="24"/>
                          <w:lang w:eastAsia="lt-LT"/>
                        </w:rPr>
                      </w:pPr>
                      <w:r>
                        <w:rPr>
                          <w:i/>
                          <w:color w:val="000000"/>
                          <w:szCs w:val="24"/>
                          <w:lang w:eastAsia="lt-LT"/>
                        </w:rPr>
                        <w:t>ν</w:t>
                      </w:r>
                      <w:r>
                        <w:rPr>
                          <w:i/>
                          <w:color w:val="000000"/>
                          <w:szCs w:val="24"/>
                          <w:vertAlign w:val="subscript"/>
                          <w:lang w:eastAsia="lt-LT"/>
                        </w:rPr>
                        <w:t>wind.VWEds,m,x,y</w:t>
                      </w:r>
                      <w:r>
                        <w:rPr>
                          <w:color w:val="000000"/>
                          <w:szCs w:val="24"/>
                          <w:lang w:eastAsia="lt-LT"/>
                        </w:rPr>
                        <w:t xml:space="preserve"> – atitinkamos </w:t>
                      </w:r>
                      <w:r>
                        <w:rPr>
                          <w:i/>
                          <w:color w:val="000000"/>
                          <w:szCs w:val="24"/>
                          <w:lang w:eastAsia="lt-LT"/>
                        </w:rPr>
                        <w:t>„x“</w:t>
                      </w:r>
                      <w:r>
                        <w:rPr>
                          <w:color w:val="000000"/>
                          <w:szCs w:val="24"/>
                          <w:lang w:eastAsia="lt-LT"/>
                        </w:rPr>
                        <w:t xml:space="preserve"> vėjo elektrinių sistemos atitinkamos </w:t>
                      </w:r>
                      <w:r>
                        <w:rPr>
                          <w:i/>
                          <w:color w:val="000000"/>
                          <w:szCs w:val="24"/>
                          <w:lang w:eastAsia="lt-LT"/>
                        </w:rPr>
                        <w:t>„y“</w:t>
                      </w:r>
                      <w:r>
                        <w:rPr>
                          <w:color w:val="000000"/>
                          <w:szCs w:val="24"/>
                          <w:lang w:eastAsia="lt-LT"/>
                        </w:rPr>
                        <w:t xml:space="preserve"> vertikalios ašies vėjo elektrinės projektinis vėjo greitis, kuriam esant gamintojas deklaruoja elektrinės galią (m/s);</w:t>
                      </w:r>
                    </w:p>
                    <w:p>
                      <w:pPr>
                        <w:suppressAutoHyphens/>
                        <w:ind w:firstLine="600"/>
                        <w:jc w:val="both"/>
                        <w:rPr>
                          <w:color w:val="000000"/>
                          <w:szCs w:val="24"/>
                          <w:lang w:eastAsia="lt-LT"/>
                        </w:rPr>
                      </w:pPr>
                      <w:r>
                        <w:rPr>
                          <w:i/>
                          <w:color w:val="000000"/>
                          <w:szCs w:val="24"/>
                          <w:lang w:eastAsia="lt-LT"/>
                        </w:rPr>
                        <w:t>0,3</w:t>
                      </w:r>
                      <w:r>
                        <w:rPr>
                          <w:color w:val="000000"/>
                          <w:szCs w:val="24"/>
                          <w:lang w:eastAsia="lt-LT"/>
                        </w:rPr>
                        <w:t xml:space="preserve"> – faktoriaus vertė, nusakanti vertikalios ašies vėjo elektrinės galios išnaudojimo efektyvumą (vnt.);</w:t>
                      </w:r>
                    </w:p>
                    <w:p>
                      <w:pPr>
                        <w:suppressAutoHyphens/>
                        <w:ind w:firstLine="600"/>
                        <w:jc w:val="both"/>
                        <w:rPr>
                          <w:color w:val="000000"/>
                          <w:szCs w:val="24"/>
                          <w:lang w:eastAsia="lt-LT"/>
                        </w:rPr>
                      </w:pPr>
                      <w:r>
                        <w:rPr>
                          <w:i/>
                          <w:color w:val="000000"/>
                          <w:szCs w:val="24"/>
                          <w:lang w:eastAsia="lt-LT"/>
                        </w:rPr>
                        <w:t>0,5</w:t>
                      </w:r>
                      <w:r>
                        <w:rPr>
                          <w:color w:val="000000"/>
                          <w:szCs w:val="24"/>
                          <w:lang w:eastAsia="lt-LT"/>
                        </w:rPr>
                        <w:t xml:space="preserve"> – faktoriaus vertė, nusakanti hidroelektrinės galios išnaudojimo efektyvumą (vnt.). </w:t>
                      </w:r>
                    </w:p>
                    <w:p>
                      <w:pPr>
                        <w:suppressAutoHyphens/>
                        <w:ind w:left="600"/>
                        <w:jc w:val="both"/>
                        <w:rPr>
                          <w:color w:val="000000"/>
                          <w:szCs w:val="24"/>
                          <w:lang w:eastAsia="lt-LT"/>
                        </w:rPr>
                      </w:pPr>
                      <w:r>
                        <w:rPr>
                          <w:color w:val="000000"/>
                          <w:szCs w:val="24"/>
                          <w:lang w:eastAsia="lt-LT"/>
                        </w:rPr>
                        <w:t>(2.345) formulės taikymo sąlygos:</w:t>
                      </w:r>
                    </w:p>
                    <w:p>
                      <w:pPr>
                        <w:tabs>
                          <w:tab w:val="left" w:pos="1134"/>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elektros energijos už elektros energijos poreikį pastate, t. y. jei</w:t>
                      </w:r>
                    </w:p>
                    <w:tbl>
                      <w:tblPr>
                        <w:tblW w:w="5000" w:type="pct"/>
                        <w:jc w:val="center"/>
                        <w:tblLook w:val="01E0" w:firstRow="1" w:lastRow="1" w:firstColumn="1" w:lastColumn="1" w:noHBand="0" w:noVBand="0"/>
                      </w:tblPr>
                      <w:tblGrid>
                        <w:gridCol w:w="8776"/>
                        <w:gridCol w:w="1078"/>
                      </w:tblGrid>
                      <w:tr>
                        <w:trPr>
                          <w:jc w:val="center"/>
                        </w:trPr>
                        <w:tc>
                          <w:tcPr>
                            <w:tcW w:w="8523" w:type="dxa"/>
                            <w:vAlign w:val="center"/>
                            <w:hideMark/>
                          </w:tcPr>
                          <w:p>
                            <w:pPr>
                              <w:suppressAutoHyphens/>
                              <w:spacing w:line="276" w:lineRule="auto"/>
                              <w:jc w:val="center"/>
                              <w:rPr>
                                <w:rFonts w:eastAsia="Calibri"/>
                                <w:color w:val="000000"/>
                                <w:szCs w:val="24"/>
                              </w:rPr>
                            </w:pPr>
                            <w:r>
                              <w:rPr>
                                <w:rFonts w:eastAsia="Calibri"/>
                                <w:color w:val="000000"/>
                                <w:szCs w:val="24"/>
                              </w:rPr>
                              <w:object w:dxaOrig="6650" w:dyaOrig="840">
                                <v:shape id="_x0000_i1424" type="#_x0000_t75" style="width:331.7pt;height:42.05pt" o:ole="">
                                  <v:imagedata r:id="rId1036" o:title=""/>
                                </v:shape>
                                <o:OLEObject Type="Embed" ProgID="Equation.3" ShapeID="_x0000_i1424" DrawAspect="Content" ObjectID="_0000000001" r:id="rId1037"/>
                              </w:object>
                            </w:r>
                          </w:p>
                        </w:tc>
                        <w:tc>
                          <w:tcPr>
                            <w:tcW w:w="1047" w:type="dxa"/>
                            <w:vAlign w:val="center"/>
                            <w:hideMark/>
                          </w:tcPr>
                          <w:p>
                            <w:pPr>
                              <w:suppressAutoHyphens/>
                              <w:spacing w:line="276" w:lineRule="auto"/>
                              <w:jc w:val="right"/>
                              <w:rPr>
                                <w:rFonts w:eastAsia="Calibri"/>
                                <w:color w:val="000000"/>
                                <w:szCs w:val="24"/>
                              </w:rPr>
                            </w:pPr>
                            <w:r>
                              <w:rPr>
                                <w:color w:val="000000"/>
                                <w:szCs w:val="24"/>
                                <w:lang w:eastAsia="lt-LT"/>
                              </w:rPr>
                              <w:t xml:space="preserve">(2.347) </w:t>
                            </w:r>
                          </w:p>
                        </w:tc>
                      </w:tr>
                    </w:tbl>
                    <w:p>
                      <w:pPr>
                        <w:suppressAutoHyphens/>
                        <w:ind w:left="840"/>
                        <w:rPr>
                          <w:rFonts w:eastAsia="Calibri"/>
                          <w:color w:val="000000"/>
                          <w:szCs w:val="24"/>
                        </w:rPr>
                      </w:pPr>
                      <w:r>
                        <w:rPr>
                          <w:color w:val="000000"/>
                          <w:szCs w:val="24"/>
                          <w:lang w:eastAsia="lt-LT"/>
                        </w:rPr>
                        <w:t>tai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rFonts w:eastAsia="Calibri"/>
                                <w:color w:val="000000"/>
                                <w:szCs w:val="24"/>
                              </w:rPr>
                              <w:object w:dxaOrig="6680" w:dyaOrig="840">
                                <v:shape id="_x0000_i1425" type="#_x0000_t75" style="width:333.3pt;height:42.05pt" o:ole="">
                                  <v:imagedata r:id="rId1038" o:title=""/>
                                </v:shape>
                                <o:OLEObject Type="Embed" ProgID="Equation.3" ShapeID="_x0000_i1425" DrawAspect="Content" ObjectID="_0000000001" r:id="rId1039"/>
                              </w:objec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(2.348) </w:t>
                            </w:r>
                          </w:p>
                        </w:tc>
                      </w:tr>
                    </w:tbl>
                    <w:p>
                      <w:pPr>
                        <w:suppressAutoHyphens/>
                        <w:rPr>
                          <w:rFonts w:eastAsia="Calibri"/>
                          <w:color w:val="000000"/>
                          <w:szCs w:val="24"/>
                        </w:rPr>
                      </w:pPr>
                      <w:r>
                        <w:rPr>
                          <w:color w:val="000000"/>
                          <w:szCs w:val="24"/>
                          <w:lang w:eastAsia="lt-LT"/>
                        </w:rPr>
                        <w:t>kitu atveju rezultatas atitinka gautą pagal (2.345) formulę.</w:t>
                      </w:r>
                    </w:p>
                    <w:p>
                      <w:pPr>
                        <w:tabs>
                          <w:tab w:val="left" w:pos="1134"/>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suppressAutoHyphens/>
                              <w:spacing w:line="276" w:lineRule="auto"/>
                              <w:jc w:val="center"/>
                              <w:rPr>
                                <w:rFonts w:eastAsia="Calibri"/>
                                <w:strike/>
                                <w:color w:val="000000"/>
                                <w:szCs w:val="24"/>
                              </w:rPr>
                            </w:pPr>
                            <w:r>
                              <w:rPr>
                                <w:szCs w:val="24"/>
                                <w:lang w:eastAsia="lt-LT"/>
                              </w:rPr>
                              <w:object w:dxaOrig="7200" w:dyaOrig="1960">
                                <v:shape id="_x0000_i1426" type="#_x0000_t75" style="width:5in;height:98.7pt" o:ole="">
                                  <v:imagedata r:id="rId1040" o:title=""/>
                                </v:shape>
                                <o:OLEObject Type="Embed" ProgID="Equation.3" ShapeID="_x0000_i1426" DrawAspect="Content" ObjectID="_0000000001" r:id="rId1041"/>
                              </w:object>
                            </w:r>
                          </w:p>
                        </w:tc>
                        <w:tc>
                          <w:tcPr>
                            <w:tcW w:w="618" w:type="pct"/>
                            <w:vAlign w:val="center"/>
                            <w:hideMark/>
                          </w:tcPr>
                          <w:p>
                            <w:pPr>
                              <w:suppressAutoHyphens/>
                              <w:spacing w:line="276" w:lineRule="auto"/>
                              <w:jc w:val="right"/>
                              <w:rPr>
                                <w:rFonts w:eastAsia="Calibri"/>
                                <w:color w:val="000000"/>
                                <w:szCs w:val="24"/>
                              </w:rPr>
                            </w:pPr>
                            <w:r>
                              <w:rPr>
                                <w:color w:val="000000"/>
                                <w:szCs w:val="24"/>
                                <w:lang w:eastAsia="lt-LT"/>
                              </w:rPr>
                              <w:t>(2.349)</w:t>
                            </w:r>
                          </w:p>
                        </w:tc>
                      </w:tr>
                    </w:tbl>
                    <w:p>
                      <w:pPr>
                        <w:tabs>
                          <w:tab w:val="num" w:pos="1200"/>
                        </w:tabs>
                        <w:suppressAutoHyphens/>
                        <w:ind w:left="567"/>
                        <w:rPr>
                          <w:color w:val="000000"/>
                          <w:szCs w:val="24"/>
                        </w:rPr>
                      </w:pPr>
                    </w:p>
                    <w:p>
                      <w:pPr>
                        <w:tabs>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E.WE,m  </w:t>
                      </w:r>
                      <w:r>
                        <w:rPr>
                          <w:color w:val="000000"/>
                          <w:szCs w:val="24"/>
                          <w:lang w:eastAsia="lt-LT"/>
                        </w:rPr>
                        <w:t>apskaičiuojama pagal (2.345) formulę, bet jei</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rPr>
                            </w:pPr>
                            <w:r>
                              <w:rPr>
                                <w:szCs w:val="24"/>
                                <w:lang w:eastAsia="lt-LT"/>
                              </w:rPr>
                              <w:object w:dxaOrig="7670" w:dyaOrig="1140">
                                <v:shape id="_x0000_i1427" type="#_x0000_t75" style="width:383.45pt;height:56.65pt" o:ole="">
                                  <v:imagedata r:id="rId1042" o:title=""/>
                                </v:shape>
                                <o:OLEObject Type="Embed" ProgID="Equation.3" ShapeID="_x0000_i1427" DrawAspect="Content" ObjectID="_0000000001" r:id="rId1043"/>
                              </w:objec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(2.350)</w:t>
                            </w:r>
                          </w:p>
                        </w:tc>
                      </w:tr>
                    </w:tbl>
                    <w:p>
                      <w:pPr>
                        <w:suppressAutoHyphens/>
                        <w:ind w:left="1418"/>
                        <w:jc w:val="both"/>
                        <w:rPr>
                          <w:color w:val="000000"/>
                          <w:szCs w:val="24"/>
                        </w:rPr>
                      </w:pPr>
                    </w:p>
                    <w:p>
                      <w:pPr>
                        <w:suppressAutoHyphens/>
                        <w:jc w:val="both"/>
                        <w:rPr>
                          <w:rFonts w:eastAsia="Calibri"/>
                          <w:color w:val="000000"/>
                          <w:szCs w:val="24"/>
                          <w:lang w:eastAsia="lt-LT"/>
                        </w:rPr>
                      </w:pPr>
                      <w:r>
                        <w:rPr>
                          <w:color w:val="000000"/>
                          <w:szCs w:val="24"/>
                          <w:lang w:eastAsia="lt-LT"/>
                        </w:rPr>
                        <w:t>ir pagal (2.350)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uppressAutoHyphens/>
                              <w:spacing w:line="276" w:lineRule="auto"/>
                              <w:jc w:val="center"/>
                              <w:rPr>
                                <w:rFonts w:eastAsia="Calibri"/>
                                <w:color w:val="000000"/>
                                <w:szCs w:val="24"/>
                              </w:rPr>
                            </w:pPr>
                            <w:r>
                              <w:rPr>
                                <w:position w:val="-14"/>
                                <w:szCs w:val="24"/>
                                <w:lang w:eastAsia="lt-LT"/>
                              </w:rPr>
                              <w:object w:dxaOrig="1740" w:dyaOrig="430">
                                <v:shape id="_x0000_i1428" type="#_x0000_t75" style="width:87.35pt;height:21.85pt" o:ole="">
                                  <v:imagedata r:id="rId1044" o:title=""/>
                                </v:shape>
                                <o:OLEObject Type="Embed" ProgID="Equation.3" ShapeID="_x0000_i1428" DrawAspect="Content" ObjectID="_0000000001" r:id="rId1045"/>
                              </w:object>
                            </w:r>
                            <w:r>
                              <w:rPr>
                                <w:color w:val="000000"/>
                                <w:szCs w:val="24"/>
                                <w:lang w:eastAsia="lt-LT"/>
                              </w:rPr>
                              <w:t xml:space="preserve">, kitais mėnesiais </w:t>
                            </w:r>
                            <w:r>
                              <w:rPr>
                                <w:rFonts w:eastAsia="Calibri"/>
                                <w:color w:val="000000"/>
                                <w:position w:val="-14"/>
                                <w:szCs w:val="24"/>
                              </w:rPr>
                              <w:object w:dxaOrig="1090" w:dyaOrig="430">
                                <v:shape id="_x0000_i1429" type="#_x0000_t75" style="width:55.8pt;height:21.85pt" o:ole="">
                                  <v:imagedata r:id="rId1046" o:title=""/>
                                </v:shape>
                                <o:OLEObject Type="Embed" ProgID="Equation.3" ShapeID="_x0000_i1429" DrawAspect="Content" ObjectID="_0000000001" r:id="rId1047"/>
                              </w:object>
                            </w:r>
                            <w:r>
                              <w:rPr>
                                <w:color w:val="000000"/>
                                <w:szCs w:val="24"/>
                                <w:lang w:eastAsia="lt-LT"/>
                              </w:rPr>
                              <w:t>,</w:t>
                            </w:r>
                          </w:p>
                        </w:tc>
                        <w:tc>
                          <w:tcPr>
                            <w:tcW w:w="868" w:type="pct"/>
                            <w:vAlign w:val="center"/>
                            <w:hideMark/>
                          </w:tcPr>
                          <w:p>
                            <w:pPr>
                              <w:suppressAutoHyphens/>
                              <w:spacing w:line="276" w:lineRule="auto"/>
                              <w:jc w:val="right"/>
                              <w:rPr>
                                <w:rFonts w:eastAsia="Calibri"/>
                                <w:color w:val="000000"/>
                                <w:szCs w:val="24"/>
                              </w:rPr>
                            </w:pPr>
                            <w:r>
                              <w:rPr>
                                <w:color w:val="000000"/>
                                <w:szCs w:val="24"/>
                                <w:lang w:eastAsia="lt-LT"/>
                              </w:rPr>
                              <w:t>(2.351)</w:t>
                            </w:r>
                          </w:p>
                        </w:tc>
                      </w:tr>
                    </w:tbl>
                    <w:p>
                      <w:pPr>
                        <w:suppressAutoHyphens/>
                        <w:rPr>
                          <w:rFonts w:eastAsia="Calibri"/>
                          <w:color w:val="000000"/>
                          <w:szCs w:val="24"/>
                        </w:rPr>
                      </w:pPr>
                      <w:r>
                        <w:rPr>
                          <w:color w:val="000000"/>
                          <w:szCs w:val="24"/>
                          <w:lang w:eastAsia="lt-LT"/>
                        </w:rPr>
                        <w:t>o jei pagal (2.350)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lang w:eastAsia="lt-LT"/>
                              </w:rPr>
                            </w:pPr>
                            <w:r>
                              <w:rPr>
                                <w:rFonts w:eastAsia="Calibri"/>
                                <w:strike/>
                                <w:color w:val="000000"/>
                                <w:szCs w:val="24"/>
                                <w:lang w:eastAsia="lt-LT"/>
                              </w:rPr>
                              <w:object w:dxaOrig="7300" w:dyaOrig="1140">
                                <v:shape id="_x0000_i1430" type="#_x0000_t75" style="width:365.65pt;height:56.65pt" o:ole="">
                                  <v:imagedata r:id="rId1048" o:title=""/>
                                </v:shape>
                                <o:OLEObject Type="Embed" ProgID="Equation.3" ShapeID="_x0000_i1430" DrawAspect="Content" ObjectID="_0000000001" r:id="rId1049"/>
                              </w:object>
                            </w:r>
                          </w:p>
                          <w:p>
                            <w:pPr>
                              <w:suppressAutoHyphens/>
                              <w:spacing w:line="276" w:lineRule="auto"/>
                              <w:jc w:val="center"/>
                              <w:rPr>
                                <w:rFonts w:eastAsia="Calibri"/>
                                <w:color w:val="000000"/>
                                <w:szCs w:val="24"/>
                              </w:rPr>
                            </w:pPr>
                            <w:r>
                              <w:rPr>
                                <w:color w:val="000000"/>
                                <w:szCs w:val="24"/>
                                <w:lang w:eastAsia="lt-LT"/>
                              </w:rPr>
                              <w:t xml:space="preserve">kitais mėnesiais </w:t>
                            </w:r>
                            <w:r>
                              <w:rPr>
                                <w:rFonts w:eastAsia="Calibri"/>
                                <w:color w:val="000000"/>
                                <w:position w:val="-14"/>
                                <w:szCs w:val="24"/>
                              </w:rPr>
                              <w:object w:dxaOrig="1110" w:dyaOrig="430">
                                <v:shape id="_x0000_i1431" type="#_x0000_t75" style="width:55.8pt;height:21.85pt" o:ole="">
                                  <v:imagedata r:id="rId1050" o:title=""/>
                                </v:shape>
                                <o:OLEObject Type="Embed" ProgID="Equation.3" ShapeID="_x0000_i1431" DrawAspect="Content" ObjectID="_0000000001" r:id="rId1051"/>
                              </w:object>
                            </w:r>
                            <w:r>
                              <w:rPr>
                                <w:color w:val="000000"/>
                                <w:szCs w:val="24"/>
                                <w:lang w:eastAsia="lt-LT"/>
                              </w:rPr>
                              <w:t>;</w: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(2.352)</w:t>
                            </w:r>
                          </w:p>
                        </w:tc>
                      </w:tr>
                    </w:tbl>
                    <w:p>
                      <w:pPr>
                        <w:suppressAutoHyphens/>
                        <w:ind w:left="600"/>
                        <w:rPr>
                          <w:color w:val="000000"/>
                          <w:szCs w:val="24"/>
                        </w:rPr>
                      </w:pPr>
                      <w:r>
                        <w:rPr>
                          <w:color w:val="000000"/>
                          <w:szCs w:val="24"/>
                          <w:lang w:eastAsia="lt-LT"/>
                        </w:rPr>
                        <w:t>(2.346) formulės taikymo sąlygos:</w:t>
                      </w:r>
                    </w:p>
                    <w:p>
                      <w:pPr>
                        <w:tabs>
                          <w:tab w:val="left" w:pos="993"/>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šios elektrinės pagamina daugiau elektros energijos už elektros energijos poreikį pastate, t. y. jei</w:t>
                      </w:r>
                    </w:p>
                    <w:tbl>
                      <w:tblPr>
                        <w:tblW w:w="5000" w:type="pct"/>
                        <w:jc w:val="center"/>
                        <w:tblLook w:val="01E0" w:firstRow="1" w:lastRow="1" w:firstColumn="1" w:lastColumn="1" w:noHBand="0" w:noVBand="0"/>
                      </w:tblPr>
                      <w:tblGrid>
                        <w:gridCol w:w="8776"/>
                        <w:gridCol w:w="1078"/>
                      </w:tblGrid>
                      <w:tr>
                        <w:trPr>
                          <w:jc w:val="center"/>
                        </w:trPr>
                        <w:tc>
                          <w:tcPr>
                            <w:tcW w:w="8523" w:type="dxa"/>
                            <w:vAlign w:val="center"/>
                            <w:hideMark/>
                          </w:tcPr>
                          <w:p>
                            <w:pPr>
                              <w:suppressAutoHyphens/>
                              <w:spacing w:line="276" w:lineRule="auto"/>
                              <w:jc w:val="center"/>
                              <w:rPr>
                                <w:rFonts w:eastAsia="Calibri"/>
                                <w:color w:val="000000"/>
                                <w:szCs w:val="24"/>
                              </w:rPr>
                            </w:pPr>
                            <w:r>
                              <w:rPr>
                                <w:rFonts w:eastAsia="Calibri"/>
                                <w:color w:val="000000"/>
                                <w:szCs w:val="24"/>
                              </w:rPr>
                              <w:object w:dxaOrig="7570" w:dyaOrig="840">
                                <v:shape id="_x0000_i1432" type="#_x0000_t75" style="width:377.8pt;height:42.05pt" o:ole="">
                                  <v:imagedata r:id="rId1052" o:title=""/>
                                </v:shape>
                                <o:OLEObject Type="Embed" ProgID="Equation.3" ShapeID="_x0000_i1432" DrawAspect="Content" ObjectID="_0000000001" r:id="rId1053"/>
                              </w:object>
                            </w:r>
                          </w:p>
                        </w:tc>
                        <w:tc>
                          <w:tcPr>
                            <w:tcW w:w="1047" w:type="dxa"/>
                            <w:vAlign w:val="center"/>
                            <w:hideMark/>
                          </w:tcPr>
                          <w:p>
                            <w:pPr>
                              <w:suppressAutoHyphens/>
                              <w:spacing w:line="276" w:lineRule="auto"/>
                              <w:jc w:val="right"/>
                              <w:rPr>
                                <w:rFonts w:eastAsia="Calibri"/>
                                <w:color w:val="000000"/>
                                <w:szCs w:val="24"/>
                              </w:rPr>
                            </w:pPr>
                            <w:r>
                              <w:rPr>
                                <w:color w:val="000000"/>
                                <w:szCs w:val="24"/>
                                <w:lang w:eastAsia="lt-LT"/>
                              </w:rPr>
                              <w:t xml:space="preserve">(2.353) </w:t>
                            </w:r>
                          </w:p>
                        </w:tc>
                      </w:tr>
                    </w:tbl>
                    <w:p>
                      <w:pPr>
                        <w:suppressAutoHyphens/>
                        <w:ind w:left="840"/>
                        <w:rPr>
                          <w:rFonts w:eastAsia="Calibri"/>
                          <w:color w:val="000000"/>
                          <w:szCs w:val="24"/>
                        </w:rPr>
                      </w:pPr>
                      <w:r>
                        <w:rPr>
                          <w:color w:val="000000"/>
                          <w:szCs w:val="24"/>
                          <w:lang w:eastAsia="lt-LT"/>
                        </w:rPr>
                        <w:t>tai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rFonts w:eastAsia="Calibri"/>
                                <w:color w:val="000000"/>
                                <w:szCs w:val="24"/>
                              </w:rPr>
                              <w:object w:dxaOrig="7570" w:dyaOrig="840">
                                <v:shape id="_x0000_i1433" type="#_x0000_t75" style="width:377.8pt;height:42.05pt" o:ole="">
                                  <v:imagedata r:id="rId1054" o:title=""/>
                                </v:shape>
                                <o:OLEObject Type="Embed" ProgID="Equation.3" ShapeID="_x0000_i1433" DrawAspect="Content" ObjectID="_0000000001" r:id="rId1055"/>
                              </w:objec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(2.354) </w:t>
                            </w:r>
                          </w:p>
                        </w:tc>
                      </w:tr>
                    </w:tbl>
                    <w:p>
                      <w:pPr>
                        <w:suppressAutoHyphens/>
                        <w:rPr>
                          <w:rFonts w:eastAsia="Calibri"/>
                          <w:color w:val="000000"/>
                          <w:szCs w:val="24"/>
                        </w:rPr>
                      </w:pPr>
                      <w:r>
                        <w:rPr>
                          <w:color w:val="000000"/>
                          <w:szCs w:val="24"/>
                          <w:lang w:eastAsia="lt-LT"/>
                        </w:rPr>
                        <w:t>kitais atvejais skaičiavimo rezultatas atitinka sumai, apskaičiuotai pagal (2.345) ir (2.346) formules;</w:t>
                      </w:r>
                    </w:p>
                    <w:p>
                      <w:pPr>
                        <w:tabs>
                          <w:tab w:val="left" w:pos="993"/>
                        </w:tabs>
                        <w:suppressAutoHyphens/>
                        <w:ind w:firstLine="567"/>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suppressAutoHyphens/>
                              <w:spacing w:line="276" w:lineRule="auto"/>
                              <w:jc w:val="center"/>
                              <w:rPr>
                                <w:rFonts w:eastAsia="Calibri"/>
                                <w:color w:val="000000"/>
                                <w:szCs w:val="24"/>
                              </w:rPr>
                            </w:pPr>
                            <w:r>
                              <w:rPr>
                                <w:rFonts w:eastAsia="Calibri"/>
                                <w:color w:val="000000"/>
                                <w:szCs w:val="24"/>
                              </w:rPr>
                              <w:object w:dxaOrig="7570" w:dyaOrig="1960">
                                <v:shape id="_x0000_i1434" type="#_x0000_t75" style="width:377.8pt;height:98.7pt" o:ole="">
                                  <v:imagedata r:id="rId1056" o:title=""/>
                                </v:shape>
                                <o:OLEObject Type="Embed" ProgID="Equation.3" ShapeID="_x0000_i1434" DrawAspect="Content" ObjectID="_0000000001" r:id="rId1057"/>
                              </w:object>
                            </w:r>
                          </w:p>
                        </w:tc>
                        <w:tc>
                          <w:tcPr>
                            <w:tcW w:w="618" w:type="pct"/>
                            <w:vAlign w:val="center"/>
                            <w:hideMark/>
                          </w:tcPr>
                          <w:p>
                            <w:pPr>
                              <w:suppressAutoHyphens/>
                              <w:spacing w:line="276" w:lineRule="auto"/>
                              <w:jc w:val="right"/>
                              <w:rPr>
                                <w:rFonts w:eastAsia="Calibri"/>
                                <w:color w:val="000000"/>
                                <w:szCs w:val="24"/>
                              </w:rPr>
                            </w:pPr>
                            <w:r>
                              <w:rPr>
                                <w:color w:val="000000"/>
                                <w:szCs w:val="24"/>
                                <w:lang w:eastAsia="lt-LT"/>
                              </w:rPr>
                              <w:t>(2.355)</w:t>
                            </w:r>
                          </w:p>
                        </w:tc>
                      </w:tr>
                    </w:tbl>
                    <w:p>
                      <w:pPr>
                        <w:tabs>
                          <w:tab w:val="num" w:pos="1200"/>
                        </w:tabs>
                        <w:suppressAutoHyphens/>
                        <w:ind w:left="426"/>
                        <w:jc w:val="both"/>
                        <w:rPr>
                          <w:color w:val="000000"/>
                          <w:szCs w:val="24"/>
                        </w:rPr>
                      </w:pPr>
                    </w:p>
                    <w:p>
                      <w:pPr>
                        <w:tabs>
                          <w:tab w:val="num" w:pos="1200"/>
                        </w:tabs>
                        <w:suppressAutoHyphens/>
                        <w:jc w:val="both"/>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bscript"/>
                          <w:lang w:eastAsia="lt-LT"/>
                        </w:rPr>
                        <w:t>E.WE,m</w:t>
                      </w:r>
                      <w:r>
                        <w:rPr>
                          <w:color w:val="000000"/>
                          <w:szCs w:val="24"/>
                          <w:lang w:eastAsia="lt-LT"/>
                        </w:rPr>
                        <w:t>+</w:t>
                      </w:r>
                      <w:r>
                        <w:rPr>
                          <w:i/>
                          <w:color w:val="000000"/>
                          <w:szCs w:val="24"/>
                          <w:lang w:eastAsia="lt-LT"/>
                        </w:rPr>
                        <w:t>Q</w:t>
                      </w:r>
                      <w:r>
                        <w:rPr>
                          <w:i/>
                          <w:color w:val="000000"/>
                          <w:szCs w:val="24"/>
                          <w:vertAlign w:val="subscript"/>
                          <w:lang w:eastAsia="lt-LT"/>
                        </w:rPr>
                        <w:t>E.HE,m</w:t>
                      </w:r>
                      <w:r>
                        <w:rPr>
                          <w:color w:val="000000"/>
                          <w:szCs w:val="24"/>
                          <w:lang w:eastAsia="lt-LT"/>
                        </w:rPr>
                        <w:t>)apskaičiuojama sumuojant skaičiavimų rezultatus pagal (2.345) ir (2.346) formules, bet jei</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rPr>
                            </w:pPr>
                            <w:r>
                              <w:rPr>
                                <w:rFonts w:eastAsia="Calibri"/>
                                <w:strike/>
                                <w:color w:val="000000"/>
                                <w:szCs w:val="24"/>
                              </w:rPr>
                              <w:object w:dxaOrig="7670" w:dyaOrig="1140">
                                <v:shape id="_x0000_i1435" type="#_x0000_t75" style="width:383.45pt;height:56.65pt" o:ole="">
                                  <v:imagedata r:id="rId1058" o:title=""/>
                                </v:shape>
                                <o:OLEObject Type="Embed" ProgID="Equation.3" ShapeID="_x0000_i1435" DrawAspect="Content" ObjectID="_0000000001" r:id="rId1059"/>
                              </w:objec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(2.356)</w:t>
                            </w:r>
                          </w:p>
                        </w:tc>
                      </w:tr>
                    </w:tbl>
                    <w:p>
                      <w:pPr>
                        <w:suppressAutoHyphens/>
                        <w:rPr>
                          <w:color w:val="000000"/>
                          <w:szCs w:val="24"/>
                        </w:rPr>
                      </w:pPr>
                    </w:p>
                    <w:p>
                      <w:pPr>
                        <w:suppressAutoHyphens/>
                        <w:rPr>
                          <w:rFonts w:eastAsia="Calibri"/>
                          <w:color w:val="000000"/>
                          <w:szCs w:val="24"/>
                          <w:lang w:eastAsia="lt-LT"/>
                        </w:rPr>
                      </w:pPr>
                      <w:r>
                        <w:rPr>
                          <w:color w:val="000000"/>
                          <w:szCs w:val="24"/>
                          <w:lang w:eastAsia="lt-LT"/>
                        </w:rPr>
                        <w:t>ir pagal (2.356)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uppressAutoHyphens/>
                              <w:spacing w:line="276" w:lineRule="auto"/>
                              <w:jc w:val="center"/>
                              <w:rPr>
                                <w:rFonts w:eastAsia="Calibri"/>
                                <w:color w:val="000000"/>
                                <w:szCs w:val="24"/>
                              </w:rPr>
                            </w:pPr>
                            <w:r>
                              <w:rPr>
                                <w:position w:val="-14"/>
                                <w:szCs w:val="24"/>
                                <w:lang w:eastAsia="lt-LT"/>
                              </w:rPr>
                              <w:object w:dxaOrig="3480" w:dyaOrig="430">
                                <v:shape id="_x0000_i1436" type="#_x0000_t75" style="width:173.95pt;height:21.85pt" o:ole="">
                                  <v:imagedata r:id="rId1060" o:title=""/>
                                </v:shape>
                                <o:OLEObject Type="Embed" ProgID="Equation.3" ShapeID="_x0000_i1436" DrawAspect="Content" ObjectID="_0000000001" r:id="rId1061"/>
                              </w:object>
                            </w:r>
                            <w:r>
                              <w:rPr>
                                <w:color w:val="000000"/>
                                <w:szCs w:val="24"/>
                                <w:lang w:eastAsia="lt-LT"/>
                              </w:rPr>
                              <w:t xml:space="preserve">, kitais mėnesiais </w:t>
                            </w:r>
                            <w:r>
                              <w:rPr>
                                <w:rFonts w:eastAsia="Calibri"/>
                                <w:color w:val="000000"/>
                                <w:position w:val="-14"/>
                                <w:szCs w:val="24"/>
                              </w:rPr>
                              <w:object w:dxaOrig="2040" w:dyaOrig="430">
                                <v:shape id="_x0000_i1437" type="#_x0000_t75" style="width:101.95pt;height:21.85pt" o:ole="">
                                  <v:imagedata r:id="rId1062" o:title=""/>
                                </v:shape>
                                <o:OLEObject Type="Embed" ProgID="Equation.3" ShapeID="_x0000_i1437" DrawAspect="Content" ObjectID="_0000000001" r:id="rId1063"/>
                              </w:object>
                            </w:r>
                            <w:r>
                              <w:rPr>
                                <w:color w:val="000000"/>
                                <w:szCs w:val="24"/>
                                <w:lang w:eastAsia="lt-LT"/>
                              </w:rPr>
                              <w:t>,</w:t>
                            </w:r>
                          </w:p>
                        </w:tc>
                        <w:tc>
                          <w:tcPr>
                            <w:tcW w:w="868" w:type="pct"/>
                            <w:vAlign w:val="center"/>
                            <w:hideMark/>
                          </w:tcPr>
                          <w:p>
                            <w:pPr>
                              <w:suppressAutoHyphens/>
                              <w:spacing w:line="276" w:lineRule="auto"/>
                              <w:jc w:val="right"/>
                              <w:rPr>
                                <w:rFonts w:eastAsia="Calibri"/>
                                <w:color w:val="000000"/>
                                <w:szCs w:val="24"/>
                              </w:rPr>
                            </w:pPr>
                            <w:r>
                              <w:rPr>
                                <w:color w:val="000000"/>
                                <w:szCs w:val="24"/>
                                <w:lang w:eastAsia="lt-LT"/>
                              </w:rPr>
                              <w:t>(2.357)</w:t>
                            </w:r>
                          </w:p>
                        </w:tc>
                      </w:tr>
                    </w:tbl>
                    <w:p>
                      <w:pPr>
                        <w:suppressAutoHyphens/>
                        <w:rPr>
                          <w:rFonts w:eastAsia="Calibri"/>
                          <w:color w:val="000000"/>
                          <w:szCs w:val="24"/>
                        </w:rPr>
                      </w:pPr>
                      <w:r>
                        <w:rPr>
                          <w:color w:val="000000"/>
                          <w:szCs w:val="24"/>
                          <w:lang w:eastAsia="lt-LT"/>
                        </w:rPr>
                        <w:t>jei pagal (2.356)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suppressAutoHyphens/>
                              <w:spacing w:line="276" w:lineRule="auto"/>
                              <w:jc w:val="center"/>
                              <w:rPr>
                                <w:rFonts w:eastAsia="Calibri"/>
                                <w:strike/>
                                <w:color w:val="000000"/>
                                <w:szCs w:val="24"/>
                                <w:lang w:eastAsia="lt-LT"/>
                              </w:rPr>
                            </w:pPr>
                            <w:r>
                              <w:rPr>
                                <w:rFonts w:eastAsia="Calibri"/>
                                <w:strike/>
                                <w:color w:val="000000"/>
                                <w:szCs w:val="24"/>
                                <w:lang w:eastAsia="lt-LT"/>
                              </w:rPr>
                              <w:object w:dxaOrig="6730" w:dyaOrig="1570">
                                <v:shape id="_x0000_i1438" type="#_x0000_t75" style="width:336.55pt;height:77.65pt" o:ole="">
                                  <v:imagedata r:id="rId1064" o:title=""/>
                                </v:shape>
                                <o:OLEObject Type="Embed" ProgID="Equation.3" ShapeID="_x0000_i1438" DrawAspect="Content" ObjectID="_0000000001" r:id="rId1065"/>
                              </w:object>
                            </w:r>
                          </w:p>
                          <w:p>
                            <w:pPr>
                              <w:suppressAutoHyphens/>
                              <w:spacing w:line="276" w:lineRule="auto"/>
                              <w:jc w:val="center"/>
                              <w:rPr>
                                <w:rFonts w:eastAsia="Calibri"/>
                                <w:color w:val="000000"/>
                                <w:szCs w:val="24"/>
                              </w:rPr>
                            </w:pPr>
                            <w:r>
                              <w:rPr>
                                <w:color w:val="000000"/>
                                <w:szCs w:val="24"/>
                                <w:lang w:eastAsia="lt-LT"/>
                              </w:rPr>
                              <w:t xml:space="preserve">kitais mėnesiais </w:t>
                            </w:r>
                            <w:r>
                              <w:rPr>
                                <w:rFonts w:eastAsia="Calibri"/>
                                <w:color w:val="000000"/>
                                <w:position w:val="-14"/>
                                <w:szCs w:val="24"/>
                              </w:rPr>
                              <w:object w:dxaOrig="2040" w:dyaOrig="430">
                                <v:shape id="_x0000_i1439" type="#_x0000_t75" style="width:101.95pt;height:21.85pt" o:ole="">
                                  <v:imagedata r:id="rId1066" o:title=""/>
                                </v:shape>
                                <o:OLEObject Type="Embed" ProgID="Equation.3" ShapeID="_x0000_i1439" DrawAspect="Content" ObjectID="_0000000001" r:id="rId1067"/>
                              </w:object>
                            </w:r>
                            <w:r>
                              <w:rPr>
                                <w:color w:val="000000"/>
                                <w:szCs w:val="24"/>
                                <w:lang w:eastAsia="lt-LT"/>
                              </w:rPr>
                              <w:t>;</w:t>
                            </w:r>
                          </w:p>
                        </w:tc>
                        <w:tc>
                          <w:tcPr>
                            <w:tcW w:w="680" w:type="pct"/>
                            <w:vAlign w:val="center"/>
                            <w:hideMark/>
                          </w:tcPr>
                          <w:p>
                            <w:pPr>
                              <w:suppressAutoHyphens/>
                              <w:spacing w:line="276" w:lineRule="auto"/>
                              <w:jc w:val="right"/>
                              <w:rPr>
                                <w:rFonts w:eastAsia="Calibri"/>
                                <w:color w:val="000000"/>
                                <w:szCs w:val="24"/>
                              </w:rPr>
                            </w:pPr>
                            <w:r>
                              <w:rPr>
                                <w:color w:val="000000"/>
                                <w:szCs w:val="24"/>
                                <w:lang w:eastAsia="lt-LT"/>
                              </w:rPr>
                              <w:t>(2.358)</w:t>
                            </w:r>
                          </w:p>
                        </w:tc>
                      </w:tr>
                    </w:tbl>
                    <w:p>
                      <w:pPr>
                        <w:suppressAutoHyphens/>
                        <w:ind w:firstLine="600"/>
                        <w:rPr>
                          <w:color w:val="000000"/>
                          <w:szCs w:val="24"/>
                        </w:rPr>
                      </w:pPr>
                      <w:r>
                        <w:rPr>
                          <w:i/>
                          <w:color w:val="000000"/>
                          <w:szCs w:val="24"/>
                          <w:lang w:eastAsia="lt-LT"/>
                        </w:rPr>
                        <w:t>Q</w:t>
                      </w:r>
                      <w:r>
                        <w:rPr>
                          <w:i/>
                          <w:color w:val="000000"/>
                          <w:szCs w:val="24"/>
                          <w:vertAlign w:val="subscript"/>
                          <w:lang w:eastAsia="lt-LT"/>
                        </w:rPr>
                        <w:t xml:space="preserve">E.HE,m </w:t>
                      </w:r>
                      <w:r>
                        <w:rPr>
                          <w:color w:val="000000"/>
                          <w:szCs w:val="24"/>
                          <w:lang w:eastAsia="lt-LT"/>
                        </w:rPr>
                        <w:t>apskaičiuojama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rFonts w:eastAsia="Calibri"/>
                                <w:color w:val="000000"/>
                                <w:szCs w:val="24"/>
                              </w:rPr>
                              <w:object w:dxaOrig="3660" w:dyaOrig="430">
                                <v:shape id="_x0000_i1440" type="#_x0000_t75" style="width:182.85pt;height:21.85pt" o:ole="">
                                  <v:imagedata r:id="rId1068" o:title=""/>
                                </v:shape>
                                <o:OLEObject Type="Embed" ProgID="Equation.3" ShapeID="_x0000_i1440" DrawAspect="Content" ObjectID="_0000000001" r:id="rId1069"/>
                              </w:object>
                            </w:r>
                            <w:r>
                              <w:rPr>
                                <w:color w:val="000000"/>
                                <w:szCs w:val="24"/>
                                <w:lang w:eastAsia="lt-LT"/>
                              </w:rPr>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(2.359) </w:t>
                            </w:r>
                          </w:p>
                        </w:tc>
                      </w:tr>
                    </w:tbl>
                    <w:p>
                      <w:pPr>
                        <w:suppressAutoHyphens/>
                        <w:ind w:left="600"/>
                        <w:rPr>
                          <w:rFonts w:eastAsia="Calibri"/>
                          <w:color w:val="000000"/>
                          <w:szCs w:val="24"/>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rFonts w:eastAsia="Calibri"/>
                                <w:color w:val="000000"/>
                                <w:szCs w:val="24"/>
                              </w:rPr>
                              <w:object w:dxaOrig="3020" w:dyaOrig="430">
                                <v:shape id="_x0000_i1441" type="#_x0000_t75" style="width:150.45pt;height:21.85pt" o:ole="">
                                  <v:imagedata r:id="rId1070" o:title=""/>
                                </v:shape>
                                <o:OLEObject Type="Embed" ProgID="Equation.3" ShapeID="_x0000_i1441" DrawAspect="Content" ObjectID="_0000000001" r:id="rId1071"/>
                              </w:object>
                            </w:r>
                            <w:r>
                              <w:rPr>
                                <w:color w:val="000000"/>
                                <w:szCs w:val="24"/>
                                <w:lang w:eastAsia="lt-LT"/>
                              </w:rPr>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(2.360) </w:t>
                            </w:r>
                          </w:p>
                        </w:tc>
                      </w:tr>
                    </w:tbl>
                    <w:p>
                      <w:pPr>
                        <w:tabs>
                          <w:tab w:val="left" w:pos="567"/>
                        </w:tabs>
                        <w:suppressAutoHyphens/>
                        <w:jc w:val="both"/>
                        <w:rPr>
                          <w:rFonts w:eastAsia="Calibri"/>
                          <w:color w:val="000000"/>
                          <w:szCs w:val="24"/>
                        </w:rPr>
                      </w:pPr>
                      <w:r>
                        <w:rPr>
                          <w:color w:val="000000"/>
                          <w:szCs w:val="24"/>
                          <w:lang w:eastAsia="lt-LT"/>
                        </w:rPr>
                        <w:t xml:space="preserve">čia: </w:t>
                        <w:tab/>
                        <w:t>1,258 – oro tankis esant 10 °C temperatūrai ir 760 mm Hg slėgiui (kg/m³);</w:t>
                      </w:r>
                    </w:p>
                    <w:p>
                      <w:pPr>
                        <w:suppressAutoHyphens/>
                        <w:ind w:firstLine="567"/>
                        <w:jc w:val="both"/>
                        <w:rPr>
                          <w:color w:val="000000"/>
                          <w:szCs w:val="24"/>
                          <w:lang w:eastAsia="lt-LT"/>
                        </w:rPr>
                      </w:pPr>
                      <w:r>
                        <w:rPr>
                          <w:i/>
                          <w:color w:val="000000"/>
                          <w:szCs w:val="24"/>
                          <w:lang w:eastAsia="lt-LT"/>
                        </w:rPr>
                        <w:t>ν</w:t>
                      </w:r>
                      <w:r>
                        <w:rPr>
                          <w:i/>
                          <w:color w:val="000000"/>
                          <w:szCs w:val="24"/>
                          <w:vertAlign w:val="subscript"/>
                          <w:lang w:eastAsia="lt-LT"/>
                        </w:rPr>
                        <w:t>wind.HWE,m,x,y</w:t>
                      </w:r>
                      <w:r>
                        <w:rPr>
                          <w:color w:val="000000"/>
                          <w:szCs w:val="24"/>
                          <w:lang w:eastAsia="lt-LT"/>
                        </w:rPr>
                        <w:t xml:space="preserve"> – vidutinis mėnesinis vėjo greitis atitinkamos </w:t>
                      </w:r>
                      <w:r>
                        <w:rPr>
                          <w:i/>
                          <w:color w:val="000000"/>
                          <w:szCs w:val="24"/>
                          <w:lang w:eastAsia="lt-LT"/>
                        </w:rPr>
                        <w:t>„y“</w:t>
                      </w:r>
                      <w:r>
                        <w:rPr>
                          <w:color w:val="000000"/>
                          <w:szCs w:val="24"/>
                          <w:lang w:eastAsia="lt-LT"/>
                        </w:rPr>
                        <w:t xml:space="preserve"> horizontalios ašies vėjo elektrinės ašies aukštyje virš žemės paviršiaus (m/s). Apskaičiuojamas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color w:val="000000"/>
                                <w:szCs w:val="24"/>
                                <w:lang w:eastAsia="lt-LT"/>
                              </w:rPr>
                              <w:object w:dxaOrig="3960" w:dyaOrig="730">
                                <v:shape id="_x0000_i1442" type="#_x0000_t75" style="width:198.2pt;height:37.2pt" o:ole="">
                                  <v:imagedata r:id="rId1072" o:title=""/>
                                </v:shape>
                                <o:OLEObject Type="Embed" ProgID="Equation.3" ShapeID="_x0000_i1442" DrawAspect="Content" ObjectID="_0000000001" r:id="rId1073"/>
                              </w:object>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(2.361) </w:t>
                            </w:r>
                          </w:p>
                        </w:tc>
                      </w:tr>
                    </w:tbl>
                    <w:p>
                      <w:pPr>
                        <w:tabs>
                          <w:tab w:val="left" w:pos="567"/>
                        </w:tabs>
                        <w:suppressAutoHyphens/>
                        <w:rPr>
                          <w:rFonts w:eastAsia="Calibri"/>
                          <w:color w:val="000000"/>
                          <w:szCs w:val="24"/>
                        </w:rPr>
                      </w:pPr>
                      <w:r>
                        <w:rPr>
                          <w:color w:val="000000"/>
                          <w:szCs w:val="24"/>
                          <w:lang w:eastAsia="lt-LT"/>
                        </w:rPr>
                        <w:t xml:space="preserve">čia: </w:t>
                        <w:tab/>
                      </w:r>
                      <w:r>
                        <w:rPr>
                          <w:i/>
                          <w:color w:val="000000"/>
                          <w:szCs w:val="24"/>
                          <w:lang w:eastAsia="lt-LT"/>
                        </w:rPr>
                        <w:t>h</w:t>
                      </w:r>
                      <w:r>
                        <w:rPr>
                          <w:i/>
                          <w:color w:val="000000"/>
                          <w:szCs w:val="24"/>
                          <w:vertAlign w:val="subscript"/>
                          <w:lang w:eastAsia="lt-LT"/>
                        </w:rPr>
                        <w:t>HWE,y</w:t>
                      </w:r>
                      <w:r>
                        <w:rPr>
                          <w:color w:val="000000"/>
                          <w:szCs w:val="24"/>
                          <w:lang w:eastAsia="lt-LT"/>
                        </w:rPr>
                        <w:t xml:space="preserve"> – atitinkamos </w:t>
                      </w:r>
                      <w:r>
                        <w:rPr>
                          <w:i/>
                          <w:color w:val="000000"/>
                          <w:szCs w:val="24"/>
                          <w:lang w:eastAsia="lt-LT"/>
                        </w:rPr>
                        <w:t>„y“</w:t>
                      </w:r>
                      <w:r>
                        <w:rPr>
                          <w:color w:val="000000"/>
                          <w:szCs w:val="24"/>
                          <w:lang w:eastAsia="lt-LT"/>
                        </w:rPr>
                        <w:t xml:space="preserve"> horizontalios ašies vėjo elektrinės aukštis virš žemės paviršiaus, t. y. atstumas nuo žemės paviršiaus iki vėjo elektrinės vėjaračio ašies (m);</w:t>
                      </w:r>
                    </w:p>
                    <w:p>
                      <w:pPr>
                        <w:suppressAutoHyphens/>
                        <w:ind w:left="600"/>
                        <w:jc w:val="both"/>
                        <w:rPr>
                          <w:color w:val="000000"/>
                          <w:szCs w:val="24"/>
                          <w:lang w:eastAsia="lt-LT"/>
                        </w:rPr>
                      </w:pPr>
                      <w:r>
                        <w:rPr>
                          <w:i/>
                          <w:color w:val="000000"/>
                          <w:szCs w:val="24"/>
                          <w:lang w:eastAsia="lt-LT"/>
                        </w:rPr>
                        <w:t>ν</w:t>
                      </w:r>
                      <w:r>
                        <w:rPr>
                          <w:i/>
                          <w:color w:val="000000"/>
                          <w:szCs w:val="24"/>
                          <w:vertAlign w:val="subscript"/>
                          <w:lang w:eastAsia="lt-LT"/>
                        </w:rPr>
                        <w:t>wind,m</w:t>
                      </w:r>
                      <w:r>
                        <w:rPr>
                          <w:color w:val="000000"/>
                          <w:szCs w:val="24"/>
                          <w:lang w:eastAsia="lt-LT"/>
                        </w:rPr>
                        <w:t xml:space="preserve"> – vidutinis mėnesinis vėjo greitis pastato vietovėje (m/s). Imamas iš 2.42 lentelės.</w:t>
                      </w:r>
                    </w:p>
                    <w:p>
                      <w:pPr>
                        <w:suppressAutoHyphens/>
                        <w:ind w:left="600" w:hanging="600"/>
                        <w:rPr>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uppressAutoHyphens/>
                              <w:spacing w:line="276" w:lineRule="auto"/>
                              <w:jc w:val="center"/>
                              <w:rPr>
                                <w:rFonts w:eastAsia="Calibri"/>
                                <w:color w:val="000000"/>
                                <w:szCs w:val="24"/>
                              </w:rPr>
                            </w:pPr>
                            <w:r>
                              <w:rPr>
                                <w:color w:val="000000"/>
                                <w:szCs w:val="24"/>
                                <w:lang w:eastAsia="lt-LT"/>
                              </w:rPr>
                              <w:object w:dxaOrig="2040" w:dyaOrig="430">
                                <v:shape id="_x0000_i1443" type="#_x0000_t75" style="width:101.95pt;height:21.85pt" o:ole="">
                                  <v:imagedata r:id="rId1074" o:title=""/>
                                </v:shape>
                                <o:OLEObject Type="Embed" ProgID="Equation.3" ShapeID="_x0000_i1443" DrawAspect="Content" ObjectID="_0000000001" r:id="rId1075"/>
                              </w:object>
                              <w:t>;</w:t>
                            </w:r>
                          </w:p>
                        </w:tc>
                        <w:tc>
                          <w:tcPr>
                            <w:tcW w:w="1292" w:type="dxa"/>
                            <w:vAlign w:val="center"/>
                            <w:hideMark/>
                          </w:tcPr>
                          <w:p>
                            <w:pPr>
                              <w:suppressAutoHyphens/>
                              <w:spacing w:line="276" w:lineRule="auto"/>
                              <w:jc w:val="right"/>
                              <w:rPr>
                                <w:rFonts w:eastAsia="Calibri"/>
                                <w:color w:val="000000"/>
                                <w:szCs w:val="24"/>
                              </w:rPr>
                            </w:pPr>
                            <w:r>
                              <w:rPr>
                                <w:color w:val="000000"/>
                                <w:szCs w:val="24"/>
                                <w:lang w:eastAsia="lt-LT"/>
                              </w:rPr>
                              <w:t xml:space="preserve">(2.362) </w:t>
                            </w:r>
                          </w:p>
                        </w:tc>
                      </w:tr>
                    </w:tbl>
                    <w:p>
                      <w:pPr>
                        <w:tabs>
                          <w:tab w:val="left" w:pos="567"/>
                        </w:tabs>
                        <w:suppressAutoHyphens/>
                        <w:jc w:val="both"/>
                        <w:rPr>
                          <w:rFonts w:eastAsia="Calibri"/>
                          <w:color w:val="000000"/>
                          <w:szCs w:val="24"/>
                        </w:rPr>
                      </w:pPr>
                      <w:r>
                        <w:rPr>
                          <w:color w:val="000000"/>
                          <w:szCs w:val="24"/>
                          <w:lang w:eastAsia="lt-LT"/>
                        </w:rPr>
                        <w:t xml:space="preserve">čia: </w:t>
                        <w:tab/>
                      </w:r>
                      <w:r>
                        <w:rPr>
                          <w:i/>
                          <w:color w:val="000000"/>
                          <w:szCs w:val="24"/>
                          <w:lang w:eastAsia="lt-LT"/>
                        </w:rPr>
                        <w:t>R</w:t>
                      </w:r>
                      <w:r>
                        <w:rPr>
                          <w:i/>
                          <w:color w:val="000000"/>
                          <w:szCs w:val="24"/>
                          <w:vertAlign w:val="subscript"/>
                          <w:lang w:eastAsia="lt-LT"/>
                        </w:rPr>
                        <w:t>HWE,x,y</w:t>
                      </w:r>
                      <w:r>
                        <w:rPr>
                          <w:color w:val="000000"/>
                          <w:szCs w:val="24"/>
                          <w:lang w:eastAsia="lt-LT"/>
                        </w:rPr>
                        <w:t xml:space="preserve"> – atitinkamos „y“ horizontalios ašies vėjo elektrinės sparnų ilgis, t. y. atstumas nuo vėjo elektrinės ašies iki sparno galo (m).</w:t>
                      </w:r>
                    </w:p>
                    <w:p>
                      <w:pPr>
                        <w:suppressAutoHyphens/>
                        <w:ind w:left="600" w:hanging="600"/>
                        <w:rPr>
                          <w:color w:val="000000"/>
                          <w:szCs w:val="24"/>
                          <w:lang w:eastAsia="lt-LT"/>
                        </w:rPr>
                      </w:pPr>
                    </w:p>
                    <w:p>
                      <w:pPr>
                        <w:suppressAutoHyphens/>
                        <w:ind w:left="720" w:hanging="720"/>
                        <w:jc w:val="center"/>
                        <w:rPr>
                          <w:b/>
                          <w:szCs w:val="24"/>
                          <w:lang w:eastAsia="lt-LT"/>
                        </w:rPr>
                      </w:pPr>
                      <w:r>
                        <w:rPr>
                          <w:b/>
                          <w:szCs w:val="24"/>
                          <w:lang w:eastAsia="lt-LT"/>
                        </w:rPr>
                        <w:t>Mėnesiniai vėjo greičiai skirtingose vietovėse skirtingais metų mėnesiais</w:t>
                      </w:r>
                      <w:r>
                        <w:rPr>
                          <w:b/>
                          <w:i/>
                          <w:szCs w:val="24"/>
                          <w:lang w:eastAsia="lt-LT"/>
                        </w:rPr>
                        <w:t xml:space="preserve"> ν</w:t>
                      </w:r>
                      <w:r>
                        <w:rPr>
                          <w:b/>
                          <w:i/>
                          <w:szCs w:val="24"/>
                          <w:vertAlign w:val="subscript"/>
                          <w:lang w:eastAsia="lt-LT"/>
                        </w:rPr>
                        <w:t>wind,m</w:t>
                      </w:r>
                      <w:r>
                        <w:rPr>
                          <w:b/>
                          <w:szCs w:val="24"/>
                          <w:lang w:eastAsia="lt-LT"/>
                        </w:rPr>
                        <w:t xml:space="preserve"> (m/s)</w:t>
                      </w:r>
                    </w:p>
                    <w:p>
                      <w:pPr>
                        <w:suppressAutoHyphens/>
                        <w:ind w:left="720"/>
                        <w:jc w:val="right"/>
                        <w:rPr>
                          <w:szCs w:val="24"/>
                          <w:lang w:eastAsia="lt-LT"/>
                        </w:rPr>
                      </w:pPr>
                      <w:r>
                        <w:rPr>
                          <w:szCs w:val="24"/>
                          <w:lang w:eastAsia="lt-LT"/>
                        </w:rPr>
                        <w:t>2.42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3008"/>
                        <w:gridCol w:w="525"/>
                        <w:gridCol w:w="524"/>
                        <w:gridCol w:w="524"/>
                        <w:gridCol w:w="524"/>
                        <w:gridCol w:w="524"/>
                        <w:gridCol w:w="524"/>
                        <w:gridCol w:w="524"/>
                        <w:gridCol w:w="524"/>
                        <w:gridCol w:w="524"/>
                        <w:gridCol w:w="524"/>
                        <w:gridCol w:w="524"/>
                        <w:gridCol w:w="516"/>
                      </w:tblGrid>
                      <w:tr>
                        <w:trPr>
                          <w:trHeight w:val="207"/>
                        </w:trPr>
                        <w:tc>
                          <w:tcPr>
                            <w:tcW w:w="286" w:type="pct"/>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szCs w:val="24"/>
                              </w:rPr>
                            </w:pPr>
                            <w:r>
                              <w:rPr>
                                <w:szCs w:val="24"/>
                                <w:lang w:eastAsia="lt-LT"/>
                              </w:rPr>
                              <w:t>Eil. Nr.</w:t>
                            </w:r>
                          </w:p>
                        </w:tc>
                        <w:tc>
                          <w:tcPr>
                            <w:tcW w:w="1526"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szCs w:val="24"/>
                              </w:rPr>
                            </w:pPr>
                            <w:r>
                              <w:rPr>
                                <w:szCs w:val="24"/>
                                <w:lang w:eastAsia="lt-LT"/>
                              </w:rPr>
                              <w:t>Pastato vietovės apibūdinimas</w:t>
                            </w:r>
                          </w:p>
                        </w:tc>
                        <w:tc>
                          <w:tcPr>
                            <w:tcW w:w="3188" w:type="pct"/>
                            <w:gridSpan w:val="12"/>
                            <w:tcBorders>
                              <w:top w:val="single" w:sz="4" w:space="0" w:color="auto"/>
                              <w:left w:val="single" w:sz="4" w:space="0" w:color="auto"/>
                              <w:bottom w:val="single" w:sz="4" w:space="0" w:color="auto"/>
                              <w:right w:val="single" w:sz="4" w:space="0" w:color="auto"/>
                            </w:tcBorders>
                            <w:hideMark/>
                          </w:tcPr>
                          <w:p>
                            <w:pPr>
                              <w:suppressAutoHyphens/>
                              <w:spacing w:line="276" w:lineRule="auto"/>
                              <w:ind w:left="720" w:hanging="720"/>
                              <w:jc w:val="center"/>
                              <w:rPr>
                                <w:rFonts w:eastAsia="Calibri"/>
                                <w:szCs w:val="24"/>
                              </w:rPr>
                            </w:pPr>
                            <w:r>
                              <w:rPr>
                                <w:szCs w:val="24"/>
                                <w:lang w:eastAsia="lt-LT"/>
                              </w:rPr>
                              <w:t>Metų mėnesio numeris</w:t>
                            </w:r>
                          </w:p>
                        </w:tc>
                      </w:tr>
                      <w:tr>
                        <w:trPr>
                          <w:trHeight w:val="255"/>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6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2</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3</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4</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5</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6</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7</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8</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9</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10</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11</w:t>
                            </w:r>
                          </w:p>
                        </w:tc>
                        <w:tc>
                          <w:tcPr>
                            <w:tcW w:w="266" w:type="pct"/>
                            <w:tcBorders>
                              <w:top w:val="single" w:sz="4" w:space="0" w:color="auto"/>
                              <w:left w:val="nil"/>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12</w:t>
                            </w:r>
                          </w:p>
                        </w:tc>
                      </w:tr>
                      <w:tr>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w:t>
                            </w:r>
                          </w:p>
                        </w:tc>
                        <w:tc>
                          <w:tcPr>
                            <w:tcW w:w="152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Akmenės rajonas</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Alytaus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w:t>
                            </w:r>
                          </w:p>
                        </w:tc>
                        <w:tc>
                          <w:tcPr>
                            <w:tcW w:w="152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Anykščių rajonas</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r>
                      <w:tr>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w:t>
                            </w:r>
                          </w:p>
                        </w:tc>
                        <w:tc>
                          <w:tcPr>
                            <w:tcW w:w="152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Biržų rajonas</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5.</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Ignalinos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6.</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Jonavos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7.</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Joniškio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8.</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Jurbarko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9.</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Kaišiadorių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10.</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Kauno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4,8</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11.</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Kėdainių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12.</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Kelmės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13.</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Klaipėdos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14.</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Kretingos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15.</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Kupiškio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r>
                      <w:tr>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16.</w:t>
                            </w:r>
                          </w:p>
                        </w:tc>
                        <w:tc>
                          <w:tcPr>
                            <w:tcW w:w="152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Lazdijų rajonas</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single" w:sz="4" w:space="0" w:color="auto"/>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17.</w:t>
                            </w:r>
                          </w:p>
                        </w:tc>
                        <w:tc>
                          <w:tcPr>
                            <w:tcW w:w="152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Marijampolės rajonas</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c>
                          <w:tcPr>
                            <w:tcW w:w="266" w:type="pct"/>
                            <w:tcBorders>
                              <w:top w:val="single" w:sz="4" w:space="0" w:color="auto"/>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18.</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Mažeikių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19.</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Molėtų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20.</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Pakruojo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21.</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Panevėžio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22.</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Pasvalio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23.</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Plungės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24.</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Prienų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25.</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Radviliškio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26.</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Raseinių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27.</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Rokiškio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28.</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Šakių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4,8</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29.</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Šalčininkų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30.</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Šiaulių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31.</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Šilalės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32.</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Šilutės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33.</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Širvintų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34.</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Skuodo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35.</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Švenčionių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36.</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Tauragės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37.</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Telšių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38.</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Trakų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39.</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Ukmergės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40.</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Utenos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3,5</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41.</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Varėnos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42.</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Vilkaviškio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43.</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 xml:space="preserve">Vilniaus rajonas </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4,3</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44.</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Zarasų rajonas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3,3</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2,9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3,6</w:t>
                            </w:r>
                          </w:p>
                        </w:tc>
                      </w:tr>
                      <w:tr>
                        <w:trPr>
                          <w:trHeight w:val="255"/>
                        </w:trPr>
                        <w:tc>
                          <w:tcPr>
                            <w:tcW w:w="286" w:type="pct"/>
                            <w:tcBorders>
                              <w:top w:val="nil"/>
                              <w:left w:val="single" w:sz="4" w:space="0" w:color="auto"/>
                              <w:bottom w:val="single" w:sz="4" w:space="0" w:color="auto"/>
                              <w:right w:val="single" w:sz="4" w:space="0" w:color="auto"/>
                            </w:tcBorders>
                            <w:noWrap/>
                            <w:vAlign w:val="center"/>
                            <w:hideMark/>
                          </w:tcPr>
                          <w:p>
                            <w:pPr>
                              <w:tabs>
                                <w:tab w:val="left" w:pos="192"/>
                              </w:tabs>
                              <w:suppressAutoHyphens/>
                              <w:spacing w:line="276" w:lineRule="auto"/>
                              <w:jc w:val="center"/>
                              <w:rPr>
                                <w:rFonts w:eastAsia="Calibri"/>
                                <w:szCs w:val="24"/>
                              </w:rPr>
                            </w:pPr>
                            <w:r>
                              <w:rPr>
                                <w:szCs w:val="24"/>
                                <w:lang w:eastAsia="lt-LT"/>
                              </w:rPr>
                              <w:t>45.</w:t>
                            </w:r>
                          </w:p>
                        </w:tc>
                        <w:tc>
                          <w:tcPr>
                            <w:tcW w:w="1526" w:type="pct"/>
                            <w:tcBorders>
                              <w:top w:val="nil"/>
                              <w:left w:val="nil"/>
                              <w:bottom w:val="single" w:sz="4" w:space="0" w:color="auto"/>
                              <w:right w:val="single" w:sz="4" w:space="0" w:color="auto"/>
                            </w:tcBorders>
                            <w:noWrap/>
                            <w:vAlign w:val="bottom"/>
                            <w:hideMark/>
                          </w:tcPr>
                          <w:p>
                            <w:pPr>
                              <w:suppressAutoHyphens/>
                              <w:spacing w:line="276" w:lineRule="auto"/>
                              <w:jc w:val="both"/>
                              <w:rPr>
                                <w:rFonts w:eastAsia="Calibri"/>
                                <w:szCs w:val="24"/>
                              </w:rPr>
                            </w:pPr>
                            <w:r>
                              <w:rPr>
                                <w:szCs w:val="24"/>
                                <w:lang w:eastAsia="lt-LT"/>
                              </w:rPr>
                              <w:t>Neringos miestas</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6,4</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5,8</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5,7</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5,0</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4,9</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5,5</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6,2</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7,1</w:t>
                            </w:r>
                          </w:p>
                        </w:tc>
                        <w:tc>
                          <w:tcPr>
                            <w:tcW w:w="266" w:type="pct"/>
                            <w:tcBorders>
                              <w:top w:val="nil"/>
                              <w:left w:val="nil"/>
                              <w:bottom w:val="single" w:sz="4" w:space="0" w:color="auto"/>
                              <w:right w:val="single" w:sz="4" w:space="0" w:color="auto"/>
                            </w:tcBorders>
                            <w:noWrap/>
                            <w:vAlign w:val="bottom"/>
                            <w:hideMark/>
                          </w:tcPr>
                          <w:p>
                            <w:pPr>
                              <w:suppressAutoHyphens/>
                              <w:spacing w:line="276" w:lineRule="auto"/>
                              <w:jc w:val="right"/>
                              <w:rPr>
                                <w:rFonts w:eastAsia="Calibri"/>
                                <w:szCs w:val="24"/>
                              </w:rPr>
                            </w:pPr>
                            <w:r>
                              <w:rPr>
                                <w:szCs w:val="24"/>
                                <w:lang w:eastAsia="lt-LT"/>
                              </w:rPr>
                              <w:t>6,5</w:t>
                            </w:r>
                          </w:p>
                        </w:tc>
                      </w:tr>
                    </w:tbl>
                    <w:p>
                      <w:pPr>
                        <w:jc w:val="right"/>
                      </w:pP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076" w:history="1">
                        <w:r>
                          <w:rPr>
                            <w:rFonts w:eastAsia="MS Mincho"/>
                            <w:i/>
                            <w:iCs/>
                            <w:color w:val="0000FF"/>
                            <w:sz w:val="20"/>
                            <w:u w:val="single"/>
                          </w:rPr>
                          <w:t>D1-576</w:t>
                        </w:r>
                      </w:hyperlink>
                      <w:r>
                        <w:rPr>
                          <w:rFonts w:eastAsia="MS Mincho"/>
                          <w:i/>
                          <w:iCs/>
                          <w:sz w:val="20"/>
                        </w:rPr>
                        <w:t>, 2020-09-28, paskelbta TAR 2020-09-28, i. k. 2020-20131</w:t>
                      </w:r>
                    </w:p>
                    <w:p/>
                  </w:sdtContent>
                </w:sdt>
              </w:sdtContent>
            </w:sdt>
            <w:sdt>
              <w:sdtPr>
                <w:alias w:val="2 pr. 63 p."/>
                <w:tag w:val="part_51b1baef286b4cff9c7223712e30bab2"/>
                <w:lock w:val="sdtLocked"/>
                <w:richText/>
              </w:sdtPr>
              <w:sdtContent>
                <w:p>
                  <w:pPr>
                    <w:tabs>
                      <w:tab w:val="left" w:pos="567"/>
                    </w:tabs>
                    <w:suppressAutoHyphens/>
                    <w:ind w:firstLine="567"/>
                    <w:jc w:val="both"/>
                    <w:rPr>
                      <w:color w:val="000000"/>
                      <w:szCs w:val="24"/>
                      <w:lang w:eastAsia="lt-LT"/>
                    </w:rPr>
                  </w:pPr>
                  <w:sdt>
                    <w:sdtPr>
                      <w:alias w:val="Numeris"/>
                      <w:tag w:val="nr_51b1baef286b4cff9c7223712e30bab2"/>
                      <w:lock w:val="sdtLocked"/>
                      <w:richText/>
                    </w:sdtPr>
                    <w:sdtContent>
                      <w:r>
                        <w:rPr>
                          <w:color w:val="000000"/>
                          <w:szCs w:val="24"/>
                          <w:lang w:eastAsia="lt-LT"/>
                        </w:rPr>
                        <w:t>63</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vėjo ir hidroelektrinių neatsinaujinančios pirminės energijos sąnaudos pastato šildomo ploto vienetui </w:t>
                  </w:r>
                  <w:r>
                    <w:rPr>
                      <w:i/>
                      <w:color w:val="000000"/>
                      <w:szCs w:val="24"/>
                      <w:lang w:eastAsia="lt-LT"/>
                    </w:rPr>
                    <w:t>Q</w:t>
                  </w:r>
                  <w:r>
                    <w:rPr>
                      <w:i/>
                      <w:color w:val="000000"/>
                      <w:szCs w:val="24"/>
                      <w:vertAlign w:val="subscript"/>
                      <w:lang w:eastAsia="lt-LT"/>
                    </w:rPr>
                    <w:t>PRn.hw.WE+HE,m</w:t>
                  </w:r>
                  <w:r>
                    <w:rPr>
                      <w:color w:val="000000"/>
                      <w:szCs w:val="24"/>
                      <w:lang w:eastAsia="lt-LT"/>
                    </w:rPr>
                    <w:t>(kWh/(m²·mėn.)), kai ši energija naudojama tik karštam vandeniui ruošti,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2"/>
                            <w:szCs w:val="24"/>
                            <w:lang w:eastAsia="lt-LT"/>
                          </w:rPr>
                          <w:object w:dxaOrig="5292" w:dyaOrig="372">
                            <v:shape id="_x0000_i1444" type="#_x0000_t75" style="width:265.35pt;height:17.8pt" o:ole="">
                              <v:imagedata r:id="rId1077" o:title=""/>
                            </v:shape>
                            <o:OLEObject Type="Embed" ProgID="Equation.3" ShapeID="_x0000_i1444" DrawAspect="Content" ObjectID="_0000000001" r:id="rId1078"/>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(2.363) </w:t>
                        </w:r>
                      </w:p>
                    </w:tc>
                  </w:tr>
                </w:tbl>
                <w:p>
                  <w:pPr>
                    <w:tabs>
                      <w:tab w:val="left" w:pos="567"/>
                    </w:tabs>
                    <w:suppressAutoHyphens/>
                    <w:jc w:val="both"/>
                    <w:rPr>
                      <w:rFonts w:eastAsia="Calibri"/>
                      <w:bCs/>
                      <w:color w:val="000000"/>
                      <w:szCs w:val="24"/>
                      <w:lang w:eastAsia="lt-LT"/>
                    </w:rPr>
                  </w:pPr>
                  <w:r>
                    <w:rPr>
                      <w:color w:val="000000"/>
                      <w:szCs w:val="24"/>
                      <w:lang w:eastAsia="lt-LT"/>
                    </w:rPr>
                    <w:t xml:space="preserve">čia: </w:t>
                    <w:tab/>
                  </w:r>
                  <w:r>
                    <w:rPr>
                      <w:i/>
                      <w:color w:val="000000"/>
                      <w:szCs w:val="24"/>
                      <w:lang w:eastAsia="lt-LT"/>
                    </w:rPr>
                    <w:t>f</w:t>
                  </w:r>
                  <w:r>
                    <w:rPr>
                      <w:i/>
                      <w:color w:val="000000"/>
                      <w:szCs w:val="24"/>
                      <w:vertAlign w:val="subscript"/>
                      <w:lang w:eastAsia="lt-LT"/>
                    </w:rPr>
                    <w:t>PRn.WE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vėjo elektrinės</w:t>
                  </w:r>
                  <w:r>
                    <w:rPr>
                      <w:bCs/>
                      <w:color w:val="000000"/>
                      <w:szCs w:val="24"/>
                      <w:lang w:eastAsia="lt-LT"/>
                    </w:rPr>
                    <w:t>. Imamas iš 2.18 lentelės;</w:t>
                  </w:r>
                </w:p>
                <w:p>
                  <w:pPr>
                    <w:tabs>
                      <w:tab w:val="left" w:pos="567"/>
                    </w:tabs>
                    <w:suppressAutoHyphens/>
                    <w:ind w:firstLine="600"/>
                    <w:jc w:val="both"/>
                    <w:rPr>
                      <w:bCs/>
                      <w:color w:val="000000"/>
                      <w:szCs w:val="24"/>
                      <w:lang w:eastAsia="lt-LT"/>
                    </w:rPr>
                  </w:pPr>
                  <w:r>
                    <w:rPr>
                      <w:i/>
                      <w:color w:val="000000"/>
                      <w:szCs w:val="24"/>
                      <w:lang w:eastAsia="lt-LT"/>
                    </w:rPr>
                    <w:t>f</w:t>
                  </w:r>
                  <w:r>
                    <w:rPr>
                      <w:i/>
                      <w:color w:val="000000"/>
                      <w:szCs w:val="24"/>
                      <w:vertAlign w:val="subscript"/>
                      <w:lang w:eastAsia="lt-LT"/>
                    </w:rPr>
                    <w:t>PRn.HE</w:t>
                  </w:r>
                  <w:r>
                    <w:rPr>
                      <w:color w:val="000000"/>
                      <w:szCs w:val="24"/>
                      <w:lang w:eastAsia="lt-LT"/>
                    </w:rPr>
                    <w:t xml:space="preserve"> – neatsinaujinančios </w:t>
                  </w:r>
                  <w:r>
                    <w:rPr>
                      <w:bCs/>
                      <w:color w:val="000000"/>
                      <w:szCs w:val="24"/>
                      <w:lang w:eastAsia="lt-LT"/>
                    </w:rPr>
                    <w:t>pirminės energijos faktorius,</w:t>
                  </w:r>
                  <w:r>
                    <w:rPr>
                      <w:color w:val="000000"/>
                      <w:szCs w:val="24"/>
                      <w:lang w:eastAsia="lt-LT"/>
                    </w:rPr>
                    <w:t xml:space="preserve"> kai energijai gaminti naudojamos hidroelektrinės</w:t>
                  </w:r>
                  <w:r>
                    <w:rPr>
                      <w:bCs/>
                      <w:color w:val="000000"/>
                      <w:szCs w:val="24"/>
                      <w:lang w:eastAsia="lt-LT"/>
                    </w:rPr>
                    <w:t>. Imamas iš 2.18 lentelės;</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hw.WE,m</w:t>
                  </w:r>
                  <w:r>
                    <w:rPr>
                      <w:color w:val="000000"/>
                      <w:szCs w:val="24"/>
                      <w:vertAlign w:val="subscript"/>
                      <w:lang w:eastAsia="lt-LT"/>
                    </w:rPr>
                    <w:t>,</w:t>
                  </w:r>
                  <w:r>
                    <w:rPr>
                      <w:i/>
                      <w:color w:val="000000"/>
                      <w:szCs w:val="24"/>
                      <w:lang w:eastAsia="lt-LT"/>
                    </w:rPr>
                    <w:t>Q</w:t>
                  </w:r>
                  <w:r>
                    <w:rPr>
                      <w:i/>
                      <w:color w:val="000000"/>
                      <w:szCs w:val="24"/>
                      <w:vertAlign w:val="subscript"/>
                      <w:lang w:eastAsia="lt-LT"/>
                    </w:rPr>
                    <w:t xml:space="preserve">hw.HE,m </w:t>
                  </w:r>
                  <w:r>
                    <w:rPr>
                      <w:color w:val="000000"/>
                      <w:szCs w:val="24"/>
                      <w:lang w:eastAsia="lt-LT"/>
                    </w:rPr>
                    <w:t xml:space="preserve">– vėjo ir hidroelektrinių pagamintos elektros energijos suvartojimai atitinkamą </w:t>
                  </w:r>
                  <w:r>
                    <w:rPr>
                      <w:i/>
                      <w:color w:val="000000"/>
                      <w:szCs w:val="24"/>
                      <w:lang w:eastAsia="lt-LT"/>
                    </w:rPr>
                    <w:t>„m“</w:t>
                  </w:r>
                  <w:r>
                    <w:rPr>
                      <w:color w:val="000000"/>
                      <w:szCs w:val="24"/>
                      <w:lang w:eastAsia="lt-LT"/>
                    </w:rPr>
                    <w:t xml:space="preserve"> mėnesį pastate (kWh/(m²·mėn.)).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480" w:dyaOrig="680">
                            <v:shape id="_x0000_i1445" type="#_x0000_t75" style="width:124.6pt;height:34.8pt" o:ole="">
                              <v:imagedata r:id="rId1079" o:title=""/>
                            </v:shape>
                            <o:OLEObject Type="Embed" ProgID="Equation.3" ShapeID="_x0000_i1445" DrawAspect="Content" ObjectID="_0000000001" r:id="rId1080"/>
                          </w:object>
                          <w:t>;</w:t>
                        </w:r>
                      </w:p>
                    </w:tc>
                    <w:tc>
                      <w:tcPr>
                        <w:tcW w:w="1062" w:type="dxa"/>
                        <w:vAlign w:val="center"/>
                      </w:tcPr>
                      <w:p>
                        <w:pPr>
                          <w:tabs>
                            <w:tab w:val="left" w:pos="567"/>
                          </w:tabs>
                          <w:suppressAutoHyphens/>
                          <w:spacing w:line="276" w:lineRule="auto"/>
                          <w:jc w:val="right"/>
                          <w:rPr>
                            <w:rFonts w:eastAsia="Calibri"/>
                            <w:color w:val="000000"/>
                            <w:szCs w:val="24"/>
                            <w:lang w:eastAsia="lt-LT"/>
                          </w:rPr>
                        </w:pPr>
                        <w:r>
                          <w:rPr>
                            <w:color w:val="000000"/>
                            <w:szCs w:val="24"/>
                            <w:lang w:eastAsia="lt-LT"/>
                          </w:rPr>
                          <w:t>(2.364)</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4440" w:dyaOrig="804">
                            <v:shape id="_x0000_i1446" type="#_x0000_t75" style="width:221.65pt;height:42.05pt" o:ole="">
                              <v:imagedata r:id="rId1081" o:title=""/>
                            </v:shape>
                            <o:OLEObject Type="Embed" ProgID="Equation.3" ShapeID="_x0000_i1446" DrawAspect="Content" ObjectID="_0000000001" r:id="rId1082"/>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(2.365) </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hw.sum.SK,m,x</w:t>
                  </w:r>
                  <w:r>
                    <w:rPr>
                      <w:color w:val="000000"/>
                      <w:szCs w:val="24"/>
                      <w:lang w:eastAsia="lt-LT"/>
                    </w:rPr>
                    <w:t>, – apskaičiuojama pagal (2.338) formulę.</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 xml:space="preserve">hw.WE.out,m,x </w:t>
                  </w:r>
                  <w:r>
                    <w:rPr>
                      <w:color w:val="000000"/>
                      <w:szCs w:val="24"/>
                      <w:lang w:eastAsia="lt-LT"/>
                    </w:rPr>
                    <w:t xml:space="preserve">– atitinkamos </w:t>
                  </w:r>
                  <w:r>
                    <w:rPr>
                      <w:i/>
                      <w:color w:val="000000"/>
                      <w:szCs w:val="24"/>
                      <w:lang w:eastAsia="lt-LT"/>
                    </w:rPr>
                    <w:t>„x“</w:t>
                  </w:r>
                  <w:r>
                    <w:rPr>
                      <w:color w:val="000000"/>
                      <w:szCs w:val="24"/>
                      <w:lang w:eastAsia="lt-LT"/>
                    </w:rPr>
                    <w:t xml:space="preserve"> vėjo elektrinių grupės pagamintas suminis energijos kiekis atitinkamą </w:t>
                  </w:r>
                  <w:r>
                    <w:rPr>
                      <w:i/>
                      <w:color w:val="000000"/>
                      <w:szCs w:val="24"/>
                      <w:lang w:eastAsia="lt-LT"/>
                    </w:rPr>
                    <w:t>„m“</w:t>
                  </w:r>
                  <w:r>
                    <w:rPr>
                      <w:color w:val="000000"/>
                      <w:szCs w:val="24"/>
                      <w:lang w:eastAsia="lt-LT"/>
                    </w:rPr>
                    <w:t xml:space="preserve"> mėnesį (kWh/(m²·mėn.)). Apskaičiuojama pagal (2.378) formulę;</w:t>
                  </w:r>
                </w:p>
                <w:p>
                  <w:pPr>
                    <w:tabs>
                      <w:tab w:val="left" w:pos="567"/>
                    </w:tabs>
                    <w:suppressAutoHyphens/>
                    <w:ind w:left="600" w:hanging="33"/>
                    <w:jc w:val="both"/>
                    <w:rPr>
                      <w:color w:val="000000"/>
                      <w:szCs w:val="24"/>
                      <w:lang w:eastAsia="lt-LT"/>
                    </w:rPr>
                  </w:pPr>
                  <w:r>
                    <w:rPr>
                      <w:color w:val="000000"/>
                      <w:szCs w:val="24"/>
                      <w:lang w:eastAsia="lt-LT"/>
                    </w:rPr>
                    <w:t>(2.364)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energijos už energijos poreikį karštam vandeniui ruošti pastate, t. y.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5412" w:dyaOrig="408">
                            <v:shape id="_x0000_i1447" type="#_x0000_t75" style="width:270.2pt;height:20.2pt" o:ole="">
                              <v:imagedata r:id="rId1083" o:title=""/>
                            </v:shape>
                            <o:OLEObject Type="Embed" ProgID="Equation.3" ShapeID="_x0000_i1447" DrawAspect="Content" ObjectID="_0000000001" r:id="rId1084"/>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(2.366) </w:t>
                        </w:r>
                      </w:p>
                    </w:tc>
                  </w:tr>
                </w:tbl>
                <w:p>
                  <w:pPr>
                    <w:tabs>
                      <w:tab w:val="left" w:pos="567"/>
                    </w:tabs>
                    <w:suppressAutoHyphens/>
                    <w:ind w:left="840"/>
                    <w:rPr>
                      <w:rFonts w:eastAsia="Calibri"/>
                      <w:color w:val="000000"/>
                      <w:szCs w:val="24"/>
                      <w:lang w:eastAsia="lt-LT"/>
                    </w:rPr>
                  </w:pPr>
                  <w:r>
                    <w:rPr>
                      <w:color w:val="000000"/>
                      <w:szCs w:val="24"/>
                      <w:lang w:eastAsia="lt-LT"/>
                    </w:rPr>
                    <w:t xml:space="preserve">tai </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5448" w:dyaOrig="408">
                            <v:shape id="_x0000_i1448" type="#_x0000_t75" style="width:271.8pt;height:20.2pt" o:ole="">
                              <v:imagedata r:id="rId1085" o:title=""/>
                            </v:shape>
                            <o:OLEObject Type="Embed" ProgID="Equation.3" ShapeID="_x0000_i1448" DrawAspect="Content" ObjectID="_0000000001" r:id="rId1086"/>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(2.367) </w:t>
                        </w:r>
                      </w:p>
                    </w:tc>
                  </w:tr>
                </w:tbl>
                <w:p>
                  <w:pPr>
                    <w:tabs>
                      <w:tab w:val="left" w:pos="567"/>
                    </w:tabs>
                    <w:suppressAutoHyphens/>
                    <w:rPr>
                      <w:rFonts w:eastAsia="Calibri"/>
                      <w:color w:val="000000"/>
                      <w:szCs w:val="24"/>
                      <w:lang w:eastAsia="lt-LT"/>
                    </w:rPr>
                  </w:pPr>
                  <w:r>
                    <w:rPr>
                      <w:color w:val="000000"/>
                      <w:szCs w:val="24"/>
                      <w:lang w:eastAsia="lt-LT"/>
                    </w:rPr>
                    <w:t xml:space="preserve">kitu atveju </w:t>
                  </w:r>
                  <w:r>
                    <w:rPr>
                      <w:i/>
                      <w:color w:val="000000"/>
                      <w:szCs w:val="24"/>
                      <w:lang w:eastAsia="lt-LT"/>
                    </w:rPr>
                    <w:t>Q</w:t>
                  </w:r>
                  <w:r>
                    <w:rPr>
                      <w:i/>
                      <w:color w:val="000000"/>
                      <w:szCs w:val="24"/>
                      <w:vertAlign w:val="subscript"/>
                      <w:lang w:eastAsia="lt-LT"/>
                    </w:rPr>
                    <w:t>hw.WE,m</w:t>
                  </w:r>
                  <w:r>
                    <w:rPr>
                      <w:color w:val="000000"/>
                      <w:szCs w:val="24"/>
                      <w:lang w:eastAsia="lt-LT"/>
                    </w:rPr>
                    <w:t>atitinka skaičiavimo rezultatą, gautą pagal (2.364) formulę.</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7686"/>
                    <w:gridCol w:w="1084"/>
                    <w:gridCol w:w="1084"/>
                  </w:tblGrid>
                  <w:tr>
                    <w:tc>
                      <w:tcPr>
                        <w:tcW w:w="3900"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5760" w:dyaOrig="1080">
                            <v:shape id="_x0000_i1449" type="#_x0000_t75" style="width:4in;height:56.65pt" o:ole="">
                              <v:imagedata r:id="rId1087" o:title=""/>
                            </v:shape>
                            <o:OLEObject Type="Embed" ProgID="Equation.3" ShapeID="_x0000_i1449" DrawAspect="Content" ObjectID="_0000000001" r:id="rId1088"/>
                          </w:object>
                          <w:t>,</w:t>
                        </w:r>
                      </w:p>
                    </w:tc>
                    <w:tc>
                      <w:tcPr>
                        <w:tcW w:w="550" w:type="pct"/>
                      </w:tcPr>
                      <w:p>
                        <w:pPr>
                          <w:tabs>
                            <w:tab w:val="left" w:pos="567"/>
                          </w:tabs>
                          <w:suppressAutoHyphens/>
                          <w:spacing w:line="276" w:lineRule="auto"/>
                          <w:jc w:val="right"/>
                          <w:rPr>
                            <w:color w:val="000000"/>
                            <w:szCs w:val="24"/>
                            <w:lang w:eastAsia="lt-LT"/>
                          </w:rPr>
                        </w:pPr>
                      </w:p>
                    </w:tc>
                    <w:tc>
                      <w:tcPr>
                        <w:tcW w:w="550" w:type="pct"/>
                        <w:vAlign w:val="center"/>
                        <w:hideMark/>
                      </w:tcPr>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rFonts w:eastAsia="Calibri"/>
                            <w:color w:val="000000"/>
                            <w:szCs w:val="24"/>
                            <w:lang w:eastAsia="lt-LT"/>
                          </w:rPr>
                        </w:pPr>
                        <w:r>
                          <w:rPr>
                            <w:color w:val="000000"/>
                            <w:szCs w:val="24"/>
                            <w:lang w:eastAsia="lt-LT"/>
                          </w:rPr>
                          <w:t>(2.368)</w:t>
                        </w:r>
                      </w:p>
                    </w:tc>
                  </w:tr>
                </w:tbl>
                <w:p>
                  <w:pPr>
                    <w:tabs>
                      <w:tab w:val="left" w:pos="567"/>
                      <w:tab w:val="num" w:pos="1200"/>
                    </w:tabs>
                    <w:suppressAutoHyphens/>
                    <w:rPr>
                      <w:color w:val="000000"/>
                      <w:szCs w:val="24"/>
                      <w:lang w:eastAsia="lt-LT"/>
                    </w:rPr>
                  </w:pPr>
                </w:p>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E.fvSK,m  </w:t>
                  </w:r>
                  <w:r>
                    <w:rPr>
                      <w:color w:val="000000"/>
                      <w:szCs w:val="24"/>
                      <w:lang w:eastAsia="lt-LT"/>
                    </w:rPr>
                    <w:t>apskaičiuojama pagal (2.364)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5940" w:dyaOrig="680">
                            <v:shape id="_x0000_i1450" type="#_x0000_t75" style="width:297.7pt;height:36.4pt" o:ole="">
                              <v:imagedata r:id="rId1089" o:title=""/>
                            </v:shape>
                            <o:OLEObject Type="Embed" ProgID="Equation.3" ShapeID="_x0000_i1450" DrawAspect="Content" ObjectID="_0000000001" r:id="rId1090"/>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(2.369)</w:t>
                        </w:r>
                      </w:p>
                    </w:tc>
                  </w:tr>
                </w:tbl>
                <w:p>
                  <w:pPr>
                    <w:tabs>
                      <w:tab w:val="left" w:pos="567"/>
                    </w:tabs>
                    <w:suppressAutoHyphens/>
                    <w:jc w:val="both"/>
                    <w:rPr>
                      <w:rFonts w:eastAsia="Calibri"/>
                      <w:color w:val="000000"/>
                      <w:szCs w:val="24"/>
                      <w:lang w:eastAsia="lt-LT"/>
                    </w:rPr>
                  </w:pPr>
                  <w:r>
                    <w:rPr>
                      <w:color w:val="000000"/>
                      <w:szCs w:val="24"/>
                      <w:lang w:eastAsia="lt-LT"/>
                    </w:rPr>
                    <w:t>ir pagal (2.369) formulę rezultatas gaunamas pirmąjį skaičiuojamąjį mėnesį (sausio mėnesį), tai</w:t>
                  </w:r>
                </w:p>
                <w:tbl>
                  <w:tblPr>
                    <w:tblW w:w="5000" w:type="pct"/>
                    <w:tblLook w:val="01E0" w:firstRow="1" w:lastRow="1" w:firstColumn="1" w:lastColumn="1" w:noHBand="0" w:noVBand="0"/>
                  </w:tblPr>
                  <w:tblGrid>
                    <w:gridCol w:w="8143"/>
                    <w:gridCol w:w="1711"/>
                  </w:tblGrid>
                  <w:tr>
                    <w:trPr>
                      <w:trHeight w:val="577"/>
                    </w:trPr>
                    <w:tc>
                      <w:tcPr>
                        <w:tcW w:w="4132" w:type="pct"/>
                        <w:hideMark/>
                      </w:tcPr>
                      <w:p>
                        <w:pPr>
                          <w:tabs>
                            <w:tab w:val="left" w:pos="567"/>
                          </w:tabs>
                          <w:suppressAutoHyphens/>
                          <w:spacing w:line="276" w:lineRule="auto"/>
                          <w:jc w:val="center"/>
                          <w:rPr>
                            <w:rFonts w:eastAsia="Calibri"/>
                            <w:color w:val="000000"/>
                            <w:szCs w:val="24"/>
                            <w:lang w:eastAsia="lt-LT"/>
                          </w:rPr>
                        </w:pPr>
                        <w:r>
                          <w:rPr>
                            <w:position w:val="-14"/>
                            <w:szCs w:val="24"/>
                            <w:lang w:eastAsia="lt-LT"/>
                          </w:rPr>
                          <w:object w:dxaOrig="1740" w:dyaOrig="380">
                            <v:shape id="_x0000_i1451" type="#_x0000_t75" style="width:88.2pt;height:19.4pt" o:ole="">
                              <v:imagedata r:id="rId1091" o:title=""/>
                            </v:shape>
                            <o:OLEObject Type="Embed" ProgID="Equation.3" ShapeID="_x0000_i1451" DrawAspect="Content" ObjectID="_0000000001" r:id="rId1092"/>
                          </w:object>
                        </w:r>
                        <w:r>
                          <w:rPr>
                            <w:color w:val="000000"/>
                            <w:szCs w:val="24"/>
                            <w:lang w:eastAsia="lt-LT"/>
                          </w:rPr>
                          <w:t xml:space="preserve">, kitais mėnesiais </w:t>
                        </w:r>
                        <w:r>
                          <w:rPr>
                            <w:rFonts w:eastAsia="Calibri"/>
                            <w:color w:val="000000"/>
                            <w:position w:val="-14"/>
                            <w:szCs w:val="24"/>
                            <w:lang w:eastAsia="lt-LT"/>
                          </w:rPr>
                          <w:object w:dxaOrig="1212" w:dyaOrig="408">
                            <v:shape id="_x0000_i1452" type="#_x0000_t75" style="width:59.85pt;height:20.2pt" o:ole="">
                              <v:imagedata r:id="rId1093" o:title=""/>
                            </v:shape>
                            <o:OLEObject Type="Embed" ProgID="Equation.3" ShapeID="_x0000_i1452" DrawAspect="Content" ObjectID="_0000000001" r:id="rId109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(2.370)</w:t>
                        </w:r>
                      </w:p>
                    </w:tc>
                  </w:tr>
                </w:tbl>
                <w:p>
                  <w:pPr>
                    <w:tabs>
                      <w:tab w:val="left" w:pos="567"/>
                    </w:tabs>
                    <w:suppressAutoHyphens/>
                    <w:jc w:val="both"/>
                    <w:rPr>
                      <w:rFonts w:eastAsia="Calibri"/>
                      <w:color w:val="000000"/>
                      <w:szCs w:val="24"/>
                      <w:lang w:eastAsia="lt-LT"/>
                    </w:rPr>
                  </w:pPr>
                  <w:r>
                    <w:rPr>
                      <w:color w:val="000000"/>
                      <w:szCs w:val="24"/>
                      <w:lang w:eastAsia="lt-LT"/>
                    </w:rPr>
                    <w:t>jei pagal (2.369)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28"/>
                            <w:szCs w:val="24"/>
                            <w:lang w:eastAsia="lt-LT"/>
                          </w:rPr>
                          <w:object w:dxaOrig="6560" w:dyaOrig="680">
                            <v:shape id="_x0000_i1453" type="#_x0000_t75" style="width:329.25pt;height:36.4pt" o:ole="">
                              <v:imagedata r:id="rId1095" o:title=""/>
                            </v:shape>
                            <o:OLEObject Type="Embed" ProgID="Equation.3" ShapeID="_x0000_i1453" DrawAspect="Content" ObjectID="_0000000001" r:id="rId1096"/>
                          </w:object>
                        </w:r>
                        <w:r>
                          <w:rPr>
                            <w:color w:val="000000"/>
                            <w:szCs w:val="24"/>
                            <w:lang w:eastAsia="lt-LT"/>
                          </w:rPr>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212" w:dyaOrig="408">
                            <v:shape id="_x0000_i1454" type="#_x0000_t75" style="width:59.85pt;height:20.2pt" o:ole="">
                              <v:imagedata r:id="rId1097" o:title=""/>
                            </v:shape>
                            <o:OLEObject Type="Embed" ProgID="Equation.3" ShapeID="_x0000_i1454" DrawAspect="Content" ObjectID="_0000000001" r:id="rId1098"/>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(2.371)</w:t>
                        </w:r>
                      </w:p>
                    </w:tc>
                  </w:tr>
                </w:tbl>
                <w:p>
                  <w:pPr>
                    <w:tabs>
                      <w:tab w:val="left" w:pos="567"/>
                    </w:tabs>
                    <w:suppressAutoHyphens/>
                    <w:ind w:left="600"/>
                    <w:rPr>
                      <w:color w:val="000000"/>
                      <w:szCs w:val="24"/>
                      <w:lang w:eastAsia="lt-LT"/>
                    </w:rPr>
                  </w:pPr>
                  <w:r>
                    <w:rPr>
                      <w:color w:val="000000"/>
                      <w:szCs w:val="24"/>
                      <w:lang w:eastAsia="lt-LT"/>
                    </w:rPr>
                    <w:t>(2.365)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vėjo ir hidroelektrinės pagamina daugiau energijos už energijos poreikį karštam vandeniui ruošti pastate, t. y. jei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6408" w:dyaOrig="408">
                            <v:shape id="_x0000_i1455" type="#_x0000_t75" style="width:321.15pt;height:20.2pt" o:ole="">
                              <v:imagedata r:id="rId1099" o:title=""/>
                            </v:shape>
                            <o:OLEObject Type="Embed" ProgID="Equation.3" ShapeID="_x0000_i1455" DrawAspect="Content" ObjectID="_0000000001" r:id="rId1100"/>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(2.372) </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6432" w:dyaOrig="408">
                            <v:shape id="_x0000_i1456" type="#_x0000_t75" style="width:322pt;height:20.2pt" o:ole="">
                              <v:imagedata r:id="rId1101" o:title=""/>
                            </v:shape>
                            <o:OLEObject Type="Embed" ProgID="Equation.3" ShapeID="_x0000_i1456" DrawAspect="Content" ObjectID="_0000000001" r:id="rId1102"/>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(2.373) </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sumai, apskaičiuotai pagal (2.364) ir (2.365) formules;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strike/>
                            <w:color w:val="000000"/>
                            <w:szCs w:val="24"/>
                            <w:lang w:eastAsia="lt-LT"/>
                          </w:rPr>
                        </w:pPr>
                        <w:r>
                          <w:rPr>
                            <w:szCs w:val="24"/>
                            <w:lang w:eastAsia="lt-LT"/>
                          </w:rPr>
                          <w:object w:dxaOrig="6740" w:dyaOrig="1080">
                            <v:shape id="_x0000_i1457" type="#_x0000_t75" style="width:335.75pt;height:56.65pt" o:ole="">
                              <v:imagedata r:id="rId1103" o:title=""/>
                            </v:shape>
                            <o:OLEObject Type="Embed" ProgID="Equation.3" ShapeID="_x0000_i1457" DrawAspect="Content" ObjectID="_0000000001" r:id="rId1104"/>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(2.374)</w:t>
                        </w:r>
                      </w:p>
                    </w:tc>
                  </w:tr>
                </w:tbl>
                <w:p>
                  <w:pPr>
                    <w:tabs>
                      <w:tab w:val="left" w:pos="567"/>
                      <w:tab w:val="num" w:pos="1200"/>
                    </w:tabs>
                    <w:suppressAutoHyphens/>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bscript"/>
                      <w:lang w:eastAsia="lt-LT"/>
                    </w:rPr>
                    <w:t>hw.WE,m</w:t>
                  </w:r>
                  <w:r>
                    <w:rPr>
                      <w:color w:val="000000"/>
                      <w:szCs w:val="24"/>
                      <w:lang w:eastAsia="lt-LT"/>
                    </w:rPr>
                    <w:t>+</w:t>
                  </w:r>
                  <w:r>
                    <w:rPr>
                      <w:i/>
                      <w:color w:val="000000"/>
                      <w:szCs w:val="24"/>
                      <w:lang w:eastAsia="lt-LT"/>
                    </w:rPr>
                    <w:t>Q</w:t>
                  </w:r>
                  <w:r>
                    <w:rPr>
                      <w:i/>
                      <w:color w:val="000000"/>
                      <w:szCs w:val="24"/>
                      <w:vertAlign w:val="subscript"/>
                      <w:lang w:eastAsia="lt-LT"/>
                    </w:rPr>
                    <w:t>hwHE,m</w:t>
                  </w:r>
                  <w:r>
                    <w:rPr>
                      <w:color w:val="000000"/>
                      <w:szCs w:val="24"/>
                      <w:lang w:eastAsia="lt-LT"/>
                    </w:rPr>
                    <w:t>) apskaičiuojama sumuojant skaičiavimų rezultatus pagal (2.364) ir (2.365)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00" w:dyaOrig="680">
                            <v:shape id="_x0000_i1458" type="#_x0000_t75" style="width:344.65pt;height:36.4pt" o:ole="">
                              <v:imagedata r:id="rId1105" o:title=""/>
                            </v:shape>
                            <o:OLEObject Type="Embed" ProgID="Equation.3" ShapeID="_x0000_i1458" DrawAspect="Content" ObjectID="_0000000001" r:id="rId1106"/>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(2.375)</w:t>
                        </w:r>
                      </w:p>
                    </w:tc>
                  </w:tr>
                </w:tbl>
                <w:p>
                  <w:pPr>
                    <w:tabs>
                      <w:tab w:val="left" w:pos="567"/>
                    </w:tabs>
                    <w:suppressAutoHyphens/>
                    <w:rPr>
                      <w:rFonts w:eastAsia="Calibri"/>
                      <w:color w:val="000000"/>
                      <w:szCs w:val="24"/>
                      <w:lang w:eastAsia="lt-LT"/>
                    </w:rPr>
                  </w:pPr>
                  <w:r>
                    <w:rPr>
                      <w:color w:val="000000"/>
                      <w:szCs w:val="24"/>
                      <w:lang w:eastAsia="lt-LT"/>
                    </w:rPr>
                    <w:t>ir pagal (2.375)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24"/>
                            <w:szCs w:val="24"/>
                            <w:lang w:eastAsia="lt-LT"/>
                          </w:rPr>
                          <w:object w:dxaOrig="4308" w:dyaOrig="588">
                            <v:shape id="_x0000_i1459" type="#_x0000_t75" style="width:3in;height:29.95pt" o:ole="">
                              <v:imagedata r:id="rId1107" o:title=""/>
                            </v:shape>
                            <o:OLEObject Type="Embed" ProgID="Equation.3" ShapeID="_x0000_i1459" DrawAspect="Content" ObjectID="_0000000001" r:id="rId1108"/>
                          </w:object>
                        </w:r>
                        <w:r>
                          <w:rPr>
                            <w:color w:val="000000"/>
                            <w:szCs w:val="24"/>
                            <w:lang w:eastAsia="lt-LT"/>
                          </w:rPr>
                          <w:t xml:space="preserve">, kitais mėnesiais </w:t>
                        </w:r>
                        <w:r>
                          <w:rPr>
                            <w:rFonts w:eastAsia="Calibri"/>
                            <w:color w:val="000000"/>
                            <w:position w:val="-14"/>
                            <w:szCs w:val="24"/>
                            <w:lang w:eastAsia="lt-LT"/>
                          </w:rPr>
                          <w:object w:dxaOrig="2172" w:dyaOrig="408">
                            <v:shape id="_x0000_i1460" type="#_x0000_t75" style="width:107.6pt;height:20.2pt" o:ole="">
                              <v:imagedata r:id="rId1109" o:title=""/>
                            </v:shape>
                            <o:OLEObject Type="Embed" ProgID="Equation.3" ShapeID="_x0000_i1460" DrawAspect="Content" ObjectID="_0000000001" r:id="rId1110"/>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(2.376)</w:t>
                        </w:r>
                      </w:p>
                    </w:tc>
                  </w:tr>
                </w:tbl>
                <w:p>
                  <w:pPr>
                    <w:tabs>
                      <w:tab w:val="left" w:pos="567"/>
                    </w:tabs>
                    <w:suppressAutoHyphens/>
                    <w:rPr>
                      <w:rFonts w:eastAsia="Calibri"/>
                      <w:color w:val="000000"/>
                      <w:szCs w:val="24"/>
                      <w:lang w:eastAsia="lt-LT"/>
                    </w:rPr>
                  </w:pPr>
                  <w:r>
                    <w:rPr>
                      <w:color w:val="000000"/>
                      <w:szCs w:val="24"/>
                      <w:lang w:eastAsia="lt-LT"/>
                    </w:rPr>
                    <w:t>jei pagal (2.375)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48"/>
                            <w:szCs w:val="24"/>
                            <w:lang w:eastAsia="lt-LT"/>
                          </w:rPr>
                          <w:object w:dxaOrig="4860" w:dyaOrig="1080">
                            <v:shape id="_x0000_i1461" type="#_x0000_t75" style="width:241.1pt;height:56.65pt" o:ole="">
                              <v:imagedata r:id="rId1111" o:title=""/>
                            </v:shape>
                            <o:OLEObject Type="Embed" ProgID="Equation.3" ShapeID="_x0000_i1461" DrawAspect="Content" ObjectID="_0000000001" r:id="rId1112"/>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2172" w:dyaOrig="408">
                            <v:shape id="_x0000_i1462" type="#_x0000_t75" style="width:107.6pt;height:20.2pt" o:ole="">
                              <v:imagedata r:id="rId1113" o:title=""/>
                            </v:shape>
                            <o:OLEObject Type="Embed" ProgID="Equation.3" ShapeID="_x0000_i1462" DrawAspect="Content" ObjectID="_0000000001" r:id="rId1114"/>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(2.377)</w:t>
                        </w:r>
                      </w:p>
                    </w:tc>
                  </w:tr>
                </w:tbl>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 xml:space="preserve">hw.HE,m </w:t>
                  </w:r>
                  <w:r>
                    <w:rPr>
                      <w:color w:val="000000"/>
                      <w:szCs w:val="24"/>
                      <w:lang w:eastAsia="lt-LT"/>
                    </w:rPr>
                    <w:t>apskaičiuojama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3912" w:dyaOrig="408">
                            <v:shape id="_x0000_i1463" type="#_x0000_t75" style="width:196.6pt;height:20.2pt" o:ole="">
                              <v:imagedata r:id="rId1115" o:title=""/>
                            </v:shape>
                            <o:OLEObject Type="Embed" ProgID="Equation.3" ShapeID="_x0000_i1463" DrawAspect="Content" ObjectID="_0000000001" r:id="rId1116"/>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(2.377</w:t>
                        </w:r>
                        <w:r>
                          <w:rPr>
                            <w:color w:val="000000"/>
                            <w:szCs w:val="24"/>
                            <w:vertAlign w:val="superscript"/>
                            <w:lang w:eastAsia="lt-LT"/>
                          </w:rPr>
                          <w:t>1</w:t>
                        </w:r>
                        <w:r>
                          <w:rPr>
                            <w:color w:val="000000"/>
                            <w:szCs w:val="24"/>
                            <w:lang w:eastAsia="lt-LT"/>
                          </w:rPr>
                          <w:t xml:space="preserve">) </w:t>
                        </w:r>
                      </w:p>
                    </w:tc>
                  </w:tr>
                </w:tbl>
                <w:p>
                  <w:pPr>
                    <w:tabs>
                      <w:tab w:val="left" w:pos="567"/>
                    </w:tabs>
                    <w:suppressAutoHyphens/>
                    <w:rPr>
                      <w:rFonts w:eastAsia="Calibri"/>
                      <w:color w:val="000000"/>
                      <w:szCs w:val="24"/>
                      <w:lang w:eastAsia="lt-LT"/>
                    </w:rPr>
                  </w:pPr>
                </w:p>
                <w:tbl>
                  <w:tblPr>
                    <w:tblW w:w="5000" w:type="pct"/>
                    <w:jc w:val="center"/>
                    <w:tblLook w:val="01E0" w:firstRow="1" w:lastRow="1" w:firstColumn="1" w:lastColumn="1" w:noHBand="0" w:noVBand="0"/>
                  </w:tblPr>
                  <w:tblGrid>
                    <w:gridCol w:w="8632"/>
                    <w:gridCol w:w="1222"/>
                  </w:tblGrid>
                  <w:tr>
                    <w:trPr>
                      <w:jc w:val="center"/>
                    </w:trPr>
                    <w:tc>
                      <w:tcPr>
                        <w:tcW w:w="8383"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752" w:dyaOrig="1476">
                            <v:shape id="_x0000_i1464" type="#_x0000_t75" style="width:386.7pt;height:74.45pt" o:ole="">
                              <v:imagedata r:id="rId1117" o:title=""/>
                            </v:shape>
                            <o:OLEObject Type="Embed" ProgID="Equation.3" ShapeID="_x0000_i1464" DrawAspect="Content" ObjectID="_0000000001" r:id="rId1118"/>
                          </w:object>
                        </w:r>
                      </w:p>
                    </w:tc>
                    <w:tc>
                      <w:tcPr>
                        <w:tcW w:w="1187"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(2.378) </w:t>
                        </w:r>
                      </w:p>
                    </w:tc>
                  </w:tr>
                </w:tbl>
                <w:p>
                  <w:pPr>
                    <w:tabs>
                      <w:tab w:val="left" w:pos="567"/>
                    </w:tabs>
                    <w:suppressAutoHyphens/>
                    <w:ind w:left="600" w:hanging="600"/>
                    <w:rPr>
                      <w:color w:val="000000"/>
                      <w:szCs w:val="24"/>
                    </w:rPr>
                  </w:pPr>
                  <w:r>
                    <w:rPr>
                      <w:color w:val="000000"/>
                      <w:szCs w:val="24"/>
                      <w:lang w:eastAsia="lt-LT"/>
                    </w:rPr>
                    <w:t xml:space="preserve">čia: </w:t>
                    <w:tab/>
                    <w:t>formulės paaiškinimus žiūrėti prie (2.345) formulės.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4 p."/>
                <w:tag w:val="part_3615fb28b5bc43878d9bab41daab019c"/>
                <w:lock w:val="sdtLocked"/>
                <w:richText/>
              </w:sdtPr>
              <w:sdtContent>
                <w:p>
                  <w:pPr>
                    <w:tabs>
                      <w:tab w:val="left" w:pos="567"/>
                      <w:tab w:val="left" w:pos="993"/>
                    </w:tabs>
                    <w:suppressAutoHyphens/>
                    <w:ind w:firstLine="567"/>
                    <w:jc w:val="both"/>
                    <w:rPr>
                      <w:color w:val="000000"/>
                      <w:szCs w:val="24"/>
                      <w:lang w:eastAsia="lt-LT"/>
                    </w:rPr>
                  </w:pPr>
                  <w:sdt>
                    <w:sdtPr>
                      <w:alias w:val="Numeris"/>
                      <w:tag w:val="nr_3615fb28b5bc43878d9bab41daab019c"/>
                      <w:lock w:val="sdtLocked"/>
                      <w:richText/>
                    </w:sdtPr>
                    <w:sdtContent>
                      <w:r>
                        <w:rPr>
                          <w:color w:val="000000"/>
                          <w:szCs w:val="24"/>
                          <w:lang w:eastAsia="lt-LT"/>
                        </w:rPr>
                        <w:t>64</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energijos iš vėjo ir hidroelektrinių neatsinaujinančios pirminės energijos sąnaudos pastato šildomo ploto vienetui </w:t>
                  </w:r>
                  <w:r>
                    <w:rPr>
                      <w:i/>
                      <w:color w:val="000000"/>
                      <w:szCs w:val="24"/>
                      <w:lang w:eastAsia="lt-LT"/>
                    </w:rPr>
                    <w:t>Q</w:t>
                  </w:r>
                  <w:r>
                    <w:rPr>
                      <w:i/>
                      <w:color w:val="000000"/>
                      <w:szCs w:val="24"/>
                      <w:vertAlign w:val="subscript"/>
                      <w:lang w:eastAsia="lt-LT"/>
                    </w:rPr>
                    <w:t>PRn.H.WE+HE,m</w:t>
                  </w:r>
                  <w:r>
                    <w:rPr>
                      <w:color w:val="000000"/>
                      <w:szCs w:val="24"/>
                      <w:lang w:eastAsia="lt-LT"/>
                    </w:rPr>
                    <w:t>(kWh/(m²·mėn.)), kai ši energija naudojama tik pastatui šildyti,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2"/>
                            <w:szCs w:val="24"/>
                            <w:lang w:eastAsia="lt-LT"/>
                          </w:rPr>
                          <w:object w:dxaOrig="4944" w:dyaOrig="372">
                            <v:shape id="_x0000_i1465" type="#_x0000_t75" style="width:245.95pt;height:17.8pt" o:ole="">
                              <v:imagedata r:id="rId1119" o:title=""/>
                            </v:shape>
                            <o:OLEObject Type="Embed" ProgID="Equation.3" ShapeID="_x0000_i1465" DrawAspect="Content" ObjectID="_0000000001" r:id="rId1120"/>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(2.380) </w:t>
                        </w:r>
                      </w:p>
                    </w:tc>
                  </w:tr>
                </w:tbl>
                <w:p>
                  <w:pPr>
                    <w:tabs>
                      <w:tab w:val="left" w:pos="567"/>
                    </w:tabs>
                    <w:suppressAutoHyphens/>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H.WE,m</w:t>
                  </w:r>
                  <w:r>
                    <w:rPr>
                      <w:color w:val="000000"/>
                      <w:szCs w:val="24"/>
                      <w:lang w:eastAsia="lt-LT"/>
                    </w:rPr>
                    <w:t>,</w:t>
                  </w:r>
                  <w:r>
                    <w:rPr>
                      <w:i/>
                      <w:color w:val="000000"/>
                      <w:szCs w:val="24"/>
                      <w:lang w:eastAsia="lt-LT"/>
                    </w:rPr>
                    <w:t xml:space="preserve"> Q</w:t>
                  </w:r>
                  <w:r>
                    <w:rPr>
                      <w:i/>
                      <w:color w:val="000000"/>
                      <w:szCs w:val="24"/>
                      <w:vertAlign w:val="subscript"/>
                      <w:lang w:eastAsia="lt-LT"/>
                    </w:rPr>
                    <w:t xml:space="preserve">E.HE,m </w:t>
                  </w:r>
                  <w:r>
                    <w:rPr>
                      <w:color w:val="000000"/>
                      <w:szCs w:val="24"/>
                      <w:lang w:eastAsia="lt-LT"/>
                    </w:rPr>
                    <w:t xml:space="preserve">– vėjo ir pagamintos elektros energijos suvartojimai atitinkamą </w:t>
                  </w:r>
                  <w:r>
                    <w:rPr>
                      <w:i/>
                      <w:color w:val="000000"/>
                      <w:szCs w:val="24"/>
                      <w:lang w:eastAsia="lt-LT"/>
                    </w:rPr>
                    <w:t>„m“</w:t>
                  </w:r>
                  <w:r>
                    <w:rPr>
                      <w:color w:val="000000"/>
                      <w:szCs w:val="24"/>
                      <w:lang w:eastAsia="lt-LT"/>
                    </w:rPr>
                    <w:t xml:space="preserve"> mėnesį pastatui šildyti (kWh/(m²·mėn.)).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20" w:dyaOrig="680">
                            <v:shape id="_x0000_i1466" type="#_x0000_t75" style="width:122.15pt;height:34.8pt" o:ole="">
                              <v:imagedata r:id="rId1121" o:title=""/>
                            </v:shape>
                            <o:OLEObject Type="Embed" ProgID="Equation.3" ShapeID="_x0000_i1466" DrawAspect="Content" ObjectID="_0000000001" r:id="rId1122"/>
                          </w:object>
                          <w:t>;</w:t>
                        </w:r>
                      </w:p>
                    </w:tc>
                    <w:tc>
                      <w:tcPr>
                        <w:tcW w:w="1062" w:type="dxa"/>
                        <w:vAlign w:val="center"/>
                        <w:hideMark/>
                      </w:tcPr>
                      <w:p>
                        <w:pPr>
                          <w:tabs>
                            <w:tab w:val="left" w:pos="567"/>
                          </w:tabs>
                          <w:suppressAutoHyphens/>
                          <w:spacing w:line="276" w:lineRule="auto"/>
                          <w:jc w:val="right"/>
                          <w:rPr>
                            <w:color w:val="000000"/>
                            <w:szCs w:val="24"/>
                            <w:lang w:eastAsia="lt-LT"/>
                          </w:rPr>
                        </w:pPr>
                        <w:r>
                          <w:rPr>
                            <w:color w:val="000000"/>
                            <w:szCs w:val="24"/>
                            <w:lang w:eastAsia="lt-LT"/>
                          </w:rPr>
                          <w:t>(2.381)</w:t>
                        </w:r>
                      </w:p>
                    </w:tc>
                  </w:tr>
                </w:tbl>
                <w:p>
                  <w:pPr>
                    <w:tabs>
                      <w:tab w:val="left" w:pos="567"/>
                    </w:tabs>
                    <w:suppressAutoHyphens/>
                    <w:ind w:left="600" w:hanging="600"/>
                    <w:rPr>
                      <w:rFonts w:eastAsia="Calibri"/>
                      <w:color w:val="000000"/>
                      <w:szCs w:val="24"/>
                      <w:lang w:eastAsia="lt-LT"/>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416" w:dyaOrig="804">
                            <v:shape id="_x0000_i1467" type="#_x0000_t75" style="width:221.65pt;height:42.05pt" o:ole="">
                              <v:imagedata r:id="rId1123" o:title=""/>
                            </v:shape>
                            <o:OLEObject Type="Embed" ProgID="Equation.3" ShapeID="_x0000_i1467" DrawAspect="Content" ObjectID="_0000000001" r:id="rId1124"/>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(2.382)</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H.sum.SK,m</w:t>
                  </w:r>
                  <w:r>
                    <w:rPr>
                      <w:color w:val="000000"/>
                      <w:szCs w:val="24"/>
                      <w:lang w:eastAsia="lt-LT"/>
                    </w:rPr>
                    <w:t>, – apskaičiuojama pagal (2.340) formulę.</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 xml:space="preserve">H.WE.out,m,x </w:t>
                  </w:r>
                  <w:r>
                    <w:rPr>
                      <w:color w:val="000000"/>
                      <w:szCs w:val="24"/>
                      <w:lang w:eastAsia="lt-LT"/>
                    </w:rPr>
                    <w:t xml:space="preserve">– atitinkamos </w:t>
                  </w:r>
                  <w:r>
                    <w:rPr>
                      <w:i/>
                      <w:color w:val="000000"/>
                      <w:szCs w:val="24"/>
                      <w:lang w:eastAsia="lt-LT"/>
                    </w:rPr>
                    <w:t>„x“</w:t>
                  </w:r>
                  <w:r>
                    <w:rPr>
                      <w:color w:val="000000"/>
                      <w:szCs w:val="24"/>
                      <w:lang w:eastAsia="lt-LT"/>
                    </w:rPr>
                    <w:t xml:space="preserve"> vėjo elektrinių grupės pagamintas suminis energijos kiekis atitinkamą </w:t>
                  </w:r>
                  <w:r>
                    <w:rPr>
                      <w:i/>
                      <w:color w:val="000000"/>
                      <w:szCs w:val="24"/>
                      <w:lang w:eastAsia="lt-LT"/>
                    </w:rPr>
                    <w:t>„m“</w:t>
                  </w:r>
                  <w:r>
                    <w:rPr>
                      <w:color w:val="000000"/>
                      <w:szCs w:val="24"/>
                      <w:lang w:eastAsia="lt-LT"/>
                    </w:rPr>
                    <w:t xml:space="preserve"> mėnesį (kWh/(m²·mėn.)). Apskaičiuojama pagal (2.396) formulę.</w:t>
                  </w:r>
                </w:p>
                <w:p>
                  <w:pPr>
                    <w:tabs>
                      <w:tab w:val="left" w:pos="567"/>
                    </w:tabs>
                    <w:suppressAutoHyphens/>
                    <w:ind w:left="600" w:hanging="600"/>
                    <w:jc w:val="both"/>
                    <w:rPr>
                      <w:color w:val="000000"/>
                      <w:szCs w:val="24"/>
                      <w:lang w:eastAsia="lt-LT"/>
                    </w:rPr>
                  </w:pPr>
                  <w:r>
                    <w:rPr>
                      <w:color w:val="000000"/>
                      <w:szCs w:val="24"/>
                      <w:lang w:eastAsia="lt-LT"/>
                    </w:rPr>
                    <w:t>(2.381) formulės taikymo sąlygos:</w:t>
                  </w:r>
                </w:p>
                <w:p>
                  <w:pPr>
                    <w:tabs>
                      <w:tab w:val="left" w:pos="567"/>
                      <w:tab w:val="left" w:pos="993"/>
                    </w:tabs>
                    <w:suppressAutoHyphens/>
                    <w:ind w:left="1200" w:hanging="360"/>
                    <w:jc w:val="both"/>
                    <w:rPr>
                      <w:color w:val="000000"/>
                      <w:szCs w:val="24"/>
                      <w:lang w:eastAsia="lt-LT"/>
                    </w:rPr>
                  </w:pPr>
                  <w:r>
                    <w:rPr>
                      <w:color w:val="000000"/>
                      <w:szCs w:val="24"/>
                      <w:lang w:eastAsia="lt-LT"/>
                    </w:rPr>
                    <w:t>-</w:t>
                    <w:tab/>
                    <w:t xml:space="preserve"> jei </w:t>
                  </w:r>
                  <w:r>
                    <w:rPr>
                      <w:i/>
                      <w:color w:val="000000"/>
                      <w:szCs w:val="24"/>
                      <w:lang w:eastAsia="lt-LT"/>
                    </w:rPr>
                    <w:t>Q</w:t>
                  </w:r>
                  <w:r>
                    <w:rPr>
                      <w:i/>
                      <w:color w:val="000000"/>
                      <w:szCs w:val="24"/>
                      <w:vertAlign w:val="subscript"/>
                      <w:lang w:eastAsia="lt-LT"/>
                    </w:rPr>
                    <w:t>H.WE,m</w:t>
                  </w:r>
                  <w:r>
                    <w:rPr>
                      <w:color w:val="000000"/>
                      <w:szCs w:val="24"/>
                      <w:lang w:eastAsia="lt-LT"/>
                    </w:rPr>
                    <w:t xml:space="preserve">&lt; 0 arba </w:t>
                  </w:r>
                  <w:r>
                    <w:rPr>
                      <w:i/>
                      <w:color w:val="000000"/>
                      <w:szCs w:val="24"/>
                      <w:lang w:eastAsia="lt-LT"/>
                    </w:rPr>
                    <w:t>Q</w:t>
                  </w:r>
                  <w:r>
                    <w:rPr>
                      <w:i/>
                      <w:color w:val="000000"/>
                      <w:szCs w:val="24"/>
                      <w:vertAlign w:val="subscript"/>
                      <w:lang w:eastAsia="lt-LT"/>
                    </w:rPr>
                    <w:t>H,m</w:t>
                  </w:r>
                  <w:r>
                    <w:rPr>
                      <w:color w:val="000000"/>
                      <w:szCs w:val="24"/>
                      <w:lang w:eastAsia="lt-LT"/>
                    </w:rPr>
                    <w:t xml:space="preserve">= 0, tai </w:t>
                  </w:r>
                  <w:r>
                    <w:rPr>
                      <w:i/>
                      <w:color w:val="000000"/>
                      <w:szCs w:val="24"/>
                      <w:lang w:eastAsia="lt-LT"/>
                    </w:rPr>
                    <w:t>Q</w:t>
                  </w:r>
                  <w:r>
                    <w:rPr>
                      <w:i/>
                      <w:color w:val="000000"/>
                      <w:szCs w:val="24"/>
                      <w:vertAlign w:val="subscript"/>
                      <w:lang w:eastAsia="lt-LT"/>
                    </w:rPr>
                    <w:t>H.WE,m</w:t>
                  </w:r>
                  <w:r>
                    <w:rPr>
                      <w:color w:val="000000"/>
                      <w:szCs w:val="24"/>
                      <w:lang w:eastAsia="lt-LT"/>
                    </w:rPr>
                    <w:t>= 0,</w:t>
                  </w:r>
                </w:p>
                <w:p>
                  <w:pPr>
                    <w:tabs>
                      <w:tab w:val="left" w:pos="567"/>
                      <w:tab w:val="left" w:pos="1650"/>
                    </w:tabs>
                    <w:suppressAutoHyphens/>
                    <w:ind w:firstLine="840"/>
                    <w:jc w:val="both"/>
                    <w:rPr>
                      <w:color w:val="000000"/>
                      <w:szCs w:val="24"/>
                      <w:lang w:eastAsia="lt-LT"/>
                    </w:rPr>
                  </w:pPr>
                  <w:r>
                    <w:rPr>
                      <w:color w:val="000000"/>
                      <w:szCs w:val="24"/>
                      <w:lang w:eastAsia="lt-LT"/>
                    </w:rPr>
                    <w:t>- kai pastate nenaudojama iš vėjo elektrinių pagamintos elektros energijos dvipusė apskaita ir kai vėjo 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5076" w:dyaOrig="408">
                            <v:shape id="_x0000_i1468" type="#_x0000_t75" style="width:254.85pt;height:20.2pt" o:ole="">
                              <v:imagedata r:id="rId1125" o:title=""/>
                            </v:shape>
                            <o:OLEObject Type="Embed" ProgID="Equation.3" ShapeID="_x0000_i1468" DrawAspect="Content" ObjectID="_0000000001" r:id="rId1126"/>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(2.383)</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5172" w:dyaOrig="408">
                            <v:shape id="_x0000_i1469" type="#_x0000_t75" style="width:258.05pt;height:20.2pt" o:ole="">
                              <v:imagedata r:id="rId1127" o:title=""/>
                            </v:shape>
                            <o:OLEObject Type="Embed" ProgID="Equation.3" ShapeID="_x0000_i1469" DrawAspect="Content" ObjectID="_0000000001" r:id="rId1128"/>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(2.384)</w:t>
                        </w:r>
                      </w:p>
                    </w:tc>
                  </w:tr>
                </w:tbl>
                <w:p>
                  <w:pPr>
                    <w:tabs>
                      <w:tab w:val="left" w:pos="567"/>
                    </w:tabs>
                    <w:suppressAutoHyphens/>
                    <w:jc w:val="both"/>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bscript"/>
                      <w:lang w:eastAsia="lt-LT"/>
                    </w:rPr>
                    <w:t xml:space="preserve">H.WE,m </w:t>
                  </w:r>
                  <w:r>
                    <w:rPr>
                      <w:color w:val="000000"/>
                      <w:szCs w:val="24"/>
                      <w:lang w:eastAsia="lt-LT"/>
                    </w:rPr>
                    <w:t>atitinka skaičiavimo rezultatą, gautą pagal (2.381) formulę;</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640" w:dyaOrig="1080">
                            <v:shape id="_x0000_i1470" type="#_x0000_t75" style="width:283.95pt;height:56.65pt" o:ole="">
                              <v:imagedata r:id="rId1129" o:title=""/>
                            </v:shape>
                            <o:OLEObject Type="Embed" ProgID="Equation.3" ShapeID="_x0000_i1470" DrawAspect="Content" ObjectID="_0000000001" r:id="rId1130"/>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(2.385)</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bscript"/>
                      <w:lang w:eastAsia="lt-LT"/>
                    </w:rPr>
                    <w:t xml:space="preserve">H.WE,m  </w:t>
                  </w:r>
                  <w:r>
                    <w:rPr>
                      <w:color w:val="000000"/>
                      <w:szCs w:val="24"/>
                      <w:lang w:eastAsia="lt-LT"/>
                    </w:rPr>
                    <w:t>apskaičiuojama pagal (2.381)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800" w:dyaOrig="680">
                            <v:shape id="_x0000_i1471" type="#_x0000_t75" style="width:4in;height:36.4pt" o:ole="">
                              <v:imagedata r:id="rId1131" o:title=""/>
                            </v:shape>
                            <o:OLEObject Type="Embed" ProgID="Equation.3" ShapeID="_x0000_i1471" DrawAspect="Content" ObjectID="_0000000001" r:id="rId1132"/>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(2.386)</w:t>
                        </w:r>
                      </w:p>
                    </w:tc>
                  </w:tr>
                </w:tbl>
                <w:p>
                  <w:pPr>
                    <w:tabs>
                      <w:tab w:val="left" w:pos="567"/>
                    </w:tabs>
                    <w:suppressAutoHyphens/>
                    <w:rPr>
                      <w:rFonts w:eastAsia="Calibri"/>
                      <w:color w:val="000000"/>
                      <w:szCs w:val="24"/>
                      <w:lang w:eastAsia="lt-LT"/>
                    </w:rPr>
                  </w:pPr>
                  <w:r>
                    <w:rPr>
                      <w:color w:val="000000"/>
                      <w:szCs w:val="24"/>
                      <w:lang w:eastAsia="lt-LT"/>
                    </w:rPr>
                    <w:t>ir pagal (2.386)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1719" w:dyaOrig="380">
                            <v:shape id="_x0000_i1472" type="#_x0000_t75" style="width:88.2pt;height:19.4pt" o:ole="">
                              <v:imagedata r:id="rId1133" o:title=""/>
                            </v:shape>
                            <o:OLEObject Type="Embed" ProgID="Equation.3" ShapeID="_x0000_i1472" DrawAspect="Content" ObjectID="_0000000001" r:id="rId1134"/>
                          </w:object>
                        </w:r>
                        <w:r>
                          <w:rPr>
                            <w:color w:val="000000"/>
                            <w:szCs w:val="24"/>
                            <w:lang w:eastAsia="lt-LT"/>
                          </w:rPr>
                          <w:t xml:space="preserve">, kitais mėnesiais </w:t>
                        </w:r>
                        <w:r>
                          <w:rPr>
                            <w:rFonts w:eastAsia="Calibri"/>
                            <w:color w:val="000000"/>
                            <w:position w:val="-14"/>
                            <w:szCs w:val="24"/>
                            <w:lang w:eastAsia="lt-LT"/>
                          </w:rPr>
                          <w:object w:dxaOrig="1116" w:dyaOrig="408">
                            <v:shape id="_x0000_i1473" type="#_x0000_t75" style="width:55.8pt;height:20.2pt" o:ole="">
                              <v:imagedata r:id="rId1135" o:title=""/>
                            </v:shape>
                            <o:OLEObject Type="Embed" ProgID="Equation.3" ShapeID="_x0000_i1473" DrawAspect="Content" ObjectID="_0000000001" r:id="rId1136"/>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(2.387)</w:t>
                        </w:r>
                      </w:p>
                    </w:tc>
                  </w:tr>
                </w:tbl>
                <w:p>
                  <w:pPr>
                    <w:tabs>
                      <w:tab w:val="left" w:pos="567"/>
                    </w:tabs>
                    <w:suppressAutoHyphens/>
                    <w:rPr>
                      <w:rFonts w:eastAsia="Calibri"/>
                      <w:color w:val="000000"/>
                      <w:szCs w:val="24"/>
                      <w:lang w:eastAsia="lt-LT"/>
                    </w:rPr>
                  </w:pPr>
                  <w:r>
                    <w:rPr>
                      <w:color w:val="000000"/>
                      <w:szCs w:val="24"/>
                      <w:lang w:eastAsia="lt-LT"/>
                    </w:rPr>
                    <w:t>jei pagal (2.386)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380" w:dyaOrig="680">
                            <v:shape id="_x0000_i1474" type="#_x0000_t75" style="width:321.15pt;height:36.4pt" o:ole="">
                              <v:imagedata r:id="rId1137" o:title=""/>
                            </v:shape>
                            <o:OLEObject Type="Embed" ProgID="Equation.3" ShapeID="_x0000_i1474" DrawAspect="Content" ObjectID="_0000000001" r:id="rId1138"/>
                          </w:objec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1116" w:dyaOrig="408">
                            <v:shape id="_x0000_i1475" type="#_x0000_t75" style="width:55.8pt;height:20.2pt" o:ole="">
                              <v:imagedata r:id="rId1139" o:title=""/>
                            </v:shape>
                            <o:OLEObject Type="Embed" ProgID="Equation.3" ShapeID="_x0000_i1475" DrawAspect="Content" ObjectID="_0000000001" r:id="rId1140"/>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(2.388)</w:t>
                        </w:r>
                      </w:p>
                    </w:tc>
                  </w:tr>
                </w:tbl>
                <w:p>
                  <w:pPr>
                    <w:tabs>
                      <w:tab w:val="left" w:pos="567"/>
                    </w:tabs>
                    <w:suppressAutoHyphens/>
                    <w:ind w:left="600"/>
                    <w:rPr>
                      <w:color w:val="000000"/>
                      <w:szCs w:val="24"/>
                      <w:lang w:eastAsia="lt-LT"/>
                    </w:rPr>
                  </w:pPr>
                  <w:r>
                    <w:rPr>
                      <w:color w:val="000000"/>
                      <w:szCs w:val="24"/>
                      <w:lang w:eastAsia="lt-LT"/>
                    </w:rPr>
                    <w:t>(2.382)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ir hidroelektrinių pagamintos elektros energijos dvipusė apskaita ir kai vėjo ir hidroelektrinės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892" w:dyaOrig="408">
                            <v:shape id="_x0000_i1476" type="#_x0000_t75" style="width:295.3pt;height:20.2pt" o:ole="">
                              <v:imagedata r:id="rId1141" o:title=""/>
                            </v:shape>
                            <o:OLEObject Type="Embed" ProgID="Equation.3" ShapeID="_x0000_i1476" DrawAspect="Content" ObjectID="_0000000001" r:id="rId1142"/>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(2.389)</w:t>
                        </w:r>
                      </w:p>
                    </w:tc>
                  </w:tr>
                </w:tbl>
                <w:p>
                  <w:pPr>
                    <w:tabs>
                      <w:tab w:val="left" w:pos="567"/>
                    </w:tabs>
                    <w:suppressAutoHyphens/>
                    <w:ind w:firstLine="1296"/>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048" w:dyaOrig="408">
                            <v:shape id="_x0000_i1477" type="#_x0000_t75" style="width:303.35pt;height:20.2pt" o:ole="">
                              <v:imagedata r:id="rId1143" o:title=""/>
                            </v:shape>
                            <o:OLEObject Type="Embed" ProgID="Equation.3" ShapeID="_x0000_i1477" DrawAspect="Content" ObjectID="_0000000001" r:id="rId1144"/>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(2.390)</w:t>
                        </w:r>
                      </w:p>
                    </w:tc>
                  </w:tr>
                </w:tbl>
                <w:p>
                  <w:pPr>
                    <w:tabs>
                      <w:tab w:val="left" w:pos="567"/>
                    </w:tabs>
                    <w:suppressAutoHyphens/>
                    <w:jc w:val="both"/>
                    <w:rPr>
                      <w:rFonts w:eastAsia="Calibri"/>
                      <w:color w:val="000000"/>
                      <w:szCs w:val="24"/>
                      <w:lang w:eastAsia="lt-LT"/>
                    </w:rPr>
                  </w:pPr>
                  <w:r>
                    <w:rPr>
                      <w:color w:val="000000"/>
                      <w:szCs w:val="24"/>
                      <w:lang w:eastAsia="lt-LT"/>
                    </w:rPr>
                    <w:t>kitais atvejais skaičiavimo rezultatas atitinka sumą, apskaičiuotą pagal (2.381) ir (2.382) formules;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40" w:dyaOrig="1080">
                            <v:shape id="_x0000_i1478" type="#_x0000_t75" style="width:329.25pt;height:56.65pt" o:ole="">
                              <v:imagedata r:id="rId1145" o:title=""/>
                            </v:shape>
                            <o:OLEObject Type="Embed" ProgID="Equation.3" ShapeID="_x0000_i1478" DrawAspect="Content" ObjectID="_0000000001" r:id="rId1146"/>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(2.391)</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bscript"/>
                      <w:lang w:eastAsia="lt-LT"/>
                    </w:rPr>
                    <w:t>H.WE,m</w:t>
                  </w:r>
                  <w:r>
                    <w:rPr>
                      <w:color w:val="000000"/>
                      <w:szCs w:val="24"/>
                      <w:lang w:eastAsia="lt-LT"/>
                    </w:rPr>
                    <w:t>+</w:t>
                  </w:r>
                  <w:r>
                    <w:rPr>
                      <w:i/>
                      <w:color w:val="000000"/>
                      <w:szCs w:val="24"/>
                      <w:lang w:eastAsia="lt-LT"/>
                    </w:rPr>
                    <w:t>Q</w:t>
                  </w:r>
                  <w:r>
                    <w:rPr>
                      <w:i/>
                      <w:color w:val="000000"/>
                      <w:szCs w:val="24"/>
                      <w:vertAlign w:val="subscript"/>
                      <w:lang w:eastAsia="lt-LT"/>
                    </w:rPr>
                    <w:t>HHE,m</w:t>
                  </w:r>
                  <w:r>
                    <w:rPr>
                      <w:color w:val="000000"/>
                      <w:szCs w:val="24"/>
                      <w:lang w:eastAsia="lt-LT"/>
                    </w:rPr>
                    <w:t>) apskaičiuojama sumuojant skaičiavimų rezultatus pagal (2.381) ir (2.382)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720" w:dyaOrig="680">
                            <v:shape id="_x0000_i1479" type="#_x0000_t75" style="width:335.75pt;height:36.4pt" o:ole="">
                              <v:imagedata r:id="rId1147" o:title=""/>
                            </v:shape>
                            <o:OLEObject Type="Embed" ProgID="Equation.3" ShapeID="_x0000_i1479" DrawAspect="Content" ObjectID="_0000000001" r:id="rId1148"/>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(2.392)</w:t>
                        </w:r>
                      </w:p>
                    </w:tc>
                  </w:tr>
                </w:tbl>
                <w:p>
                  <w:pPr>
                    <w:tabs>
                      <w:tab w:val="left" w:pos="567"/>
                    </w:tabs>
                    <w:suppressAutoHyphens/>
                    <w:rPr>
                      <w:rFonts w:eastAsia="Calibri"/>
                      <w:color w:val="000000"/>
                      <w:szCs w:val="24"/>
                      <w:lang w:eastAsia="lt-LT"/>
                    </w:rPr>
                  </w:pPr>
                  <w:r>
                    <w:rPr>
                      <w:color w:val="000000"/>
                      <w:szCs w:val="24"/>
                      <w:lang w:eastAsia="lt-LT"/>
                    </w:rPr>
                    <w:t>ir pagal (2.392) formulę rezultatas gaunamas pirmąjį skaičiuojamąjį mėnesį (sausio mėnesį), tai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12"/>
                            <w:szCs w:val="24"/>
                            <w:lang w:eastAsia="lt-LT"/>
                          </w:rPr>
                          <w:object w:dxaOrig="3420" w:dyaOrig="380">
                            <v:shape id="_x0000_i1480" type="#_x0000_t75" style="width:168.25pt;height:19.4pt" o:ole="">
                              <v:imagedata r:id="rId1149" o:title=""/>
                            </v:shape>
                            <o:OLEObject Type="Embed" ProgID="Equation.3" ShapeID="_x0000_i1480" DrawAspect="Content" ObjectID="_0000000001" r:id="rId1150"/>
                          </w:object>
                        </w:r>
                        <w:r>
                          <w:rPr>
                            <w:color w:val="000000"/>
                            <w:szCs w:val="24"/>
                            <w:lang w:eastAsia="lt-LT"/>
                          </w:rPr>
                          <w:t xml:space="preserve">, kitais mėnesiais </w:t>
                        </w:r>
                        <w:r>
                          <w:rPr>
                            <w:rFonts w:eastAsia="Calibri"/>
                            <w:color w:val="000000"/>
                            <w:position w:val="-14"/>
                            <w:szCs w:val="24"/>
                            <w:lang w:eastAsia="lt-LT"/>
                          </w:rPr>
                          <w:object w:dxaOrig="2028" w:dyaOrig="408">
                            <v:shape id="_x0000_i1481" type="#_x0000_t75" style="width:101.95pt;height:20.2pt" o:ole="">
                              <v:imagedata r:id="rId1151" o:title=""/>
                            </v:shape>
                            <o:OLEObject Type="Embed" ProgID="Equation.3" ShapeID="_x0000_i1481" DrawAspect="Content" ObjectID="_0000000001" r:id="rId1152"/>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(2.393)</w:t>
                        </w:r>
                      </w:p>
                    </w:tc>
                  </w:tr>
                </w:tbl>
                <w:p>
                  <w:pPr>
                    <w:tabs>
                      <w:tab w:val="left" w:pos="567"/>
                    </w:tabs>
                    <w:suppressAutoHyphens/>
                    <w:rPr>
                      <w:rFonts w:eastAsia="Calibri"/>
                      <w:color w:val="000000"/>
                      <w:szCs w:val="24"/>
                      <w:lang w:eastAsia="lt-LT"/>
                    </w:rPr>
                  </w:pPr>
                  <w:r>
                    <w:rPr>
                      <w:color w:val="000000"/>
                      <w:szCs w:val="24"/>
                      <w:lang w:eastAsia="lt-LT"/>
                    </w:rPr>
                    <w:t>jei pagal (2.392)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jc w:val="center"/>
                          <w:rPr>
                            <w:szCs w:val="24"/>
                            <w:lang w:eastAsia="lt-LT"/>
                          </w:rPr>
                        </w:pPr>
                        <w:r>
                          <w:rPr>
                            <w:szCs w:val="24"/>
                            <w:lang w:eastAsia="lt-LT"/>
                          </w:rPr>
                          <w:object w:dxaOrig="4680" w:dyaOrig="1080">
                            <v:shape id="_x0000_i1482" type="#_x0000_t75" style="width:236.2pt;height:56.65pt" o:ole="">
                              <v:imagedata r:id="rId1153" o:title=""/>
                            </v:shape>
                            <o:OLEObject Type="Embed" ProgID="Equation.3" ShapeID="_x0000_i1482" DrawAspect="Content" ObjectID="_0000000001" r:id="rId1154"/>
                          </w:objec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4"/>
                            <w:szCs w:val="24"/>
                            <w:lang w:eastAsia="lt-LT"/>
                          </w:rPr>
                          <w:object w:dxaOrig="2028" w:dyaOrig="408">
                            <v:shape id="_x0000_i1483" type="#_x0000_t75" style="width:101.95pt;height:20.2pt" o:ole="">
                              <v:imagedata r:id="rId1155" o:title=""/>
                            </v:shape>
                            <o:OLEObject Type="Embed" ProgID="Equation.3" ShapeID="_x0000_i1483" DrawAspect="Content" ObjectID="_0000000001" r:id="rId1156"/>
                          </w:object>
                        </w:r>
                        <w:r>
                          <w:rPr>
                            <w:color w:val="000000"/>
                            <w:szCs w:val="24"/>
                            <w:lang w:eastAsia="lt-LT"/>
                          </w:rPr>
                          <w:t>.</w:t>
                        </w:r>
                      </w:p>
                    </w:tc>
                    <w:tc>
                      <w:tcPr>
                        <w:tcW w:w="680" w:type="pct"/>
                        <w:vAlign w:val="center"/>
                        <w:hideMark/>
                      </w:tcPr>
                      <w:p>
                        <w:pPr>
                          <w:tabs>
                            <w:tab w:val="left" w:pos="567"/>
                          </w:tabs>
                          <w:suppressAutoHyphens/>
                          <w:spacing w:line="276" w:lineRule="auto"/>
                          <w:rPr>
                            <w:rFonts w:eastAsia="Calibri"/>
                            <w:color w:val="000000"/>
                            <w:szCs w:val="24"/>
                            <w:lang w:eastAsia="lt-LT"/>
                          </w:rPr>
                        </w:pPr>
                        <w:r>
                          <w:rPr>
                            <w:color w:val="000000"/>
                            <w:szCs w:val="24"/>
                            <w:lang w:eastAsia="lt-LT"/>
                          </w:rPr>
                          <w:t xml:space="preserve">,      (2.394)</w:t>
                        </w:r>
                      </w:p>
                    </w:tc>
                  </w:tr>
                </w:tbl>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 xml:space="preserve">H.HE,m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14"/>
                            <w:szCs w:val="24"/>
                            <w:lang w:eastAsia="lt-LT"/>
                          </w:rPr>
                          <w:object w:dxaOrig="3612" w:dyaOrig="408">
                            <v:shape id="_x0000_i1484" type="#_x0000_t75" style="width:180.4pt;height:20.2pt" o:ole="">
                              <v:imagedata r:id="rId1157" o:title=""/>
                            </v:shape>
                            <o:OLEObject Type="Embed" ProgID="Equation.3" ShapeID="_x0000_i1484" DrawAspect="Content" ObjectID="_0000000001" r:id="rId1158"/>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(2.395)</w:t>
                        </w:r>
                      </w:p>
                    </w:tc>
                  </w:tr>
                </w:tbl>
                <w:p>
                  <w:pPr>
                    <w:tabs>
                      <w:tab w:val="left" w:pos="567"/>
                    </w:tabs>
                    <w:suppressAutoHyphens/>
                    <w:rPr>
                      <w:rFonts w:eastAsia="Calibri"/>
                      <w:color w:val="000000"/>
                      <w:szCs w:val="24"/>
                      <w:lang w:eastAsia="lt-LT"/>
                    </w:rPr>
                  </w:pPr>
                </w:p>
                <w:tbl>
                  <w:tblPr>
                    <w:tblW w:w="5000" w:type="pct"/>
                    <w:jc w:val="center"/>
                    <w:tblLook w:val="01E0" w:firstRow="1" w:lastRow="1" w:firstColumn="1" w:lastColumn="1" w:noHBand="0" w:noVBand="0"/>
                  </w:tblPr>
                  <w:tblGrid>
                    <w:gridCol w:w="8590"/>
                    <w:gridCol w:w="1264"/>
                  </w:tblGrid>
                  <w:tr>
                    <w:trPr>
                      <w:jc w:val="center"/>
                    </w:trPr>
                    <w:tc>
                      <w:tcPr>
                        <w:tcW w:w="8342"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704" w:dyaOrig="1476">
                            <v:shape id="_x0000_i1485" type="#_x0000_t75" style="width:387.5pt;height:74.45pt" o:ole="">
                              <v:imagedata r:id="rId1159" o:title=""/>
                            </v:shape>
                            <o:OLEObject Type="Embed" ProgID="Equation.3" ShapeID="_x0000_i1485" DrawAspect="Content" ObjectID="_0000000001" r:id="rId1160"/>
                          </w:object>
                        </w:r>
                      </w:p>
                    </w:tc>
                    <w:tc>
                      <w:tcPr>
                        <w:tcW w:w="1228"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(2.396) </w:t>
                        </w:r>
                      </w:p>
                    </w:tc>
                  </w:tr>
                </w:tbl>
                <w:p>
                  <w:pPr>
                    <w:tabs>
                      <w:tab w:val="left" w:pos="567"/>
                    </w:tabs>
                    <w:suppressAutoHyphens/>
                    <w:ind w:left="600" w:hanging="600"/>
                    <w:rPr>
                      <w:rFonts w:eastAsia="Calibri"/>
                      <w:color w:val="000000"/>
                      <w:szCs w:val="24"/>
                    </w:rPr>
                  </w:pPr>
                  <w:r>
                    <w:rPr>
                      <w:color w:val="000000"/>
                      <w:szCs w:val="24"/>
                      <w:lang w:eastAsia="lt-LT"/>
                    </w:rPr>
                    <w:t xml:space="preserve">čia: </w:t>
                    <w:tab/>
                    <w:t>formulės paaiškinimus žiūrėti prie (2.345) formulės.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5 p."/>
                <w:tag w:val="part_9e92060be6a84c48b647e47acdd526b1"/>
                <w:lock w:val="sdtLocked"/>
                <w:richText/>
              </w:sdtPr>
              <w:sdtContent>
                <w:p>
                  <w:pPr>
                    <w:ind w:firstLine="600"/>
                    <w:jc w:val="both"/>
                    <w:rPr>
                      <w:color w:val="000000"/>
                      <w:szCs w:val="24"/>
                    </w:rPr>
                  </w:pPr>
                  <w:sdt>
                    <w:sdtPr>
                      <w:alias w:val="Numeris"/>
                      <w:tag w:val="nr_9e92060be6a84c48b647e47acdd526b1"/>
                      <w:lock w:val="sdtLocked"/>
                      <w:richText/>
                    </w:sdtPr>
                    <w:sdtContent>
                      <w:r>
                        <w:rPr>
                          <w:color w:val="000000"/>
                          <w:szCs w:val="24"/>
                        </w:rPr>
                        <w:t>65</w:t>
                      </w:r>
                    </w:sdtContent>
                  </w:sdt>
                  <w:r>
                    <w:rPr>
                      <w:color w:val="000000"/>
                      <w:szCs w:val="24"/>
                    </w:rPr>
                    <w:t xml:space="preserve">. Energijos iš vėjo elektrinių ir hidroelektrinių neatsinaujinančios pirminės energijos sąnaudos pastate, kai ši energija naudojama elektros prietaisams ir karštam vandeniui ruošti, apskaičiuojamos taip: </w:t>
                  </w:r>
                </w:p>
                <w:sdt>
                  <w:sdtPr>
                    <w:alias w:val="2 pr. 65.1 pp."/>
                    <w:tag w:val="part_704e8fcd3473427384e15408ca89493b"/>
                    <w:lock w:val="sdtLocked"/>
                    <w:richText/>
                  </w:sdtPr>
                  <w:sdtContent>
                    <w:p>
                      <w:pPr>
                        <w:ind w:firstLine="600"/>
                        <w:jc w:val="both"/>
                        <w:rPr>
                          <w:color w:val="000000"/>
                          <w:szCs w:val="24"/>
                        </w:rPr>
                      </w:pPr>
                      <w:sdt>
                        <w:sdtPr>
                          <w:alias w:val="Numeris"/>
                          <w:tag w:val="nr_704e8fcd3473427384e15408ca89493b"/>
                          <w:lock w:val="sdtLocked"/>
                          <w:richText/>
                        </w:sdtPr>
                        <w:sdtContent>
                          <w:r>
                            <w:rPr>
                              <w:color w:val="000000"/>
                              <w:szCs w:val="24"/>
                            </w:rPr>
                            <w:t>65.1</w:t>
                          </w:r>
                        </w:sdtContent>
                      </w:sdt>
                      <w:r>
                        <w:rPr>
                          <w:color w:val="000000"/>
                          <w:szCs w:val="24"/>
                        </w:rPr>
                        <w:t xml:space="preserve">. kiekvieną mėnesį </w:t>
                      </w:r>
                      <w:r>
                        <w:rPr>
                          <w:i/>
                          <w:color w:val="000000"/>
                          <w:szCs w:val="24"/>
                        </w:rPr>
                        <w:t xml:space="preserve">„m“ </w:t>
                      </w:r>
                      <w:r>
                        <w:rPr>
                          <w:color w:val="000000"/>
                          <w:szCs w:val="24"/>
                        </w:rPr>
                        <w:t xml:space="preserve">energijos iš vėjo ir hidroelektrinių neatsinaujinančios pirminės energijos sąnaudos pastato šildomo ploto vienetui </w:t>
                      </w:r>
                      <w:r>
                        <w:rPr>
                          <w:i/>
                          <w:color w:val="000000"/>
                          <w:szCs w:val="24"/>
                        </w:rPr>
                        <w:t>Q</w:t>
                      </w:r>
                      <w:r>
                        <w:rPr>
                          <w:i/>
                          <w:color w:val="000000"/>
                          <w:szCs w:val="24"/>
                          <w:vertAlign w:val="subscript"/>
                        </w:rPr>
                        <w:t>PRn.(E+hw).WE+HE,m</w:t>
                      </w:r>
                      <w:r>
                        <w:rPr>
                          <w:color w:val="000000"/>
                          <w:szCs w:val="24"/>
                        </w:rPr>
                        <w:t xml:space="preserve">(kWh/(m²·mėn.)),  kai ši energija naudojama elektros prietaisams ir karštam vandeniui ruošti,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rFonts w:eastAsia="Calibri"/>
                                <w:color w:val="000000"/>
                                <w:position w:val="-14"/>
                                <w:szCs w:val="24"/>
                              </w:rPr>
                              <w:object w:dxaOrig="7530" w:dyaOrig="400">
                                <v:shape id="_x0000_i1486" type="#_x0000_t75" style="width:376.2pt;height:20.2pt" o:ole="">
                                  <v:imagedata r:id="rId1161" o:title=""/>
                                </v:shape>
                                <o:OLEObject Type="Embed" ProgID="Equation.3" ShapeID="_x0000_i1486" DrawAspect="Content" ObjectID="_0000000001" r:id="rId1162"/>
                              </w:object>
                            </w:r>
                            <w:r>
                              <w:rPr>
                                <w:color w:val="000000"/>
                                <w:szCs w:val="24"/>
                              </w:rPr>
                              <w:t>;</w:t>
                            </w:r>
                          </w:p>
                        </w:tc>
                        <w:tc>
                          <w:tcPr>
                            <w:tcW w:w="1292" w:type="dxa"/>
                            <w:vAlign w:val="center"/>
                            <w:hideMark/>
                          </w:tcPr>
                          <w:p>
                            <w:pPr>
                              <w:spacing w:line="276" w:lineRule="auto"/>
                              <w:jc w:val="right"/>
                              <w:rPr>
                                <w:rFonts w:eastAsia="Calibri"/>
                                <w:color w:val="000000"/>
                                <w:szCs w:val="24"/>
                              </w:rPr>
                            </w:pPr>
                            <w:r>
                              <w:rPr>
                                <w:color w:val="000000"/>
                                <w:szCs w:val="24"/>
                              </w:rPr>
                              <w:t xml:space="preserve">(2.398) </w:t>
                            </w:r>
                          </w:p>
                        </w:tc>
                      </w:tr>
                    </w:tbl>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w:t>
                      </w:r>
                      <w:r>
                        <w:rPr>
                          <w:i/>
                          <w:color w:val="000000"/>
                          <w:szCs w:val="24"/>
                          <w:vertAlign w:val="subscript"/>
                        </w:rPr>
                        <w:t>E.WE,m</w:t>
                      </w:r>
                      <w:r>
                        <w:rPr>
                          <w:color w:val="000000"/>
                          <w:szCs w:val="24"/>
                          <w:vertAlign w:val="subscript"/>
                        </w:rPr>
                        <w:t xml:space="preserve">, </w:t>
                      </w:r>
                      <w:r>
                        <w:rPr>
                          <w:i/>
                          <w:color w:val="000000"/>
                          <w:szCs w:val="24"/>
                        </w:rPr>
                        <w:t>Q</w:t>
                      </w:r>
                      <w:r>
                        <w:rPr>
                          <w:i/>
                          <w:color w:val="000000"/>
                          <w:szCs w:val="24"/>
                          <w:vertAlign w:val="superscript"/>
                        </w:rPr>
                        <w:t>I</w:t>
                      </w:r>
                      <w:r>
                        <w:rPr>
                          <w:i/>
                          <w:color w:val="000000"/>
                          <w:szCs w:val="24"/>
                          <w:vertAlign w:val="subscript"/>
                        </w:rPr>
                        <w:t xml:space="preserve">E.HE,m </w:t>
                      </w:r>
                      <w:r>
                        <w:rPr>
                          <w:color w:val="000000"/>
                          <w:szCs w:val="24"/>
                        </w:rPr>
                        <w:t>– atitinkamai vėjo ir hidroelektrinių pagamintas energijos kiekis, sunaudojamas elektros prietaisams (kWh/(m²·mėn.)). Apskaičiuojamas pagal (2.401) ir (2.402) formules;</w:t>
                      </w:r>
                    </w:p>
                    <w:p>
                      <w:pPr>
                        <w:ind w:firstLine="600"/>
                        <w:jc w:val="both"/>
                        <w:rPr>
                          <w:color w:val="000000"/>
                          <w:szCs w:val="24"/>
                        </w:rPr>
                      </w:pPr>
                      <w:r>
                        <w:rPr>
                          <w:i/>
                          <w:color w:val="000000"/>
                          <w:szCs w:val="24"/>
                        </w:rPr>
                        <w:t>Q</w:t>
                      </w:r>
                      <w:r>
                        <w:rPr>
                          <w:i/>
                          <w:color w:val="000000"/>
                          <w:szCs w:val="24"/>
                          <w:vertAlign w:val="superscript"/>
                        </w:rPr>
                        <w:t>I</w:t>
                      </w:r>
                      <w:r>
                        <w:rPr>
                          <w:i/>
                          <w:color w:val="000000"/>
                          <w:szCs w:val="24"/>
                          <w:vertAlign w:val="subscript"/>
                        </w:rPr>
                        <w:t>hw.WE,m</w:t>
                      </w:r>
                      <w:r>
                        <w:rPr>
                          <w:color w:val="000000"/>
                          <w:szCs w:val="24"/>
                          <w:vertAlign w:val="subscript"/>
                        </w:rPr>
                        <w:t>,</w:t>
                      </w:r>
                      <w:r>
                        <w:rPr>
                          <w:i/>
                          <w:color w:val="000000"/>
                          <w:szCs w:val="24"/>
                          <w:vertAlign w:val="subscript"/>
                        </w:rPr>
                        <w:t xml:space="preserve"> </w:t>
                      </w:r>
                      <w:r>
                        <w:rPr>
                          <w:i/>
                          <w:color w:val="000000"/>
                          <w:szCs w:val="24"/>
                        </w:rPr>
                        <w:t>Q</w:t>
                      </w:r>
                      <w:r>
                        <w:rPr>
                          <w:i/>
                          <w:color w:val="000000"/>
                          <w:szCs w:val="24"/>
                          <w:vertAlign w:val="superscript"/>
                        </w:rPr>
                        <w:t>I</w:t>
                      </w:r>
                      <w:r>
                        <w:rPr>
                          <w:i/>
                          <w:color w:val="000000"/>
                          <w:szCs w:val="24"/>
                          <w:vertAlign w:val="subscript"/>
                        </w:rPr>
                        <w:t xml:space="preserve">hw.HE,m </w:t>
                      </w:r>
                      <w:r>
                        <w:rPr>
                          <w:color w:val="000000"/>
                          <w:szCs w:val="24"/>
                        </w:rPr>
                        <w:t>– atitinkamai vėjo ir hidroelektriniųpagamintas energijos kiekis, sunaudojamas karštam vandeniui ruošti (kWh/(m²·mėn.)). Apskaičiuojamas pagal (2.416) ir (2.417) formules;</w:t>
                      </w:r>
                    </w:p>
                  </w:sdtContent>
                </w:sdt>
                <w:sdt>
                  <w:sdtPr>
                    <w:alias w:val="2 pr. 65.2 pp."/>
                    <w:tag w:val="part_74a4b227844c453fbc3899f7021f21f4"/>
                    <w:lock w:val="sdtLocked"/>
                    <w:richText/>
                  </w:sdtPr>
                  <w:sdtContent>
                    <w:p>
                      <w:pPr>
                        <w:ind w:firstLine="600"/>
                        <w:jc w:val="both"/>
                        <w:rPr>
                          <w:color w:val="000000"/>
                          <w:szCs w:val="24"/>
                        </w:rPr>
                      </w:pPr>
                      <w:sdt>
                        <w:sdtPr>
                          <w:alias w:val="Numeris"/>
                          <w:tag w:val="nr_74a4b227844c453fbc3899f7021f21f4"/>
                          <w:lock w:val="sdtLocked"/>
                          <w:richText/>
                        </w:sdtPr>
                        <w:sdtContent>
                          <w:r>
                            <w:rPr>
                              <w:color w:val="000000"/>
                              <w:szCs w:val="24"/>
                            </w:rPr>
                            <w:t>65.2</w:t>
                          </w:r>
                        </w:sdtContent>
                      </w:sdt>
                      <w:r>
                        <w:rPr>
                          <w:color w:val="000000"/>
                          <w:szCs w:val="24"/>
                        </w:rPr>
                        <w:t xml:space="preserve">. vėjo ir hidroelektrinių pagamintos energijos dalys per atitinkamą mėnesį </w:t>
                      </w:r>
                      <w:r>
                        <w:rPr>
                          <w:i/>
                          <w:color w:val="000000"/>
                          <w:szCs w:val="24"/>
                        </w:rPr>
                        <w:t>„m“</w:t>
                      </w:r>
                      <w:r>
                        <w:rPr>
                          <w:color w:val="000000"/>
                          <w:szCs w:val="24"/>
                        </w:rPr>
                        <w:t xml:space="preserve">, kurios priskiriamos elektros prietaisų energijos suvartojimui </w:t>
                      </w:r>
                      <w:r>
                        <w:rPr>
                          <w:i/>
                          <w:color w:val="000000"/>
                          <w:szCs w:val="24"/>
                        </w:rPr>
                        <w:t>f</w:t>
                      </w:r>
                      <w:r>
                        <w:rPr>
                          <w:i/>
                          <w:color w:val="000000"/>
                          <w:szCs w:val="24"/>
                          <w:vertAlign w:val="superscript"/>
                        </w:rPr>
                        <w:t>.I</w:t>
                      </w:r>
                      <w:r>
                        <w:rPr>
                          <w:i/>
                          <w:color w:val="000000"/>
                          <w:szCs w:val="24"/>
                          <w:vertAlign w:val="subscript"/>
                        </w:rPr>
                        <w:t>E.WE+HE,m</w:t>
                      </w:r>
                      <w:r>
                        <w:rPr>
                          <w:color w:val="000000"/>
                          <w:szCs w:val="24"/>
                        </w:rPr>
                        <w:t xml:space="preserve"> (vnt. dalis) ir karšto vandens ruošimo sistemų energijos suvartojimui</w:t>
                      </w:r>
                      <w:r>
                        <w:rPr>
                          <w:i/>
                          <w:color w:val="000000"/>
                          <w:szCs w:val="24"/>
                        </w:rPr>
                        <w:t xml:space="preserve"> f</w:t>
                      </w:r>
                      <w:r>
                        <w:rPr>
                          <w:i/>
                          <w:color w:val="000000"/>
                          <w:szCs w:val="24"/>
                          <w:vertAlign w:val="superscript"/>
                        </w:rPr>
                        <w:t>.I</w:t>
                      </w:r>
                      <w:r>
                        <w:rPr>
                          <w:i/>
                          <w:color w:val="000000"/>
                          <w:szCs w:val="24"/>
                          <w:vertAlign w:val="subscript"/>
                        </w:rPr>
                        <w:t>hw.WE+HE,m</w:t>
                      </w:r>
                      <w:r>
                        <w:rPr>
                          <w:color w:val="000000"/>
                          <w:szCs w:val="24"/>
                        </w:rPr>
                        <w:t xml:space="preserve"> (vnt. dalis) apskaičiuojamos taip:</w:t>
                      </w:r>
                    </w:p>
                    <w:p>
                      <w:pPr>
                        <w:ind w:firstLine="567"/>
                        <w:jc w:val="both"/>
                        <w:rPr>
                          <w:color w:val="000000"/>
                          <w:szCs w:val="24"/>
                        </w:rPr>
                      </w:pPr>
                      <w:r>
                        <w:rPr>
                          <w:lang w:eastAsia="lt-LT"/>
                        </w:rPr>
                        <w:drawing>
                          <wp:inline distT="0" distB="0" distL="0" distR="0">
                            <wp:extent cx="5353050" cy="1885950"/>
                            <wp:effectExtent l="0" t="0" r="0" b="0"/>
                            <wp:docPr id="45" name="Paveikslėlis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1"/>
                                    <pic:cNvPicPr>
                                      <a:picLocks noChangeAspect="1" noChangeArrowheads="1"/>
                                    </pic:cNvPicPr>
                                  </pic:nvPicPr>
                                  <pic:blipFill>
                                    <a:blip r:embed="rId1163">
                                      <a:extLst>
                                        <a:ext uri="{28A0092B-C50C-407E-A947-70E740481C1C}">
                                          <a14:useLocalDpi xmlns:a14="http://schemas.microsoft.com/office/drawing/2010/main" val="0"/>
                                        </a:ext>
                                      </a:extLst>
                                    </a:blip>
                                    <a:srcRect/>
                                    <a:stretch>
                                      <a:fillRect/>
                                    </a:stretch>
                                  </pic:blipFill>
                                  <pic:spPr bwMode="auto">
                                    <a:xfrm>
                                      <a:off x="0" y="0"/>
                                      <a:ext cx="5353050" cy="1885950"/>
                                    </a:xfrm>
                                    <a:prstGeom prst="rect">
                                      <a:avLst/>
                                    </a:prstGeom>
                                    <a:noFill/>
                                    <a:ln>
                                      <a:noFill/>
                                    </a:ln>
                                  </pic:spPr>
                                </pic:pic>
                              </a:graphicData>
                            </a:graphic>
                          </wp:inline>
                        </w:drawing>
                      </w:r>
                    </w:p>
                    <w:p>
                      <w:pPr>
                        <w:tabs>
                          <w:tab w:val="left" w:pos="567"/>
                        </w:tabs>
                        <w:jc w:val="both"/>
                        <w:rPr>
                          <w:color w:val="000000"/>
                          <w:szCs w:val="24"/>
                        </w:rPr>
                      </w:pPr>
                    </w:p>
                    <w:p>
                      <w:pPr>
                        <w:tabs>
                          <w:tab w:val="left" w:pos="567"/>
                        </w:tabs>
                        <w:ind w:firstLine="567"/>
                        <w:jc w:val="both"/>
                        <w:rPr>
                          <w:color w:val="000000"/>
                          <w:szCs w:val="24"/>
                        </w:rPr>
                      </w:pPr>
                      <w:r>
                        <w:rPr>
                          <w:lang w:eastAsia="lt-LT"/>
                        </w:rPr>
                        <w:drawing>
                          <wp:inline distT="0" distB="0" distL="0" distR="0">
                            <wp:extent cx="5784850" cy="1352550"/>
                            <wp:effectExtent l="0" t="0" r="6350" b="0"/>
                            <wp:docPr id="46" name="Paveikslėlis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2"/>
                                    <pic:cNvPicPr>
                                      <a:picLocks noChangeAspect="1" noChangeArrowheads="1"/>
                                    </pic:cNvPicPr>
                                  </pic:nvPicPr>
                                  <pic:blipFill>
                                    <a:blip r:embed="rId1164">
                                      <a:extLst>
                                        <a:ext uri="{28A0092B-C50C-407E-A947-70E740481C1C}">
                                          <a14:useLocalDpi xmlns:a14="http://schemas.microsoft.com/office/drawing/2010/main" val="0"/>
                                        </a:ext>
                                      </a:extLst>
                                    </a:blip>
                                    <a:srcRect/>
                                    <a:stretch>
                                      <a:fillRect/>
                                    </a:stretch>
                                  </pic:blipFill>
                                  <pic:spPr bwMode="auto">
                                    <a:xfrm>
                                      <a:off x="0" y="0"/>
                                      <a:ext cx="5784850" cy="1352550"/>
                                    </a:xfrm>
                                    <a:prstGeom prst="rect">
                                      <a:avLst/>
                                    </a:prstGeom>
                                    <a:noFill/>
                                    <a:ln>
                                      <a:noFill/>
                                    </a:ln>
                                  </pic:spPr>
                                </pic:pic>
                              </a:graphicData>
                            </a:graphic>
                          </wp:inline>
                        </w:drawing>
                      </w:r>
                    </w:p>
                    <w:p>
                      <w:pPr>
                        <w:tabs>
                          <w:tab w:val="left" w:pos="567"/>
                        </w:tabs>
                        <w:jc w:val="both"/>
                        <w:rPr>
                          <w:rFonts w:eastAsia="Calibri"/>
                          <w:color w:val="000000"/>
                          <w:szCs w:val="24"/>
                        </w:rPr>
                      </w:pPr>
                      <w:r>
                        <w:rPr>
                          <w:color w:val="000000"/>
                          <w:szCs w:val="24"/>
                        </w:rPr>
                        <w:t>čia:</w:t>
                        <w:tab/>
                      </w:r>
                      <w:r>
                        <w:rPr>
                          <w:i/>
                          <w:color w:val="000000"/>
                          <w:szCs w:val="24"/>
                        </w:rPr>
                        <w:t>Q</w:t>
                      </w:r>
                      <w:r>
                        <w:rPr>
                          <w:i/>
                          <w:color w:val="000000"/>
                          <w:szCs w:val="24"/>
                          <w:vertAlign w:val="subscript"/>
                        </w:rPr>
                        <w:t>E.eq,m</w:t>
                      </w:r>
                      <w:r>
                        <w:rPr>
                          <w:i/>
                          <w:color w:val="000000"/>
                          <w:szCs w:val="24"/>
                        </w:rPr>
                        <w:t>, Q</w:t>
                      </w:r>
                      <w:r>
                        <w:rPr>
                          <w:i/>
                          <w:color w:val="000000"/>
                          <w:szCs w:val="24"/>
                          <w:vertAlign w:val="subscript"/>
                        </w:rPr>
                        <w:t>E.lg,m</w:t>
                      </w:r>
                      <w:r>
                        <w:rPr>
                          <w:i/>
                          <w:color w:val="000000"/>
                          <w:szCs w:val="24"/>
                        </w:rPr>
                        <w:t>, Q</w:t>
                      </w:r>
                      <w:r>
                        <w:rPr>
                          <w:i/>
                          <w:color w:val="000000"/>
                          <w:szCs w:val="24"/>
                          <w:vertAlign w:val="subscript"/>
                        </w:rPr>
                        <w:t>E.e,m</w:t>
                      </w:r>
                      <w:r>
                        <w:rPr>
                          <w:i/>
                          <w:color w:val="000000"/>
                          <w:szCs w:val="24"/>
                        </w:rPr>
                        <w:t>, Q</w:t>
                      </w:r>
                      <w:r>
                        <w:rPr>
                          <w:i/>
                          <w:color w:val="000000"/>
                          <w:szCs w:val="24"/>
                          <w:vertAlign w:val="subscript"/>
                        </w:rPr>
                        <w:t>E.vent,m</w:t>
                      </w:r>
                      <w:r>
                        <w:rPr>
                          <w:i/>
                          <w:color w:val="000000"/>
                          <w:szCs w:val="24"/>
                        </w:rPr>
                        <w:t>, Q</w:t>
                      </w:r>
                      <w:r>
                        <w:rPr>
                          <w:i/>
                          <w:color w:val="000000"/>
                          <w:szCs w:val="24"/>
                          <w:vertAlign w:val="subscript"/>
                        </w:rPr>
                        <w:t>E.hw.hwSK,m</w:t>
                      </w:r>
                      <w:r>
                        <w:rPr>
                          <w:i/>
                          <w:color w:val="000000"/>
                          <w:szCs w:val="24"/>
                        </w:rPr>
                        <w:t>, Q</w:t>
                      </w:r>
                      <w:r>
                        <w:rPr>
                          <w:i/>
                          <w:color w:val="000000"/>
                          <w:szCs w:val="24"/>
                          <w:vertAlign w:val="subscript"/>
                        </w:rPr>
                        <w:t>E.H.hwSK,m</w:t>
                      </w:r>
                      <w:r>
                        <w:rPr>
                          <w:i/>
                          <w:color w:val="000000"/>
                          <w:szCs w:val="24"/>
                        </w:rPr>
                        <w:t>, Q</w:t>
                      </w:r>
                      <w:r>
                        <w:rPr>
                          <w:i/>
                          <w:color w:val="000000"/>
                          <w:szCs w:val="24"/>
                          <w:vertAlign w:val="subscript"/>
                        </w:rPr>
                        <w:t xml:space="preserve">E.(hw+H).hwSK,m  </w:t>
                      </w:r>
                      <w:r>
                        <w:rPr>
                          <w:color w:val="000000"/>
                          <w:szCs w:val="24"/>
                        </w:rPr>
                        <w:t xml:space="preserve">– elektros energijos suvartojimai atitinkamą </w:t>
                      </w:r>
                      <w:r>
                        <w:rPr>
                          <w:i/>
                          <w:color w:val="000000"/>
                          <w:szCs w:val="24"/>
                        </w:rPr>
                        <w:t>„m“</w:t>
                      </w:r>
                      <w:r>
                        <w:rPr>
                          <w:color w:val="000000"/>
                          <w:szCs w:val="24"/>
                        </w:rPr>
                        <w:t xml:space="preserve"> mėnesį (kWh/(m²·mėn.)). Apskaičiuojami pagal (2.128), (2.129), (2.130), (2.242), (2.190), (2.200) ir (2.220) formules;</w:t>
                      </w:r>
                    </w:p>
                    <w:p>
                      <w:pPr>
                        <w:ind w:firstLine="567"/>
                        <w:jc w:val="both"/>
                        <w:rPr>
                          <w:color w:val="000000"/>
                          <w:szCs w:val="24"/>
                        </w:rPr>
                      </w:pPr>
                      <w:r>
                        <w:rPr>
                          <w:i/>
                          <w:color w:val="000000"/>
                          <w:szCs w:val="24"/>
                        </w:rPr>
                        <w:t>Q</w:t>
                      </w:r>
                      <w:r>
                        <w:rPr>
                          <w:i/>
                          <w:color w:val="000000"/>
                          <w:szCs w:val="24"/>
                          <w:vertAlign w:val="subscript"/>
                        </w:rPr>
                        <w:t>E.fvSK,m</w:t>
                      </w:r>
                      <w:r>
                        <w:rPr>
                          <w:i/>
                          <w:color w:val="000000"/>
                          <w:szCs w:val="24"/>
                        </w:rPr>
                        <w:t>, Q</w:t>
                      </w:r>
                      <w:r>
                        <w:rPr>
                          <w:i/>
                          <w:color w:val="000000"/>
                          <w:szCs w:val="24"/>
                          <w:vertAlign w:val="superscript"/>
                        </w:rPr>
                        <w:t>I</w:t>
                      </w:r>
                      <w:r>
                        <w:rPr>
                          <w:i/>
                          <w:color w:val="000000"/>
                          <w:szCs w:val="24"/>
                          <w:vertAlign w:val="subscript"/>
                        </w:rPr>
                        <w:t>E.fvSK,m</w:t>
                      </w:r>
                      <w:r>
                        <w:rPr>
                          <w:i/>
                          <w:color w:val="000000"/>
                          <w:szCs w:val="24"/>
                        </w:rPr>
                        <w:t>, Q</w:t>
                      </w:r>
                      <w:r>
                        <w:rPr>
                          <w:i/>
                          <w:color w:val="000000"/>
                          <w:szCs w:val="24"/>
                          <w:vertAlign w:val="superscript"/>
                        </w:rPr>
                        <w:t>II</w:t>
                      </w:r>
                      <w:r>
                        <w:rPr>
                          <w:i/>
                          <w:color w:val="000000"/>
                          <w:szCs w:val="24"/>
                          <w:vertAlign w:val="subscript"/>
                        </w:rPr>
                        <w:t>E.fvSK,m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E.fvSK,m</w:t>
                      </w:r>
                      <w:r>
                        <w:rPr>
                          <w:color w:val="000000"/>
                          <w:szCs w:val="24"/>
                        </w:rPr>
                        <w:t xml:space="preserve"> – apskaičiuojama pagal (2.229), (2.253), (2.272) ir (2.313) formules;</w:t>
                      </w:r>
                    </w:p>
                    <w:p>
                      <w:pPr>
                        <w:ind w:left="600" w:hanging="33"/>
                        <w:rPr>
                          <w:color w:val="000000"/>
                          <w:szCs w:val="24"/>
                        </w:rPr>
                      </w:pPr>
                      <w:r>
                        <w:rPr>
                          <w:i/>
                          <w:color w:val="000000"/>
                          <w:szCs w:val="24"/>
                        </w:rPr>
                        <w:t>Q</w:t>
                      </w:r>
                      <w:r>
                        <w:rPr>
                          <w:i/>
                          <w:color w:val="000000"/>
                          <w:szCs w:val="24"/>
                          <w:vertAlign w:val="subscript"/>
                        </w:rPr>
                        <w:t>E.WE,m</w:t>
                      </w:r>
                      <w:r>
                        <w:rPr>
                          <w:color w:val="000000"/>
                          <w:szCs w:val="24"/>
                        </w:rPr>
                        <w:t xml:space="preserve"> – apskaičiuojama pagal (2.345) formulę;</w:t>
                      </w:r>
                    </w:p>
                    <w:p>
                      <w:pPr>
                        <w:ind w:left="600" w:hanging="33"/>
                        <w:rPr>
                          <w:color w:val="000000"/>
                          <w:szCs w:val="24"/>
                        </w:rPr>
                      </w:pPr>
                      <w:r>
                        <w:rPr>
                          <w:i/>
                          <w:color w:val="000000"/>
                          <w:szCs w:val="24"/>
                        </w:rPr>
                        <w:t>Q</w:t>
                      </w:r>
                      <w:r>
                        <w:rPr>
                          <w:i/>
                          <w:color w:val="000000"/>
                          <w:szCs w:val="24"/>
                          <w:vertAlign w:val="subscript"/>
                        </w:rPr>
                        <w:t>E.HE,m</w:t>
                      </w:r>
                      <w:r>
                        <w:rPr>
                          <w:color w:val="000000"/>
                          <w:szCs w:val="24"/>
                        </w:rPr>
                        <w:t xml:space="preserve"> – apskaičiuojama pagal (2.346) formulę;</w:t>
                      </w:r>
                    </w:p>
                    <w:p>
                      <w:pPr>
                        <w:ind w:left="600"/>
                        <w:rPr>
                          <w:color w:val="000000"/>
                          <w:szCs w:val="24"/>
                        </w:rPr>
                      </w:pPr>
                      <w:r>
                        <w:rPr>
                          <w:i/>
                          <w:color w:val="000000"/>
                          <w:szCs w:val="24"/>
                        </w:rPr>
                        <w:t>Q</w:t>
                      </w:r>
                      <w:r>
                        <w:rPr>
                          <w:i/>
                          <w:color w:val="000000"/>
                          <w:szCs w:val="24"/>
                          <w:vertAlign w:val="subscript"/>
                        </w:rPr>
                        <w:t>hw.sum.SK,m</w:t>
                      </w:r>
                      <w:r>
                        <w:rPr>
                          <w:color w:val="000000"/>
                          <w:szCs w:val="24"/>
                        </w:rPr>
                        <w:t xml:space="preserve"> – apskaičiuojama pagal (2.338) formulę;</w:t>
                      </w:r>
                    </w:p>
                    <w:p>
                      <w:pPr>
                        <w:ind w:left="600"/>
                        <w:rPr>
                          <w:color w:val="000000"/>
                          <w:szCs w:val="24"/>
                        </w:rPr>
                      </w:pPr>
                      <w:r>
                        <w:rPr>
                          <w:i/>
                          <w:color w:val="000000"/>
                          <w:szCs w:val="24"/>
                        </w:rPr>
                        <w:t>Q</w:t>
                      </w:r>
                      <w:r>
                        <w:rPr>
                          <w:i/>
                          <w:color w:val="000000"/>
                          <w:szCs w:val="24"/>
                          <w:vertAlign w:val="subscript"/>
                        </w:rPr>
                        <w:t>hw.WE,m</w:t>
                      </w:r>
                      <w:r>
                        <w:rPr>
                          <w:color w:val="000000"/>
                          <w:szCs w:val="24"/>
                        </w:rPr>
                        <w:t xml:space="preserve"> – apskaičiuojama pagal (2.364) formulę;</w:t>
                      </w:r>
                    </w:p>
                    <w:p>
                      <w:pPr>
                        <w:ind w:left="600"/>
                        <w:rPr>
                          <w:color w:val="000000"/>
                          <w:szCs w:val="24"/>
                        </w:rPr>
                      </w:pPr>
                      <w:r>
                        <w:rPr>
                          <w:i/>
                          <w:color w:val="000000"/>
                          <w:szCs w:val="24"/>
                        </w:rPr>
                        <w:t>Q</w:t>
                      </w:r>
                      <w:r>
                        <w:rPr>
                          <w:i/>
                          <w:color w:val="000000"/>
                          <w:szCs w:val="24"/>
                          <w:vertAlign w:val="subscript"/>
                        </w:rPr>
                        <w:t>hw.HE,m</w:t>
                      </w:r>
                      <w:r>
                        <w:rPr>
                          <w:color w:val="000000"/>
                          <w:szCs w:val="24"/>
                        </w:rPr>
                        <w:t xml:space="preserve"> – apskaičiuojama pagal (2.365) formulę.</w:t>
                      </w:r>
                    </w:p>
                    <w:p>
                      <w:pPr>
                        <w:ind w:left="600" w:hanging="600"/>
                        <w:rPr>
                          <w:color w:val="000000"/>
                          <w:szCs w:val="24"/>
                        </w:rPr>
                      </w:pPr>
                    </w:p>
                    <w:tbl>
                      <w:tblPr>
                        <w:tblW w:w="5000" w:type="pct"/>
                        <w:jc w:val="center"/>
                        <w:tblLook w:val="01E0" w:firstRow="1" w:lastRow="1" w:firstColumn="1" w:lastColumn="1" w:noHBand="0" w:noVBand="0"/>
                      </w:tblPr>
                      <w:tblGrid>
                        <w:gridCol w:w="8557"/>
                        <w:gridCol w:w="1297"/>
                      </w:tblGrid>
                      <w:tr>
                        <w:trPr>
                          <w:jc w:val="center"/>
                        </w:trPr>
                        <w:tc>
                          <w:tcPr>
                            <w:tcW w:w="8294" w:type="dxa"/>
                            <w:vAlign w:val="center"/>
                            <w:hideMark/>
                          </w:tcPr>
                          <w:p>
                            <w:pPr>
                              <w:spacing w:line="276" w:lineRule="auto"/>
                              <w:ind w:left="1134"/>
                              <w:jc w:val="center"/>
                              <w:rPr>
                                <w:rFonts w:eastAsia="Calibri"/>
                                <w:color w:val="000000"/>
                                <w:szCs w:val="24"/>
                              </w:rPr>
                            </w:pPr>
                            <w:r>
                              <w:rPr>
                                <w:color w:val="000000"/>
                                <w:szCs w:val="24"/>
                              </w:rPr>
                              <w:object w:dxaOrig="7070" w:dyaOrig="2410">
                                <v:shape id="_x0000_i1487" type="#_x0000_t75" style="width:353.55pt;height:120.55pt" o:ole="">
                                  <v:imagedata r:id="rId1165" o:title=""/>
                                </v:shape>
                                <o:OLEObject Type="Embed" ProgID="Equation.3" ShapeID="_x0000_i1487" DrawAspect="Content" ObjectID="_0000000001" r:id="rId1166"/>
                              </w:object>
                              <w:t>;</w:t>
                            </w:r>
                          </w:p>
                        </w:tc>
                        <w:tc>
                          <w:tcPr>
                            <w:tcW w:w="1276" w:type="dxa"/>
                            <w:vAlign w:val="center"/>
                            <w:hideMark/>
                          </w:tcPr>
                          <w:p>
                            <w:pPr>
                              <w:spacing w:line="276" w:lineRule="auto"/>
                              <w:jc w:val="right"/>
                              <w:rPr>
                                <w:rFonts w:eastAsia="Calibri"/>
                                <w:color w:val="000000"/>
                                <w:szCs w:val="24"/>
                              </w:rPr>
                            </w:pPr>
                            <w:r>
                              <w:rPr>
                                <w:color w:val="000000"/>
                                <w:szCs w:val="24"/>
                              </w:rPr>
                              <w:t xml:space="preserve">(2.401) </w:t>
                            </w:r>
                          </w:p>
                        </w:tc>
                      </w:tr>
                    </w:tbl>
                    <w:p>
                      <w:pPr>
                        <w:ind w:left="600" w:hanging="600"/>
                        <w:rPr>
                          <w:rFonts w:eastAsia="Calibri"/>
                          <w:color w:val="000000"/>
                          <w:szCs w:val="24"/>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color w:val="000000"/>
                                <w:szCs w:val="24"/>
                              </w:rPr>
                              <w:object w:dxaOrig="5630" w:dyaOrig="840">
                                <v:shape id="_x0000_i1488" type="#_x0000_t75" style="width:280.7pt;height:42.05pt" o:ole="">
                                  <v:imagedata r:id="rId1167" o:title=""/>
                                </v:shape>
                                <o:OLEObject Type="Embed" ProgID="Equation.3" ShapeID="_x0000_i1488" DrawAspect="Content" ObjectID="_0000000001" r:id="rId1168"/>
                              </w:object>
                              <w:t>;</w:t>
                            </w:r>
                          </w:p>
                        </w:tc>
                        <w:tc>
                          <w:tcPr>
                            <w:tcW w:w="1292" w:type="dxa"/>
                            <w:vAlign w:val="center"/>
                            <w:hideMark/>
                          </w:tcPr>
                          <w:p>
                            <w:pPr>
                              <w:spacing w:line="276" w:lineRule="auto"/>
                              <w:jc w:val="right"/>
                              <w:rPr>
                                <w:rFonts w:eastAsia="Calibri"/>
                                <w:color w:val="000000"/>
                                <w:szCs w:val="24"/>
                              </w:rPr>
                            </w:pPr>
                            <w:r>
                              <w:rPr>
                                <w:color w:val="000000"/>
                                <w:szCs w:val="24"/>
                              </w:rPr>
                              <w:t xml:space="preserve">(2.402) </w:t>
                            </w:r>
                          </w:p>
                        </w:tc>
                      </w:tr>
                    </w:tbl>
                    <w:p>
                      <w:pPr>
                        <w:ind w:left="600" w:hanging="600"/>
                        <w:rPr>
                          <w:rFonts w:eastAsia="Calibri"/>
                          <w:color w:val="000000"/>
                          <w:szCs w:val="24"/>
                        </w:rPr>
                      </w:pPr>
                      <w:r>
                        <w:rPr>
                          <w:color w:val="000000"/>
                          <w:szCs w:val="24"/>
                        </w:rPr>
                        <w:t xml:space="preserve">čia: </w:t>
                        <w:tab/>
                        <w:t>(2.401) formulės taikymo sąlygos:</w:t>
                      </w:r>
                    </w:p>
                    <w:p>
                      <w:pPr>
                        <w:ind w:firstLine="567"/>
                        <w:jc w:val="both"/>
                        <w:rPr>
                          <w:color w:val="000000"/>
                          <w:szCs w:val="24"/>
                        </w:rPr>
                      </w:pPr>
                      <w:r>
                        <w:rPr>
                          <w:color w:val="000000"/>
                          <w:szCs w:val="24"/>
                        </w:rPr>
                        <w:t>- kai pastate naudojama iš vėjo elektrinių pagamintos elektros energijos dvipusė apskaita ir kai vėjo elektrinės pagamina daugiau elektros energijos už elektros prietaisų energijos sąnaudas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480" w:dyaOrig="1200">
                                <v:shape id="_x0000_i1489" type="#_x0000_t75" style="width:273.45pt;height:59.85pt" o:ole="">
                                  <v:imagedata r:id="rId1169" o:title=""/>
                                </v:shape>
                                <o:OLEObject Type="Embed" ProgID="Equation.3" ShapeID="_x0000_i1489" DrawAspect="Content" ObjectID="_0000000001" r:id="rId1170"/>
                              </w:object>
                            </w:r>
                          </w:p>
                        </w:tc>
                        <w:tc>
                          <w:tcPr>
                            <w:tcW w:w="1062" w:type="dxa"/>
                            <w:vAlign w:val="center"/>
                            <w:hideMark/>
                          </w:tcPr>
                          <w:p>
                            <w:pPr>
                              <w:spacing w:line="276" w:lineRule="auto"/>
                              <w:jc w:val="right"/>
                              <w:rPr>
                                <w:rFonts w:eastAsia="Calibri"/>
                                <w:color w:val="000000"/>
                                <w:szCs w:val="24"/>
                              </w:rPr>
                            </w:pPr>
                            <w:r>
                              <w:rPr>
                                <w:color w:val="000000"/>
                                <w:szCs w:val="24"/>
                              </w:rPr>
                              <w:t>(2.403)</w:t>
                            </w:r>
                          </w:p>
                        </w:tc>
                      </w:tr>
                    </w:tbl>
                    <w:p>
                      <w:pPr>
                        <w:ind w:left="840"/>
                        <w:rPr>
                          <w:rFonts w:eastAsia="Calibri"/>
                          <w:color w:val="000000"/>
                          <w:szCs w:val="24"/>
                        </w:rPr>
                      </w:pPr>
                      <w:r>
                        <w:rPr>
                          <w:color w:val="000000"/>
                          <w:szCs w:val="24"/>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rFonts w:eastAsia="Calibri"/>
                                <w:color w:val="000000"/>
                                <w:szCs w:val="24"/>
                              </w:rPr>
                              <w:object w:dxaOrig="5470" w:dyaOrig="1200">
                                <v:shape id="_x0000_i1490" type="#_x0000_t75" style="width:274.25pt;height:59.85pt" o:ole="">
                                  <v:imagedata r:id="rId1171" o:title=""/>
                                </v:shape>
                                <o:OLEObject Type="Embed" ProgID="Equation.3" ShapeID="_x0000_i1490" DrawAspect="Content" ObjectID="_0000000001" r:id="rId1172"/>
                              </w:object>
                            </w:r>
                          </w:p>
                        </w:tc>
                        <w:tc>
                          <w:tcPr>
                            <w:tcW w:w="1062" w:type="dxa"/>
                            <w:vAlign w:val="center"/>
                            <w:hideMark/>
                          </w:tcPr>
                          <w:p>
                            <w:pPr>
                              <w:spacing w:line="276" w:lineRule="auto"/>
                              <w:jc w:val="right"/>
                              <w:rPr>
                                <w:rFonts w:eastAsia="Calibri"/>
                                <w:color w:val="000000"/>
                                <w:szCs w:val="24"/>
                              </w:rPr>
                            </w:pPr>
                            <w:r>
                              <w:rPr>
                                <w:color w:val="000000"/>
                                <w:szCs w:val="24"/>
                              </w:rPr>
                              <w:t>(2.404)</w:t>
                            </w:r>
                          </w:p>
                        </w:tc>
                      </w:tr>
                    </w:tbl>
                    <w:p>
                      <w:pPr>
                        <w:rPr>
                          <w:rFonts w:eastAsia="Calibri"/>
                          <w:color w:val="000000"/>
                          <w:szCs w:val="24"/>
                        </w:rPr>
                      </w:pPr>
                      <w:r>
                        <w:rPr>
                          <w:color w:val="000000"/>
                          <w:szCs w:val="24"/>
                        </w:rPr>
                        <w:t>kitais atvejais skaičiavimo rezultatas atitinka gautą pagal (2.401) formulę;</w:t>
                      </w:r>
                    </w:p>
                    <w:p>
                      <w:pPr>
                        <w:tabs>
                          <w:tab w:val="left" w:pos="851"/>
                        </w:tabs>
                        <w:ind w:firstLine="567"/>
                        <w:rPr>
                          <w:color w:val="000000"/>
                          <w:szCs w:val="24"/>
                        </w:rPr>
                      </w:pPr>
                      <w:r>
                        <w:rPr>
                          <w:color w:val="000000"/>
                          <w:szCs w:val="24"/>
                        </w:rPr>
                        <w:t>-</w:t>
                        <w:tab/>
                        <w:t>kai pastate naudojama iš vėjo elektrinių pagamintos elektros energijos dvipusė apskaita, jei</w:t>
                      </w:r>
                    </w:p>
                    <w:tbl>
                      <w:tblPr>
                        <w:tblW w:w="5000" w:type="pct"/>
                        <w:tblLook w:val="01E0" w:firstRow="1" w:lastRow="1" w:firstColumn="1" w:lastColumn="1" w:noHBand="0" w:noVBand="0"/>
                      </w:tblPr>
                      <w:tblGrid>
                        <w:gridCol w:w="8526"/>
                        <w:gridCol w:w="1328"/>
                      </w:tblGrid>
                      <w:tr>
                        <w:tc>
                          <w:tcPr>
                            <w:tcW w:w="4326" w:type="pct"/>
                            <w:hideMark/>
                          </w:tcPr>
                          <w:p>
                            <w:pPr>
                              <w:spacing w:line="276" w:lineRule="auto"/>
                              <w:ind w:left="993"/>
                              <w:jc w:val="center"/>
                              <w:rPr>
                                <w:rFonts w:eastAsia="Calibri"/>
                                <w:color w:val="000000"/>
                                <w:szCs w:val="24"/>
                              </w:rPr>
                            </w:pPr>
                            <w:r>
                              <w:rPr>
                                <w:rFonts w:eastAsia="Calibri"/>
                                <w:color w:val="000000"/>
                                <w:szCs w:val="24"/>
                              </w:rPr>
                              <w:object w:dxaOrig="6890" w:dyaOrig="2670">
                                <v:shape id="_x0000_i1491" type="#_x0000_t75" style="width:343.8pt;height:133.5pt" o:ole="">
                                  <v:imagedata r:id="rId1173" o:title=""/>
                                </v:shape>
                                <o:OLEObject Type="Embed" ProgID="Equation.3" ShapeID="_x0000_i1491" DrawAspect="Content" ObjectID="_0000000001" r:id="rId1174"/>
                              </w:object>
                            </w:r>
                          </w:p>
                        </w:tc>
                        <w:tc>
                          <w:tcPr>
                            <w:tcW w:w="674" w:type="pct"/>
                            <w:vAlign w:val="center"/>
                            <w:hideMark/>
                          </w:tcPr>
                          <w:p>
                            <w:pPr>
                              <w:spacing w:line="276" w:lineRule="auto"/>
                              <w:jc w:val="right"/>
                              <w:rPr>
                                <w:rFonts w:eastAsia="Calibri"/>
                                <w:color w:val="000000"/>
                                <w:szCs w:val="24"/>
                              </w:rPr>
                            </w:pPr>
                            <w:r>
                              <w:rPr>
                                <w:color w:val="000000"/>
                                <w:szCs w:val="24"/>
                              </w:rPr>
                              <w:t>(2.405)</w:t>
                            </w:r>
                          </w:p>
                        </w:tc>
                      </w:tr>
                    </w:tbl>
                    <w:p>
                      <w:pPr>
                        <w:tabs>
                          <w:tab w:val="num" w:pos="1200"/>
                        </w:tabs>
                        <w:rPr>
                          <w:rFonts w:eastAsia="Calibri"/>
                          <w:color w:val="000000"/>
                          <w:szCs w:val="24"/>
                        </w:rPr>
                      </w:pPr>
                      <w:r>
                        <w:rPr>
                          <w:color w:val="000000"/>
                          <w:szCs w:val="24"/>
                        </w:rPr>
                        <w:t>tai</w:t>
                      </w:r>
                      <w:r>
                        <w:rPr>
                          <w:i/>
                          <w:color w:val="000000"/>
                          <w:szCs w:val="24"/>
                        </w:rPr>
                        <w:t xml:space="preserve"> Q</w:t>
                      </w:r>
                      <w:r>
                        <w:rPr>
                          <w:i/>
                          <w:color w:val="000000"/>
                          <w:szCs w:val="24"/>
                          <w:vertAlign w:val="superscript"/>
                        </w:rPr>
                        <w:t>I</w:t>
                      </w:r>
                      <w:r>
                        <w:rPr>
                          <w:i/>
                          <w:color w:val="000000"/>
                          <w:szCs w:val="24"/>
                          <w:vertAlign w:val="subscript"/>
                        </w:rPr>
                        <w:t xml:space="preserve">E.WE,m  </w:t>
                      </w:r>
                      <w:r>
                        <w:rPr>
                          <w:color w:val="000000"/>
                          <w:szCs w:val="24"/>
                        </w:rPr>
                        <w:t>apskaičiuojama pagal (2.401) formulę, bet jei</w:t>
                      </w:r>
                    </w:p>
                    <w:tbl>
                      <w:tblPr>
                        <w:tblW w:w="5000" w:type="pct"/>
                        <w:tblLook w:val="01E0" w:firstRow="1" w:lastRow="1" w:firstColumn="1" w:lastColumn="1" w:noHBand="0" w:noVBand="0"/>
                      </w:tblPr>
                      <w:tblGrid>
                        <w:gridCol w:w="8514"/>
                        <w:gridCol w:w="1340"/>
                      </w:tblGrid>
                      <w:tr>
                        <w:tc>
                          <w:tcPr>
                            <w:tcW w:w="4320" w:type="pct"/>
                            <w:hideMark/>
                          </w:tcPr>
                          <w:p>
                            <w:pPr>
                              <w:spacing w:line="276" w:lineRule="auto"/>
                              <w:ind w:left="851"/>
                              <w:jc w:val="center"/>
                              <w:rPr>
                                <w:rFonts w:eastAsia="Calibri"/>
                                <w:color w:val="000000"/>
                                <w:szCs w:val="24"/>
                              </w:rPr>
                            </w:pPr>
                            <w:r>
                              <w:rPr>
                                <w:szCs w:val="24"/>
                                <w:lang w:eastAsia="lt-LT"/>
                              </w:rPr>
                              <w:object w:dxaOrig="7090" w:dyaOrig="1550">
                                <v:shape id="_x0000_i1492" type="#_x0000_t75" style="width:355.15pt;height:77.65pt" o:ole="">
                                  <v:imagedata r:id="rId1175" o:title=""/>
                                </v:shape>
                                <o:OLEObject Type="Embed" ProgID="Equation.3" ShapeID="_x0000_i1492" DrawAspect="Content" ObjectID="_0000000001" r:id="rId1176"/>
                              </w:object>
                            </w:r>
                          </w:p>
                        </w:tc>
                        <w:tc>
                          <w:tcPr>
                            <w:tcW w:w="680" w:type="pct"/>
                            <w:vAlign w:val="center"/>
                            <w:hideMark/>
                          </w:tcPr>
                          <w:p>
                            <w:pPr>
                              <w:spacing w:line="276" w:lineRule="auto"/>
                              <w:jc w:val="right"/>
                              <w:rPr>
                                <w:rFonts w:eastAsia="Calibri"/>
                                <w:color w:val="000000"/>
                                <w:szCs w:val="24"/>
                              </w:rPr>
                            </w:pPr>
                            <w:r>
                              <w:rPr>
                                <w:color w:val="000000"/>
                                <w:szCs w:val="24"/>
                              </w:rPr>
                              <w:t>(2.406)</w:t>
                            </w:r>
                          </w:p>
                        </w:tc>
                      </w:tr>
                    </w:tbl>
                    <w:p>
                      <w:pPr>
                        <w:rPr>
                          <w:rFonts w:eastAsia="Calibri"/>
                          <w:color w:val="000000"/>
                          <w:szCs w:val="24"/>
                        </w:rPr>
                      </w:pPr>
                      <w:r>
                        <w:rPr>
                          <w:color w:val="000000"/>
                          <w:szCs w:val="24"/>
                        </w:rPr>
                        <w:t>ir pagal (2.406)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color w:val="000000"/>
                                <w:szCs w:val="24"/>
                              </w:rPr>
                            </w:pPr>
                            <w:r>
                              <w:rPr>
                                <w:position w:val="-12"/>
                                <w:szCs w:val="24"/>
                                <w:lang w:eastAsia="lt-LT"/>
                              </w:rPr>
                              <w:object w:dxaOrig="2670" w:dyaOrig="400">
                                <v:shape id="_x0000_i1493" type="#_x0000_t75" style="width:133.5pt;height:20.2pt" o:ole="">
                                  <v:imagedata r:id="rId1177" o:title=""/>
                                </v:shape>
                                <o:OLEObject Type="Embed" ProgID="Equation.3" ShapeID="_x0000_i1493" DrawAspect="Content" ObjectID="_0000000001" r:id="rId1178"/>
                              </w:object>
                            </w:r>
                            <w:r>
                              <w:rPr>
                                <w:color w:val="000000"/>
                                <w:szCs w:val="24"/>
                              </w:rPr>
                              <w:t xml:space="preserve">, kitais mėnesiais </w:t>
                            </w:r>
                            <w:r>
                              <w:rPr>
                                <w:rFonts w:eastAsia="Calibri"/>
                                <w:color w:val="000000"/>
                                <w:position w:val="-12"/>
                                <w:szCs w:val="24"/>
                              </w:rPr>
                              <w:object w:dxaOrig="1060" w:dyaOrig="350">
                                <v:shape id="_x0000_i1494" type="#_x0000_t75" style="width:54.2pt;height:17.8pt" o:ole="">
                                  <v:imagedata r:id="rId1179" o:title=""/>
                                </v:shape>
                                <o:OLEObject Type="Embed" ProgID="Equation.3" ShapeID="_x0000_i1494" DrawAspect="Content" ObjectID="_0000000001" r:id="rId1180"/>
                              </w:object>
                            </w:r>
                            <w:r>
                              <w:rPr>
                                <w:color w:val="000000"/>
                                <w:szCs w:val="24"/>
                              </w:rPr>
                              <w:t>,</w:t>
                            </w:r>
                          </w:p>
                        </w:tc>
                        <w:tc>
                          <w:tcPr>
                            <w:tcW w:w="868" w:type="pct"/>
                            <w:vAlign w:val="center"/>
                            <w:hideMark/>
                          </w:tcPr>
                          <w:p>
                            <w:pPr>
                              <w:spacing w:line="276" w:lineRule="auto"/>
                              <w:jc w:val="right"/>
                              <w:rPr>
                                <w:rFonts w:eastAsia="Calibri"/>
                                <w:color w:val="000000"/>
                                <w:szCs w:val="24"/>
                              </w:rPr>
                            </w:pPr>
                            <w:r>
                              <w:rPr>
                                <w:color w:val="000000"/>
                                <w:szCs w:val="24"/>
                              </w:rPr>
                              <w:t>(2.407)</w:t>
                            </w:r>
                          </w:p>
                        </w:tc>
                      </w:tr>
                    </w:tbl>
                    <w:p>
                      <w:pPr>
                        <w:rPr>
                          <w:rFonts w:eastAsia="Calibri"/>
                          <w:color w:val="000000"/>
                          <w:szCs w:val="24"/>
                        </w:rPr>
                      </w:pPr>
                      <w:r>
                        <w:rPr>
                          <w:color w:val="000000"/>
                          <w:szCs w:val="24"/>
                        </w:rPr>
                        <w:t>o jei pagal (2.406)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spacing w:line="276" w:lineRule="auto"/>
                              <w:jc w:val="center"/>
                              <w:rPr>
                                <w:rFonts w:eastAsia="Calibri"/>
                                <w:color w:val="000000"/>
                                <w:szCs w:val="24"/>
                              </w:rPr>
                            </w:pPr>
                            <w:r>
                              <w:rPr>
                                <w:rFonts w:eastAsia="Calibri"/>
                                <w:color w:val="000000"/>
                                <w:szCs w:val="24"/>
                              </w:rPr>
                              <w:object w:dxaOrig="7040" w:dyaOrig="1550">
                                <v:shape id="_x0000_i1495" type="#_x0000_t75" style="width:351.9pt;height:77.65pt" o:ole="">
                                  <v:imagedata r:id="rId1181" o:title=""/>
                                </v:shape>
                                <o:OLEObject Type="Embed" ProgID="Equation.3" ShapeID="_x0000_i1495" DrawAspect="Content" ObjectID="_0000000001" r:id="rId1182"/>
                              </w:object>
                            </w:r>
                          </w:p>
                          <w:p>
                            <w:pPr>
                              <w:spacing w:line="276" w:lineRule="auto"/>
                              <w:jc w:val="center"/>
                              <w:rPr>
                                <w:rFonts w:eastAsia="Calibri"/>
                                <w:color w:val="000000"/>
                                <w:szCs w:val="24"/>
                              </w:rPr>
                            </w:pPr>
                            <w:r>
                              <w:rPr>
                                <w:color w:val="000000"/>
                                <w:szCs w:val="24"/>
                              </w:rPr>
                              <w:t xml:space="preserve">kitais mėnesiais </w:t>
                            </w:r>
                            <w:r>
                              <w:rPr>
                                <w:rFonts w:eastAsia="Calibri"/>
                                <w:color w:val="000000"/>
                                <w:position w:val="-12"/>
                                <w:szCs w:val="24"/>
                              </w:rPr>
                              <w:object w:dxaOrig="1060" w:dyaOrig="350">
                                <v:shape id="_x0000_i1496" type="#_x0000_t75" style="width:54.2pt;height:17.8pt" o:ole="">
                                  <v:imagedata r:id="rId1183" o:title=""/>
                                </v:shape>
                                <o:OLEObject Type="Embed" ProgID="Equation.3" ShapeID="_x0000_i1496" DrawAspect="Content" ObjectID="_0000000001" r:id="rId1184"/>
                              </w:object>
                            </w:r>
                            <w:r>
                              <w:rPr>
                                <w:color w:val="000000"/>
                                <w:szCs w:val="24"/>
                              </w:rPr>
                              <w:t>;</w:t>
                            </w:r>
                          </w:p>
                        </w:tc>
                        <w:tc>
                          <w:tcPr>
                            <w:tcW w:w="680" w:type="pct"/>
                            <w:vAlign w:val="center"/>
                            <w:hideMark/>
                          </w:tcPr>
                          <w:p>
                            <w:pPr>
                              <w:spacing w:line="276" w:lineRule="auto"/>
                              <w:jc w:val="right"/>
                              <w:rPr>
                                <w:rFonts w:eastAsia="Calibri"/>
                                <w:color w:val="000000"/>
                                <w:szCs w:val="24"/>
                              </w:rPr>
                            </w:pPr>
                            <w:r>
                              <w:rPr>
                                <w:color w:val="000000"/>
                                <w:szCs w:val="24"/>
                              </w:rPr>
                              <w:t>(2.408)</w:t>
                            </w:r>
                          </w:p>
                        </w:tc>
                      </w:tr>
                    </w:tbl>
                    <w:p>
                      <w:pPr>
                        <w:ind w:left="600"/>
                        <w:rPr>
                          <w:color w:val="000000"/>
                          <w:szCs w:val="24"/>
                        </w:rPr>
                      </w:pPr>
                      <w:r>
                        <w:rPr>
                          <w:color w:val="000000"/>
                          <w:szCs w:val="24"/>
                        </w:rPr>
                        <w:t>(2.402) formulės taikymo sąlygos:</w:t>
                      </w:r>
                    </w:p>
                    <w:p>
                      <w:pPr>
                        <w:ind w:firstLine="567"/>
                        <w:jc w:val="both"/>
                        <w:rPr>
                          <w:color w:val="000000"/>
                          <w:szCs w:val="24"/>
                        </w:rPr>
                      </w:pPr>
                      <w:r>
                        <w:rPr>
                          <w:color w:val="000000"/>
                          <w:szCs w:val="24"/>
                        </w:rPr>
                        <w:t>- kai pastate nenaudojama iš vėjo elektrinių ir hidroelektrinių pagamintos elektros energijos dvipusė apskaita ir kai vėjo ir hidroelektrinės pagamina daugiau elektros energijos už elektros prietaisų energijos sąnaudas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color w:val="000000"/>
                                <w:szCs w:val="24"/>
                              </w:rPr>
                            </w:pPr>
                            <w:r>
                              <w:rPr>
                                <w:rFonts w:eastAsia="Calibri"/>
                                <w:color w:val="000000"/>
                                <w:szCs w:val="24"/>
                              </w:rPr>
                              <w:object w:dxaOrig="6330" w:dyaOrig="1200">
                                <v:shape id="_x0000_i1497" type="#_x0000_t75" style="width:316.3pt;height:59.85pt" o:ole="">
                                  <v:imagedata r:id="rId1185" o:title=""/>
                                </v:shape>
                                <o:OLEObject Type="Embed" ProgID="Equation.3" ShapeID="_x0000_i1497" DrawAspect="Content" ObjectID="_0000000001" r:id="rId1186"/>
                              </w:object>
                            </w:r>
                          </w:p>
                        </w:tc>
                        <w:tc>
                          <w:tcPr>
                            <w:tcW w:w="1062" w:type="dxa"/>
                            <w:vAlign w:val="center"/>
                            <w:hideMark/>
                          </w:tcPr>
                          <w:p>
                            <w:pPr>
                              <w:spacing w:line="276" w:lineRule="auto"/>
                              <w:jc w:val="right"/>
                              <w:rPr>
                                <w:rFonts w:eastAsia="Calibri"/>
                                <w:color w:val="000000"/>
                                <w:szCs w:val="24"/>
                              </w:rPr>
                            </w:pPr>
                            <w:r>
                              <w:rPr>
                                <w:color w:val="000000"/>
                                <w:szCs w:val="24"/>
                              </w:rPr>
                              <w:t>(2.409)</w:t>
                            </w:r>
                          </w:p>
                        </w:tc>
                      </w:tr>
                    </w:tbl>
                    <w:p>
                      <w:pPr>
                        <w:tabs>
                          <w:tab w:val="left" w:pos="1200"/>
                        </w:tabs>
                        <w:ind w:left="1200" w:hanging="360"/>
                        <w:jc w:val="both"/>
                        <w:rPr>
                          <w:rFonts w:eastAsia="Calibri"/>
                          <w:color w:val="000000"/>
                          <w:szCs w:val="24"/>
                        </w:rPr>
                      </w:pPr>
                      <w:r>
                        <w:rPr>
                          <w:color w:val="000000"/>
                          <w:szCs w:val="24"/>
                        </w:rPr>
                        <w:t>-</w:t>
                        <w:tab/>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rPr>
                                <w:sz w:val="10"/>
                                <w:szCs w:val="10"/>
                              </w:rPr>
                            </w:pPr>
                          </w:p>
                          <w:p>
                            <w:pPr>
                              <w:spacing w:line="276" w:lineRule="auto"/>
                              <w:jc w:val="center"/>
                              <w:rPr>
                                <w:rFonts w:eastAsia="Calibri"/>
                                <w:color w:val="000000"/>
                                <w:szCs w:val="24"/>
                              </w:rPr>
                            </w:pPr>
                            <w:r>
                              <w:rPr>
                                <w:rFonts w:eastAsia="Calibri"/>
                                <w:color w:val="000000"/>
                                <w:szCs w:val="24"/>
                              </w:rPr>
                              <w:object w:dxaOrig="6330" w:dyaOrig="1200">
                                <v:shape id="_x0000_i1498" type="#_x0000_t75" style="width:316.3pt;height:59.85pt" o:ole="">
                                  <v:imagedata r:id="rId1187" o:title=""/>
                                </v:shape>
                                <o:OLEObject Type="Embed" ProgID="Equation.3" ShapeID="_x0000_i1498" DrawAspect="Content" ObjectID="_0000000001" r:id="rId1188"/>
                              </w:object>
                            </w:r>
                          </w:p>
                        </w:tc>
                        <w:tc>
                          <w:tcPr>
                            <w:tcW w:w="1062" w:type="dxa"/>
                            <w:vAlign w:val="center"/>
                            <w:hideMark/>
                          </w:tcPr>
                          <w:p>
                            <w:pPr>
                              <w:spacing w:line="276" w:lineRule="auto"/>
                              <w:jc w:val="right"/>
                              <w:rPr>
                                <w:rFonts w:eastAsia="Calibri"/>
                                <w:color w:val="000000"/>
                                <w:szCs w:val="24"/>
                              </w:rPr>
                            </w:pPr>
                            <w:r>
                              <w:rPr>
                                <w:color w:val="000000"/>
                                <w:szCs w:val="24"/>
                              </w:rPr>
                              <w:t>(2.410)</w:t>
                            </w:r>
                          </w:p>
                        </w:tc>
                      </w:tr>
                    </w:tbl>
                    <w:p>
                      <w:pPr>
                        <w:rPr>
                          <w:rFonts w:eastAsia="Calibri"/>
                          <w:color w:val="000000"/>
                          <w:szCs w:val="24"/>
                        </w:rPr>
                      </w:pPr>
                      <w:r>
                        <w:rPr>
                          <w:color w:val="000000"/>
                          <w:szCs w:val="24"/>
                        </w:rPr>
                        <w:t>kitais atvejais skaičiavimo rezultatas atitinka sumą, apskaičiuotą pagal (2.401) ir (2.402) formules;</w:t>
                      </w:r>
                    </w:p>
                    <w:p>
                      <w:pPr>
                        <w:tabs>
                          <w:tab w:val="left" w:pos="851"/>
                        </w:tabs>
                        <w:ind w:firstLine="567"/>
                        <w:jc w:val="both"/>
                        <w:rPr>
                          <w:color w:val="000000"/>
                          <w:szCs w:val="24"/>
                        </w:rPr>
                      </w:pPr>
                      <w:r>
                        <w:rPr>
                          <w:color w:val="000000"/>
                          <w:szCs w:val="24"/>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spacing w:line="276" w:lineRule="auto"/>
                              <w:jc w:val="center"/>
                              <w:rPr>
                                <w:rFonts w:eastAsia="Calibri"/>
                                <w:color w:val="000000"/>
                                <w:szCs w:val="24"/>
                              </w:rPr>
                            </w:pPr>
                            <w:r>
                              <w:rPr>
                                <w:szCs w:val="24"/>
                                <w:lang w:eastAsia="lt-LT"/>
                              </w:rPr>
                              <w:object w:dxaOrig="7090" w:dyaOrig="2670">
                                <v:shape id="_x0000_i1499" type="#_x0000_t75" style="width:355.15pt;height:133.5pt" o:ole="">
                                  <v:imagedata r:id="rId1189" o:title=""/>
                                </v:shape>
                                <o:OLEObject Type="Embed" ProgID="Equation.3" ShapeID="_x0000_i1499" DrawAspect="Content" ObjectID="_0000000001" r:id="rId1190"/>
                              </w:object>
                            </w:r>
                            <w:r>
                              <w:rPr>
                                <w:szCs w:val="24"/>
                              </w:rPr>
                              <w:t>,</w:t>
                            </w:r>
                          </w:p>
                        </w:tc>
                        <w:tc>
                          <w:tcPr>
                            <w:tcW w:w="618" w:type="pct"/>
                            <w:vAlign w:val="center"/>
                          </w:tcPr>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r>
                              <w:rPr>
                                <w:color w:val="000000"/>
                                <w:szCs w:val="24"/>
                              </w:rPr>
                              <w:t>(2.411)</w:t>
                            </w:r>
                          </w:p>
                          <w:p>
                            <w:pPr>
                              <w:spacing w:line="276" w:lineRule="auto"/>
                              <w:jc w:val="right"/>
                              <w:rPr>
                                <w:color w:val="000000"/>
                                <w:szCs w:val="24"/>
                              </w:rPr>
                            </w:pPr>
                          </w:p>
                          <w:p>
                            <w:pPr>
                              <w:spacing w:line="276" w:lineRule="auto"/>
                              <w:jc w:val="right"/>
                              <w:rPr>
                                <w:color w:val="000000"/>
                                <w:szCs w:val="24"/>
                              </w:rPr>
                            </w:pPr>
                          </w:p>
                          <w:p>
                            <w:pPr>
                              <w:spacing w:line="276" w:lineRule="auto"/>
                              <w:jc w:val="right"/>
                              <w:rPr>
                                <w:color w:val="000000"/>
                                <w:szCs w:val="24"/>
                              </w:rPr>
                            </w:pPr>
                          </w:p>
                        </w:tc>
                      </w:tr>
                    </w:tbl>
                    <w:p>
                      <w:pPr>
                        <w:tabs>
                          <w:tab w:val="num" w:pos="1200"/>
                        </w:tabs>
                        <w:rPr>
                          <w:rFonts w:eastAsia="Calibri"/>
                          <w:color w:val="000000"/>
                          <w:szCs w:val="24"/>
                        </w:rPr>
                      </w:pPr>
                      <w:r>
                        <w:rPr>
                          <w:color w:val="000000"/>
                          <w:szCs w:val="24"/>
                        </w:rPr>
                        <w:t>tai (</w:t>
                      </w:r>
                      <w:r>
                        <w:rPr>
                          <w:i/>
                          <w:color w:val="000000"/>
                          <w:szCs w:val="24"/>
                        </w:rPr>
                        <w:t>Q</w:t>
                      </w:r>
                      <w:r>
                        <w:rPr>
                          <w:i/>
                          <w:color w:val="000000"/>
                          <w:szCs w:val="24"/>
                          <w:vertAlign w:val="superscript"/>
                        </w:rPr>
                        <w:t>I</w:t>
                      </w:r>
                      <w:r>
                        <w:rPr>
                          <w:i/>
                          <w:color w:val="000000"/>
                          <w:szCs w:val="24"/>
                          <w:vertAlign w:val="subscript"/>
                        </w:rPr>
                        <w:t>hw.WE,m</w:t>
                      </w:r>
                      <w:r>
                        <w:rPr>
                          <w:color w:val="000000"/>
                          <w:szCs w:val="24"/>
                        </w:rPr>
                        <w:t xml:space="preserve"> +</w:t>
                      </w:r>
                      <w:r>
                        <w:rPr>
                          <w:i/>
                          <w:color w:val="000000"/>
                          <w:szCs w:val="24"/>
                          <w:vertAlign w:val="subscript"/>
                        </w:rPr>
                        <w:t xml:space="preserve"> </w:t>
                      </w:r>
                      <w:r>
                        <w:rPr>
                          <w:i/>
                          <w:color w:val="000000"/>
                          <w:szCs w:val="24"/>
                        </w:rPr>
                        <w:t>Q</w:t>
                      </w:r>
                      <w:r>
                        <w:rPr>
                          <w:i/>
                          <w:color w:val="000000"/>
                          <w:szCs w:val="24"/>
                          <w:vertAlign w:val="superscript"/>
                        </w:rPr>
                        <w:t>I</w:t>
                      </w:r>
                      <w:r>
                        <w:rPr>
                          <w:i/>
                          <w:color w:val="000000"/>
                          <w:szCs w:val="24"/>
                          <w:vertAlign w:val="subscript"/>
                        </w:rPr>
                        <w:t>hwHE,m</w:t>
                      </w:r>
                      <w:r>
                        <w:rPr>
                          <w:color w:val="000000"/>
                          <w:szCs w:val="24"/>
                        </w:rPr>
                        <w:t>) apskaičiuojama sumuojant skaičiavimų rezultatus pagal (2.401) ir (2.402) formules, bet jei</w:t>
                      </w:r>
                    </w:p>
                    <w:tbl>
                      <w:tblPr>
                        <w:tblW w:w="5000" w:type="pct"/>
                        <w:tblLook w:val="01E0" w:firstRow="1" w:lastRow="1" w:firstColumn="1" w:lastColumn="1" w:noHBand="0" w:noVBand="0"/>
                      </w:tblPr>
                      <w:tblGrid>
                        <w:gridCol w:w="8514"/>
                        <w:gridCol w:w="1340"/>
                      </w:tblGrid>
                      <w:tr>
                        <w:tc>
                          <w:tcPr>
                            <w:tcW w:w="4320" w:type="pct"/>
                            <w:hideMark/>
                          </w:tcPr>
                          <w:p>
                            <w:pPr>
                              <w:spacing w:line="276" w:lineRule="auto"/>
                              <w:jc w:val="center"/>
                              <w:rPr>
                                <w:rFonts w:eastAsia="Calibri"/>
                                <w:color w:val="000000"/>
                                <w:szCs w:val="24"/>
                              </w:rPr>
                            </w:pPr>
                            <w:r>
                              <w:rPr>
                                <w:szCs w:val="24"/>
                                <w:lang w:eastAsia="lt-LT"/>
                              </w:rPr>
                              <w:object w:dxaOrig="7090" w:dyaOrig="1550">
                                <v:shape id="_x0000_i1500" type="#_x0000_t75" style="width:355.15pt;height:77.65pt" o:ole="">
                                  <v:imagedata r:id="rId1191" o:title=""/>
                                </v:shape>
                                <o:OLEObject Type="Embed" ProgID="Equation.3" ShapeID="_x0000_i1500" DrawAspect="Content" ObjectID="_0000000001" r:id="rId1192"/>
                              </w:object>
                            </w:r>
                          </w:p>
                        </w:tc>
                        <w:tc>
                          <w:tcPr>
                            <w:tcW w:w="680" w:type="pct"/>
                            <w:vAlign w:val="center"/>
                            <w:hideMark/>
                          </w:tcPr>
                          <w:p>
                            <w:pPr>
                              <w:spacing w:line="276" w:lineRule="auto"/>
                              <w:jc w:val="right"/>
                              <w:rPr>
                                <w:rFonts w:eastAsia="Calibri"/>
                                <w:color w:val="000000"/>
                                <w:szCs w:val="24"/>
                              </w:rPr>
                            </w:pPr>
                            <w:r>
                              <w:rPr>
                                <w:color w:val="000000"/>
                                <w:szCs w:val="24"/>
                              </w:rPr>
                              <w:t>(2.412)</w:t>
                            </w:r>
                          </w:p>
                        </w:tc>
                      </w:tr>
                    </w:tbl>
                    <w:p>
                      <w:pPr>
                        <w:rPr>
                          <w:rFonts w:eastAsia="Calibri"/>
                          <w:color w:val="000000"/>
                          <w:szCs w:val="24"/>
                        </w:rPr>
                      </w:pPr>
                      <w:r>
                        <w:rPr>
                          <w:color w:val="000000"/>
                          <w:szCs w:val="24"/>
                        </w:rPr>
                        <w:t>ir pagal (2.412)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spacing w:line="276" w:lineRule="auto"/>
                              <w:jc w:val="center"/>
                              <w:rPr>
                                <w:rFonts w:eastAsia="Calibri"/>
                                <w:color w:val="000000"/>
                                <w:szCs w:val="24"/>
                              </w:rPr>
                            </w:pPr>
                            <w:r>
                              <w:rPr>
                                <w:position w:val="-12"/>
                                <w:szCs w:val="24"/>
                                <w:lang w:eastAsia="lt-LT"/>
                              </w:rPr>
                              <w:object w:dxaOrig="4630" w:dyaOrig="400">
                                <v:shape id="_x0000_i1501" type="#_x0000_t75" style="width:232.2pt;height:20.2pt" o:ole="">
                                  <v:imagedata r:id="rId1193" o:title=""/>
                                </v:shape>
                                <o:OLEObject Type="Embed" ProgID="Equation.3" ShapeID="_x0000_i1501" DrawAspect="Content" ObjectID="_0000000001" r:id="rId1194"/>
                              </w:object>
                            </w:r>
                            <w:r>
                              <w:rPr>
                                <w:color w:val="000000"/>
                                <w:szCs w:val="24"/>
                              </w:rPr>
                              <w:t xml:space="preserve">, kitais mėnesiais </w:t>
                            </w:r>
                          </w:p>
                          <w:p>
                            <w:pPr>
                              <w:spacing w:line="276" w:lineRule="auto"/>
                              <w:jc w:val="center"/>
                              <w:rPr>
                                <w:rFonts w:eastAsia="Calibri"/>
                                <w:color w:val="000000"/>
                                <w:szCs w:val="24"/>
                              </w:rPr>
                            </w:pPr>
                            <w:r>
                              <w:rPr>
                                <w:rFonts w:eastAsia="Calibri"/>
                                <w:color w:val="000000"/>
                                <w:position w:val="-12"/>
                                <w:szCs w:val="24"/>
                              </w:rPr>
                              <w:object w:dxaOrig="1980" w:dyaOrig="350">
                                <v:shape id="_x0000_i1502" type="#_x0000_t75" style="width:98.7pt;height:17.8pt" o:ole="">
                                  <v:imagedata r:id="rId1195" o:title=""/>
                                </v:shape>
                                <o:OLEObject Type="Embed" ProgID="Equation.3" ShapeID="_x0000_i1502" DrawAspect="Content" ObjectID="_0000000001" r:id="rId1196"/>
                              </w:object>
                            </w:r>
                            <w:r>
                              <w:rPr>
                                <w:color w:val="000000"/>
                                <w:szCs w:val="24"/>
                              </w:rPr>
                              <w:t>,</w:t>
                            </w:r>
                          </w:p>
                        </w:tc>
                        <w:tc>
                          <w:tcPr>
                            <w:tcW w:w="868" w:type="pct"/>
                            <w:vAlign w:val="center"/>
                          </w:tcPr>
                          <w:p>
                            <w:pPr>
                              <w:spacing w:line="276" w:lineRule="auto"/>
                              <w:jc w:val="right"/>
                              <w:rPr>
                                <w:rFonts w:eastAsia="Calibri"/>
                                <w:color w:val="000000"/>
                                <w:szCs w:val="24"/>
                              </w:rPr>
                            </w:pPr>
                          </w:p>
                          <w:p>
                            <w:pPr>
                              <w:spacing w:line="276" w:lineRule="auto"/>
                              <w:jc w:val="right"/>
                              <w:rPr>
                                <w:color w:val="000000"/>
                                <w:szCs w:val="24"/>
                              </w:rPr>
                            </w:pPr>
                            <w:r>
                              <w:rPr>
                                <w:color w:val="000000"/>
                                <w:szCs w:val="24"/>
                              </w:rPr>
                              <w:t>(2.413)</w:t>
                            </w:r>
                          </w:p>
                          <w:p>
                            <w:pPr>
                              <w:spacing w:line="276" w:lineRule="auto"/>
                              <w:jc w:val="right"/>
                              <w:rPr>
                                <w:rFonts w:eastAsia="Calibri"/>
                                <w:color w:val="000000"/>
                                <w:szCs w:val="24"/>
                              </w:rPr>
                            </w:pPr>
                          </w:p>
                        </w:tc>
                      </w:tr>
                    </w:tbl>
                    <w:p>
                      <w:pPr>
                        <w:rPr>
                          <w:rFonts w:eastAsia="Calibri"/>
                          <w:color w:val="000000"/>
                          <w:szCs w:val="24"/>
                        </w:rPr>
                      </w:pPr>
                      <w:r>
                        <w:rPr>
                          <w:color w:val="000000"/>
                          <w:szCs w:val="24"/>
                        </w:rPr>
                        <w:t>jei pagal (2.412)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jc w:val="center"/>
                              <w:rPr>
                                <w:szCs w:val="24"/>
                              </w:rPr>
                            </w:pPr>
                            <w:r>
                              <w:rPr>
                                <w:szCs w:val="24"/>
                              </w:rPr>
                              <w:object w:dxaOrig="6710" w:dyaOrig="1950">
                                <v:shape id="_x0000_i1503" type="#_x0000_t75" style="width:334.9pt;height:97.9pt" o:ole="">
                                  <v:imagedata r:id="rId1197" o:title=""/>
                                </v:shape>
                                <o:OLEObject Type="Embed" ProgID="Equation.3" ShapeID="_x0000_i1503" DrawAspect="Content" ObjectID="_0000000001" r:id="rId1198"/>
                              </w:object>
                              <w:t>,</w:t>
                            </w:r>
                          </w:p>
                          <w:p>
                            <w:pPr>
                              <w:spacing w:line="276" w:lineRule="auto"/>
                              <w:jc w:val="center"/>
                              <w:rPr>
                                <w:rFonts w:eastAsia="Calibri"/>
                                <w:color w:val="000000"/>
                                <w:szCs w:val="24"/>
                              </w:rPr>
                            </w:pPr>
                            <w:r>
                              <w:rPr>
                                <w:color w:val="000000"/>
                                <w:szCs w:val="24"/>
                              </w:rPr>
                              <w:t xml:space="preserve">kitais mėnesiais </w:t>
                            </w:r>
                            <w:r>
                              <w:rPr>
                                <w:rFonts w:eastAsia="Calibri"/>
                                <w:color w:val="000000"/>
                                <w:position w:val="-12"/>
                                <w:szCs w:val="24"/>
                              </w:rPr>
                              <w:object w:dxaOrig="1950" w:dyaOrig="350">
                                <v:shape id="_x0000_i1504" type="#_x0000_t75" style="width:97.9pt;height:17.8pt" o:ole="">
                                  <v:imagedata r:id="rId1199" o:title=""/>
                                </v:shape>
                                <o:OLEObject Type="Embed" ProgID="Equation.3" ShapeID="_x0000_i1504" DrawAspect="Content" ObjectID="_0000000001" r:id="rId1200"/>
                              </w:object>
                            </w:r>
                            <w:r>
                              <w:rPr>
                                <w:color w:val="000000"/>
                                <w:szCs w:val="24"/>
                              </w:rPr>
                              <w:t>.</w:t>
                            </w:r>
                          </w:p>
                        </w:tc>
                        <w:tc>
                          <w:tcPr>
                            <w:tcW w:w="680" w:type="pct"/>
                            <w:vAlign w:val="center"/>
                            <w:hideMark/>
                          </w:tcPr>
                          <w:p>
                            <w:pPr>
                              <w:spacing w:line="276" w:lineRule="auto"/>
                              <w:jc w:val="right"/>
                              <w:rPr>
                                <w:rFonts w:eastAsia="Calibri"/>
                                <w:color w:val="000000"/>
                                <w:szCs w:val="24"/>
                              </w:rPr>
                            </w:pPr>
                            <w:r>
                              <w:rPr>
                                <w:color w:val="000000"/>
                                <w:szCs w:val="24"/>
                              </w:rPr>
                              <w:t>(2.414)</w:t>
                            </w:r>
                          </w:p>
                        </w:tc>
                      </w:tr>
                    </w:tbl>
                    <w:p>
                      <w:pPr>
                        <w:ind w:firstLine="600"/>
                        <w:rPr>
                          <w:rFonts w:eastAsia="Calibri"/>
                          <w:color w:val="000000"/>
                          <w:szCs w:val="24"/>
                        </w:rPr>
                      </w:pPr>
                      <w:r>
                        <w:rPr>
                          <w:i/>
                          <w:color w:val="000000"/>
                          <w:szCs w:val="24"/>
                        </w:rPr>
                        <w:t>Q</w:t>
                      </w:r>
                      <w:r>
                        <w:rPr>
                          <w:i/>
                          <w:color w:val="000000"/>
                          <w:szCs w:val="24"/>
                          <w:vertAlign w:val="superscript"/>
                        </w:rPr>
                        <w:t>I</w:t>
                      </w:r>
                      <w:r>
                        <w:rPr>
                          <w:i/>
                          <w:color w:val="000000"/>
                          <w:szCs w:val="24"/>
                          <w:vertAlign w:val="subscript"/>
                        </w:rPr>
                        <w:t>E.HE,m</w:t>
                      </w:r>
                      <w:r>
                        <w:rPr>
                          <w:color w:val="000000"/>
                          <w:szCs w:val="24"/>
                        </w:rPr>
                        <w:t xml:space="preserve">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spacing w:line="276" w:lineRule="auto"/>
                              <w:jc w:val="center"/>
                              <w:rPr>
                                <w:rFonts w:eastAsia="Calibri"/>
                                <w:color w:val="000000"/>
                                <w:szCs w:val="24"/>
                              </w:rPr>
                            </w:pPr>
                            <w:r>
                              <w:rPr>
                                <w:i/>
                                <w:color w:val="000000"/>
                                <w:szCs w:val="24"/>
                              </w:rPr>
                              <w:t>Q</w:t>
                            </w:r>
                            <w:r>
                              <w:rPr>
                                <w:i/>
                                <w:color w:val="000000"/>
                                <w:szCs w:val="24"/>
                                <w:vertAlign w:val="superscript"/>
                              </w:rPr>
                              <w:t>I</w:t>
                            </w:r>
                            <w:r>
                              <w:rPr>
                                <w:i/>
                                <w:color w:val="000000"/>
                                <w:szCs w:val="24"/>
                                <w:vertAlign w:val="subscript"/>
                              </w:rPr>
                              <w:t>E.HE,m</w:t>
                            </w:r>
                            <w:r>
                              <w:rPr>
                                <w:i/>
                                <w:color w:val="000000"/>
                                <w:szCs w:val="24"/>
                              </w:rPr>
                              <w:t xml:space="preserve"> =( Q</w:t>
                            </w:r>
                            <w:r>
                              <w:rPr>
                                <w:i/>
                                <w:color w:val="000000"/>
                                <w:szCs w:val="24"/>
                                <w:vertAlign w:val="superscript"/>
                              </w:rPr>
                              <w:t>I</w:t>
                            </w:r>
                            <w:r>
                              <w:rPr>
                                <w:i/>
                                <w:color w:val="000000"/>
                                <w:szCs w:val="24"/>
                                <w:vertAlign w:val="subscript"/>
                              </w:rPr>
                              <w:t>E.WE,m</w:t>
                            </w:r>
                            <w:r>
                              <w:rPr>
                                <w:i/>
                                <w:color w:val="000000"/>
                                <w:szCs w:val="24"/>
                              </w:rPr>
                              <w:t xml:space="preserve"> + Q</w:t>
                            </w:r>
                            <w:r>
                              <w:rPr>
                                <w:i/>
                                <w:color w:val="000000"/>
                                <w:szCs w:val="24"/>
                                <w:vertAlign w:val="superscript"/>
                              </w:rPr>
                              <w:t>I</w:t>
                            </w:r>
                            <w:r>
                              <w:rPr>
                                <w:i/>
                                <w:color w:val="000000"/>
                                <w:szCs w:val="24"/>
                                <w:vertAlign w:val="subscript"/>
                              </w:rPr>
                              <w:t>E.HE,m</w:t>
                            </w:r>
                            <w:r>
                              <w:rPr>
                                <w:i/>
                                <w:color w:val="000000"/>
                                <w:szCs w:val="24"/>
                              </w:rPr>
                              <w:t>)</w:t>
                            </w:r>
                            <w:r>
                              <w:rPr>
                                <w:color w:val="000000"/>
                                <w:szCs w:val="24"/>
                              </w:rPr>
                              <w:t xml:space="preserve">- </w:t>
                            </w:r>
                            <w:r>
                              <w:rPr>
                                <w:i/>
                                <w:color w:val="000000"/>
                                <w:szCs w:val="24"/>
                              </w:rPr>
                              <w:t>Q</w:t>
                            </w:r>
                            <w:r>
                              <w:rPr>
                                <w:i/>
                                <w:color w:val="000000"/>
                                <w:szCs w:val="24"/>
                                <w:vertAlign w:val="superscript"/>
                              </w:rPr>
                              <w:t>I</w:t>
                            </w:r>
                            <w:r>
                              <w:rPr>
                                <w:i/>
                                <w:color w:val="000000"/>
                                <w:szCs w:val="24"/>
                                <w:vertAlign w:val="subscript"/>
                              </w:rPr>
                              <w:t>E.WE,m</w:t>
                            </w:r>
                            <w:r>
                              <w:rPr>
                                <w:color w:val="000000"/>
                                <w:szCs w:val="24"/>
                              </w:rPr>
                              <w:t>;</w:t>
                            </w:r>
                          </w:p>
                        </w:tc>
                        <w:tc>
                          <w:tcPr>
                            <w:tcW w:w="1062" w:type="dxa"/>
                            <w:vAlign w:val="center"/>
                            <w:hideMark/>
                          </w:tcPr>
                          <w:p>
                            <w:pPr>
                              <w:spacing w:line="276" w:lineRule="auto"/>
                              <w:jc w:val="right"/>
                              <w:rPr>
                                <w:rFonts w:eastAsia="Calibri"/>
                                <w:color w:val="000000"/>
                                <w:szCs w:val="24"/>
                              </w:rPr>
                            </w:pPr>
                            <w:r>
                              <w:rPr>
                                <w:color w:val="000000"/>
                                <w:szCs w:val="24"/>
                              </w:rPr>
                              <w:t>(2.415)</w:t>
                            </w:r>
                          </w:p>
                        </w:tc>
                      </w:tr>
                    </w:tbl>
                    <w:p>
                      <w:pPr>
                        <w:ind w:left="600" w:hanging="600"/>
                        <w:rPr>
                          <w:rFonts w:eastAsia="Calibri"/>
                          <w:color w:val="000000"/>
                          <w:szCs w:val="24"/>
                        </w:rPr>
                      </w:pPr>
                    </w:p>
                  </w:sdtContent>
                </w:sdt>
                <w:sdt>
                  <w:sdtPr>
                    <w:alias w:val="2 pr. 65.3 pp."/>
                    <w:tag w:val="part_96ec0084031d4b189203980d27cffb31"/>
                    <w:lock w:val="sdtLocked"/>
                    <w:richText/>
                  </w:sdtPr>
                  <w:sdtContent>
                    <w:p>
                      <w:pPr>
                        <w:tabs>
                          <w:tab w:val="left" w:pos="567"/>
                        </w:tabs>
                        <w:suppressAutoHyphens/>
                        <w:ind w:firstLine="567"/>
                        <w:jc w:val="both"/>
                        <w:rPr>
                          <w:color w:val="000000"/>
                          <w:szCs w:val="24"/>
                          <w:lang w:eastAsia="lt-LT"/>
                        </w:rPr>
                      </w:pPr>
                      <w:sdt>
                        <w:sdtPr>
                          <w:alias w:val="Numeris"/>
                          <w:tag w:val="nr_96ec0084031d4b189203980d27cffb31"/>
                          <w:lock w:val="sdtLocked"/>
                          <w:richText/>
                        </w:sdtPr>
                        <w:sdtContent>
                          <w:r>
                            <w:rPr>
                              <w:color w:val="000000"/>
                              <w:szCs w:val="24"/>
                              <w:lang w:eastAsia="lt-LT"/>
                            </w:rPr>
                            <w:t>65.3</w:t>
                          </w:r>
                        </w:sdtContent>
                      </w:sdt>
                      <w:r>
                        <w:rPr>
                          <w:color w:val="000000"/>
                          <w:szCs w:val="24"/>
                          <w:lang w:eastAsia="lt-LT"/>
                        </w:rPr>
                        <w:t xml:space="preserve">. vėjo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hw.WE,m </w:t>
                      </w:r>
                      <w:r>
                        <w:rPr>
                          <w:color w:val="000000"/>
                          <w:szCs w:val="24"/>
                          <w:lang w:eastAsia="lt-LT"/>
                        </w:rPr>
                        <w:t xml:space="preserve">(kWh/(m²·mėn.)) ir hidroelektrinių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hw.HE,m </w:t>
                      </w:r>
                      <w:r>
                        <w:rPr>
                          <w:color w:val="000000"/>
                          <w:szCs w:val="24"/>
                          <w:lang w:eastAsia="lt-LT"/>
                        </w:rPr>
                        <w:t xml:space="preserve">(kWh/(m²·mėn.)) atitinkamą </w:t>
                      </w:r>
                      <w:r>
                        <w:rPr>
                          <w:i/>
                          <w:color w:val="000000"/>
                          <w:szCs w:val="24"/>
                          <w:lang w:eastAsia="lt-LT"/>
                        </w:rPr>
                        <w:t>„m“</w:t>
                      </w:r>
                      <w:r>
                        <w:rPr>
                          <w:color w:val="000000"/>
                          <w:szCs w:val="24"/>
                          <w:lang w:eastAsia="lt-LT"/>
                        </w:rPr>
                        <w:t xml:space="preserve"> mėnesį pagamintos energijos sąnaudos karštam vandeniui ruošti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28"/>
                                <w:szCs w:val="24"/>
                                <w:lang w:eastAsia="lt-LT"/>
                              </w:rPr>
                              <w:object w:dxaOrig="2480" w:dyaOrig="680">
                                <v:shape id="_x0000_i1505" type="#_x0000_t75" style="width:124.6pt;height:34.8pt" o:ole="">
                                  <v:imagedata r:id="rId1201" o:title=""/>
                                </v:shape>
                                <o:OLEObject Type="Embed" ProgID="Equation.3" ShapeID="_x0000_i1505" DrawAspect="Content" ObjectID="_0000000001" r:id="rId1202"/>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(2.416)</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525"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5760" w:dyaOrig="804">
                                <v:shape id="_x0000_i1506" type="#_x0000_t75" style="width:4in;height:42.05pt" o:ole="">
                                  <v:imagedata r:id="rId1203" o:title=""/>
                                </v:shape>
                                <o:OLEObject Type="Embed" ProgID="Equation.3" ShapeID="_x0000_i1506" DrawAspect="Content" ObjectID="_0000000001" r:id="rId1204"/>
                              </w:object>
                              <w:t>;</w:t>
                            </w:r>
                          </w:p>
                        </w:tc>
                        <w:tc>
                          <w:tcPr>
                            <w:tcW w:w="1330"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(2.417) </w:t>
                            </w:r>
                          </w:p>
                        </w:tc>
                      </w:tr>
                    </w:tbl>
                    <w:p>
                      <w:pPr>
                        <w:tabs>
                          <w:tab w:val="left" w:pos="567"/>
                        </w:tabs>
                        <w:suppressAutoHyphens/>
                        <w:jc w:val="both"/>
                        <w:rPr>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hw.WE.out,m,x </w:t>
                      </w:r>
                      <w:r>
                        <w:rPr>
                          <w:color w:val="000000"/>
                          <w:szCs w:val="24"/>
                          <w:lang w:eastAsia="lt-LT"/>
                        </w:rPr>
                        <w:t xml:space="preserve">– atitinkamos </w:t>
                      </w:r>
                      <w:r>
                        <w:rPr>
                          <w:i/>
                          <w:color w:val="000000"/>
                          <w:szCs w:val="24"/>
                          <w:lang w:eastAsia="lt-LT"/>
                        </w:rPr>
                        <w:t>„x“</w:t>
                      </w:r>
                      <w:r>
                        <w:rPr>
                          <w:color w:val="000000"/>
                          <w:szCs w:val="24"/>
                          <w:lang w:eastAsia="lt-LT"/>
                        </w:rPr>
                        <w:t xml:space="preserve"> vėjo elektrinių grupės pagamintas energijos kiekis karštam vandeniui ruošti atitinkamą </w:t>
                      </w:r>
                      <w:r>
                        <w:rPr>
                          <w:i/>
                          <w:color w:val="000000"/>
                          <w:szCs w:val="24"/>
                          <w:lang w:eastAsia="lt-LT"/>
                        </w:rPr>
                        <w:t>„m“</w:t>
                      </w:r>
                      <w:r>
                        <w:rPr>
                          <w:color w:val="000000"/>
                          <w:szCs w:val="24"/>
                          <w:lang w:eastAsia="lt-LT"/>
                        </w:rPr>
                        <w:t xml:space="preserve"> mėnesį (kWh/(m²·mėn.)). Apskaičiuojama pagal (2.431) formulę;</w:t>
                      </w:r>
                    </w:p>
                    <w:p>
                      <w:pPr>
                        <w:tabs>
                          <w:tab w:val="left" w:pos="567"/>
                        </w:tabs>
                        <w:suppressAutoHyphens/>
                        <w:ind w:left="600" w:hanging="33"/>
                        <w:rPr>
                          <w:color w:val="000000"/>
                          <w:szCs w:val="24"/>
                          <w:lang w:eastAsia="lt-LT"/>
                        </w:rPr>
                      </w:pPr>
                      <w:r>
                        <w:rPr>
                          <w:color w:val="000000"/>
                          <w:szCs w:val="24"/>
                          <w:lang w:eastAsia="lt-LT"/>
                        </w:rPr>
                        <w:t>(2.416)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ir kai vėjo elektrinės pagamina daugiau energijos už energijos poreikį karštam vandeniui ruošti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48" w:dyaOrig="396">
                                <v:shape id="_x0000_i1507" type="#_x0000_t75" style="width:347.05pt;height:20.2pt" o:ole="">
                                  <v:imagedata r:id="rId1205" o:title=""/>
                                </v:shape>
                                <o:OLEObject Type="Embed" ProgID="Equation.3" ShapeID="_x0000_i1507" DrawAspect="Content" ObjectID="_0000000001" r:id="rId1206"/>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(2.418)</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320" w:dyaOrig="408">
                                <v:shape id="_x0000_i1508" type="#_x0000_t75" style="width:366.45pt;height:20.2pt" o:ole="">
                                  <v:imagedata r:id="rId1207" o:title=""/>
                                </v:shape>
                                <o:OLEObject Type="Embed" ProgID="Equation.3" ShapeID="_x0000_i1508" DrawAspect="Content" ObjectID="_0000000001" r:id="rId1208"/>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(2.419)</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hw.WE,m </w:t>
                      </w:r>
                      <w:r>
                        <w:rPr>
                          <w:color w:val="000000"/>
                          <w:szCs w:val="24"/>
                          <w:lang w:eastAsia="lt-LT"/>
                        </w:rPr>
                        <w:t>atitinka skaičiavimo rezultatą, gautą pagal (2.416) formulę;</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103" w:type="pct"/>
                        <w:tblLook w:val="01E0" w:firstRow="1" w:lastRow="1" w:firstColumn="1" w:lastColumn="1" w:noHBand="0" w:noVBand="0"/>
                      </w:tblPr>
                      <w:tblGrid>
                        <w:gridCol w:w="8842"/>
                        <w:gridCol w:w="1215"/>
                      </w:tblGrid>
                      <w:tr>
                        <w:tc>
                          <w:tcPr>
                            <w:tcW w:w="4396" w:type="pct"/>
                            <w:hideMark/>
                          </w:tcPr>
                          <w:p>
                            <w:pPr>
                              <w:tabs>
                                <w:tab w:val="left" w:pos="567"/>
                              </w:tabs>
                              <w:suppressAutoHyphens/>
                              <w:spacing w:line="276" w:lineRule="auto"/>
                              <w:rPr>
                                <w:rFonts w:eastAsia="Calibri"/>
                                <w:color w:val="000000"/>
                                <w:szCs w:val="24"/>
                                <w:lang w:eastAsia="lt-LT"/>
                              </w:rPr>
                            </w:pPr>
                            <w:r>
                              <w:rPr>
                                <w:szCs w:val="24"/>
                                <w:lang w:eastAsia="lt-LT"/>
                              </w:rPr>
                              <w:object w:dxaOrig="7680" w:dyaOrig="1500">
                                <v:shape id="_x0000_i1509" type="#_x0000_t75" style="width:411.8pt;height:78.45pt" o:ole="">
                                  <v:imagedata r:id="rId1209" o:title=""/>
                                </v:shape>
                                <o:OLEObject Type="Embed" ProgID="Equation.3" ShapeID="_x0000_i1509" DrawAspect="Content" ObjectID="_0000000001" r:id="rId1210"/>
                              </w:object>
                              <w:t>,</w:t>
                            </w:r>
                          </w:p>
                        </w:tc>
                        <w:tc>
                          <w:tcPr>
                            <w:tcW w:w="604" w:type="pct"/>
                            <w:vAlign w:val="center"/>
                            <w:hideMark/>
                          </w:tcPr>
                          <w:p>
                            <w:pPr>
                              <w:tabs>
                                <w:tab w:val="left" w:pos="567"/>
                              </w:tabs>
                              <w:suppressAutoHyphens/>
                              <w:spacing w:line="276" w:lineRule="auto"/>
                              <w:rPr>
                                <w:rFonts w:eastAsia="Calibri"/>
                                <w:color w:val="000000"/>
                                <w:szCs w:val="24"/>
                                <w:lang w:eastAsia="lt-LT"/>
                              </w:rPr>
                            </w:pPr>
                            <w:r>
                              <w:rPr>
                                <w:color w:val="000000"/>
                                <w:szCs w:val="24"/>
                                <w:lang w:eastAsia="lt-LT"/>
                              </w:rPr>
                              <w:t>(2.420)</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hw.WE,m </w:t>
                      </w:r>
                      <w:r>
                        <w:rPr>
                          <w:color w:val="000000"/>
                          <w:szCs w:val="24"/>
                          <w:lang w:eastAsia="lt-LT"/>
                        </w:rPr>
                        <w:t>apskaičiuojama pagal (2.416)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820" w:dyaOrig="1080">
                                <v:shape id="_x0000_i1510" type="#_x0000_t75" style="width:292.05pt;height:56.65pt" o:ole="">
                                  <v:imagedata r:id="rId1211" o:title=""/>
                                </v:shape>
                                <o:OLEObject Type="Embed" ProgID="Equation.3" ShapeID="_x0000_i1510" DrawAspect="Content" ObjectID="_0000000001" r:id="rId1212"/>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(2.421)</w:t>
                            </w:r>
                          </w:p>
                        </w:tc>
                      </w:tr>
                    </w:tbl>
                    <w:p>
                      <w:pPr>
                        <w:tabs>
                          <w:tab w:val="left" w:pos="567"/>
                        </w:tabs>
                        <w:suppressAutoHyphens/>
                        <w:rPr>
                          <w:rFonts w:eastAsia="Calibri"/>
                          <w:color w:val="000000"/>
                          <w:szCs w:val="24"/>
                          <w:lang w:eastAsia="lt-LT"/>
                        </w:rPr>
                      </w:pPr>
                      <w:r>
                        <w:rPr>
                          <w:color w:val="000000"/>
                          <w:szCs w:val="24"/>
                          <w:lang w:eastAsia="lt-LT"/>
                        </w:rPr>
                        <w:t>ir pagal (2.421)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820" w:dyaOrig="380">
                                <v:shape id="_x0000_i1511" type="#_x0000_t75" style="width:2in;height:19.4pt" o:ole="">
                                  <v:imagedata r:id="rId1213" o:title=""/>
                                </v:shape>
                                <o:OLEObject Type="Embed" ProgID="Equation.3" ShapeID="_x0000_i1511" DrawAspect="Content" ObjectID="_0000000001" r:id="rId1214"/>
                              </w:object>
                              <w:t xml:space="preserve">, kitais mėnesiais </w:t>
                            </w:r>
                            <w:r>
                              <w:rPr>
                                <w:rFonts w:eastAsia="Calibri"/>
                                <w:color w:val="000000"/>
                                <w:position w:val="-12"/>
                                <w:szCs w:val="24"/>
                                <w:lang w:eastAsia="lt-LT"/>
                              </w:rPr>
                              <w:object w:dxaOrig="1200" w:dyaOrig="348">
                                <v:shape id="_x0000_i1512" type="#_x0000_t75" style="width:59.85pt;height:16.2pt" o:ole="">
                                  <v:imagedata r:id="rId1215" o:title=""/>
                                </v:shape>
                                <o:OLEObject Type="Embed" ProgID="Equation.3" ShapeID="_x0000_i1512" DrawAspect="Content" ObjectID="_0000000001" r:id="rId1216"/>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(2.422)</w:t>
                            </w:r>
                          </w:p>
                        </w:tc>
                      </w:tr>
                    </w:tbl>
                    <w:p>
                      <w:pPr>
                        <w:tabs>
                          <w:tab w:val="left" w:pos="567"/>
                        </w:tabs>
                        <w:suppressAutoHyphens/>
                        <w:rPr>
                          <w:rFonts w:eastAsia="Calibri"/>
                          <w:color w:val="000000"/>
                          <w:szCs w:val="24"/>
                          <w:lang w:eastAsia="lt-LT"/>
                        </w:rPr>
                      </w:pPr>
                      <w:r>
                        <w:rPr>
                          <w:color w:val="000000"/>
                          <w:szCs w:val="24"/>
                          <w:lang w:eastAsia="lt-LT"/>
                        </w:rPr>
                        <w:t>jei pagal (2.421)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jc w:val="center"/>
                              <w:rPr>
                                <w:szCs w:val="24"/>
                                <w:lang w:eastAsia="lt-LT"/>
                              </w:rPr>
                            </w:pPr>
                            <w:r>
                              <w:rPr>
                                <w:szCs w:val="24"/>
                                <w:lang w:eastAsia="lt-LT"/>
                              </w:rPr>
                              <w:object w:dxaOrig="6840" w:dyaOrig="1080">
                                <v:shape id="_x0000_i1513" type="#_x0000_t75" style="width:331.7pt;height:53.4pt" o:ole="">
                                  <v:imagedata r:id="rId1217" o:title=""/>
                                </v:shape>
                                <o:OLEObject Type="Embed" ProgID="Equation.3" ShapeID="_x0000_i1513" DrawAspect="Content" ObjectID="_0000000001" r:id="rId1218"/>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200" w:dyaOrig="348">
                                <v:shape id="_x0000_i1514" type="#_x0000_t75" style="width:59.85pt;height:16.2pt" o:ole="">
                                  <v:imagedata r:id="rId1219" o:title=""/>
                                </v:shape>
                                <o:OLEObject Type="Embed" ProgID="Equation.3" ShapeID="_x0000_i1514" DrawAspect="Content" ObjectID="_0000000001" r:id="rId1220"/>
                              </w:object>
                            </w:r>
                            <w:r>
                              <w:rPr>
                                <w:rFonts w:eastAsia="Calibri"/>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(2.423)</w:t>
                            </w:r>
                          </w:p>
                        </w:tc>
                      </w:tr>
                    </w:tbl>
                    <w:p>
                      <w:pPr>
                        <w:tabs>
                          <w:tab w:val="left" w:pos="567"/>
                        </w:tabs>
                        <w:suppressAutoHyphens/>
                        <w:ind w:left="600"/>
                        <w:rPr>
                          <w:color w:val="000000"/>
                          <w:szCs w:val="24"/>
                          <w:lang w:eastAsia="lt-LT"/>
                        </w:rPr>
                      </w:pPr>
                      <w:r>
                        <w:rPr>
                          <w:color w:val="000000"/>
                          <w:szCs w:val="24"/>
                          <w:lang w:eastAsia="lt-LT"/>
                        </w:rPr>
                        <w:t>(2.417)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ir hidroelektrinių pagamintos elektros energijos dvipusė apskaita ir kai vėjo ir hidroelektrinės pagamina daugiau energijos už energijos poreikį karštam vandeniui ruošti pastate, t. y. jei</w:t>
                      </w:r>
                    </w:p>
                    <w:tbl>
                      <w:tblPr>
                        <w:tblW w:w="0" w:type="auto"/>
                        <w:jc w:val="center"/>
                        <w:tblLook w:val="01E0" w:firstRow="1" w:lastRow="1" w:firstColumn="1" w:lastColumn="1" w:noHBand="0" w:noVBand="0"/>
                      </w:tblPr>
                      <w:tblGrid>
                        <w:gridCol w:w="8596"/>
                        <w:gridCol w:w="974"/>
                      </w:tblGrid>
                      <w:tr>
                        <w:trPr>
                          <w:jc w:val="center"/>
                        </w:trPr>
                        <w:tc>
                          <w:tcPr>
                            <w:tcW w:w="8596"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8316" w:dyaOrig="408">
                                <v:shape id="_x0000_i1515" type="#_x0000_t75" style="width:415pt;height:20.2pt" o:ole="">
                                  <v:imagedata r:id="rId1221" o:title=""/>
                                </v:shape>
                                <o:OLEObject Type="Embed" ProgID="Equation.3" ShapeID="_x0000_i1515" DrawAspect="Content" ObjectID="_0000000001" r:id="rId1222"/>
                              </w:object>
                              <w:t>,</w:t>
                            </w:r>
                          </w:p>
                        </w:tc>
                        <w:tc>
                          <w:tcPr>
                            <w:tcW w:w="974"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(2.424)</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752" w:dyaOrig="396">
                                <v:shape id="_x0000_i1516" type="#_x0000_t75" style="width:386.7pt;height:20.2pt" o:ole="">
                                  <v:imagedata r:id="rId1223" o:title=""/>
                                </v:shape>
                                <o:OLEObject Type="Embed" ProgID="Equation.3" ShapeID="_x0000_i1516" DrawAspect="Content" ObjectID="_0000000001" r:id="rId1224"/>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(2.425)</w:t>
                            </w:r>
                          </w:p>
                        </w:tc>
                      </w:tr>
                    </w:tbl>
                    <w:p>
                      <w:pPr>
                        <w:tabs>
                          <w:tab w:val="left" w:pos="567"/>
                        </w:tabs>
                        <w:suppressAutoHyphens/>
                        <w:rPr>
                          <w:rFonts w:eastAsia="Calibri"/>
                          <w:color w:val="000000"/>
                          <w:szCs w:val="24"/>
                          <w:lang w:eastAsia="lt-LT"/>
                        </w:rPr>
                      </w:pPr>
                      <w:r>
                        <w:rPr>
                          <w:color w:val="000000"/>
                          <w:szCs w:val="24"/>
                          <w:lang w:eastAsia="lt-LT"/>
                        </w:rPr>
                        <w:t>kitais atvejais skaičiavimo rezultatas atitinka sumą, apskaičiuotą pagal (2.416) ir (2.417)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42" w:type="pct"/>
                        <w:tblLook w:val="01E0" w:firstRow="1" w:lastRow="1" w:firstColumn="1" w:lastColumn="1" w:noHBand="0" w:noVBand="0"/>
                      </w:tblPr>
                      <w:tblGrid>
                        <w:gridCol w:w="8842"/>
                        <w:gridCol w:w="1095"/>
                      </w:tblGrid>
                      <w:tr>
                        <w:tc>
                          <w:tcPr>
                            <w:tcW w:w="4449" w:type="pct"/>
                            <w:hideMark/>
                          </w:tcPr>
                          <w:p>
                            <w:pPr>
                              <w:tabs>
                                <w:tab w:val="left" w:pos="567"/>
                              </w:tabs>
                              <w:suppressAutoHyphens/>
                              <w:spacing w:line="276" w:lineRule="auto"/>
                              <w:ind w:firstLine="310"/>
                              <w:rPr>
                                <w:rFonts w:eastAsia="Calibri"/>
                                <w:color w:val="000000"/>
                                <w:szCs w:val="24"/>
                                <w:lang w:eastAsia="lt-LT"/>
                              </w:rPr>
                            </w:pPr>
                            <w:r>
                              <w:rPr>
                                <w:szCs w:val="24"/>
                                <w:lang w:eastAsia="lt-LT"/>
                              </w:rPr>
                              <w:object w:dxaOrig="7680" w:dyaOrig="1500">
                                <v:shape id="_x0000_i1517" type="#_x0000_t75" style="width:402.05pt;height:78.45pt" o:ole="">
                                  <v:imagedata r:id="rId1225" o:title=""/>
                                </v:shape>
                                <o:OLEObject Type="Embed" ProgID="Equation.3" ShapeID="_x0000_i1517" DrawAspect="Content" ObjectID="_0000000001" r:id="rId1226"/>
                              </w:object>
                              <w:t>,</w:t>
                            </w:r>
                          </w:p>
                        </w:tc>
                        <w:tc>
                          <w:tcPr>
                            <w:tcW w:w="551"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(2.426)</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bscript"/>
                          <w:lang w:eastAsia="lt-LT"/>
                        </w:rPr>
                        <w:t>hw.WE,m</w:t>
                      </w:r>
                      <w:r>
                        <w:rPr>
                          <w:color w:val="000000"/>
                          <w:szCs w:val="24"/>
                          <w:lang w:eastAsia="lt-LT"/>
                        </w:rPr>
                        <w:t>+</w:t>
                      </w:r>
                      <w:r>
                        <w:rPr>
                          <w:i/>
                          <w:color w:val="000000"/>
                          <w:szCs w:val="24"/>
                          <w:lang w:eastAsia="lt-LT"/>
                        </w:rPr>
                        <w:t>Q</w:t>
                      </w:r>
                      <w:r>
                        <w:rPr>
                          <w:i/>
                          <w:color w:val="000000"/>
                          <w:szCs w:val="24"/>
                          <w:vertAlign w:val="subscript"/>
                          <w:lang w:eastAsia="lt-LT"/>
                        </w:rPr>
                        <w:t>hwHE,m</w:t>
                      </w:r>
                      <w:r>
                        <w:rPr>
                          <w:color w:val="000000"/>
                          <w:szCs w:val="24"/>
                          <w:lang w:eastAsia="lt-LT"/>
                        </w:rPr>
                        <w:t>) apskaičiuojama sumuojant skaičiavimų rezultatus pagal (2.416) ir (2.417)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740" w:dyaOrig="1080">
                                <v:shape id="_x0000_i1518" type="#_x0000_t75" style="width:339.8pt;height:56.65pt" o:ole="">
                                  <v:imagedata r:id="rId1227" o:title=""/>
                                </v:shape>
                                <o:OLEObject Type="Embed" ProgID="Equation.3" ShapeID="_x0000_i1518" DrawAspect="Content" ObjectID="_0000000001" r:id="rId1228"/>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(2.427)</w:t>
                            </w:r>
                          </w:p>
                        </w:tc>
                      </w:tr>
                    </w:tbl>
                    <w:p>
                      <w:pPr>
                        <w:tabs>
                          <w:tab w:val="left" w:pos="567"/>
                        </w:tabs>
                        <w:suppressAutoHyphens/>
                        <w:rPr>
                          <w:rFonts w:eastAsia="Calibri"/>
                          <w:color w:val="000000"/>
                          <w:szCs w:val="24"/>
                          <w:lang w:eastAsia="lt-LT"/>
                        </w:rPr>
                      </w:pPr>
                      <w:r>
                        <w:rPr>
                          <w:color w:val="000000"/>
                          <w:szCs w:val="24"/>
                          <w:lang w:eastAsia="lt-LT"/>
                        </w:rPr>
                        <w:t>ir pagal (2.375) formulę rezultatas gaunamas pirmąjį skaičiuojamąjį mėnesį (sausio mėnesį), tai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position w:val="-12"/>
                                <w:szCs w:val="24"/>
                                <w:lang w:eastAsia="lt-LT"/>
                              </w:rPr>
                              <w:object w:dxaOrig="4860" w:dyaOrig="380">
                                <v:shape id="_x0000_i1519" type="#_x0000_t75" style="width:241.1pt;height:19.4pt" o:ole="">
                                  <v:imagedata r:id="rId1229" o:title=""/>
                                </v:shape>
                                <o:OLEObject Type="Embed" ProgID="Equation.3" ShapeID="_x0000_i1519" DrawAspect="Content" ObjectID="_0000000001" r:id="rId1230"/>
                              </w:object>
                            </w:r>
                            <w:r>
                              <w:rPr>
                                <w:color w:val="000000"/>
                                <w:szCs w:val="24"/>
                                <w:lang w:eastAsia="lt-LT"/>
                              </w:rPr>
                              <w:t xml:space="preserve">, kitais mėnesiais </w:t>
                            </w:r>
                          </w:p>
                          <w:p>
                            <w:pPr>
                              <w:tabs>
                                <w:tab w:val="left" w:pos="567"/>
                              </w:tabs>
                              <w:suppressAutoHyphens/>
                              <w:spacing w:line="276" w:lineRule="auto"/>
                              <w:jc w:val="center"/>
                              <w:rPr>
                                <w:rFonts w:eastAsia="Calibri"/>
                                <w:color w:val="000000"/>
                                <w:szCs w:val="24"/>
                                <w:lang w:eastAsia="lt-LT"/>
                              </w:rPr>
                            </w:pPr>
                            <w:r>
                              <w:rPr>
                                <w:rFonts w:eastAsia="Calibri"/>
                                <w:color w:val="000000"/>
                                <w:position w:val="-12"/>
                                <w:szCs w:val="24"/>
                                <w:lang w:eastAsia="lt-LT"/>
                              </w:rPr>
                              <w:object w:dxaOrig="2079" w:dyaOrig="380">
                                <v:shape id="_x0000_i1520" type="#_x0000_t75" style="width:100.3pt;height:19.4pt" o:ole="">
                                  <v:imagedata r:id="rId1231" o:title=""/>
                                </v:shape>
                                <o:OLEObject Type="Embed" ProgID="Equation.3" ShapeID="_x0000_i1520" DrawAspect="Content" ObjectID="_0000000001" r:id="rId1232"/>
                              </w:object>
                            </w:r>
                            <w:r>
                              <w:rPr>
                                <w:color w:val="000000"/>
                                <w:szCs w:val="24"/>
                                <w:lang w:eastAsia="lt-LT"/>
                              </w:rPr>
                              <w:t>,</w:t>
                            </w:r>
                          </w:p>
                        </w:tc>
                        <w:tc>
                          <w:tcPr>
                            <w:tcW w:w="680" w:type="pct"/>
                            <w:vAlign w:val="center"/>
                          </w:tcPr>
                          <w:p>
                            <w:pPr>
                              <w:tabs>
                                <w:tab w:val="left" w:pos="567"/>
                              </w:tabs>
                              <w:suppressAutoHyphens/>
                              <w:spacing w:line="276" w:lineRule="auto"/>
                              <w:jc w:val="right"/>
                              <w:rPr>
                                <w:rFonts w:eastAsia="Calibri"/>
                                <w:color w:val="000000"/>
                                <w:szCs w:val="24"/>
                                <w:lang w:eastAsia="lt-LT"/>
                              </w:rPr>
                            </w:pPr>
                          </w:p>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rFonts w:eastAsia="Calibri"/>
                                <w:color w:val="000000"/>
                                <w:szCs w:val="24"/>
                                <w:lang w:eastAsia="lt-LT"/>
                              </w:rPr>
                            </w:pPr>
                            <w:r>
                              <w:rPr>
                                <w:color w:val="000000"/>
                                <w:szCs w:val="24"/>
                                <w:lang w:eastAsia="lt-LT"/>
                              </w:rPr>
                              <w:t>(2.428)</w:t>
                            </w:r>
                          </w:p>
                        </w:tc>
                      </w:tr>
                    </w:tbl>
                    <w:p>
                      <w:pPr>
                        <w:tabs>
                          <w:tab w:val="left" w:pos="567"/>
                        </w:tabs>
                        <w:suppressAutoHyphens/>
                        <w:rPr>
                          <w:rFonts w:eastAsia="Calibri"/>
                          <w:color w:val="000000"/>
                          <w:szCs w:val="24"/>
                          <w:lang w:eastAsia="lt-LT"/>
                        </w:rPr>
                      </w:pPr>
                      <w:r>
                        <w:rPr>
                          <w:color w:val="000000"/>
                          <w:szCs w:val="24"/>
                          <w:lang w:eastAsia="lt-LT"/>
                        </w:rPr>
                        <w:t>jei pagal (2.375) formulę rezultatas gaunamas kitą (ne sausio) mėnesį, tai šį mėnesį</w:t>
                      </w:r>
                    </w:p>
                    <w:tbl>
                      <w:tblPr>
                        <w:tblW w:w="5075" w:type="pct"/>
                        <w:tblLook w:val="01E0" w:firstRow="1" w:lastRow="1" w:firstColumn="1" w:lastColumn="1" w:noHBand="0" w:noVBand="0"/>
                      </w:tblPr>
                      <w:tblGrid>
                        <w:gridCol w:w="8932"/>
                        <w:gridCol w:w="1070"/>
                      </w:tblGrid>
                      <w:tr>
                        <w:tc>
                          <w:tcPr>
                            <w:tcW w:w="4465" w:type="pct"/>
                            <w:hideMark/>
                          </w:tcPr>
                          <w:p>
                            <w:pPr>
                              <w:tabs>
                                <w:tab w:val="left" w:pos="567"/>
                              </w:tabs>
                              <w:suppressAutoHyphens/>
                              <w:spacing w:line="276" w:lineRule="auto"/>
                              <w:ind w:left="709"/>
                              <w:jc w:val="center"/>
                              <w:rPr>
                                <w:rFonts w:eastAsia="Calibri"/>
                                <w:color w:val="000000"/>
                                <w:szCs w:val="24"/>
                                <w:lang w:eastAsia="lt-LT"/>
                              </w:rPr>
                            </w:pPr>
                            <w:r>
                              <w:rPr>
                                <w:rFonts w:eastAsia="Calibri"/>
                                <w:color w:val="000000"/>
                                <w:szCs w:val="24"/>
                                <w:lang w:eastAsia="lt-LT"/>
                              </w:rPr>
                              <w:object w:dxaOrig="7920" w:dyaOrig="1080">
                                <v:shape id="_x0000_i1521" type="#_x0000_t75" style="width:398pt;height:56.65pt" o:ole="">
                                  <v:imagedata r:id="rId1233" o:title=""/>
                                </v:shape>
                                <o:OLEObject Type="Embed" ProgID="Equation.3" ShapeID="_x0000_i1521" DrawAspect="Content" ObjectID="_0000000001" r:id="rId1234"/>
                              </w:objec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2076" w:dyaOrig="348">
                                <v:shape id="_x0000_i1522" type="#_x0000_t75" style="width:101.1pt;height:16.2pt" o:ole="">
                                  <v:imagedata r:id="rId1235" o:title=""/>
                                </v:shape>
                                <o:OLEObject Type="Embed" ProgID="Equation.3" ShapeID="_x0000_i1522" DrawAspect="Content" ObjectID="_0000000001" r:id="rId1236"/>
                              </w:object>
                            </w:r>
                            <w:r>
                              <w:rPr>
                                <w:color w:val="000000"/>
                                <w:szCs w:val="24"/>
                                <w:lang w:eastAsia="lt-LT"/>
                              </w:rPr>
                              <w:t>.</w:t>
                            </w:r>
                          </w:p>
                        </w:tc>
                        <w:tc>
                          <w:tcPr>
                            <w:tcW w:w="535" w:type="pct"/>
                            <w:vAlign w:val="center"/>
                            <w:hideMark/>
                          </w:tcPr>
                          <w:p>
                            <w:pPr>
                              <w:suppressAutoHyphens/>
                              <w:spacing w:line="276" w:lineRule="auto"/>
                              <w:jc w:val="right"/>
                              <w:rPr>
                                <w:rFonts w:eastAsia="Calibri"/>
                                <w:color w:val="000000"/>
                                <w:szCs w:val="24"/>
                                <w:lang w:eastAsia="lt-LT"/>
                              </w:rPr>
                            </w:pPr>
                            <w:r>
                              <w:rPr>
                                <w:color w:val="000000"/>
                                <w:szCs w:val="24"/>
                                <w:lang w:eastAsia="lt-LT"/>
                              </w:rPr>
                              <w:t>(2.429)</w:t>
                            </w:r>
                          </w:p>
                        </w:tc>
                      </w:tr>
                    </w:tbl>
                    <w:p>
                      <w:pPr>
                        <w:tabs>
                          <w:tab w:val="left" w:pos="567"/>
                        </w:tabs>
                        <w:suppressAutoHyphens/>
                        <w:ind w:firstLine="600"/>
                        <w:rPr>
                          <w:rFonts w:eastAsia="Calibri"/>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 xml:space="preserve">hw.HE,m </w:t>
                      </w:r>
                      <w:r>
                        <w:rPr>
                          <w:color w:val="000000"/>
                          <w:szCs w:val="24"/>
                          <w:lang w:eastAsia="lt-LT"/>
                        </w:rPr>
                        <w:t>apskaičiuojama taip:</w:t>
                      </w:r>
                    </w:p>
                    <w:tbl>
                      <w:tblPr>
                        <w:tblW w:w="0" w:type="auto"/>
                        <w:jc w:val="center"/>
                        <w:tblLook w:val="01E0" w:firstRow="1" w:lastRow="1" w:firstColumn="1" w:lastColumn="1" w:noHBand="0" w:noVBand="0"/>
                      </w:tblPr>
                      <w:tblGrid>
                        <w:gridCol w:w="8603"/>
                        <w:gridCol w:w="967"/>
                      </w:tblGrid>
                      <w:tr>
                        <w:trPr>
                          <w:jc w:val="center"/>
                        </w:trPr>
                        <w:tc>
                          <w:tcPr>
                            <w:tcW w:w="8603"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8316" w:dyaOrig="408">
                                <v:shape id="_x0000_i1523" type="#_x0000_t75" style="width:415pt;height:20.2pt" o:ole="">
                                  <v:imagedata r:id="rId1237" o:title=""/>
                                </v:shape>
                                <o:OLEObject Type="Embed" ProgID="Equation.3" ShapeID="_x0000_i1523" DrawAspect="Content" ObjectID="_0000000001" r:id="rId1238"/>
                              </w:object>
                            </w:r>
                            <w:r>
                              <w:rPr>
                                <w:color w:val="000000"/>
                                <w:szCs w:val="24"/>
                                <w:lang w:eastAsia="lt-LT"/>
                              </w:rPr>
                              <w:t>;</w:t>
                            </w:r>
                          </w:p>
                        </w:tc>
                        <w:tc>
                          <w:tcPr>
                            <w:tcW w:w="967"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(2.430)</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hw.sum.SK,m</w:t>
                      </w:r>
                      <w:r>
                        <w:rPr>
                          <w:color w:val="000000"/>
                          <w:szCs w:val="24"/>
                          <w:lang w:eastAsia="lt-LT"/>
                        </w:rPr>
                        <w:t xml:space="preserve"> – apskaičiuojama pagal (2.338)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hw.WE,m</w:t>
                      </w:r>
                      <w:r>
                        <w:rPr>
                          <w:color w:val="000000"/>
                          <w:szCs w:val="24"/>
                          <w:lang w:eastAsia="lt-LT"/>
                        </w:rPr>
                        <w:t xml:space="preserve"> – apskaičiuojama pagal (2.364)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hw.HE,m</w:t>
                      </w:r>
                      <w:r>
                        <w:rPr>
                          <w:color w:val="000000"/>
                          <w:szCs w:val="24"/>
                          <w:lang w:eastAsia="lt-LT"/>
                        </w:rPr>
                        <w:t xml:space="preserve"> – apskaičiuojama pagal (2.365) formulę;</w:t>
                      </w:r>
                    </w:p>
                    <w:p>
                      <w:pPr>
                        <w:tabs>
                          <w:tab w:val="left" w:pos="567"/>
                        </w:tabs>
                        <w:suppressAutoHyphens/>
                        <w:ind w:left="600"/>
                        <w:rPr>
                          <w:color w:val="000000"/>
                          <w:szCs w:val="24"/>
                          <w:lang w:eastAsia="lt-LT"/>
                        </w:rPr>
                      </w:pPr>
                    </w:p>
                    <w:tbl>
                      <w:tblPr>
                        <w:tblW w:w="5000" w:type="pct"/>
                        <w:jc w:val="center"/>
                        <w:tblLook w:val="01E0" w:firstRow="1" w:lastRow="1" w:firstColumn="1" w:lastColumn="1" w:noHBand="0" w:noVBand="0"/>
                      </w:tblPr>
                      <w:tblGrid>
                        <w:gridCol w:w="8540"/>
                        <w:gridCol w:w="1314"/>
                      </w:tblGrid>
                      <w:tr>
                        <w:trPr>
                          <w:jc w:val="center"/>
                        </w:trPr>
                        <w:tc>
                          <w:tcPr>
                            <w:tcW w:w="8294"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24" w:dyaOrig="1476">
                                <v:shape id="_x0000_i1524" type="#_x0000_t75" style="width:347.05pt;height:74.45pt" o:ole="">
                                  <v:imagedata r:id="rId1239" o:title=""/>
                                </v:shape>
                                <o:OLEObject Type="Embed" ProgID="Equation.3" ShapeID="_x0000_i1524" DrawAspect="Content" ObjectID="_0000000001" r:id="rId1240"/>
                              </w:object>
                            </w:r>
                          </w:p>
                        </w:tc>
                        <w:tc>
                          <w:tcPr>
                            <w:tcW w:w="1276"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(2.431) </w:t>
                            </w:r>
                          </w:p>
                        </w:tc>
                      </w:tr>
                    </w:tbl>
                    <w:p>
                      <w:pPr>
                        <w:tabs>
                          <w:tab w:val="left" w:pos="567"/>
                        </w:tabs>
                        <w:suppressAutoHyphens/>
                        <w:ind w:left="600" w:hanging="600"/>
                        <w:rPr>
                          <w:rFonts w:eastAsia="Calibri"/>
                          <w:color w:val="000000"/>
                          <w:szCs w:val="24"/>
                        </w:rPr>
                      </w:pPr>
                      <w:r>
                        <w:rPr>
                          <w:color w:val="000000"/>
                          <w:szCs w:val="24"/>
                          <w:lang w:eastAsia="lt-LT"/>
                        </w:rPr>
                        <w:t xml:space="preserve">čia: </w:t>
                        <w:tab/>
                        <w:t>formulės paaiškinimus žiūrėti prie (2.345) formulės.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66 p."/>
                <w:tag w:val="part_c985d3b9a69a404f8cee180b96b400b4"/>
                <w:lock w:val="sdtLocked"/>
                <w:richText/>
              </w:sdtPr>
              <w:sdtContent>
                <w:p>
                  <w:pPr>
                    <w:ind w:firstLine="570"/>
                    <w:jc w:val="both"/>
                    <w:rPr>
                      <w:color w:val="000000"/>
                      <w:szCs w:val="24"/>
                    </w:rPr>
                  </w:pPr>
                  <w:sdt>
                    <w:sdtPr>
                      <w:alias w:val="Numeris"/>
                      <w:tag w:val="nr_c985d3b9a69a404f8cee180b96b400b4"/>
                      <w:lock w:val="sdtLocked"/>
                      <w:richText/>
                    </w:sdtPr>
                    <w:sdtContent>
                      <w:r>
                        <w:rPr>
                          <w:color w:val="000000"/>
                          <w:szCs w:val="24"/>
                        </w:rPr>
                        <w:t>66</w:t>
                      </w:r>
                    </w:sdtContent>
                  </w:sdt>
                  <w:r>
                    <w:rPr>
                      <w:color w:val="000000"/>
                      <w:szCs w:val="24"/>
                    </w:rPr>
                    <w:t xml:space="preserve">. Energijos iš vėjo elektrinių ir hidroelektrinių neatsinaujinančios pirminės energijos sąnaudos pastate, kai ši energija naudojama elektros prietaisams ir pastatui šildyti, apskaičiuojamos taip: </w:t>
                  </w:r>
                </w:p>
                <w:sdt>
                  <w:sdtPr>
                    <w:alias w:val="2 pr. 66.1 pp."/>
                    <w:tag w:val="part_fd0b41aa30fc416b9aa0c096af3205fa"/>
                    <w:lock w:val="sdtLocked"/>
                    <w:richText/>
                  </w:sdtPr>
                  <w:sdtContent>
                    <w:p>
                      <w:pPr>
                        <w:ind w:firstLine="600"/>
                        <w:jc w:val="both"/>
                        <w:rPr>
                          <w:color w:val="000000"/>
                          <w:szCs w:val="24"/>
                        </w:rPr>
                      </w:pPr>
                      <w:sdt>
                        <w:sdtPr>
                          <w:alias w:val="Numeris"/>
                          <w:tag w:val="nr_fd0b41aa30fc416b9aa0c096af3205fa"/>
                          <w:lock w:val="sdtLocked"/>
                          <w:richText/>
                        </w:sdtPr>
                        <w:sdtContent>
                          <w:r>
                            <w:rPr>
                              <w:color w:val="000000"/>
                              <w:szCs w:val="24"/>
                            </w:rPr>
                            <w:t>66.1</w:t>
                          </w:r>
                        </w:sdtContent>
                      </w:sdt>
                      <w:r>
                        <w:rPr>
                          <w:color w:val="000000"/>
                          <w:szCs w:val="24"/>
                        </w:rPr>
                        <w:t xml:space="preserve">. kiekvieną mėnesį </w:t>
                      </w:r>
                      <w:r>
                        <w:rPr>
                          <w:i/>
                          <w:color w:val="000000"/>
                          <w:szCs w:val="24"/>
                        </w:rPr>
                        <w:t xml:space="preserve">„m“ </w:t>
                      </w:r>
                      <w:r>
                        <w:rPr>
                          <w:color w:val="000000"/>
                          <w:szCs w:val="24"/>
                        </w:rPr>
                        <w:t xml:space="preserve">vėjo elektrinių pagamintos pirminės energijos sąnaudos pastato šildomo ploto vienetui </w:t>
                      </w:r>
                      <w:r>
                        <w:rPr>
                          <w:i/>
                          <w:color w:val="000000"/>
                          <w:szCs w:val="24"/>
                        </w:rPr>
                        <w:t>Q</w:t>
                      </w:r>
                      <w:r>
                        <w:rPr>
                          <w:i/>
                          <w:color w:val="000000"/>
                          <w:szCs w:val="24"/>
                          <w:vertAlign w:val="subscript"/>
                        </w:rPr>
                        <w:t>PRn.(E+H).WE+HE,m</w:t>
                      </w:r>
                      <w:r>
                        <w:rPr>
                          <w:color w:val="000000"/>
                          <w:szCs w:val="24"/>
                        </w:rPr>
                        <w:t xml:space="preserve">(kWh/(m²·mėn.)),  kai ši energija naudojama elektros prietaisams ir pastatui šildyti,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rFonts w:eastAsia="Calibri"/>
                                <w:color w:val="000000"/>
                                <w:position w:val="-14"/>
                                <w:szCs w:val="24"/>
                              </w:rPr>
                              <w:object w:dxaOrig="7310" w:dyaOrig="400">
                                <v:shape id="_x0000_i1525" type="#_x0000_t75" style="width:364.85pt;height:20.2pt" o:ole="">
                                  <v:imagedata r:id="rId1241" o:title=""/>
                                </v:shape>
                                <o:OLEObject Type="Embed" ProgID="Equation.3" ShapeID="_x0000_i1525" DrawAspect="Content" ObjectID="_0000000001" r:id="rId1242"/>
                              </w:object>
                            </w:r>
                            <w:r>
                              <w:rPr>
                                <w:color w:val="000000"/>
                                <w:szCs w:val="24"/>
                              </w:rPr>
                              <w:t>;</w:t>
                            </w:r>
                          </w:p>
                        </w:tc>
                        <w:tc>
                          <w:tcPr>
                            <w:tcW w:w="1292" w:type="dxa"/>
                            <w:vAlign w:val="center"/>
                            <w:hideMark/>
                          </w:tcPr>
                          <w:p>
                            <w:pPr>
                              <w:spacing w:line="276" w:lineRule="auto"/>
                              <w:jc w:val="right"/>
                              <w:rPr>
                                <w:rFonts w:eastAsia="Calibri"/>
                                <w:color w:val="000000"/>
                                <w:szCs w:val="24"/>
                              </w:rPr>
                            </w:pPr>
                            <w:r>
                              <w:rPr>
                                <w:color w:val="000000"/>
                                <w:szCs w:val="24"/>
                              </w:rPr>
                              <w:t xml:space="preserve">(2.433) </w:t>
                            </w:r>
                          </w:p>
                        </w:tc>
                      </w:tr>
                    </w:tbl>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II</w:t>
                      </w:r>
                      <w:r>
                        <w:rPr>
                          <w:i/>
                          <w:color w:val="000000"/>
                          <w:szCs w:val="24"/>
                          <w:vertAlign w:val="subscript"/>
                        </w:rPr>
                        <w:t>E.WE,m</w:t>
                      </w:r>
                      <w:r>
                        <w:rPr>
                          <w:color w:val="000000"/>
                          <w:szCs w:val="24"/>
                        </w:rPr>
                        <w:t xml:space="preserve">, </w:t>
                      </w:r>
                      <w:r>
                        <w:rPr>
                          <w:i/>
                          <w:color w:val="000000"/>
                          <w:szCs w:val="24"/>
                        </w:rPr>
                        <w:t>Q</w:t>
                      </w:r>
                      <w:r>
                        <w:rPr>
                          <w:i/>
                          <w:color w:val="000000"/>
                          <w:szCs w:val="24"/>
                          <w:vertAlign w:val="superscript"/>
                        </w:rPr>
                        <w:t>II</w:t>
                      </w:r>
                      <w:r>
                        <w:rPr>
                          <w:i/>
                          <w:color w:val="000000"/>
                          <w:szCs w:val="24"/>
                          <w:vertAlign w:val="subscript"/>
                        </w:rPr>
                        <w:t>E.HE,m</w:t>
                      </w:r>
                      <w:r>
                        <w:rPr>
                          <w:color w:val="000000"/>
                          <w:szCs w:val="24"/>
                        </w:rPr>
                        <w:t xml:space="preserve"> – atitinkamai vėjo ir hidroelektrinių pagamintos energijos kiekis, sunaudojamas elektros prietaisams (kWh/(m²·mėn.)). Apskaičiuojamas pagal (2.436) ir (2.437) formules;</w:t>
                      </w:r>
                    </w:p>
                    <w:p>
                      <w:pPr>
                        <w:ind w:firstLine="600"/>
                        <w:jc w:val="both"/>
                        <w:rPr>
                          <w:color w:val="000000"/>
                          <w:szCs w:val="24"/>
                        </w:rPr>
                      </w:pPr>
                      <w:r>
                        <w:rPr>
                          <w:i/>
                          <w:color w:val="000000"/>
                          <w:szCs w:val="24"/>
                        </w:rPr>
                        <w:t>Q</w:t>
                      </w:r>
                      <w:r>
                        <w:rPr>
                          <w:i/>
                          <w:color w:val="000000"/>
                          <w:szCs w:val="24"/>
                          <w:vertAlign w:val="superscript"/>
                        </w:rPr>
                        <w:t>II</w:t>
                      </w:r>
                      <w:r>
                        <w:rPr>
                          <w:i/>
                          <w:color w:val="000000"/>
                          <w:szCs w:val="24"/>
                          <w:vertAlign w:val="subscript"/>
                        </w:rPr>
                        <w:t>H.WE,m</w:t>
                      </w:r>
                      <w:r>
                        <w:rPr>
                          <w:color w:val="000000"/>
                          <w:szCs w:val="24"/>
                        </w:rPr>
                        <w:t xml:space="preserve">, </w:t>
                      </w:r>
                      <w:r>
                        <w:rPr>
                          <w:i/>
                          <w:color w:val="000000"/>
                          <w:szCs w:val="24"/>
                        </w:rPr>
                        <w:t>Q</w:t>
                      </w:r>
                      <w:r>
                        <w:rPr>
                          <w:i/>
                          <w:color w:val="000000"/>
                          <w:szCs w:val="24"/>
                          <w:vertAlign w:val="superscript"/>
                        </w:rPr>
                        <w:t>II</w:t>
                      </w:r>
                      <w:r>
                        <w:rPr>
                          <w:i/>
                          <w:color w:val="000000"/>
                          <w:szCs w:val="24"/>
                          <w:vertAlign w:val="subscript"/>
                        </w:rPr>
                        <w:t xml:space="preserve">H.HE,m </w:t>
                      </w:r>
                      <w:r>
                        <w:rPr>
                          <w:color w:val="000000"/>
                          <w:szCs w:val="24"/>
                        </w:rPr>
                        <w:t>– atitinkamai</w:t>
                      </w:r>
                      <w:r>
                        <w:rPr>
                          <w:b/>
                          <w:color w:val="000000"/>
                          <w:szCs w:val="24"/>
                        </w:rPr>
                        <w:t xml:space="preserve"> </w:t>
                      </w:r>
                      <w:r>
                        <w:rPr>
                          <w:color w:val="000000"/>
                          <w:szCs w:val="24"/>
                        </w:rPr>
                        <w:t>vėjo ir hidroelektrinių pagamintos energijos kiekis, sunaudojamas pastatui šildyti (kWh/(m²·mėn.)). Apskaičiuojamas pagal (2.451) ir (2.452) formules;</w:t>
                      </w:r>
                    </w:p>
                  </w:sdtContent>
                </w:sdt>
                <w:sdt>
                  <w:sdtPr>
                    <w:alias w:val="2 pr. 66.2 pp."/>
                    <w:tag w:val="part_f206d7f9e914458fbc7425a113a97670"/>
                    <w:lock w:val="sdtLocked"/>
                    <w:richText/>
                  </w:sdtPr>
                  <w:sdtContent>
                    <w:p>
                      <w:pPr>
                        <w:tabs>
                          <w:tab w:val="left" w:pos="567"/>
                        </w:tabs>
                        <w:suppressAutoHyphens/>
                        <w:ind w:firstLine="600"/>
                        <w:jc w:val="both"/>
                        <w:rPr>
                          <w:color w:val="000000"/>
                          <w:szCs w:val="24"/>
                          <w:lang w:eastAsia="lt-LT"/>
                        </w:rPr>
                      </w:pPr>
                      <w:sdt>
                        <w:sdtPr>
                          <w:alias w:val="Numeris"/>
                          <w:tag w:val="nr_f206d7f9e914458fbc7425a113a97670"/>
                          <w:lock w:val="sdtLocked"/>
                          <w:richText/>
                        </w:sdtPr>
                        <w:sdtContent>
                          <w:r>
                            <w:rPr>
                              <w:szCs w:val="24"/>
                              <w:lang w:eastAsia="lt-LT"/>
                            </w:rPr>
                            <w:t>66.2</w:t>
                          </w:r>
                        </w:sdtContent>
                      </w:sdt>
                      <w:r>
                        <w:rPr>
                          <w:szCs w:val="24"/>
                          <w:lang w:eastAsia="lt-LT"/>
                        </w:rPr>
                        <w:t xml:space="preserve">. </w:t>
                      </w:r>
                      <w:r>
                        <w:rPr>
                          <w:color w:val="000000"/>
                          <w:szCs w:val="24"/>
                          <w:lang w:eastAsia="lt-LT"/>
                        </w:rPr>
                        <w:t xml:space="preserve">vėjo ir hidroelektrinių pagamintos energijos dalys atitinkamą mėnesį </w:t>
                      </w:r>
                      <w:r>
                        <w:rPr>
                          <w:i/>
                          <w:color w:val="000000"/>
                          <w:szCs w:val="24"/>
                          <w:lang w:eastAsia="lt-LT"/>
                        </w:rPr>
                        <w:t>„m“</w:t>
                      </w:r>
                      <w:r>
                        <w:rPr>
                          <w:color w:val="000000"/>
                          <w:szCs w:val="24"/>
                          <w:lang w:eastAsia="lt-LT"/>
                        </w:rPr>
                        <w:t xml:space="preserve">, kurios priskiriamos elektros prietaisų energijos suvartojimui </w:t>
                      </w:r>
                      <w:r>
                        <w:rPr>
                          <w:i/>
                          <w:color w:val="000000"/>
                          <w:szCs w:val="24"/>
                          <w:lang w:eastAsia="lt-LT"/>
                        </w:rPr>
                        <w:t>f</w:t>
                      </w:r>
                      <w:r>
                        <w:rPr>
                          <w:i/>
                          <w:color w:val="000000"/>
                          <w:szCs w:val="24"/>
                          <w:vertAlign w:val="superscript"/>
                          <w:lang w:eastAsia="lt-LT"/>
                        </w:rPr>
                        <w:t>.II</w:t>
                      </w:r>
                      <w:r>
                        <w:rPr>
                          <w:i/>
                          <w:color w:val="000000"/>
                          <w:szCs w:val="24"/>
                          <w:vertAlign w:val="subscript"/>
                          <w:lang w:eastAsia="lt-LT"/>
                        </w:rPr>
                        <w:t>E.WE+HE,m</w:t>
                      </w:r>
                      <w:r>
                        <w:rPr>
                          <w:color w:val="000000"/>
                          <w:szCs w:val="24"/>
                          <w:lang w:eastAsia="lt-LT"/>
                        </w:rPr>
                        <w:t xml:space="preserve"> (vnt. dalis) ir energijos suvartojimui pastatui šildyti</w:t>
                      </w:r>
                      <w:r>
                        <w:rPr>
                          <w:i/>
                          <w:color w:val="000000"/>
                          <w:szCs w:val="24"/>
                          <w:lang w:eastAsia="lt-LT"/>
                        </w:rPr>
                        <w:t xml:space="preserve"> f</w:t>
                      </w:r>
                      <w:r>
                        <w:rPr>
                          <w:i/>
                          <w:color w:val="000000"/>
                          <w:szCs w:val="24"/>
                          <w:vertAlign w:val="superscript"/>
                          <w:lang w:eastAsia="lt-LT"/>
                        </w:rPr>
                        <w:t>.II</w:t>
                      </w:r>
                      <w:r>
                        <w:rPr>
                          <w:i/>
                          <w:color w:val="000000"/>
                          <w:szCs w:val="24"/>
                          <w:vertAlign w:val="subscript"/>
                          <w:lang w:eastAsia="lt-LT"/>
                        </w:rPr>
                        <w:t>H.WE+HE,m</w:t>
                      </w:r>
                      <w:r>
                        <w:rPr>
                          <w:color w:val="000000"/>
                          <w:szCs w:val="24"/>
                          <w:lang w:eastAsia="lt-LT"/>
                        </w:rPr>
                        <w:t xml:space="preserve"> (vnt. dalis), apskaičiuojamos taip:</w:t>
                      </w:r>
                    </w:p>
                    <w:tbl>
                      <w:tblPr>
                        <w:tblW w:w="5109" w:type="pct"/>
                        <w:jc w:val="center"/>
                        <w:tblLook w:val="01E0" w:firstRow="1" w:lastRow="1" w:firstColumn="1" w:lastColumn="1" w:noHBand="0" w:noVBand="0"/>
                      </w:tblPr>
                      <w:tblGrid>
                        <w:gridCol w:w="9118"/>
                        <w:gridCol w:w="951"/>
                      </w:tblGrid>
                      <w:tr>
                        <w:trPr>
                          <w:jc w:val="center"/>
                        </w:trPr>
                        <w:tc>
                          <w:tcPr>
                            <w:tcW w:w="4528" w:type="pct"/>
                            <w:vAlign w:val="center"/>
                            <w:hideMark/>
                          </w:tcPr>
                          <w:p>
                            <w:pPr>
                              <w:tabs>
                                <w:tab w:val="left" w:pos="567"/>
                              </w:tabs>
                              <w:suppressAutoHyphens/>
                              <w:spacing w:line="276" w:lineRule="auto"/>
                              <w:jc w:val="center"/>
                              <w:rPr>
                                <w:rFonts w:eastAsia="Calibri"/>
                                <w:color w:val="000000"/>
                                <w:szCs w:val="24"/>
                                <w:lang w:eastAsia="lt-LT"/>
                              </w:rPr>
                            </w:pPr>
                            <m:oMathPara>
                              <m:oMath>
                                <m:sSubSup>
                                  <m:sSubSupPr>
                                    <m:ctrlPr>
                                      <w:rPr>
                                        <w:rFonts w:ascii="Cambria Math" w:eastAsia="Calibri" w:hAnsi="Cambria Math"/>
                                        <w:i/>
                                        <w:color w:val="000000"/>
                                        <w:szCs w:val="24"/>
                                      </w:rPr>
                                    </m:ctrlPr>
                                  </m:sSubSupPr>
                                  <m:e>
                                    <m:r>
                                      <w:rPr>
                                        <w:rFonts w:ascii="Cambria Math" w:eastAsia="Calibri"/>
                                        <w:color w:val="000000"/>
                                        <w:szCs w:val="24"/>
                                      </w:rPr>
                                      <m:t>f</m:t>
                                    </m:r>
                                  </m:e>
                                  <m:sub>
                                    <m:r>
                                      <w:rPr>
                                        <w:rFonts w:ascii="Cambria Math" w:eastAsia="Calibri"/>
                                        <w:color w:val="000000"/>
                                        <w:szCs w:val="24"/>
                                      </w:rPr>
                                      <m:t>E.WE+HE,m</m:t>
                                    </m:r>
                                  </m:sub>
                                  <m:sup>
                                    <m:r>
                                      <w:rPr>
                                        <w:rFonts w:ascii="Cambria Math" w:eastAsia="Calibri"/>
                                        <w:color w:val="000000"/>
                                        <w:szCs w:val="24"/>
                                      </w:rPr>
                                      <m:t>II</m:t>
                                    </m:r>
                                  </m:sup>
                                </m:sSubSup>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E.eq,m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func>
                                      <m:funcPr>
                                        <m:ctrlPr>
                                          <w:rPr>
                                            <w:rFonts w:ascii="Cambria Math" w:eastAsia="Calibri" w:hAnsi="Cambria Math"/>
                                            <w:i/>
                                            <w:color w:val="000000"/>
                                            <w:szCs w:val="24"/>
                                          </w:rPr>
                                        </m:ctrlPr>
                                      </m:funcPr>
                                      <m:fName>
                                        <m:r>
                                          <w:rPr>
                                            <w:rFonts w:ascii="Cambria Math" w:eastAsia="Calibri"/>
                                            <w:color w:val="000000"/>
                                            <w:szCs w:val="24"/>
                                          </w:rPr>
                                          <m:t>lg.</m:t>
                                        </m:r>
                                      </m:fName>
                                      <m:e>
                                        <m:r>
                                          <w:rPr>
                                            <w:rFonts w:ascii="Cambria Math" w:eastAsia="Calibri"/>
                                            <w:color w:val="000000"/>
                                            <w:szCs w:val="24"/>
                                          </w:rPr>
                                          <m:t>m</m:t>
                                        </m:r>
                                      </m:e>
                                    </m:func>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E.vent,m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C.E,m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E.fvSK,m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IV</m:t>
                                    </m:r>
                                  </m:sup>
                                </m:sSubSup>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E.HE,m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E.WE,m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E.HE,m</m:t>
                                    </m:r>
                                  </m:sub>
                                  <m:sup>
                                    <m:r>
                                      <w:rPr>
                                        <w:rFonts w:ascii="Cambria Math" w:eastAsia="Calibri"/>
                                        <w:color w:val="000000"/>
                                        <w:szCs w:val="24"/>
                                      </w:rPr>
                                      <m:t>I</m:t>
                                    </m:r>
                                  </m:sup>
                                </m:sSubSup>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E.eq,m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func>
                                      <m:funcPr>
                                        <m:ctrlPr>
                                          <w:rPr>
                                            <w:rFonts w:ascii="Cambria Math" w:eastAsia="Calibri" w:hAnsi="Cambria Math"/>
                                            <w:i/>
                                            <w:color w:val="000000"/>
                                            <w:szCs w:val="24"/>
                                          </w:rPr>
                                        </m:ctrlPr>
                                      </m:funcPr>
                                      <m:fName>
                                        <m:r>
                                          <w:rPr>
                                            <w:rFonts w:ascii="Cambria Math" w:eastAsia="Calibri"/>
                                            <w:color w:val="000000"/>
                                            <w:szCs w:val="24"/>
                                          </w:rPr>
                                          <m:t>lg.</m:t>
                                        </m:r>
                                      </m:fName>
                                      <m:e>
                                        <m:r>
                                          <w:rPr>
                                            <w:rFonts w:ascii="Cambria Math" w:eastAsia="Calibri"/>
                                            <w:color w:val="000000"/>
                                            <w:szCs w:val="24"/>
                                          </w:rPr>
                                          <m:t>m</m:t>
                                        </m:r>
                                      </m:e>
                                    </m:func>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E.vent,m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C.E,m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E.fvSK,m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IV</m:t>
                                    </m:r>
                                  </m:sup>
                                </m:sSubSup>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E.HE,m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E.WE,m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E.HE,m</m:t>
                                    </m:r>
                                  </m:sub>
                                  <m:sup>
                                    <m:r>
                                      <w:rPr>
                                        <w:rFonts w:ascii="Cambria Math" w:eastAsia="Calibri"/>
                                        <w:color w:val="000000"/>
                                        <w:szCs w:val="24"/>
                                      </w:rPr>
                                      <m:t>I</m:t>
                                    </m:r>
                                  </m:sup>
                                </m:sSubSup>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H.E,m</m:t>
                                    </m:r>
                                  </m:sub>
                                </m:sSub>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H.sum.SK,m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up>
                                    <m:r>
                                      <w:rPr>
                                        <w:rFonts w:ascii="Cambria Math" w:eastAsia="Calibri"/>
                                        <w:color w:val="000000"/>
                                        <w:szCs w:val="24"/>
                                      </w:rPr>
                                      <m:t>I</m:t>
                                    </m:r>
                                  </m:sup>
                                </m:sSubSup>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H.HE,m</m:t>
                                    </m:r>
                                  </m:sub>
                                </m:sSub>
                                <m:r>
                                  <w:rPr>
                                    <w:rFonts w:ascii="Cambria Math" w:eastAsia="Calibri"/>
                                    <w:color w:val="000000"/>
                                    <w:szCs w:val="24"/>
                                  </w:rPr>
                                  <m:t>));</m:t>
                                </m:r>
                              </m:oMath>
                            </m:oMathPara>
                          </w:p>
                        </w:tc>
                        <w:tc>
                          <w:tcPr>
                            <w:tcW w:w="472"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(2.434)</w:t>
                            </w:r>
                          </w:p>
                        </w:tc>
                      </w:tr>
                      <w:tr>
                        <w:trPr>
                          <w:jc w:val="center"/>
                        </w:trPr>
                        <w:tc>
                          <w:tcPr>
                            <w:tcW w:w="4528" w:type="pct"/>
                            <w:vAlign w:val="center"/>
                            <w:hideMark/>
                          </w:tcPr>
                          <w:p>
                            <w:pPr>
                              <w:tabs>
                                <w:tab w:val="left" w:pos="567"/>
                              </w:tabs>
                              <w:suppressAutoHyphens/>
                              <w:spacing w:line="276" w:lineRule="auto"/>
                              <w:ind w:left="32"/>
                              <w:jc w:val="center"/>
                              <w:rPr>
                                <w:rFonts w:eastAsia="Calibri"/>
                                <w:color w:val="000000"/>
                                <w:szCs w:val="24"/>
                                <w:lang w:eastAsia="lt-LT"/>
                              </w:rPr>
                            </w:pPr>
                            <m:oMathPara>
                              <m:oMath>
                                <m:sSubSup>
                                  <m:sSubSupPr>
                                    <m:ctrlPr>
                                      <w:rPr>
                                        <w:rFonts w:ascii="Cambria Math" w:eastAsia="Calibri" w:hAnsi="Cambria Math"/>
                                        <w:i/>
                                        <w:color w:val="000000"/>
                                        <w:szCs w:val="24"/>
                                      </w:rPr>
                                    </m:ctrlPr>
                                  </m:sSubSupPr>
                                  <m:e>
                                    <m:r>
                                      <w:rPr>
                                        <w:rFonts w:ascii="Cambria Math" w:eastAsia="Calibri"/>
                                        <w:color w:val="000000"/>
                                        <w:szCs w:val="24"/>
                                      </w:rPr>
                                      <m:t>f</m:t>
                                    </m:r>
                                  </m:e>
                                  <m:sub>
                                    <m:r>
                                      <w:rPr>
                                        <w:rFonts w:ascii="Cambria Math" w:eastAsia="Calibri"/>
                                        <w:color w:val="000000"/>
                                        <w:szCs w:val="24"/>
                                      </w:rPr>
                                      <m:t>H.WE+HE,m</m:t>
                                    </m:r>
                                  </m:sub>
                                  <m:sup>
                                    <m:r>
                                      <w:rPr>
                                        <w:rFonts w:ascii="Cambria Math" w:eastAsia="Calibri"/>
                                        <w:color w:val="000000"/>
                                        <w:szCs w:val="24"/>
                                      </w:rPr>
                                      <m:t>II</m:t>
                                    </m:r>
                                  </m:sup>
                                </m:sSubSup>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H.E,m</m:t>
                                    </m:r>
                                  </m:sub>
                                </m:sSub>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H.sum.SK,m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up>
                                    <m:r>
                                      <w:rPr>
                                        <w:rFonts w:ascii="Cambria Math" w:eastAsia="Calibri"/>
                                        <w:color w:val="000000"/>
                                        <w:szCs w:val="24"/>
                                      </w:rPr>
                                      <m:t>I</m:t>
                                    </m:r>
                                  </m:sup>
                                </m:sSubSup>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H.HE,m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E.eq,m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func>
                                      <m:funcPr>
                                        <m:ctrlPr>
                                          <w:rPr>
                                            <w:rFonts w:ascii="Cambria Math" w:eastAsia="Calibri" w:hAnsi="Cambria Math"/>
                                            <w:i/>
                                            <w:color w:val="000000"/>
                                            <w:szCs w:val="24"/>
                                          </w:rPr>
                                        </m:ctrlPr>
                                      </m:funcPr>
                                      <m:fName>
                                        <m:r>
                                          <w:rPr>
                                            <w:rFonts w:ascii="Cambria Math" w:eastAsia="Calibri"/>
                                            <w:color w:val="000000"/>
                                            <w:szCs w:val="24"/>
                                          </w:rPr>
                                          <m:t>lg.</m:t>
                                        </m:r>
                                      </m:fName>
                                      <m:e>
                                        <m:r>
                                          <w:rPr>
                                            <w:rFonts w:ascii="Cambria Math" w:eastAsia="Calibri"/>
                                            <w:color w:val="000000"/>
                                            <w:szCs w:val="24"/>
                                          </w:rPr>
                                          <m:t>m</m:t>
                                        </m:r>
                                      </m:e>
                                    </m:func>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E.vent,m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m:t>
                                    </m:r>
                                    <m:r>
                                      <w:rPr>
                                        <w:rFonts w:ascii="Cambria Math" w:eastAsia="Calibri"/>
                                        <w:color w:val="000000"/>
                                        <w:szCs w:val="24"/>
                                      </w:rPr>
                                      <m:t>h</m:t>
                                    </m:r>
                                    <m:r>
                                      <w:rPr>
                                        <w:rFonts w:ascii="Cambria Math" w:eastAsia="Calibri"/>
                                        <w:color w:val="000000"/>
                                        <w:szCs w:val="24"/>
                                      </w:rPr>
                                      <m:t>w+H).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C.E,m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E.fvSK,m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E.fvSK,m</m:t>
                                    </m:r>
                                  </m:sub>
                                  <m:sup>
                                    <m:r>
                                      <w:rPr>
                                        <w:rFonts w:ascii="Cambria Math" w:eastAsia="Calibri"/>
                                        <w:color w:val="000000"/>
                                        <w:szCs w:val="24"/>
                                      </w:rPr>
                                      <m:t>IV</m:t>
                                    </m:r>
                                  </m:sup>
                                </m:sSubSup>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E.HE,m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E.WE,m</m:t>
                                    </m:r>
                                  </m:sub>
                                  <m:sup>
                                    <m:r>
                                      <w:rPr>
                                        <w:rFonts w:ascii="Cambria Math" w:eastAsia="Calibri"/>
                                        <w:color w:val="000000"/>
                                        <w:szCs w:val="24"/>
                                      </w:rPr>
                                      <m:t>I</m:t>
                                    </m:r>
                                  </m:sup>
                                </m:sSubSup>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E.HE,m</m:t>
                                    </m:r>
                                  </m:sub>
                                  <m:sup>
                                    <m:r>
                                      <w:rPr>
                                        <w:rFonts w:ascii="Cambria Math" w:eastAsia="Calibri"/>
                                        <w:color w:val="000000"/>
                                        <w:szCs w:val="24"/>
                                      </w:rPr>
                                      <m:t>I</m:t>
                                    </m:r>
                                  </m:sup>
                                </m:sSubSup>
                                <m:r>
                                  <w:rPr>
                                    <w:rFonts w:ascii="Cambria Math" w:eastAsia="Calibri"/>
                                    <w:color w:val="000000"/>
                                    <w:szCs w:val="24"/>
                                  </w:rPr>
                                  <m:t>+</m:t>
                                </m:r>
                                <m:r>
                                  <m:rPr>
                                    <m:sty m:val="p"/>
                                  </m:rPr>
                                  <w:rPr>
                                    <w:rFonts w:ascii="Cambria Math" w:eastAsia="Calibri"/>
                                    <w:color w:val="000000"/>
                                    <w:szCs w:val="24"/>
                                  </w:rPr>
                                  <w:br/>
                                </m:r>
                              </m:oMath>
                              <m:oMath>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H.E,m</m:t>
                                    </m:r>
                                  </m:sub>
                                </m:sSub>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H.sum.SK,m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Sub>
                                <m:r>
                                  <w:rPr>
                                    <w:rFonts w:ascii="Cambria Math" w:eastAsia="Calibri"/>
                                    <w:color w:val="000000"/>
                                    <w:szCs w:val="24"/>
                                  </w:rPr>
                                  <m:t>-</m:t>
                                </m:r>
                                <m:sSubSup>
                                  <m:sSubSupPr>
                                    <m:ctrlPr>
                                      <w:rPr>
                                        <w:rFonts w:ascii="Cambria Math" w:eastAsia="Calibri" w:hAnsi="Cambria Math"/>
                                        <w:i/>
                                        <w:color w:val="000000"/>
                                        <w:szCs w:val="24"/>
                                      </w:rPr>
                                    </m:ctrlPr>
                                  </m:sSubSupPr>
                                  <m:e>
                                    <m:r>
                                      <w:rPr>
                                        <w:rFonts w:ascii="Cambria Math" w:eastAsia="Calibri"/>
                                        <w:color w:val="000000"/>
                                        <w:szCs w:val="24"/>
                                      </w:rPr>
                                      <m:t>Q</m:t>
                                    </m:r>
                                  </m:e>
                                  <m:sub>
                                    <m:r>
                                      <w:rPr>
                                        <w:rFonts w:ascii="Cambria Math" w:eastAsia="Calibri"/>
                                        <w:color w:val="000000"/>
                                        <w:szCs w:val="24"/>
                                      </w:rPr>
                                      <m:t>H.</m:t>
                                    </m:r>
                                    <m:r>
                                      <w:rPr>
                                        <w:rFonts w:ascii="Cambria Math" w:eastAsia="Calibri"/>
                                        <w:color w:val="000000"/>
                                        <w:szCs w:val="24"/>
                                      </w:rPr>
                                      <m:t>h</m:t>
                                    </m:r>
                                    <m:r>
                                      <w:rPr>
                                        <w:rFonts w:ascii="Cambria Math" w:eastAsia="Calibri"/>
                                        <w:color w:val="000000"/>
                                        <w:szCs w:val="24"/>
                                      </w:rPr>
                                      <m:t>wSK,m</m:t>
                                    </m:r>
                                  </m:sub>
                                  <m:sup>
                                    <m:r>
                                      <w:rPr>
                                        <w:rFonts w:ascii="Cambria Math" w:eastAsia="Calibri"/>
                                        <w:color w:val="000000"/>
                                        <w:szCs w:val="24"/>
                                      </w:rPr>
                                      <m:t>I</m:t>
                                    </m:r>
                                  </m:sup>
                                </m:sSubSup>
                                <m:r>
                                  <w:rPr>
                                    <w:rFonts w:ascii="Cambria Math" w:eastAsia="Calibri"/>
                                    <w:color w:val="000000"/>
                                    <w:szCs w:val="24"/>
                                  </w:rPr>
                                  <m:t>)</m:t>
                                </m:r>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H.WE,m</m:t>
                                    </m:r>
                                  </m:sub>
                                </m:sSub>
                                <m:r>
                                  <w:rPr>
                                    <w:rFonts w:ascii="Cambria Math" w:eastAsia="Calibri"/>
                                    <w:color w:val="000000"/>
                                    <w:szCs w:val="24"/>
                                  </w:rPr>
                                  <m:t>-</m:t>
                                </m:r>
                                <m:sSub>
                                  <m:sSubPr>
                                    <m:ctrlPr>
                                      <w:rPr>
                                        <w:rFonts w:ascii="Cambria Math" w:eastAsia="Calibri" w:hAnsi="Cambria Math"/>
                                        <w:i/>
                                        <w:color w:val="000000"/>
                                        <w:szCs w:val="24"/>
                                      </w:rPr>
                                    </m:ctrlPr>
                                  </m:sSubPr>
                                  <m:e>
                                    <m:r>
                                      <w:rPr>
                                        <w:rFonts w:ascii="Cambria Math" w:eastAsia="Calibri"/>
                                        <w:color w:val="000000"/>
                                        <w:szCs w:val="24"/>
                                      </w:rPr>
                                      <m:t>Q</m:t>
                                    </m:r>
                                  </m:e>
                                  <m:sub>
                                    <m:r>
                                      <w:rPr>
                                        <w:rFonts w:ascii="Cambria Math" w:eastAsia="Calibri"/>
                                        <w:color w:val="000000"/>
                                        <w:szCs w:val="24"/>
                                      </w:rPr>
                                      <m:t>H.HE,m</m:t>
                                    </m:r>
                                  </m:sub>
                                </m:sSub>
                                <m:r>
                                  <w:rPr>
                                    <w:rFonts w:ascii="Cambria Math" w:eastAsia="Calibri"/>
                                    <w:color w:val="000000"/>
                                    <w:szCs w:val="24"/>
                                  </w:rPr>
                                  <m:t>)),</m:t>
                                </m:r>
                              </m:oMath>
                            </m:oMathPara>
                          </w:p>
                        </w:tc>
                        <w:tc>
                          <w:tcPr>
                            <w:tcW w:w="472"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(2.435)</w:t>
                            </w:r>
                          </w:p>
                        </w:tc>
                      </w:tr>
                    </w:tbl>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 xml:space="preserve">E.(hw+H).hwSK,m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Apskaičiuojama pagal (2.128), (2.129), (2.130), (2.242), (2.190), (2.200) ir (2.220) formules;</w:t>
                      </w:r>
                    </w:p>
                    <w:p>
                      <w:pPr>
                        <w:tabs>
                          <w:tab w:val="left" w:pos="567"/>
                        </w:tabs>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E.fvSK,m</w:t>
                      </w:r>
                      <w:r>
                        <w:rPr>
                          <w:i/>
                          <w:color w:val="000000"/>
                          <w:szCs w:val="24"/>
                          <w:lang w:eastAsia="lt-LT"/>
                        </w:rPr>
                        <w:t>, Q</w:t>
                      </w:r>
                      <w:r>
                        <w:rPr>
                          <w:i/>
                          <w:color w:val="000000"/>
                          <w:szCs w:val="24"/>
                          <w:vertAlign w:val="superscript"/>
                          <w:lang w:eastAsia="lt-LT"/>
                        </w:rPr>
                        <w:t>I</w:t>
                      </w:r>
                      <w:r>
                        <w:rPr>
                          <w:i/>
                          <w:color w:val="000000"/>
                          <w:szCs w:val="24"/>
                          <w:vertAlign w:val="subscript"/>
                          <w:lang w:eastAsia="lt-LT"/>
                        </w:rPr>
                        <w:t>E.fvSK,m</w:t>
                      </w:r>
                      <w:r>
                        <w:rPr>
                          <w:i/>
                          <w:color w:val="000000"/>
                          <w:szCs w:val="24"/>
                          <w:lang w:eastAsia="lt-LT"/>
                        </w:rPr>
                        <w:t>, Q</w:t>
                      </w:r>
                      <w:r>
                        <w:rPr>
                          <w:i/>
                          <w:color w:val="000000"/>
                          <w:szCs w:val="24"/>
                          <w:vertAlign w:val="superscript"/>
                          <w:lang w:eastAsia="lt-LT"/>
                        </w:rPr>
                        <w:t>II</w:t>
                      </w:r>
                      <w:r>
                        <w:rPr>
                          <w:i/>
                          <w:color w:val="000000"/>
                          <w:szCs w:val="24"/>
                          <w:vertAlign w:val="subscript"/>
                          <w:lang w:eastAsia="lt-LT"/>
                        </w:rPr>
                        <w:t>E.fvSK,m</w:t>
                      </w:r>
                      <w:r>
                        <w:rPr>
                          <w:color w:val="000000"/>
                          <w:szCs w:val="24"/>
                          <w:lang w:eastAsia="lt-LT"/>
                        </w:rPr>
                        <w:t xml:space="preserve">,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E.fvSK,m</w:t>
                      </w:r>
                      <w:r>
                        <w:rPr>
                          <w:color w:val="000000"/>
                          <w:szCs w:val="24"/>
                          <w:lang w:eastAsia="lt-LT"/>
                        </w:rPr>
                        <w:t xml:space="preserve"> – apskaičiuojama pagal (2.229), (2.253), (2.272) ir (2.313) formules; </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E.WE,m</w:t>
                      </w:r>
                      <w:r>
                        <w:rPr>
                          <w:color w:val="000000"/>
                          <w:szCs w:val="24"/>
                          <w:lang w:eastAsia="lt-LT"/>
                        </w:rPr>
                        <w:t xml:space="preserve"> – apskaičiuojama pagal (2.345)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E.HE,m</w:t>
                      </w:r>
                      <w:r>
                        <w:rPr>
                          <w:color w:val="000000"/>
                          <w:szCs w:val="24"/>
                          <w:lang w:eastAsia="lt-LT"/>
                        </w:rPr>
                        <w:t xml:space="preserve"> – apskaičiuojama pagal (2.346)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E.WE,m</w:t>
                      </w:r>
                      <w:r>
                        <w:rPr>
                          <w:color w:val="000000"/>
                          <w:szCs w:val="24"/>
                          <w:lang w:eastAsia="lt-LT"/>
                        </w:rPr>
                        <w:t xml:space="preserve"> – apskaičiuojama pagal (2.401)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E.HE,m</w:t>
                      </w:r>
                      <w:r>
                        <w:rPr>
                          <w:color w:val="000000"/>
                          <w:szCs w:val="24"/>
                          <w:lang w:eastAsia="lt-LT"/>
                        </w:rPr>
                        <w:t xml:space="preserve"> – apskaičiuojama pagal (2.402)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H.sum.SK,m</w:t>
                      </w:r>
                      <w:r>
                        <w:rPr>
                          <w:color w:val="000000"/>
                          <w:szCs w:val="24"/>
                          <w:lang w:eastAsia="lt-LT"/>
                        </w:rPr>
                        <w:t xml:space="preserve"> – apskaičiuojama pagal (2.340)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H.WE,m</w:t>
                      </w:r>
                      <w:r>
                        <w:rPr>
                          <w:color w:val="000000"/>
                          <w:szCs w:val="24"/>
                          <w:lang w:eastAsia="lt-LT"/>
                        </w:rPr>
                        <w:t xml:space="preserve"> – apskaičiuojama pagal (2.381)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H.HE,m</w:t>
                      </w:r>
                      <w:r>
                        <w:rPr>
                          <w:color w:val="000000"/>
                          <w:szCs w:val="24"/>
                          <w:lang w:eastAsia="lt-LT"/>
                        </w:rPr>
                        <w:t xml:space="preserve"> – apskaičiuojama pagal (2.382) formulę.</w:t>
                      </w:r>
                    </w:p>
                    <w:tbl>
                      <w:tblPr>
                        <w:tblW w:w="5000" w:type="pct"/>
                        <w:jc w:val="center"/>
                        <w:tblLook w:val="01E0" w:firstRow="1" w:lastRow="1" w:firstColumn="1" w:lastColumn="1" w:noHBand="0" w:noVBand="0"/>
                      </w:tblPr>
                      <w:tblGrid>
                        <w:gridCol w:w="8938"/>
                        <w:gridCol w:w="916"/>
                      </w:tblGrid>
                      <w:tr>
                        <w:trPr>
                          <w:jc w:val="center"/>
                        </w:trPr>
                        <w:tc>
                          <w:tcPr>
                            <w:tcW w:w="4555" w:type="pct"/>
                            <w:vAlign w:val="center"/>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280" w:dyaOrig="2320">
                                <v:shape id="_x0000_i1526" type="#_x0000_t75" style="width:363.25pt;height:120.55pt" o:ole="">
                                  <v:imagedata r:id="rId1243" o:title=""/>
                                </v:shape>
                                <o:OLEObject Type="Embed" ProgID="Equation.3" ShapeID="_x0000_i1526" DrawAspect="Content" ObjectID="_0000000001" r:id="rId1244"/>
                              </w:object>
                            </w:r>
                            <w:r>
                              <w:rPr>
                                <w:color w:val="000000"/>
                                <w:szCs w:val="24"/>
                                <w:lang w:eastAsia="lt-LT"/>
                              </w:rPr>
                              <w:t>;</w:t>
                            </w:r>
                          </w:p>
                        </w:tc>
                        <w:tc>
                          <w:tcPr>
                            <w:tcW w:w="445"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(2.436) </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520" w:dyaOrig="804">
                                <v:shape id="_x0000_i1527" type="#_x0000_t75" style="width:277.5pt;height:42.05pt" o:ole="">
                                  <v:imagedata r:id="rId1245" o:title=""/>
                                </v:shape>
                                <o:OLEObject Type="Embed" ProgID="Equation.3" ShapeID="_x0000_i1527" DrawAspect="Content" ObjectID="_0000000001" r:id="rId1246"/>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(2.437) </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(2.436) formulės taikymo sąlygos:</w:t>
                      </w:r>
                    </w:p>
                    <w:p>
                      <w:pPr>
                        <w:tabs>
                          <w:tab w:val="left" w:pos="567"/>
                        </w:tabs>
                        <w:suppressAutoHyphens/>
                        <w:ind w:firstLine="567"/>
                        <w:jc w:val="both"/>
                        <w:rPr>
                          <w:color w:val="000000"/>
                          <w:szCs w:val="24"/>
                          <w:lang w:eastAsia="lt-LT"/>
                        </w:rPr>
                      </w:pPr>
                      <w:r>
                        <w:rPr>
                          <w:color w:val="000000"/>
                          <w:szCs w:val="24"/>
                          <w:lang w:eastAsia="lt-LT"/>
                        </w:rPr>
                        <w:t>- kai pastate nenaudojama iš vėjo elektrinių pagamintos elektros energijos dvipusė apskaita ir kai vėjo elektrinės pagamina daugiau elektros energijos už elektros prietaisų energijos sąnaudas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660" w:dyaOrig="1212">
                                <v:shape id="_x0000_i1528" type="#_x0000_t75" style="width:332.5pt;height:59.85pt" o:ole="">
                                  <v:imagedata r:id="rId1247" o:title=""/>
                                </v:shape>
                                <o:OLEObject Type="Embed" ProgID="Equation.3" ShapeID="_x0000_i1528" DrawAspect="Content" ObjectID="_0000000001" r:id="rId1248"/>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(2.438)</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672" w:dyaOrig="1212">
                                <v:shape id="_x0000_i1529" type="#_x0000_t75" style="width:334.1pt;height:59.85pt" o:ole="">
                                  <v:imagedata r:id="rId1249" o:title=""/>
                                </v:shape>
                                <o:OLEObject Type="Embed" ProgID="Equation.3" ShapeID="_x0000_i1529" DrawAspect="Content" ObjectID="_0000000001" r:id="rId1250"/>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(2.439)</w:t>
                            </w:r>
                          </w:p>
                        </w:tc>
                      </w:tr>
                    </w:tbl>
                    <w:p>
                      <w:pPr>
                        <w:tabs>
                          <w:tab w:val="left" w:pos="567"/>
                        </w:tabs>
                        <w:suppressAutoHyphens/>
                        <w:jc w:val="both"/>
                        <w:rPr>
                          <w:rFonts w:eastAsia="Calibri"/>
                          <w:color w:val="000000"/>
                          <w:szCs w:val="24"/>
                          <w:lang w:eastAsia="lt-LT"/>
                        </w:rPr>
                      </w:pPr>
                      <w:r>
                        <w:rPr>
                          <w:color w:val="000000"/>
                          <w:szCs w:val="24"/>
                          <w:lang w:eastAsia="lt-LT"/>
                        </w:rPr>
                        <w:t>kitais atvejais skaičiavimo rezultatas atitinka gautą pagal (2.436) formulę;</w:t>
                      </w:r>
                    </w:p>
                    <w:p>
                      <w:pPr>
                        <w:tabs>
                          <w:tab w:val="left" w:pos="567"/>
                          <w:tab w:val="left" w:pos="1650"/>
                        </w:tabs>
                        <w:suppressAutoHyphens/>
                        <w:ind w:firstLine="840"/>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580" w:dyaOrig="2760">
                                <v:shape id="_x0000_i1530" type="#_x0000_t75" style="width:376.2pt;height:138.35pt" o:ole="">
                                  <v:imagedata r:id="rId1251" o:title=""/>
                                </v:shape>
                                <o:OLEObject Type="Embed" ProgID="Equation.3" ShapeID="_x0000_i1530" DrawAspect="Content" ObjectID="_0000000001" r:id="rId1252"/>
                              </w:object>
                              <w:t>,</w:t>
                            </w:r>
                          </w:p>
                        </w:tc>
                        <w:tc>
                          <w:tcPr>
                            <w:tcW w:w="618" w:type="pct"/>
                            <w:vAlign w:val="center"/>
                            <w:hideMark/>
                          </w:tcPr>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color w:val="000000"/>
                                <w:szCs w:val="24"/>
                                <w:lang w:eastAsia="lt-LT"/>
                              </w:rPr>
                            </w:pPr>
                          </w:p>
                          <w:p>
                            <w:pPr>
                              <w:tabs>
                                <w:tab w:val="left" w:pos="567"/>
                              </w:tabs>
                              <w:suppressAutoHyphens/>
                              <w:spacing w:line="276" w:lineRule="auto"/>
                              <w:rPr>
                                <w:color w:val="000000"/>
                                <w:szCs w:val="24"/>
                                <w:lang w:eastAsia="lt-LT"/>
                              </w:rPr>
                            </w:pPr>
                            <w:r>
                              <w:rPr>
                                <w:color w:val="000000"/>
                                <w:szCs w:val="24"/>
                                <w:lang w:eastAsia="lt-LT"/>
                              </w:rPr>
                              <w:t>(2.440)</w:t>
                            </w:r>
                          </w:p>
                          <w:p>
                            <w:pPr>
                              <w:tabs>
                                <w:tab w:val="left" w:pos="567"/>
                              </w:tabs>
                              <w:suppressAutoHyphens/>
                              <w:spacing w:line="276" w:lineRule="auto"/>
                              <w:rPr>
                                <w:color w:val="000000"/>
                                <w:szCs w:val="24"/>
                                <w:lang w:eastAsia="lt-LT"/>
                              </w:rPr>
                            </w:pPr>
                          </w:p>
                          <w:p>
                            <w:pPr>
                              <w:tabs>
                                <w:tab w:val="left" w:pos="567"/>
                              </w:tabs>
                              <w:suppressAutoHyphens/>
                              <w:spacing w:line="276" w:lineRule="auto"/>
                              <w:rPr>
                                <w:color w:val="000000"/>
                                <w:szCs w:val="24"/>
                                <w:lang w:eastAsia="lt-LT"/>
                              </w:rPr>
                            </w:pPr>
                          </w:p>
                          <w:p>
                            <w:pPr>
                              <w:tabs>
                                <w:tab w:val="left" w:pos="567"/>
                              </w:tabs>
                              <w:suppressAutoHyphens/>
                              <w:spacing w:line="276" w:lineRule="auto"/>
                              <w:rPr>
                                <w:color w:val="000000"/>
                                <w:szCs w:val="24"/>
                                <w:lang w:eastAsia="lt-LT"/>
                              </w:rPr>
                            </w:pP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 xml:space="preserve">E.WE,m  </w:t>
                      </w:r>
                      <w:r>
                        <w:rPr>
                          <w:color w:val="000000"/>
                          <w:szCs w:val="24"/>
                          <w:lang w:eastAsia="lt-LT"/>
                        </w:rPr>
                        <w:t>apskaičiuojama pagal (2.436)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520" w:dyaOrig="1520">
                                <v:shape id="_x0000_i1531" type="#_x0000_t75" style="width:375.35pt;height:76.85pt" o:ole="">
                                  <v:imagedata r:id="rId1253" o:title=""/>
                                </v:shape>
                                <o:OLEObject Type="Embed" ProgID="Equation.3" ShapeID="_x0000_i1531" DrawAspect="Content" ObjectID="_0000000001" r:id="rId1254"/>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(2.441)</w:t>
                            </w:r>
                          </w:p>
                        </w:tc>
                      </w:tr>
                    </w:tbl>
                    <w:p>
                      <w:pPr>
                        <w:tabs>
                          <w:tab w:val="left" w:pos="567"/>
                        </w:tabs>
                        <w:suppressAutoHyphens/>
                        <w:rPr>
                          <w:rFonts w:eastAsia="Calibri"/>
                          <w:color w:val="000000"/>
                          <w:szCs w:val="24"/>
                          <w:lang w:eastAsia="lt-LT"/>
                        </w:rPr>
                      </w:pPr>
                      <w:r>
                        <w:rPr>
                          <w:color w:val="000000"/>
                          <w:szCs w:val="24"/>
                          <w:lang w:eastAsia="lt-LT"/>
                        </w:rPr>
                        <w:t>ir pagal (2.346</w:t>
                      </w:r>
                      <w:r>
                        <w:rPr>
                          <w:color w:val="000000"/>
                          <w:szCs w:val="24"/>
                          <w:vertAlign w:val="superscript"/>
                          <w:lang w:eastAsia="lt-LT"/>
                        </w:rPr>
                        <w:t>1</w:t>
                      </w:r>
                      <w:r>
                        <w:rPr>
                          <w:color w:val="000000"/>
                          <w:szCs w:val="24"/>
                          <w:lang w:eastAsia="lt-LT"/>
                        </w:rPr>
                        <w:t>)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659" w:dyaOrig="380">
                                <v:shape id="_x0000_i1532" type="#_x0000_t75" style="width:138.35pt;height:20.2pt" o:ole="">
                                  <v:imagedata r:id="rId1255" o:title=""/>
                                </v:shape>
                                <o:OLEObject Type="Embed" ProgID="Equation.3" ShapeID="_x0000_i1532" DrawAspect="Content" ObjectID="_0000000001" r:id="rId1256"/>
                              </w:object>
                              <w:t xml:space="preserve">, kitais mėnesiais </w:t>
                            </w:r>
                            <w:r>
                              <w:rPr>
                                <w:rFonts w:eastAsia="Calibri"/>
                                <w:color w:val="000000"/>
                                <w:position w:val="-12"/>
                                <w:szCs w:val="24"/>
                                <w:lang w:eastAsia="lt-LT"/>
                              </w:rPr>
                              <w:object w:dxaOrig="1116" w:dyaOrig="348">
                                <v:shape id="_x0000_i1533" type="#_x0000_t75" style="width:55.8pt;height:16.2pt" o:ole="">
                                  <v:imagedata r:id="rId1257" o:title=""/>
                                </v:shape>
                                <o:OLEObject Type="Embed" ProgID="Equation.3" ShapeID="_x0000_i1533" DrawAspect="Content" ObjectID="_0000000001" r:id="rId1258"/>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(2.442)</w:t>
                            </w:r>
                          </w:p>
                        </w:tc>
                      </w:tr>
                    </w:tbl>
                    <w:p>
                      <w:pPr>
                        <w:tabs>
                          <w:tab w:val="left" w:pos="567"/>
                        </w:tabs>
                        <w:suppressAutoHyphens/>
                        <w:rPr>
                          <w:rFonts w:eastAsia="Calibri"/>
                          <w:color w:val="000000"/>
                          <w:szCs w:val="24"/>
                          <w:lang w:eastAsia="lt-LT"/>
                        </w:rPr>
                      </w:pPr>
                      <w:r>
                        <w:rPr>
                          <w:color w:val="000000"/>
                          <w:szCs w:val="24"/>
                          <w:lang w:eastAsia="lt-LT"/>
                        </w:rPr>
                        <w:t>jei pagal (2.346</w:t>
                      </w:r>
                      <w:r>
                        <w:rPr>
                          <w:color w:val="000000"/>
                          <w:szCs w:val="24"/>
                          <w:vertAlign w:val="superscript"/>
                          <w:lang w:eastAsia="lt-LT"/>
                        </w:rPr>
                        <w:t>2</w:t>
                      </w:r>
                      <w:r>
                        <w:rPr>
                          <w:color w:val="000000"/>
                          <w:szCs w:val="24"/>
                          <w:lang w:eastAsia="lt-LT"/>
                        </w:rPr>
                        <w:t>)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520" w:dyaOrig="1520">
                                <v:shape id="_x0000_i1534" type="#_x0000_t75" style="width:375.35pt;height:76.85pt" o:ole="">
                                  <v:imagedata r:id="rId1259" o:title=""/>
                                </v:shape>
                                <o:OLEObject Type="Embed" ProgID="Equation.3" ShapeID="_x0000_i1534" DrawAspect="Content" ObjectID="_0000000001" r:id="rId1260"/>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16" w:dyaOrig="348">
                                <v:shape id="_x0000_i1535" type="#_x0000_t75" style="width:55.8pt;height:16.2pt" o:ole="">
                                  <v:imagedata r:id="rId1261" o:title=""/>
                                </v:shape>
                                <o:OLEObject Type="Embed" ProgID="Equation.3" ShapeID="_x0000_i1535" DrawAspect="Content" ObjectID="_0000000001" r:id="rId1262"/>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(2.443)</w:t>
                            </w:r>
                          </w:p>
                        </w:tc>
                      </w:tr>
                    </w:tbl>
                    <w:p>
                      <w:pPr>
                        <w:tabs>
                          <w:tab w:val="left" w:pos="567"/>
                        </w:tabs>
                        <w:suppressAutoHyphens/>
                        <w:ind w:left="600"/>
                        <w:rPr>
                          <w:color w:val="000000"/>
                          <w:szCs w:val="24"/>
                          <w:lang w:eastAsia="lt-LT"/>
                        </w:rPr>
                      </w:pPr>
                      <w:r>
                        <w:rPr>
                          <w:color w:val="000000"/>
                          <w:szCs w:val="24"/>
                          <w:lang w:eastAsia="lt-LT"/>
                        </w:rPr>
                        <w:t>(2.437) formulės taikymo sąlygos:</w:t>
                      </w:r>
                    </w:p>
                    <w:p>
                      <w:pPr>
                        <w:tabs>
                          <w:tab w:val="left" w:pos="567"/>
                        </w:tabs>
                        <w:suppressAutoHyphens/>
                        <w:ind w:firstLine="567"/>
                        <w:jc w:val="both"/>
                        <w:rPr>
                          <w:color w:val="000000"/>
                          <w:szCs w:val="24"/>
                          <w:lang w:eastAsia="lt-LT"/>
                        </w:rPr>
                      </w:pPr>
                      <w:r>
                        <w:rPr>
                          <w:color w:val="000000"/>
                          <w:szCs w:val="24"/>
                          <w:lang w:eastAsia="lt-LT"/>
                        </w:rPr>
                        <w:t>- kai pastate nenaudojama iš vėjo elektrinių ir hidroelektrinių pagamintos elektros energijos dvipusė apskaita ir kai vėjo ir hidroelektrinės pagamina daugiau elektros energijos už elektros prietaisų energijos sąnaudas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016" w:dyaOrig="1668">
                                <v:shape id="_x0000_i1536" type="#_x0000_t75" style="width:250.8pt;height:81.7pt" o:ole="">
                                  <v:imagedata r:id="rId1263" o:title=""/>
                                </v:shape>
                                <o:OLEObject Type="Embed" ProgID="Equation.3" ShapeID="_x0000_i1536" DrawAspect="Content" ObjectID="_0000000001" r:id="rId1264"/>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(2.444)</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052" w:dyaOrig="1668">
                                <v:shape id="_x0000_i1537" type="#_x0000_t75" style="width:254.85pt;height:81.7pt" o:ole="">
                                  <v:imagedata r:id="rId1265" o:title=""/>
                                </v:shape>
                                <o:OLEObject Type="Embed" ProgID="Equation.3" ShapeID="_x0000_i1537" DrawAspect="Content" ObjectID="_0000000001" r:id="rId1266"/>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(2.445)</w:t>
                            </w:r>
                          </w:p>
                        </w:tc>
                      </w:tr>
                    </w:tbl>
                    <w:p>
                      <w:pPr>
                        <w:tabs>
                          <w:tab w:val="left" w:pos="567"/>
                        </w:tabs>
                        <w:suppressAutoHyphens/>
                        <w:rPr>
                          <w:rFonts w:eastAsia="Calibri"/>
                          <w:i/>
                          <w:color w:val="000000"/>
                          <w:szCs w:val="24"/>
                          <w:lang w:eastAsia="lt-LT"/>
                        </w:rPr>
                      </w:pPr>
                      <w:r>
                        <w:rPr>
                          <w:color w:val="000000"/>
                          <w:szCs w:val="24"/>
                          <w:lang w:eastAsia="lt-LT"/>
                        </w:rPr>
                        <w:t>kitais atvejais skaičiavimo rezultatas atitinka sumą, apskaičiuotą pagal (2.436) ir (2.437)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lang w:eastAsia="lt-LT"/>
                              </w:rPr>
                              <w:object w:dxaOrig="5860" w:dyaOrig="3159">
                                <v:shape id="_x0000_i1538" type="#_x0000_t75" style="width:292.05pt;height:158.55pt" o:ole="">
                                  <v:imagedata r:id="rId1267" o:title=""/>
                                </v:shape>
                                <o:OLEObject Type="Embed" ProgID="Equation.3" ShapeID="_x0000_i1538" DrawAspect="Content" ObjectID="_0000000001" r:id="rId1268"/>
                              </w:object>
                              <w:t>,</w:t>
                            </w:r>
                          </w:p>
                        </w:tc>
                        <w:tc>
                          <w:tcPr>
                            <w:tcW w:w="618" w:type="pct"/>
                            <w:vAlign w:val="center"/>
                            <w:hideMark/>
                          </w:tcPr>
                          <w:p>
                            <w:pPr>
                              <w:tabs>
                                <w:tab w:val="left" w:pos="567"/>
                              </w:tabs>
                              <w:suppressAutoHyphens/>
                              <w:spacing w:line="276" w:lineRule="auto"/>
                              <w:jc w:val="right"/>
                              <w:rPr>
                                <w:color w:val="000000"/>
                                <w:szCs w:val="24"/>
                                <w:lang w:eastAsia="lt-LT"/>
                              </w:rPr>
                            </w:pPr>
                            <w:r>
                              <w:rPr>
                                <w:color w:val="000000"/>
                                <w:szCs w:val="24"/>
                                <w:lang w:eastAsia="lt-LT"/>
                              </w:rPr>
                              <w:t>(2.446)</w:t>
                            </w:r>
                          </w:p>
                          <w:p>
                            <w:pPr>
                              <w:tabs>
                                <w:tab w:val="left" w:pos="567"/>
                              </w:tabs>
                              <w:suppressAutoHyphens/>
                              <w:spacing w:line="276" w:lineRule="auto"/>
                              <w:jc w:val="right"/>
                              <w:rPr>
                                <w:rFonts w:eastAsia="Calibri"/>
                                <w:color w:val="000000"/>
                                <w:szCs w:val="24"/>
                                <w:lang w:eastAsia="lt-LT"/>
                              </w:rPr>
                            </w:pP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hw.WE,m</w:t>
                      </w:r>
                      <w:r>
                        <w:rPr>
                          <w:color w:val="000000"/>
                          <w:szCs w:val="24"/>
                          <w:lang w:eastAsia="lt-LT"/>
                        </w:rPr>
                        <w:t>+</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hwHE,m</w:t>
                      </w:r>
                      <w:r>
                        <w:rPr>
                          <w:color w:val="000000"/>
                          <w:szCs w:val="24"/>
                          <w:lang w:eastAsia="lt-LT"/>
                        </w:rPr>
                        <w:t>) apskaičiuojama sumuojant skaičiavimų rezultatus pagal (2.436) ir (2.437) formules, bet jei</w:t>
                      </w:r>
                    </w:p>
                    <w:tbl>
                      <w:tblPr>
                        <w:tblW w:w="5075" w:type="pct"/>
                        <w:tblLook w:val="01E0" w:firstRow="1" w:lastRow="1" w:firstColumn="1" w:lastColumn="1" w:noHBand="0" w:noVBand="0"/>
                      </w:tblPr>
                      <w:tblGrid>
                        <w:gridCol w:w="8924"/>
                        <w:gridCol w:w="1078"/>
                      </w:tblGrid>
                      <w:tr>
                        <w:tc>
                          <w:tcPr>
                            <w:tcW w:w="4461" w:type="pct"/>
                            <w:hideMark/>
                          </w:tcPr>
                          <w:p>
                            <w:pPr>
                              <w:tabs>
                                <w:tab w:val="left" w:pos="567"/>
                              </w:tabs>
                              <w:suppressAutoHyphens/>
                              <w:spacing w:line="276" w:lineRule="auto"/>
                              <w:ind w:left="709"/>
                              <w:jc w:val="center"/>
                              <w:rPr>
                                <w:rFonts w:eastAsia="Calibri"/>
                                <w:color w:val="000000"/>
                                <w:szCs w:val="24"/>
                                <w:lang w:eastAsia="lt-LT"/>
                              </w:rPr>
                            </w:pPr>
                            <w:r>
                              <w:rPr>
                                <w:szCs w:val="24"/>
                                <w:lang w:eastAsia="lt-LT"/>
                              </w:rPr>
                              <w:object w:dxaOrig="7940" w:dyaOrig="1520">
                                <v:shape id="_x0000_i1539" type="#_x0000_t75" style="width:394pt;height:76.85pt" o:ole="">
                                  <v:imagedata r:id="rId1269" o:title=""/>
                                </v:shape>
                                <o:OLEObject Type="Embed" ProgID="Equation.3" ShapeID="_x0000_i1539" DrawAspect="Content" ObjectID="_0000000001" r:id="rId1270"/>
                              </w:object>
                            </w:r>
                          </w:p>
                        </w:tc>
                        <w:tc>
                          <w:tcPr>
                            <w:tcW w:w="539" w:type="pct"/>
                            <w:vAlign w:val="center"/>
                            <w:hideMark/>
                          </w:tcPr>
                          <w:p>
                            <w:pPr>
                              <w:tabs>
                                <w:tab w:val="left" w:pos="516"/>
                              </w:tabs>
                              <w:suppressAutoHyphens/>
                              <w:spacing w:line="276" w:lineRule="auto"/>
                              <w:jc w:val="right"/>
                              <w:rPr>
                                <w:rFonts w:eastAsia="Calibri"/>
                                <w:color w:val="000000"/>
                                <w:szCs w:val="24"/>
                                <w:lang w:eastAsia="lt-LT"/>
                              </w:rPr>
                            </w:pPr>
                            <w:r>
                              <w:rPr>
                                <w:color w:val="000000"/>
                                <w:szCs w:val="24"/>
                                <w:lang w:eastAsia="lt-LT"/>
                              </w:rPr>
                              <w:t>(2.447)</w:t>
                            </w:r>
                          </w:p>
                        </w:tc>
                      </w:tr>
                    </w:tbl>
                    <w:p>
                      <w:pPr>
                        <w:tabs>
                          <w:tab w:val="left" w:pos="567"/>
                        </w:tabs>
                        <w:suppressAutoHyphens/>
                        <w:rPr>
                          <w:rFonts w:eastAsia="Calibri"/>
                          <w:color w:val="000000"/>
                          <w:szCs w:val="24"/>
                          <w:lang w:eastAsia="lt-LT"/>
                        </w:rPr>
                      </w:pPr>
                      <w:r>
                        <w:rPr>
                          <w:color w:val="000000"/>
                          <w:szCs w:val="24"/>
                          <w:lang w:eastAsia="lt-LT"/>
                        </w:rPr>
                        <w:t>ir pagal (2.348</w:t>
                      </w:r>
                      <w:r>
                        <w:rPr>
                          <w:color w:val="000000"/>
                          <w:szCs w:val="24"/>
                          <w:vertAlign w:val="superscript"/>
                          <w:lang w:eastAsia="lt-LT"/>
                        </w:rPr>
                        <w:t>2</w:t>
                      </w:r>
                      <w:r>
                        <w:rPr>
                          <w:color w:val="000000"/>
                          <w:szCs w:val="24"/>
                          <w:lang w:eastAsia="lt-LT"/>
                        </w:rPr>
                        <w:t>)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4620" w:dyaOrig="380">
                                <v:shape id="_x0000_i1540" type="#_x0000_t75" style="width:235.4pt;height:20.2pt" o:ole="">
                                  <v:imagedata r:id="rId1271" o:title=""/>
                                </v:shape>
                                <o:OLEObject Type="Embed" ProgID="Equation.3" ShapeID="_x0000_i1540" DrawAspect="Content" ObjectID="_0000000001" r:id="rId1272"/>
                              </w:object>
                            </w:r>
                            <w:r>
                              <w:rPr>
                                <w:color w:val="000000"/>
                                <w:szCs w:val="24"/>
                                <w:lang w:eastAsia="lt-LT"/>
                              </w:rPr>
                              <w:t>, kitais mėnesiais</w:t>
                            </w:r>
                            <w:r>
                              <w:rPr>
                                <w:rFonts w:eastAsia="Calibri"/>
                                <w:color w:val="000000"/>
                                <w:szCs w:val="24"/>
                                <w:lang w:eastAsia="lt-LT"/>
                              </w:rPr>
                              <w:t xml:space="preserve"> </w:t>
                            </w:r>
                            <w:r>
                              <w:rPr>
                                <w:color w:val="000000"/>
                                <w:szCs w:val="24"/>
                                <w:lang w:eastAsia="lt-LT"/>
                              </w:rPr>
                              <w:object w:dxaOrig="1956" w:dyaOrig="348">
                                <v:shape id="_x0000_i1541" type="#_x0000_t75" style="width:97.1pt;height:16.2pt" o:ole="">
                                  <v:imagedata r:id="rId1273" o:title=""/>
                                </v:shape>
                                <o:OLEObject Type="Embed" ProgID="Equation.3" ShapeID="_x0000_i1541" DrawAspect="Content" ObjectID="_0000000001" r:id="rId1274"/>
                              </w:object>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(2.448)</w:t>
                            </w:r>
                          </w:p>
                        </w:tc>
                      </w:tr>
                    </w:tbl>
                    <w:p>
                      <w:pPr>
                        <w:tabs>
                          <w:tab w:val="left" w:pos="567"/>
                        </w:tabs>
                        <w:suppressAutoHyphens/>
                        <w:rPr>
                          <w:rFonts w:eastAsia="Calibri"/>
                          <w:color w:val="000000"/>
                          <w:szCs w:val="24"/>
                          <w:lang w:eastAsia="lt-LT"/>
                        </w:rPr>
                      </w:pPr>
                      <w:r>
                        <w:rPr>
                          <w:color w:val="000000"/>
                          <w:szCs w:val="24"/>
                          <w:lang w:eastAsia="lt-LT"/>
                        </w:rPr>
                        <w:t>jei pagal (2.348</w:t>
                      </w:r>
                      <w:r>
                        <w:rPr>
                          <w:color w:val="000000"/>
                          <w:szCs w:val="24"/>
                          <w:vertAlign w:val="superscript"/>
                          <w:lang w:eastAsia="lt-LT"/>
                        </w:rPr>
                        <w:t>2)</w:t>
                      </w:r>
                      <w:r>
                        <w:rPr>
                          <w:color w:val="000000"/>
                          <w:szCs w:val="24"/>
                          <w:lang w:eastAsia="lt-LT"/>
                        </w:rPr>
                        <w:t xml:space="preserve">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00" w:dyaOrig="1920">
                                <v:shape id="_x0000_i1542" type="#_x0000_t75" style="width:324.4pt;height:97.1pt" o:ole="">
                                  <v:imagedata r:id="rId1275" o:title=""/>
                                </v:shape>
                                <o:OLEObject Type="Embed" ProgID="Equation.3" ShapeID="_x0000_i1542" DrawAspect="Content" ObjectID="_0000000001" r:id="rId1276"/>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956" w:dyaOrig="348">
                                <v:shape id="_x0000_i1543" type="#_x0000_t75" style="width:97.1pt;height:16.2pt" o:ole="">
                                  <v:imagedata r:id="rId1277" o:title=""/>
                                </v:shape>
                                <o:OLEObject Type="Embed" ProgID="Equation.3" ShapeID="_x0000_i1543" DrawAspect="Content" ObjectID="_0000000001" r:id="rId1278"/>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(2.449)</w:t>
                            </w:r>
                          </w:p>
                        </w:tc>
                      </w:tr>
                    </w:tbl>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E.HE,m</w:t>
                      </w:r>
                      <w:r>
                        <w:rPr>
                          <w:color w:val="000000"/>
                          <w:szCs w:val="24"/>
                          <w:lang w:eastAsia="lt-LT"/>
                        </w:rPr>
                        <w:t xml:space="preserve">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504" w:dyaOrig="348">
                                <v:shape id="_x0000_i1544" type="#_x0000_t75" style="width:173.95pt;height:16.2pt" o:ole="">
                                  <v:imagedata r:id="rId1279" o:title=""/>
                                </v:shape>
                                <o:OLEObject Type="Embed" ProgID="Equation.3" ShapeID="_x0000_i1544" DrawAspect="Content" ObjectID="_0000000001" r:id="rId1280"/>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(2.450)</w:t>
                            </w:r>
                          </w:p>
                        </w:tc>
                      </w:tr>
                    </w:tbl>
                    <w:p>
                      <w:pPr>
                        <w:tabs>
                          <w:tab w:val="left" w:pos="567"/>
                        </w:tabs>
                        <w:suppressAutoHyphens/>
                        <w:rPr>
                          <w:rFonts w:eastAsia="Calibri"/>
                          <w:color w:val="000000"/>
                          <w:szCs w:val="24"/>
                          <w:lang w:eastAsia="lt-LT"/>
                        </w:rPr>
                      </w:pPr>
                      <w:r>
                        <w:rPr>
                          <w:color w:val="000000"/>
                          <w:szCs w:val="24"/>
                          <w:lang w:eastAsia="lt-LT"/>
                        </w:rPr>
                        <w:t>čia: formulės paaiškinimus žiūrėti prie (2.345) formulės.</w:t>
                      </w:r>
                    </w:p>
                    <w:p>
                      <w:pPr>
                        <w:tabs>
                          <w:tab w:val="left" w:pos="567"/>
                        </w:tabs>
                        <w:suppressAutoHyphens/>
                        <w:ind w:left="600" w:hanging="600"/>
                        <w:rPr>
                          <w:color w:val="000000"/>
                          <w:szCs w:val="24"/>
                          <w:lang w:eastAsia="lt-LT"/>
                        </w:rPr>
                      </w:pPr>
                    </w:p>
                    <w:tbl>
                      <w:tblPr>
                        <w:tblW w:w="0" w:type="auto"/>
                        <w:jc w:val="center"/>
                        <w:tblLook w:val="01E0" w:firstRow="1" w:lastRow="1" w:firstColumn="1" w:lastColumn="1" w:noHBand="0" w:noVBand="0"/>
                      </w:tblPr>
                      <w:tblGrid>
                        <w:gridCol w:w="8472"/>
                        <w:gridCol w:w="1098"/>
                      </w:tblGrid>
                      <w:tr>
                        <w:trPr>
                          <w:jc w:val="center"/>
                        </w:trPr>
                        <w:tc>
                          <w:tcPr>
                            <w:tcW w:w="8472" w:type="dxa"/>
                            <w:vAlign w:val="center"/>
                            <w:hideMark/>
                          </w:tcPr>
                          <w:p>
                            <w:pPr>
                              <w:tabs>
                                <w:tab w:val="left" w:pos="567"/>
                              </w:tabs>
                              <w:suppressAutoHyphens/>
                              <w:spacing w:line="276" w:lineRule="auto"/>
                              <w:jc w:val="center"/>
                              <w:rPr>
                                <w:rFonts w:eastAsia="Calibri"/>
                                <w:strike/>
                                <w:color w:val="000000"/>
                                <w:szCs w:val="24"/>
                                <w:lang w:eastAsia="lt-LT"/>
                              </w:rPr>
                            </w:pPr>
                            <w:r>
                              <w:rPr>
                                <w:rFonts w:eastAsia="Calibri"/>
                                <w:color w:val="000000"/>
                                <w:szCs w:val="24"/>
                                <w:lang w:eastAsia="lt-LT"/>
                              </w:rPr>
                              <w:object w:dxaOrig="2400" w:dyaOrig="680">
                                <v:shape id="_x0000_i1545" type="#_x0000_t75" style="width:121.35pt;height:34.8pt" o:ole="">
                                  <v:imagedata r:id="rId1281" o:title=""/>
                                </v:shape>
                                <o:OLEObject Type="Embed" ProgID="Equation.3" ShapeID="_x0000_i1545" DrawAspect="Content" ObjectID="_0000000001" r:id="rId1282"/>
                              </w:object>
                              <w:t>;</w:t>
                            </w:r>
                          </w:p>
                        </w:tc>
                        <w:tc>
                          <w:tcPr>
                            <w:tcW w:w="1098" w:type="dxa"/>
                            <w:vAlign w:val="center"/>
                            <w:hideMark/>
                          </w:tcPr>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color w:val="000000"/>
                                <w:szCs w:val="24"/>
                                <w:lang w:eastAsia="lt-LT"/>
                              </w:rPr>
                            </w:pPr>
                          </w:p>
                          <w:p>
                            <w:pPr>
                              <w:tabs>
                                <w:tab w:val="left" w:pos="567"/>
                              </w:tabs>
                              <w:suppressAutoHyphens/>
                              <w:spacing w:line="276" w:lineRule="auto"/>
                              <w:jc w:val="right"/>
                              <w:rPr>
                                <w:rFonts w:eastAsia="Calibri"/>
                                <w:color w:val="000000"/>
                                <w:szCs w:val="24"/>
                                <w:lang w:eastAsia="lt-LT"/>
                              </w:rPr>
                            </w:pPr>
                            <w:r>
                              <w:rPr>
                                <w:color w:val="000000"/>
                                <w:szCs w:val="24"/>
                                <w:lang w:eastAsia="lt-LT"/>
                              </w:rPr>
                              <w:t>(2.451)</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664" w:dyaOrig="804">
                                <v:shape id="_x0000_i1546" type="#_x0000_t75" style="width:282.35pt;height:42.05pt" o:ole="">
                                  <v:imagedata r:id="rId1283" o:title=""/>
                                </v:shape>
                                <o:OLEObject Type="Embed" ProgID="Equation.3" ShapeID="_x0000_i1546" DrawAspect="Content" ObjectID="_0000000001" r:id="rId1284"/>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(2.452) </w:t>
                            </w:r>
                          </w:p>
                        </w:tc>
                      </w:tr>
                    </w:tbl>
                    <w:p>
                      <w:pPr>
                        <w:tabs>
                          <w:tab w:val="left" w:pos="567"/>
                        </w:tabs>
                        <w:suppressAutoHyphens/>
                        <w:ind w:left="600" w:hanging="600"/>
                        <w:rPr>
                          <w:rFonts w:eastAsia="Calibri"/>
                          <w:color w:val="000000"/>
                          <w:szCs w:val="24"/>
                          <w:lang w:eastAsia="lt-LT"/>
                        </w:rPr>
                      </w:pPr>
                    </w:p>
                    <w:p>
                      <w:pPr>
                        <w:tabs>
                          <w:tab w:val="left" w:pos="567"/>
                        </w:tabs>
                        <w:suppressAutoHyphens/>
                        <w:ind w:left="600" w:hanging="600"/>
                        <w:rPr>
                          <w:color w:val="000000"/>
                          <w:szCs w:val="24"/>
                          <w:lang w:eastAsia="lt-LT"/>
                        </w:rPr>
                      </w:pPr>
                      <w:r>
                        <w:rPr>
                          <w:color w:val="000000"/>
                          <w:szCs w:val="24"/>
                          <w:lang w:eastAsia="lt-LT"/>
                        </w:rPr>
                        <w:t xml:space="preserve">čia: </w:t>
                        <w:tab/>
                        <w:t>(2.451)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jei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xml:space="preserve">&lt; 0 arba </w:t>
                      </w:r>
                      <w:r>
                        <w:rPr>
                          <w:i/>
                          <w:color w:val="000000"/>
                          <w:szCs w:val="24"/>
                          <w:lang w:eastAsia="lt-LT"/>
                        </w:rPr>
                        <w:t>Q</w:t>
                      </w:r>
                      <w:r>
                        <w:rPr>
                          <w:i/>
                          <w:color w:val="000000"/>
                          <w:szCs w:val="24"/>
                          <w:vertAlign w:val="subscript"/>
                          <w:lang w:eastAsia="lt-LT"/>
                        </w:rPr>
                        <w:t>H,m</w:t>
                      </w:r>
                      <w:r>
                        <w:rPr>
                          <w:color w:val="000000"/>
                          <w:szCs w:val="24"/>
                          <w:lang w:eastAsia="lt-LT"/>
                        </w:rPr>
                        <w:t xml:space="preserve">= 0, 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0,</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kai pastate nenaudojama iš vėjo elektrinių pagamintos elektros energijos dvipusė apskaita ir kai vėjo elektrinės pagamina daugiau energijos už energijos poreikį pastatui šildyti, t. y. jei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7056" w:dyaOrig="408">
                                <v:shape id="_x0000_i1547" type="#_x0000_t75" style="width:351.1pt;height:20.2pt" o:ole="">
                                  <v:imagedata r:id="rId1285" o:title=""/>
                                </v:shape>
                                <o:OLEObject Type="Embed" ProgID="Equation.3" ShapeID="_x0000_i1547" DrawAspect="Content" ObjectID="_0000000001" r:id="rId1286"/>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(2.453)</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056" w:dyaOrig="408">
                                <v:shape id="_x0000_i1548" type="#_x0000_t75" style="width:351.1pt;height:20.2pt" o:ole="">
                                  <v:imagedata r:id="rId1287" o:title=""/>
                                </v:shape>
                                <o:OLEObject Type="Embed" ProgID="Equation.3" ShapeID="_x0000_i1548" DrawAspect="Content" ObjectID="_0000000001" r:id="rId1288"/>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(2.454)</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gautą pagal (2.451) formulę;</w:t>
                      </w:r>
                    </w:p>
                    <w:p>
                      <w:pPr>
                        <w:tabs>
                          <w:tab w:val="left" w:pos="567"/>
                          <w:tab w:val="left" w:pos="1650"/>
                        </w:tabs>
                        <w:suppressAutoHyphens/>
                        <w:ind w:firstLine="840"/>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ind w:firstLine="186"/>
                              <w:rPr>
                                <w:rFonts w:eastAsia="Calibri"/>
                                <w:color w:val="000000"/>
                                <w:szCs w:val="24"/>
                                <w:lang w:eastAsia="lt-LT"/>
                              </w:rPr>
                            </w:pPr>
                            <w:r>
                              <w:rPr>
                                <w:szCs w:val="24"/>
                                <w:lang w:eastAsia="lt-LT"/>
                              </w:rPr>
                              <w:object w:dxaOrig="8140" w:dyaOrig="1080">
                                <v:shape id="_x0000_i1549" type="#_x0000_t75" style="width:407.75pt;height:56.65pt" o:ole="">
                                  <v:imagedata r:id="rId1289" o:title=""/>
                                </v:shape>
                                <o:OLEObject Type="Embed" ProgID="Equation.3" ShapeID="_x0000_i1549" DrawAspect="Content" ObjectID="_0000000001" r:id="rId1290"/>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(2.455)</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 xml:space="preserve">H.WE,m  </w:t>
                      </w:r>
                      <w:r>
                        <w:rPr>
                          <w:color w:val="000000"/>
                          <w:szCs w:val="24"/>
                          <w:lang w:eastAsia="lt-LT"/>
                        </w:rPr>
                        <w:t>apskaičiuojama pagal (2.451)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640" w:dyaOrig="1080">
                                <v:shape id="_x0000_i1550" type="#_x0000_t75" style="width:283.95pt;height:56.65pt" o:ole="">
                                  <v:imagedata r:id="rId1291" o:title=""/>
                                </v:shape>
                                <o:OLEObject Type="Embed" ProgID="Equation.3" ShapeID="_x0000_i1550" DrawAspect="Content" ObjectID="_0000000001" r:id="rId1292"/>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(2.456)</w:t>
                            </w:r>
                          </w:p>
                        </w:tc>
                      </w:tr>
                    </w:tbl>
                    <w:p>
                      <w:pPr>
                        <w:tabs>
                          <w:tab w:val="left" w:pos="567"/>
                        </w:tabs>
                        <w:suppressAutoHyphens/>
                        <w:rPr>
                          <w:rFonts w:eastAsia="Calibri"/>
                          <w:color w:val="000000"/>
                          <w:szCs w:val="24"/>
                          <w:lang w:eastAsia="lt-LT"/>
                        </w:rPr>
                      </w:pPr>
                      <w:r>
                        <w:rPr>
                          <w:color w:val="000000"/>
                          <w:szCs w:val="24"/>
                          <w:lang w:eastAsia="lt-LT"/>
                        </w:rPr>
                        <w:t>ir pagal (2.456)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2"/>
                                <w:szCs w:val="24"/>
                                <w:lang w:eastAsia="lt-LT"/>
                              </w:rPr>
                              <w:object w:dxaOrig="2720" w:dyaOrig="380">
                                <v:shape id="_x0000_i1551" type="#_x0000_t75" style="width:134.3pt;height:20.2pt" o:ole="">
                                  <v:imagedata r:id="rId1293" o:title=""/>
                                </v:shape>
                                <o:OLEObject Type="Embed" ProgID="Equation.3" ShapeID="_x0000_i1551" DrawAspect="Content" ObjectID="_0000000001" r:id="rId1294"/>
                              </w:object>
                            </w:r>
                            <w:r>
                              <w:rPr>
                                <w:color w:val="000000"/>
                                <w:szCs w:val="24"/>
                                <w:lang w:eastAsia="lt-LT"/>
                              </w:rPr>
                              <w:t xml:space="preserve">, kitais mėnesiais </w:t>
                            </w:r>
                            <w:r>
                              <w:rPr>
                                <w:rFonts w:eastAsia="Calibri"/>
                                <w:color w:val="000000"/>
                                <w:position w:val="-12"/>
                                <w:szCs w:val="24"/>
                                <w:lang w:eastAsia="lt-LT"/>
                              </w:rPr>
                              <w:object w:dxaOrig="1116" w:dyaOrig="348">
                                <v:shape id="_x0000_i1552" type="#_x0000_t75" style="width:55.8pt;height:16.2pt" o:ole="">
                                  <v:imagedata r:id="rId1295" o:title=""/>
                                </v:shape>
                                <o:OLEObject Type="Embed" ProgID="Equation.3" ShapeID="_x0000_i1552" DrawAspect="Content" ObjectID="_0000000001" r:id="rId1296"/>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(2.457)</w:t>
                            </w:r>
                          </w:p>
                        </w:tc>
                      </w:tr>
                    </w:tbl>
                    <w:p>
                      <w:pPr>
                        <w:tabs>
                          <w:tab w:val="left" w:pos="567"/>
                        </w:tabs>
                        <w:suppressAutoHyphens/>
                        <w:rPr>
                          <w:rFonts w:eastAsia="Calibri"/>
                          <w:color w:val="000000"/>
                          <w:szCs w:val="24"/>
                          <w:lang w:eastAsia="lt-LT"/>
                        </w:rPr>
                      </w:pPr>
                      <w:r>
                        <w:rPr>
                          <w:color w:val="000000"/>
                          <w:szCs w:val="24"/>
                          <w:lang w:eastAsia="lt-LT"/>
                        </w:rPr>
                        <w:t>o jei pagal (2.456)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40" w:dyaOrig="1080">
                                <v:shape id="_x0000_i1553" type="#_x0000_t75" style="width:326pt;height:56.65pt" o:ole="">
                                  <v:imagedata r:id="rId1297" o:title=""/>
                                </v:shape>
                                <o:OLEObject Type="Embed" ProgID="Equation.3" ShapeID="_x0000_i1553" DrawAspect="Content" ObjectID="_0000000001" r:id="rId1298"/>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16" w:dyaOrig="348">
                                <v:shape id="_x0000_i1554" type="#_x0000_t75" style="width:55.8pt;height:16.2pt" o:ole="">
                                  <v:imagedata r:id="rId1299" o:title=""/>
                                </v:shape>
                                <o:OLEObject Type="Embed" ProgID="Equation.3" ShapeID="_x0000_i1554" DrawAspect="Content" ObjectID="_0000000001" r:id="rId1300"/>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(2.458)</w:t>
                            </w:r>
                          </w:p>
                        </w:tc>
                      </w:tr>
                    </w:tbl>
                    <w:p>
                      <w:pPr>
                        <w:tabs>
                          <w:tab w:val="left" w:pos="567"/>
                        </w:tabs>
                        <w:suppressAutoHyphens/>
                        <w:ind w:left="600"/>
                        <w:rPr>
                          <w:color w:val="000000"/>
                          <w:szCs w:val="24"/>
                          <w:lang w:eastAsia="lt-LT"/>
                        </w:rPr>
                      </w:pPr>
                      <w:r>
                        <w:rPr>
                          <w:color w:val="000000"/>
                          <w:szCs w:val="24"/>
                          <w:lang w:eastAsia="lt-LT"/>
                        </w:rPr>
                        <w:t>(2.452)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kai pastate nenaudojama iš vėjo elektrinių ir hidroelektrinių pagamintos elektros energijos dvipusė apskaita ir kai vėjo ir hidroelektrinės pagamina daugiau energijos už energijos poreikį pastatui šildyti t. y. jei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848" w:dyaOrig="408">
                                <v:shape id="_x0000_i1555" type="#_x0000_t75" style="width:394pt;height:20.2pt" o:ole="">
                                  <v:imagedata r:id="rId1301" o:title=""/>
                                </v:shape>
                                <o:OLEObject Type="Embed" ProgID="Equation.3" ShapeID="_x0000_i1555" DrawAspect="Content" ObjectID="_0000000001" r:id="rId1302"/>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(2.459)</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848" w:dyaOrig="408">
                                <v:shape id="_x0000_i1556" type="#_x0000_t75" style="width:394pt;height:20.2pt" o:ole="">
                                  <v:imagedata r:id="rId1303" o:title=""/>
                                </v:shape>
                                <o:OLEObject Type="Embed" ProgID="Equation.3" ShapeID="_x0000_i1556" DrawAspect="Content" ObjectID="_0000000001" r:id="rId1304"/>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(2.460)</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sumą, apskaičiuotą pagal (2.451) ir (2.452)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60"/>
                        <w:gridCol w:w="1194"/>
                      </w:tblGrid>
                      <w:tr>
                        <w:tc>
                          <w:tcPr>
                            <w:tcW w:w="4338" w:type="pct"/>
                            <w:hideMark/>
                          </w:tcPr>
                          <w:p>
                            <w:pPr>
                              <w:tabs>
                                <w:tab w:val="left" w:pos="567"/>
                              </w:tabs>
                              <w:suppressAutoHyphens/>
                              <w:spacing w:line="276" w:lineRule="auto"/>
                              <w:rPr>
                                <w:rFonts w:eastAsia="Calibri"/>
                                <w:color w:val="000000"/>
                                <w:szCs w:val="24"/>
                                <w:lang w:eastAsia="lt-LT"/>
                              </w:rPr>
                            </w:pPr>
                            <w:r>
                              <w:rPr>
                                <w:szCs w:val="24"/>
                                <w:lang w:eastAsia="lt-LT"/>
                              </w:rPr>
                              <w:object w:dxaOrig="8460" w:dyaOrig="1620">
                                <v:shape id="_x0000_i1557" type="#_x0000_t75" style="width:422.3pt;height:81.7pt" o:ole="">
                                  <v:imagedata r:id="rId1305" o:title=""/>
                                </v:shape>
                                <o:OLEObject Type="Embed" ProgID="Equation.3" ShapeID="_x0000_i1557" DrawAspect="Content" ObjectID="_0000000001" r:id="rId1306"/>
                              </w:object>
                            </w:r>
                          </w:p>
                        </w:tc>
                        <w:tc>
                          <w:tcPr>
                            <w:tcW w:w="662" w:type="pct"/>
                            <w:vAlign w:val="center"/>
                            <w:hideMark/>
                          </w:tcPr>
                          <w:p>
                            <w:pPr>
                              <w:tabs>
                                <w:tab w:val="left" w:pos="567"/>
                              </w:tabs>
                              <w:suppressAutoHyphens/>
                              <w:spacing w:line="276" w:lineRule="auto"/>
                              <w:rPr>
                                <w:rFonts w:eastAsia="Calibri"/>
                                <w:color w:val="000000"/>
                                <w:szCs w:val="24"/>
                                <w:lang w:eastAsia="lt-LT"/>
                              </w:rPr>
                            </w:pPr>
                            <w:r>
                              <w:rPr>
                                <w:color w:val="000000"/>
                                <w:szCs w:val="24"/>
                                <w:lang w:eastAsia="lt-LT"/>
                              </w:rPr>
                              <w:t xml:space="preserve">,  (2.461)</w:t>
                            </w:r>
                          </w:p>
                        </w:tc>
                      </w:tr>
                    </w:tbl>
                    <w:p>
                      <w:pPr>
                        <w:tabs>
                          <w:tab w:val="left" w:pos="567"/>
                          <w:tab w:val="num" w:pos="1200"/>
                        </w:tabs>
                        <w:suppressAutoHyphens/>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668" w:dyaOrig="348">
                          <v:shape id="_x0000_i1558" type="#_x0000_t75" style="width:84.15pt;height:16.2pt" o:ole="">
                            <v:imagedata r:id="rId1307" o:title=""/>
                          </v:shape>
                          <o:OLEObject Type="Embed" ProgID="Equation.3" ShapeID="_x0000_i1558" DrawAspect="Content" ObjectID="_0000000001" r:id="rId1308"/>
                        </w:object>
                      </w:r>
                      <w:r>
                        <w:rPr>
                          <w:color w:val="000000"/>
                          <w:szCs w:val="24"/>
                          <w:lang w:eastAsia="lt-LT"/>
                        </w:rPr>
                        <w:t>) apskaičiuojama sumuojant skaičiavimų rezultatus pagal (2.451) ir (2.452)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60" w:dyaOrig="1080">
                                <v:shape id="_x0000_i1559" type="#_x0000_t75" style="width:326pt;height:56.65pt" o:ole="">
                                  <v:imagedata r:id="rId1309" o:title=""/>
                                </v:shape>
                                <o:OLEObject Type="Embed" ProgID="Equation.3" ShapeID="_x0000_i1559" DrawAspect="Content" ObjectID="_0000000001" r:id="rId1310"/>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(2.462)</w:t>
                            </w:r>
                          </w:p>
                        </w:tc>
                      </w:tr>
                    </w:tbl>
                    <w:p>
                      <w:pPr>
                        <w:tabs>
                          <w:tab w:val="left" w:pos="567"/>
                        </w:tabs>
                        <w:suppressAutoHyphens/>
                        <w:rPr>
                          <w:rFonts w:eastAsia="Calibri"/>
                          <w:color w:val="000000"/>
                          <w:szCs w:val="24"/>
                          <w:lang w:eastAsia="lt-LT"/>
                        </w:rPr>
                      </w:pPr>
                      <w:r>
                        <w:rPr>
                          <w:color w:val="000000"/>
                          <w:szCs w:val="24"/>
                          <w:lang w:eastAsia="lt-LT"/>
                        </w:rPr>
                        <w:t>ir pagal (2.462)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680" w:dyaOrig="380">
                                <v:shape id="_x0000_i1560" type="#_x0000_t75" style="width:234.6pt;height:20.2pt" o:ole="">
                                  <v:imagedata r:id="rId1311" o:title=""/>
                                </v:shape>
                                <o:OLEObject Type="Embed" ProgID="Equation.3" ShapeID="_x0000_i1560" DrawAspect="Content" ObjectID="_0000000001" r:id="rId1312"/>
                              </w:object>
                              <w:t xml:space="preserve">, kitais mėnesiais </w:t>
                            </w:r>
                            <w:r>
                              <w:rPr>
                                <w:rFonts w:eastAsia="Calibri"/>
                                <w:color w:val="000000"/>
                                <w:position w:val="-12"/>
                                <w:szCs w:val="24"/>
                                <w:lang w:eastAsia="lt-LT"/>
                              </w:rPr>
                              <w:object w:dxaOrig="2028" w:dyaOrig="348">
                                <v:shape id="_x0000_i1561" type="#_x0000_t75" style="width:101.95pt;height:16.2pt" o:ole="">
                                  <v:imagedata r:id="rId1313" o:title=""/>
                                </v:shape>
                                <o:OLEObject Type="Embed" ProgID="Equation.3" ShapeID="_x0000_i1561" DrawAspect="Content" ObjectID="_0000000001" r:id="rId131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(2.463)</w:t>
                            </w:r>
                          </w:p>
                        </w:tc>
                      </w:tr>
                    </w:tbl>
                    <w:p>
                      <w:pPr>
                        <w:tabs>
                          <w:tab w:val="left" w:pos="567"/>
                        </w:tabs>
                        <w:suppressAutoHyphens/>
                        <w:rPr>
                          <w:rFonts w:eastAsia="Calibri"/>
                          <w:color w:val="000000"/>
                          <w:szCs w:val="24"/>
                          <w:lang w:eastAsia="lt-LT"/>
                        </w:rPr>
                      </w:pPr>
                      <w:r>
                        <w:rPr>
                          <w:color w:val="000000"/>
                          <w:szCs w:val="24"/>
                          <w:lang w:eastAsia="lt-LT"/>
                        </w:rPr>
                        <w:t>jei pagal (2.462) formulę rezultatas gaunamas kitą (ne sausio) mėnesį, tai šį mėnesį</w:t>
                      </w:r>
                    </w:p>
                    <w:tbl>
                      <w:tblPr>
                        <w:tblW w:w="5101" w:type="pct"/>
                        <w:tblLook w:val="01E0" w:firstRow="1" w:lastRow="1" w:firstColumn="1" w:lastColumn="1" w:noHBand="0" w:noVBand="0"/>
                      </w:tblPr>
                      <w:tblGrid>
                        <w:gridCol w:w="8841"/>
                        <w:gridCol w:w="1212"/>
                      </w:tblGrid>
                      <w:tr>
                        <w:tc>
                          <w:tcPr>
                            <w:tcW w:w="4397" w:type="pct"/>
                            <w:hideMark/>
                          </w:tcPr>
                          <w:p>
                            <w:pPr>
                              <w:tabs>
                                <w:tab w:val="left" w:pos="567"/>
                              </w:tabs>
                              <w:suppressAutoHyphens/>
                              <w:spacing w:line="276" w:lineRule="auto"/>
                              <w:ind w:left="709"/>
                              <w:jc w:val="center"/>
                              <w:rPr>
                                <w:rFonts w:eastAsia="Calibri"/>
                                <w:color w:val="000000"/>
                                <w:szCs w:val="24"/>
                                <w:lang w:eastAsia="lt-LT"/>
                              </w:rPr>
                            </w:pPr>
                            <w:r>
                              <w:rPr>
                                <w:szCs w:val="24"/>
                                <w:lang w:eastAsia="lt-LT"/>
                              </w:rPr>
                              <w:object w:dxaOrig="7580" w:dyaOrig="1080">
                                <v:shape id="_x0000_i1562" type="#_x0000_t75" style="width:376.2pt;height:56.65pt" o:ole="">
                                  <v:imagedata r:id="rId1315" o:title=""/>
                                </v:shape>
                                <o:OLEObject Type="Embed" ProgID="Equation.3" ShapeID="_x0000_i1562" DrawAspect="Content" ObjectID="_0000000001" r:id="rId1316"/>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2028" w:dyaOrig="348">
                                <v:shape id="_x0000_i1563" type="#_x0000_t75" style="width:101.95pt;height:16.2pt" o:ole="">
                                  <v:imagedata r:id="rId1317" o:title=""/>
                                </v:shape>
                                <o:OLEObject Type="Embed" ProgID="Equation.3" ShapeID="_x0000_i1563" DrawAspect="Content" ObjectID="_0000000001" r:id="rId1318"/>
                              </w:object>
                            </w:r>
                            <w:r>
                              <w:rPr>
                                <w:color w:val="000000"/>
                                <w:szCs w:val="24"/>
                                <w:lang w:eastAsia="lt-LT"/>
                              </w:rPr>
                              <w:t>.</w:t>
                            </w:r>
                          </w:p>
                        </w:tc>
                        <w:tc>
                          <w:tcPr>
                            <w:tcW w:w="603"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(2.464)</w:t>
                            </w:r>
                          </w:p>
                        </w:tc>
                      </w:tr>
                    </w:tbl>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H.HE,m</w:t>
                      </w:r>
                      <w:r>
                        <w:rPr>
                          <w:color w:val="000000"/>
                          <w:szCs w:val="24"/>
                          <w:lang w:eastAsia="lt-LT"/>
                        </w:rPr>
                        <w:t xml:space="preserve"> 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648" w:dyaOrig="348">
                                <v:shape id="_x0000_i1564" type="#_x0000_t75" style="width:182pt;height:16.2pt" o:ole="">
                                  <v:imagedata r:id="rId1319" o:title=""/>
                                </v:shape>
                                <o:OLEObject Type="Embed" ProgID="Equation.3" ShapeID="_x0000_i1564" DrawAspect="Content" ObjectID="_0000000001" r:id="rId1320"/>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(2.465)</w:t>
                            </w:r>
                          </w:p>
                        </w:tc>
                      </w:tr>
                    </w:tbl>
                    <w:p>
                      <w:pPr>
                        <w:tabs>
                          <w:tab w:val="left" w:pos="567"/>
                        </w:tabs>
                        <w:suppressAutoHyphens/>
                        <w:jc w:val="both"/>
                        <w:rPr>
                          <w:rFonts w:eastAsia="Calibri"/>
                          <w:color w:val="000000"/>
                          <w:szCs w:val="24"/>
                          <w:lang w:eastAsia="lt-LT"/>
                        </w:rPr>
                      </w:pPr>
                      <w:r>
                        <w:rPr>
                          <w:color w:val="000000"/>
                          <w:szCs w:val="24"/>
                          <w:lang w:eastAsia="lt-LT"/>
                        </w:rPr>
                        <w:t>čia:</w:t>
                      </w:r>
                      <w:r>
                        <w:rPr>
                          <w:i/>
                          <w:color w:val="000000"/>
                          <w:szCs w:val="24"/>
                          <w:lang w:eastAsia="lt-LT"/>
                        </w:rPr>
                        <w:tab/>
                        <w:t>Q</w:t>
                      </w:r>
                      <w:r>
                        <w:rPr>
                          <w:i/>
                          <w:color w:val="000000"/>
                          <w:szCs w:val="24"/>
                          <w:vertAlign w:val="subscript"/>
                          <w:lang w:eastAsia="lt-LT"/>
                        </w:rPr>
                        <w:t>H,m</w:t>
                      </w:r>
                      <w:r>
                        <w:rPr>
                          <w:i/>
                          <w:color w:val="000000"/>
                          <w:szCs w:val="24"/>
                          <w:lang w:eastAsia="lt-LT"/>
                        </w:rPr>
                        <w:t>, Q</w:t>
                      </w:r>
                      <w:r>
                        <w:rPr>
                          <w:i/>
                          <w:color w:val="000000"/>
                          <w:szCs w:val="24"/>
                          <w:vertAlign w:val="subscript"/>
                          <w:lang w:eastAsia="lt-LT"/>
                        </w:rPr>
                        <w:t>H.sum.SK,m</w:t>
                      </w:r>
                      <w:r>
                        <w:rPr>
                          <w:i/>
                          <w:color w:val="000000"/>
                          <w:szCs w:val="24"/>
                          <w:lang w:eastAsia="lt-LT"/>
                        </w:rPr>
                        <w:t>, Q</w:t>
                      </w:r>
                      <w:r>
                        <w:rPr>
                          <w:i/>
                          <w:color w:val="000000"/>
                          <w:szCs w:val="24"/>
                          <w:vertAlign w:val="subscript"/>
                          <w:lang w:eastAsia="lt-LT"/>
                        </w:rPr>
                        <w:t>H.WE,m</w:t>
                      </w:r>
                      <w:r>
                        <w:rPr>
                          <w:i/>
                          <w:color w:val="000000"/>
                          <w:szCs w:val="24"/>
                          <w:lang w:eastAsia="lt-LT"/>
                        </w:rPr>
                        <w:t>, Q</w:t>
                      </w:r>
                      <w:r>
                        <w:rPr>
                          <w:i/>
                          <w:color w:val="000000"/>
                          <w:szCs w:val="24"/>
                          <w:vertAlign w:val="subscript"/>
                          <w:lang w:eastAsia="lt-LT"/>
                        </w:rPr>
                        <w:t>H.HE,m</w:t>
                      </w:r>
                      <w:r>
                        <w:rPr>
                          <w:color w:val="000000"/>
                          <w:szCs w:val="24"/>
                          <w:lang w:eastAsia="lt-LT"/>
                        </w:rPr>
                        <w:t xml:space="preserve"> – energijos suvartojimai pastatui šildyti atitinkamą </w:t>
                      </w:r>
                      <w:r>
                        <w:rPr>
                          <w:i/>
                          <w:color w:val="000000"/>
                          <w:szCs w:val="24"/>
                          <w:lang w:eastAsia="lt-LT"/>
                        </w:rPr>
                        <w:t>„m“</w:t>
                      </w:r>
                      <w:r>
                        <w:rPr>
                          <w:color w:val="000000"/>
                          <w:szCs w:val="24"/>
                          <w:lang w:eastAsia="lt-LT"/>
                        </w:rPr>
                        <w:t xml:space="preserve"> mėnesį (kWh/(m²·mėn.)). Apskaičiuojama pagal (2.169), (2.340), (2.381) ir (2.382) formules.</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H.WE.out,m,x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vėjo elektrinių grupės pagamintas energijos kiekis pastatui šildyti (kWh/(m²·mėn.)). Apskaičiuojama pagal (2.466) formulę;</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HSW,m,x</w:t>
                      </w:r>
                      <w:r>
                        <w:rPr>
                          <w:color w:val="000000"/>
                          <w:szCs w:val="24"/>
                          <w:lang w:eastAsia="lt-LT"/>
                        </w:rPr>
                        <w:t xml:space="preserve"> – kiekvieno mėnesio </w:t>
                      </w:r>
                      <w:r>
                        <w:rPr>
                          <w:i/>
                          <w:color w:val="000000"/>
                          <w:szCs w:val="24"/>
                          <w:lang w:eastAsia="lt-LT"/>
                        </w:rPr>
                        <w:t xml:space="preserve">„m“ </w:t>
                      </w:r>
                      <w:r>
                        <w:rPr>
                          <w:color w:val="000000"/>
                          <w:szCs w:val="24"/>
                          <w:lang w:eastAsia="lt-LT"/>
                        </w:rPr>
                        <w:t xml:space="preserve">šilumos nuostoliai pastato šildymo reikmėms naudojamose karšto vandens talpose (kWh/(m²·mėn.)). Apskaičiuojama pagal (2.467) formulę; </w:t>
                      </w:r>
                    </w:p>
                    <w:tbl>
                      <w:tblPr>
                        <w:tblW w:w="5000" w:type="pct"/>
                        <w:jc w:val="center"/>
                        <w:tblLook w:val="01E0" w:firstRow="1" w:lastRow="1" w:firstColumn="1" w:lastColumn="1" w:noHBand="0" w:noVBand="0"/>
                      </w:tblPr>
                      <w:tblGrid>
                        <w:gridCol w:w="8540"/>
                        <w:gridCol w:w="1314"/>
                      </w:tblGrid>
                      <w:tr>
                        <w:trPr>
                          <w:jc w:val="center"/>
                        </w:trPr>
                        <w:tc>
                          <w:tcPr>
                            <w:tcW w:w="8540"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136" w:dyaOrig="2244">
                                <v:shape id="_x0000_i1565" type="#_x0000_t75" style="width:258.05pt;height:114.05pt" o:ole="">
                                  <v:imagedata r:id="rId1321" o:title=""/>
                                </v:shape>
                                <o:OLEObject Type="Embed" ProgID="Equation.3" ShapeID="_x0000_i1565" DrawAspect="Content" ObjectID="_0000000001" r:id="rId1322"/>
                              </w:object>
                            </w:r>
                          </w:p>
                        </w:tc>
                        <w:tc>
                          <w:tcPr>
                            <w:tcW w:w="1314"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(2.466)</w:t>
                            </w:r>
                          </w:p>
                        </w:tc>
                      </w:tr>
                    </w:tbl>
                    <w:p>
                      <w:pPr>
                        <w:rPr>
                          <w:rFonts w:eastAsia="Calibri"/>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67 p."/>
                <w:tag w:val="part_3df2a6e2690f4201a792ec40b7a21f9a"/>
                <w:lock w:val="sdtLocked"/>
                <w:richText/>
              </w:sdtPr>
              <w:sdtContent>
                <w:p>
                  <w:pPr>
                    <w:ind w:firstLine="567"/>
                    <w:jc w:val="both"/>
                    <w:rPr>
                      <w:color w:val="000000"/>
                      <w:szCs w:val="24"/>
                    </w:rPr>
                  </w:pPr>
                  <w:sdt>
                    <w:sdtPr>
                      <w:alias w:val="Numeris"/>
                      <w:tag w:val="nr_3df2a6e2690f4201a792ec40b7a21f9a"/>
                      <w:lock w:val="sdtLocked"/>
                      <w:richText/>
                    </w:sdtPr>
                    <w:sdtContent>
                      <w:r>
                        <w:rPr>
                          <w:color w:val="000000"/>
                          <w:szCs w:val="24"/>
                        </w:rPr>
                        <w:t>67</w:t>
                      </w:r>
                    </w:sdtContent>
                  </w:sdt>
                  <w:r>
                    <w:rPr>
                      <w:color w:val="000000"/>
                      <w:szCs w:val="24"/>
                    </w:rPr>
                    <w:t xml:space="preserve">. Energijos iš vėjo elektrinių ir hidroelektrinių neatsinaujinančios pirminės energijos sąnaudos pastate, kai ši energija naudojama karštam vandeniui ruošti ir pastatui šildyti, apskaičiuojamos taip: </w:t>
                  </w:r>
                </w:p>
                <w:sdt>
                  <w:sdtPr>
                    <w:alias w:val="2 pr. 67.1 pp."/>
                    <w:tag w:val="part_7b8d65854dde4c2d87f9630b4c5500c0"/>
                    <w:lock w:val="sdtLocked"/>
                    <w:richText/>
                  </w:sdtPr>
                  <w:sdtContent>
                    <w:p>
                      <w:pPr>
                        <w:ind w:firstLine="600"/>
                        <w:jc w:val="both"/>
                        <w:rPr>
                          <w:color w:val="000000"/>
                          <w:szCs w:val="24"/>
                        </w:rPr>
                      </w:pPr>
                      <w:sdt>
                        <w:sdtPr>
                          <w:alias w:val="Numeris"/>
                          <w:tag w:val="nr_7b8d65854dde4c2d87f9630b4c5500c0"/>
                          <w:lock w:val="sdtLocked"/>
                          <w:richText/>
                        </w:sdtPr>
                        <w:sdtContent>
                          <w:r>
                            <w:rPr>
                              <w:color w:val="000000"/>
                              <w:szCs w:val="24"/>
                            </w:rPr>
                            <w:t>67.1</w:t>
                          </w:r>
                        </w:sdtContent>
                      </w:sdt>
                      <w:r>
                        <w:rPr>
                          <w:color w:val="000000"/>
                          <w:szCs w:val="24"/>
                        </w:rPr>
                        <w:t xml:space="preserve">. kiekvieną mėnesį </w:t>
                      </w:r>
                      <w:r>
                        <w:rPr>
                          <w:i/>
                          <w:color w:val="000000"/>
                          <w:szCs w:val="24"/>
                        </w:rPr>
                        <w:t xml:space="preserve">„m“ </w:t>
                      </w:r>
                      <w:r>
                        <w:rPr>
                          <w:color w:val="000000"/>
                          <w:szCs w:val="24"/>
                        </w:rPr>
                        <w:t xml:space="preserve">energijos iš vėjo ir hidroelektrinių neatsinaujinančios pirminės energijos sąnaudos pastato šildomo ploto vienetui </w:t>
                      </w:r>
                      <w:r>
                        <w:rPr>
                          <w:i/>
                          <w:color w:val="000000"/>
                          <w:szCs w:val="24"/>
                        </w:rPr>
                        <w:t>Q</w:t>
                      </w:r>
                      <w:r>
                        <w:rPr>
                          <w:i/>
                          <w:color w:val="000000"/>
                          <w:szCs w:val="24"/>
                          <w:vertAlign w:val="subscript"/>
                        </w:rPr>
                        <w:t>PRn.(hw+H).WE+HE,m</w:t>
                      </w:r>
                      <w:r>
                        <w:rPr>
                          <w:color w:val="000000"/>
                          <w:szCs w:val="24"/>
                        </w:rPr>
                        <w:t xml:space="preserve">(kWh/(m²·mėn.)),  kai ši energija naudojama karštam vandeniui ruošti ir pastatui šildyti,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rFonts w:eastAsia="Calibri"/>
                                <w:color w:val="000000"/>
                                <w:position w:val="-14"/>
                                <w:szCs w:val="24"/>
                              </w:rPr>
                              <w:object w:dxaOrig="7600" w:dyaOrig="400">
                                <v:shape id="_x0000_i1566" type="#_x0000_t75" style="width:380.2pt;height:20.2pt" o:ole="">
                                  <v:imagedata r:id="rId1323" o:title=""/>
                                </v:shape>
                                <o:OLEObject Type="Embed" ProgID="Equation.3" ShapeID="_x0000_i1566" DrawAspect="Content" ObjectID="_0000000001" r:id="rId1324"/>
                              </w:object>
                            </w:r>
                            <w:r>
                              <w:rPr>
                                <w:color w:val="000000"/>
                                <w:szCs w:val="24"/>
                              </w:rPr>
                              <w:t>;</w:t>
                            </w:r>
                          </w:p>
                        </w:tc>
                        <w:tc>
                          <w:tcPr>
                            <w:tcW w:w="1292" w:type="dxa"/>
                            <w:vAlign w:val="center"/>
                            <w:hideMark/>
                          </w:tcPr>
                          <w:p>
                            <w:pPr>
                              <w:spacing w:line="276" w:lineRule="auto"/>
                              <w:jc w:val="right"/>
                              <w:rPr>
                                <w:rFonts w:eastAsia="Calibri"/>
                                <w:color w:val="000000"/>
                                <w:szCs w:val="24"/>
                              </w:rPr>
                            </w:pPr>
                            <w:r>
                              <w:rPr>
                                <w:color w:val="000000"/>
                                <w:szCs w:val="24"/>
                              </w:rPr>
                              <w:t xml:space="preserve">(2.468) </w:t>
                            </w:r>
                          </w:p>
                        </w:tc>
                      </w:tr>
                    </w:tbl>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III</w:t>
                      </w:r>
                      <w:r>
                        <w:rPr>
                          <w:i/>
                          <w:color w:val="000000"/>
                          <w:szCs w:val="24"/>
                          <w:vertAlign w:val="subscript"/>
                        </w:rPr>
                        <w:t>hw.WE,m</w:t>
                      </w:r>
                      <w:r>
                        <w:rPr>
                          <w:i/>
                          <w:color w:val="000000"/>
                          <w:szCs w:val="24"/>
                        </w:rPr>
                        <w:t>, Q</w:t>
                      </w:r>
                      <w:r>
                        <w:rPr>
                          <w:i/>
                          <w:color w:val="000000"/>
                          <w:szCs w:val="24"/>
                          <w:vertAlign w:val="superscript"/>
                        </w:rPr>
                        <w:t>III</w:t>
                      </w:r>
                      <w:r>
                        <w:rPr>
                          <w:i/>
                          <w:color w:val="000000"/>
                          <w:szCs w:val="24"/>
                          <w:vertAlign w:val="subscript"/>
                        </w:rPr>
                        <w:t xml:space="preserve">hw.HE,m  </w:t>
                      </w:r>
                      <w:r>
                        <w:rPr>
                          <w:color w:val="000000"/>
                          <w:szCs w:val="24"/>
                        </w:rPr>
                        <w:t>– vėjo ir hidroelektrinių pagaminti energijos kiekiai, sunaudojami karštam vandeniui ruošti (kWh/(m²·mėn.)). Apskaičiuojami pagal (2.471) ir (2.472) formules;</w:t>
                      </w:r>
                    </w:p>
                    <w:p>
                      <w:pPr>
                        <w:ind w:firstLine="567"/>
                        <w:jc w:val="both"/>
                        <w:rPr>
                          <w:color w:val="000000"/>
                          <w:szCs w:val="24"/>
                        </w:rPr>
                      </w:pPr>
                      <w:r>
                        <w:rPr>
                          <w:i/>
                          <w:color w:val="000000"/>
                          <w:szCs w:val="24"/>
                        </w:rPr>
                        <w:t>Q</w:t>
                      </w:r>
                      <w:r>
                        <w:rPr>
                          <w:i/>
                          <w:color w:val="000000"/>
                          <w:szCs w:val="24"/>
                          <w:vertAlign w:val="superscript"/>
                        </w:rPr>
                        <w:t>III</w:t>
                      </w:r>
                      <w:r>
                        <w:rPr>
                          <w:i/>
                          <w:color w:val="000000"/>
                          <w:szCs w:val="24"/>
                          <w:vertAlign w:val="subscript"/>
                        </w:rPr>
                        <w:t>H.WE,m</w:t>
                      </w:r>
                      <w:r>
                        <w:rPr>
                          <w:i/>
                          <w:color w:val="000000"/>
                          <w:szCs w:val="24"/>
                        </w:rPr>
                        <w:t>, Q</w:t>
                      </w:r>
                      <w:r>
                        <w:rPr>
                          <w:i/>
                          <w:color w:val="000000"/>
                          <w:szCs w:val="24"/>
                          <w:vertAlign w:val="superscript"/>
                        </w:rPr>
                        <w:t>III</w:t>
                      </w:r>
                      <w:r>
                        <w:rPr>
                          <w:i/>
                          <w:color w:val="000000"/>
                          <w:szCs w:val="24"/>
                          <w:vertAlign w:val="subscript"/>
                        </w:rPr>
                        <w:t xml:space="preserve">H.HE,m  </w:t>
                      </w:r>
                      <w:r>
                        <w:rPr>
                          <w:color w:val="000000"/>
                          <w:szCs w:val="24"/>
                        </w:rPr>
                        <w:t>– vėjo ir hidroelektrinių pagaminti energijos kiekiai, sunaudojami pastatui šildyti (kWh/(m²·mėn.)). Apskaičiuojami pagal (2.488) ir (2.489) formules;</w:t>
                      </w:r>
                    </w:p>
                  </w:sdtContent>
                </w:sdt>
                <w:sdt>
                  <w:sdtPr>
                    <w:alias w:val="2 pr. 67.2 pp."/>
                    <w:tag w:val="part_aca40f5b717849e19ba0f2de646c255b"/>
                    <w:lock w:val="sdtLocked"/>
                    <w:richText/>
                  </w:sdtPr>
                  <w:sdtContent>
                    <w:p>
                      <w:pPr>
                        <w:tabs>
                          <w:tab w:val="left" w:pos="567"/>
                          <w:tab w:val="left" w:pos="709"/>
                          <w:tab w:val="left" w:pos="851"/>
                          <w:tab w:val="left" w:pos="993"/>
                        </w:tabs>
                        <w:suppressAutoHyphens/>
                        <w:ind w:left="1134" w:hanging="567"/>
                        <w:jc w:val="both"/>
                        <w:rPr>
                          <w:color w:val="000000"/>
                          <w:szCs w:val="24"/>
                          <w:lang w:eastAsia="lt-LT"/>
                        </w:rPr>
                      </w:pPr>
                      <w:sdt>
                        <w:sdtPr>
                          <w:alias w:val="Numeris"/>
                          <w:tag w:val="nr_aca40f5b717849e19ba0f2de646c255b"/>
                          <w:lock w:val="sdtLocked"/>
                          <w:richText/>
                        </w:sdtPr>
                        <w:sdtContent>
                          <w:r>
                            <w:rPr>
                              <w:color w:val="000000"/>
                              <w:szCs w:val="24"/>
                              <w:lang w:eastAsia="lt-LT"/>
                            </w:rPr>
                            <w:t>67.2</w:t>
                          </w:r>
                        </w:sdtContent>
                      </w:sdt>
                      <w:r>
                        <w:rPr>
                          <w:color w:val="000000"/>
                          <w:szCs w:val="24"/>
                          <w:lang w:eastAsia="lt-LT"/>
                        </w:rPr>
                        <w:t xml:space="preserve">. vėjo ir hidroelektrinių pagamintos energijos dalys per atitinkamą mėnesį </w:t>
                      </w:r>
                      <w:r>
                        <w:rPr>
                          <w:i/>
                          <w:color w:val="000000"/>
                          <w:szCs w:val="24"/>
                          <w:lang w:eastAsia="lt-LT"/>
                        </w:rPr>
                        <w:t>„m“</w:t>
                      </w:r>
                      <w:r>
                        <w:rPr>
                          <w:color w:val="000000"/>
                          <w:szCs w:val="24"/>
                          <w:lang w:eastAsia="lt-LT"/>
                        </w:rPr>
                        <w:t xml:space="preserve">, kurios priskiriamos energijos suvartojimui karštam vandeniui ruošti </w:t>
                      </w:r>
                      <w:r>
                        <w:rPr>
                          <w:i/>
                          <w:color w:val="000000"/>
                          <w:szCs w:val="24"/>
                          <w:lang w:eastAsia="lt-LT"/>
                        </w:rPr>
                        <w:t>f</w:t>
                      </w:r>
                      <w:r>
                        <w:rPr>
                          <w:i/>
                          <w:color w:val="000000"/>
                          <w:szCs w:val="24"/>
                          <w:vertAlign w:val="superscript"/>
                          <w:lang w:eastAsia="lt-LT"/>
                        </w:rPr>
                        <w:t>.III</w:t>
                      </w:r>
                      <w:r>
                        <w:rPr>
                          <w:i/>
                          <w:color w:val="000000"/>
                          <w:szCs w:val="24"/>
                          <w:vertAlign w:val="subscript"/>
                          <w:lang w:eastAsia="lt-LT"/>
                        </w:rPr>
                        <w:t>hw.WE+HE,m</w:t>
                      </w:r>
                      <w:r>
                        <w:rPr>
                          <w:color w:val="000000"/>
                          <w:szCs w:val="24"/>
                          <w:lang w:eastAsia="lt-LT"/>
                        </w:rPr>
                        <w:t xml:space="preserve"> (vnt. dalis) ir energijos suvartojimui pastatui šildyti</w:t>
                      </w:r>
                      <w:r>
                        <w:rPr>
                          <w:i/>
                          <w:color w:val="000000"/>
                          <w:szCs w:val="24"/>
                          <w:lang w:eastAsia="lt-LT"/>
                        </w:rPr>
                        <w:t xml:space="preserve"> f</w:t>
                      </w:r>
                      <w:r>
                        <w:rPr>
                          <w:i/>
                          <w:color w:val="000000"/>
                          <w:szCs w:val="24"/>
                          <w:vertAlign w:val="superscript"/>
                          <w:lang w:eastAsia="lt-LT"/>
                        </w:rPr>
                        <w:t>.III</w:t>
                      </w:r>
                      <w:r>
                        <w:rPr>
                          <w:i/>
                          <w:color w:val="000000"/>
                          <w:szCs w:val="24"/>
                          <w:vertAlign w:val="subscript"/>
                          <w:lang w:eastAsia="lt-LT"/>
                        </w:rPr>
                        <w:t>H.WE+HE,m</w:t>
                      </w:r>
                      <w:r>
                        <w:rPr>
                          <w:color w:val="000000"/>
                          <w:szCs w:val="24"/>
                          <w:lang w:eastAsia="lt-LT"/>
                        </w:rPr>
                        <w:t xml:space="preserve"> (vnt. dalis) apskaičiuojamos taip:</w:t>
                      </w:r>
                    </w:p>
                    <w:tbl>
                      <w:tblPr>
                        <w:tblW w:w="0" w:type="auto"/>
                        <w:jc w:val="center"/>
                        <w:tblLook w:val="01E0" w:firstRow="1" w:lastRow="1" w:firstColumn="1" w:lastColumn="1" w:noHBand="0" w:noVBand="0"/>
                      </w:tblPr>
                      <w:tblGrid>
                        <w:gridCol w:w="7384"/>
                        <w:gridCol w:w="916"/>
                      </w:tblGrid>
                      <w:tr>
                        <w:trPr>
                          <w:jc w:val="center"/>
                        </w:trPr>
                        <w:tc>
                          <w:tcPr>
                            <w:tcW w:w="0" w:type="auto"/>
                            <w:vAlign w:val="center"/>
                            <w:hideMark/>
                          </w:tcPr>
                          <w:p>
                            <w:pPr>
                              <w:tabs>
                                <w:tab w:val="left" w:pos="567"/>
                              </w:tabs>
                              <w:suppressAutoHyphens/>
                              <w:spacing w:line="276" w:lineRule="auto"/>
                              <w:ind w:left="-57" w:right="-57"/>
                              <w:jc w:val="center"/>
                              <w:rPr>
                                <w:rFonts w:eastAsia="Calibri"/>
                                <w:color w:val="000000"/>
                                <w:szCs w:val="24"/>
                                <w:lang w:eastAsia="lt-LT"/>
                              </w:rPr>
                            </w:pPr>
                            <w:r>
                              <w:rPr>
                                <w:rFonts w:eastAsia="Calibri"/>
                                <w:color w:val="000000"/>
                                <w:szCs w:val="24"/>
                                <w:lang w:eastAsia="lt-LT"/>
                              </w:rPr>
                              <w:object w:dxaOrig="7224" w:dyaOrig="1620">
                                <v:shape id="_x0000_i1567" type="#_x0000_t75" style="width:364.05pt;height:80.1pt" o:ole="">
                                  <v:imagedata r:id="rId1325" o:title=""/>
                                </v:shape>
                                <o:OLEObject Type="Embed" ProgID="Equation.3" ShapeID="_x0000_i1567" DrawAspect="Content" ObjectID="_0000000001" r:id="rId1326"/>
                              </w:object>
                            </w:r>
                          </w:p>
                        </w:tc>
                        <w:tc>
                          <w:tcPr>
                            <w:tcW w:w="0" w:type="auto"/>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(2.469)</w:t>
                            </w:r>
                          </w:p>
                        </w:tc>
                      </w:tr>
                      <w:tr>
                        <w:trPr>
                          <w:jc w:val="center"/>
                        </w:trPr>
                        <w:tc>
                          <w:tcPr>
                            <w:tcW w:w="0" w:type="auto"/>
                            <w:vAlign w:val="center"/>
                            <w:hideMark/>
                          </w:tcPr>
                          <w:p>
                            <w:pPr>
                              <w:tabs>
                                <w:tab w:val="left" w:pos="567"/>
                              </w:tabs>
                              <w:suppressAutoHyphens/>
                              <w:spacing w:line="276" w:lineRule="auto"/>
                              <w:ind w:left="-57" w:right="-57"/>
                              <w:jc w:val="center"/>
                              <w:rPr>
                                <w:rFonts w:eastAsia="Calibri"/>
                                <w:color w:val="000000"/>
                                <w:szCs w:val="24"/>
                                <w:lang w:eastAsia="lt-LT"/>
                              </w:rPr>
                            </w:pPr>
                            <w:r>
                              <w:rPr>
                                <w:rFonts w:eastAsia="Calibri"/>
                                <w:color w:val="000000"/>
                                <w:szCs w:val="24"/>
                                <w:lang w:eastAsia="lt-LT"/>
                              </w:rPr>
                              <w:object w:dxaOrig="7188" w:dyaOrig="1620">
                                <v:shape id="_x0000_i1568" type="#_x0000_t75" style="width:358.4pt;height:80.1pt" o:ole="">
                                  <v:imagedata r:id="rId1327" o:title=""/>
                                </v:shape>
                                <o:OLEObject Type="Embed" ProgID="Equation.3" ShapeID="_x0000_i1568" DrawAspect="Content" ObjectID="_0000000001" r:id="rId1328"/>
                              </w:object>
                              <w:t>;</w:t>
                            </w:r>
                          </w:p>
                        </w:tc>
                        <w:tc>
                          <w:tcPr>
                            <w:tcW w:w="0" w:type="auto"/>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(2.470)</w:t>
                            </w:r>
                          </w:p>
                        </w:tc>
                      </w:tr>
                    </w:tbl>
                    <w:p>
                      <w:pPr>
                        <w:tabs>
                          <w:tab w:val="left" w:pos="567"/>
                        </w:tabs>
                        <w:suppressAutoHyphens/>
                        <w:ind w:left="600" w:hanging="600"/>
                        <w:rPr>
                          <w:rFonts w:eastAsia="Calibri"/>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hw.sum.SK,m</w:t>
                      </w:r>
                      <w:r>
                        <w:rPr>
                          <w:color w:val="000000"/>
                          <w:szCs w:val="24"/>
                          <w:lang w:eastAsia="lt-LT"/>
                        </w:rPr>
                        <w:t xml:space="preserve"> – apskaičiuojama pagal (2.338)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hw.WE,m</w:t>
                      </w:r>
                      <w:r>
                        <w:rPr>
                          <w:color w:val="000000"/>
                          <w:szCs w:val="24"/>
                          <w:lang w:eastAsia="lt-LT"/>
                        </w:rPr>
                        <w:t xml:space="preserve"> – apskaičiuojama pagal (2.364)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hw.HE,m</w:t>
                      </w:r>
                      <w:r>
                        <w:rPr>
                          <w:color w:val="000000"/>
                          <w:szCs w:val="24"/>
                          <w:lang w:eastAsia="lt-LT"/>
                        </w:rPr>
                        <w:t xml:space="preserve"> – apskaičiuojama pagal (2.365) formulę;</w:t>
                      </w:r>
                    </w:p>
                    <w:p>
                      <w:pPr>
                        <w:tabs>
                          <w:tab w:val="left" w:pos="567"/>
                        </w:tabs>
                        <w:suppressAutoHyphens/>
                        <w:ind w:left="600"/>
                        <w:rPr>
                          <w:i/>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hw.WE,m</w:t>
                      </w:r>
                      <w:r>
                        <w:rPr>
                          <w:color w:val="000000"/>
                          <w:szCs w:val="24"/>
                          <w:lang w:eastAsia="lt-LT"/>
                        </w:rPr>
                        <w:t xml:space="preserve"> – apskaičiuojama pagal (2.416)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hw.HE,m</w:t>
                      </w:r>
                      <w:r>
                        <w:rPr>
                          <w:color w:val="000000"/>
                          <w:szCs w:val="24"/>
                          <w:lang w:eastAsia="lt-LT"/>
                        </w:rPr>
                        <w:t xml:space="preserve"> – apskaičiuojama pagal (2.417)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H.sum.SK,m</w:t>
                      </w:r>
                      <w:r>
                        <w:rPr>
                          <w:color w:val="000000"/>
                          <w:szCs w:val="24"/>
                          <w:lang w:eastAsia="lt-LT"/>
                        </w:rPr>
                        <w:t xml:space="preserve"> – apskaičiuojama pagal (2.340)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H.WE,m</w:t>
                      </w:r>
                      <w:r>
                        <w:rPr>
                          <w:color w:val="000000"/>
                          <w:szCs w:val="24"/>
                          <w:lang w:eastAsia="lt-LT"/>
                        </w:rPr>
                        <w:t xml:space="preserve"> – apskaičiuojama pagal (2.381)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H.HE,m</w:t>
                      </w:r>
                      <w:r>
                        <w:rPr>
                          <w:color w:val="000000"/>
                          <w:szCs w:val="24"/>
                          <w:lang w:eastAsia="lt-LT"/>
                        </w:rPr>
                        <w:t xml:space="preserve"> – apskaičiuojama pagal (2.382)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xml:space="preserve"> – apskaičiuojama pagal (2.451)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H.HE,m</w:t>
                      </w:r>
                      <w:r>
                        <w:rPr>
                          <w:color w:val="000000"/>
                          <w:szCs w:val="24"/>
                          <w:lang w:eastAsia="lt-LT"/>
                        </w:rPr>
                        <w:t xml:space="preserve"> – apskaičiuojama pagal (2.452) formulę.</w:t>
                      </w:r>
                    </w:p>
                    <w:tbl>
                      <w:tblPr>
                        <w:tblW w:w="0" w:type="auto"/>
                        <w:jc w:val="center"/>
                        <w:tblLook w:val="01E0" w:firstRow="1" w:lastRow="1" w:firstColumn="1" w:lastColumn="1" w:noHBand="0" w:noVBand="0"/>
                      </w:tblPr>
                      <w:tblGrid>
                        <w:gridCol w:w="8506"/>
                        <w:gridCol w:w="17"/>
                        <w:gridCol w:w="1045"/>
                        <w:gridCol w:w="285"/>
                      </w:tblGrid>
                      <w:tr>
                        <w:trPr>
                          <w:gridAfter w:val="1"/>
                          <w:wAfter w:w="285" w:type="dxa"/>
                          <w:jc w:val="center"/>
                        </w:trPr>
                        <w:tc>
                          <w:tcPr>
                            <w:tcW w:w="8506"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gridSpan w:val="2"/>
                            <w:vAlign w:val="center"/>
                          </w:tcPr>
                          <w:p>
                            <w:pPr>
                              <w:tabs>
                                <w:tab w:val="left" w:pos="567"/>
                              </w:tabs>
                              <w:suppressAutoHyphens/>
                              <w:spacing w:line="276" w:lineRule="auto"/>
                              <w:jc w:val="right"/>
                              <w:rPr>
                                <w:rFonts w:eastAsia="Calibri"/>
                                <w:strike/>
                                <w:color w:val="000000"/>
                                <w:szCs w:val="24"/>
                                <w:lang w:eastAsia="lt-LT"/>
                              </w:rPr>
                            </w:pPr>
                          </w:p>
                        </w:tc>
                      </w:tr>
                      <w:tr>
                        <w:trPr>
                          <w:gridAfter w:val="1"/>
                          <w:wAfter w:w="285" w:type="dxa"/>
                          <w:jc w:val="center"/>
                        </w:trPr>
                        <w:tc>
                          <w:tcPr>
                            <w:tcW w:w="8506"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80" w:dyaOrig="680">
                                <v:shape id="_x0000_i1569" type="#_x0000_t75" style="width:125.4pt;height:34.8pt" o:ole="">
                                  <v:imagedata r:id="rId1329" o:title=""/>
                                </v:shape>
                                <o:OLEObject Type="Embed" ProgID="Equation.3" ShapeID="_x0000_i1569" DrawAspect="Content" ObjectID="_0000000001" r:id="rId1330"/>
                              </w:object>
                              <w:t>;</w:t>
                            </w:r>
                          </w:p>
                        </w:tc>
                        <w:tc>
                          <w:tcPr>
                            <w:tcW w:w="1062" w:type="dxa"/>
                            <w:gridSpan w:val="2"/>
                            <w:vAlign w:val="center"/>
                            <w:hideMark/>
                          </w:tcPr>
                          <w:p>
                            <w:pPr>
                              <w:tabs>
                                <w:tab w:val="left" w:pos="567"/>
                              </w:tabs>
                              <w:suppressAutoHyphens/>
                              <w:spacing w:line="276" w:lineRule="auto"/>
                              <w:jc w:val="right"/>
                              <w:rPr>
                                <w:color w:val="000000"/>
                                <w:szCs w:val="24"/>
                                <w:lang w:eastAsia="lt-LT"/>
                              </w:rPr>
                            </w:pPr>
                            <w:r>
                              <w:rPr>
                                <w:color w:val="000000"/>
                                <w:szCs w:val="24"/>
                                <w:lang w:eastAsia="lt-LT"/>
                              </w:rPr>
                              <w:t>(2.471)</w:t>
                            </w:r>
                          </w:p>
                        </w:tc>
                      </w:tr>
                      <w:tr>
                        <w:trPr>
                          <w:jc w:val="center"/>
                        </w:trPr>
                        <w:tc>
                          <w:tcPr>
                            <w:tcW w:w="8523" w:type="dxa"/>
                            <w:gridSpan w:val="2"/>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796" w:dyaOrig="804">
                                <v:shape id="_x0000_i1570" type="#_x0000_t75" style="width:290.45pt;height:42.05pt" o:ole="">
                                  <v:imagedata r:id="rId1331" o:title=""/>
                                </v:shape>
                                <o:OLEObject Type="Embed" ProgID="Equation.3" ShapeID="_x0000_i1570" DrawAspect="Content" ObjectID="_0000000001" r:id="rId1332"/>
                              </w:object>
                            </w:r>
                            <w:r>
                              <w:rPr>
                                <w:color w:val="000000"/>
                                <w:szCs w:val="24"/>
                                <w:lang w:eastAsia="lt-LT"/>
                              </w:rPr>
                              <w:t>;</w:t>
                            </w:r>
                          </w:p>
                        </w:tc>
                        <w:tc>
                          <w:tcPr>
                            <w:tcW w:w="1330" w:type="dxa"/>
                            <w:gridSpan w:val="2"/>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(2.472) </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(2.471)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energijos už energijos poreikį karštam vandeniui ruošti,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232" w:dyaOrig="816">
                                <v:shape id="_x0000_i1571" type="#_x0000_t75" style="width:261.3pt;height:43.7pt" o:ole="">
                                  <v:imagedata r:id="rId1333" o:title=""/>
                                </v:shape>
                                <o:OLEObject Type="Embed" ProgID="Equation.3" ShapeID="_x0000_i1571" DrawAspect="Content" ObjectID="_0000000001" r:id="rId1334"/>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(2.473)</w:t>
                            </w:r>
                          </w:p>
                        </w:tc>
                      </w:tr>
                    </w:tbl>
                    <w:p>
                      <w:pPr>
                        <w:tabs>
                          <w:tab w:val="left" w:pos="567"/>
                        </w:tabs>
                        <w:suppressAutoHyphens/>
                        <w:ind w:left="840"/>
                        <w:rPr>
                          <w:rFonts w:eastAsia="Calibri"/>
                          <w:color w:val="000000"/>
                          <w:szCs w:val="24"/>
                          <w:lang w:eastAsia="lt-LT"/>
                        </w:rPr>
                      </w:pPr>
                      <w:r>
                        <w:rPr>
                          <w:color w:val="000000"/>
                          <w:szCs w:val="24"/>
                          <w:lang w:eastAsia="lt-LT"/>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244" w:dyaOrig="816">
                                <v:shape id="_x0000_i1572" type="#_x0000_t75" style="width:262.9pt;height:43.7pt" o:ole="">
                                  <v:imagedata r:id="rId1335" o:title=""/>
                                </v:shape>
                                <o:OLEObject Type="Embed" ProgID="Equation.3" ShapeID="_x0000_i1572" DrawAspect="Content" ObjectID="_0000000001" r:id="rId1336"/>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(2.474)</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hw.WE,m </w:t>
                      </w:r>
                      <w:r>
                        <w:rPr>
                          <w:color w:val="000000"/>
                          <w:szCs w:val="24"/>
                          <w:lang w:eastAsia="lt-LT"/>
                        </w:rPr>
                        <w:t>atitinka skaičiavimo rezultatą, gautą pagal (2.471) formulę;</w:t>
                      </w:r>
                    </w:p>
                    <w:p>
                      <w:pPr>
                        <w:tabs>
                          <w:tab w:val="left" w:pos="567"/>
                          <w:tab w:val="left" w:pos="1650"/>
                        </w:tabs>
                        <w:suppressAutoHyphens/>
                        <w:ind w:firstLine="840"/>
                        <w:jc w:val="both"/>
                        <w:rPr>
                          <w:color w:val="000000"/>
                          <w:szCs w:val="24"/>
                          <w:lang w:eastAsia="lt-LT"/>
                        </w:rPr>
                      </w:pPr>
                      <w:r>
                        <w:rPr>
                          <w:color w:val="000000"/>
                          <w:szCs w:val="24"/>
                          <w:lang w:eastAsia="lt-LT"/>
                        </w:rPr>
                        <w:t>- 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180" w:dyaOrig="1500">
                                <v:shape id="_x0000_i1573" type="#_x0000_t75" style="width:5in;height:78.45pt" o:ole="">
                                  <v:imagedata r:id="rId1337" o:title=""/>
                                </v:shape>
                                <o:OLEObject Type="Embed" ProgID="Equation.3" ShapeID="_x0000_i1573" DrawAspect="Content" ObjectID="_0000000001" r:id="rId1338"/>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(2.475)</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hw.WE,m  </w:t>
                      </w:r>
                      <w:r>
                        <w:rPr>
                          <w:color w:val="000000"/>
                          <w:szCs w:val="24"/>
                          <w:lang w:eastAsia="lt-LT"/>
                        </w:rPr>
                        <w:t>apskaičiuojama pagal (2.471)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820" w:dyaOrig="1080">
                                <v:shape id="_x0000_i1574" type="#_x0000_t75" style="width:4in;height:56.65pt" o:ole="">
                                  <v:imagedata r:id="rId1339" o:title=""/>
                                </v:shape>
                                <o:OLEObject Type="Embed" ProgID="Equation.3" ShapeID="_x0000_i1574" DrawAspect="Content" ObjectID="_0000000001" r:id="rId1340"/>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(2.476)</w:t>
                            </w:r>
                          </w:p>
                        </w:tc>
                      </w:tr>
                    </w:tbl>
                    <w:p>
                      <w:pPr>
                        <w:tabs>
                          <w:tab w:val="left" w:pos="567"/>
                        </w:tabs>
                        <w:suppressAutoHyphens/>
                        <w:rPr>
                          <w:rFonts w:eastAsia="Calibri"/>
                          <w:color w:val="000000"/>
                          <w:szCs w:val="24"/>
                          <w:lang w:eastAsia="lt-LT"/>
                        </w:rPr>
                      </w:pPr>
                      <w:r>
                        <w:rPr>
                          <w:color w:val="000000"/>
                          <w:szCs w:val="24"/>
                          <w:lang w:eastAsia="lt-LT"/>
                        </w:rPr>
                        <w:t>ir pagal (2.476)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840" w:dyaOrig="380">
                                <v:shape id="_x0000_i1575" type="#_x0000_t75" style="width:2in;height:19.4pt" o:ole="">
                                  <v:imagedata r:id="rId1341" o:title=""/>
                                </v:shape>
                                <o:OLEObject Type="Embed" ProgID="Equation.3" ShapeID="_x0000_i1575" DrawAspect="Content" ObjectID="_0000000001" r:id="rId1342"/>
                              </w:object>
                              <w:t xml:space="preserve">, kitais mėnesiais </w:t>
                            </w:r>
                            <w:r>
                              <w:rPr>
                                <w:rFonts w:eastAsia="Calibri"/>
                                <w:color w:val="000000"/>
                                <w:position w:val="-12"/>
                                <w:szCs w:val="24"/>
                                <w:lang w:eastAsia="lt-LT"/>
                              </w:rPr>
                              <w:object w:dxaOrig="1212" w:dyaOrig="348">
                                <v:shape id="_x0000_i1576" type="#_x0000_t75" style="width:59.85pt;height:16.2pt" o:ole="">
                                  <v:imagedata r:id="rId1343" o:title=""/>
                                </v:shape>
                                <o:OLEObject Type="Embed" ProgID="Equation.3" ShapeID="_x0000_i1576" DrawAspect="Content" ObjectID="_0000000001" r:id="rId134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(2.477)</w:t>
                            </w:r>
                          </w:p>
                        </w:tc>
                      </w:tr>
                    </w:tbl>
                    <w:p>
                      <w:pPr>
                        <w:tabs>
                          <w:tab w:val="left" w:pos="567"/>
                        </w:tabs>
                        <w:suppressAutoHyphens/>
                        <w:rPr>
                          <w:rFonts w:eastAsia="Calibri"/>
                          <w:color w:val="000000"/>
                          <w:szCs w:val="24"/>
                          <w:lang w:eastAsia="lt-LT"/>
                        </w:rPr>
                      </w:pPr>
                      <w:r>
                        <w:rPr>
                          <w:color w:val="000000"/>
                          <w:szCs w:val="24"/>
                          <w:lang w:eastAsia="lt-LT"/>
                        </w:rPr>
                        <w:t>o jei pagal (2.476)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780" w:dyaOrig="1080">
                                <v:shape id="_x0000_i1577" type="#_x0000_t75" style="width:340.6pt;height:56.65pt" o:ole="">
                                  <v:imagedata r:id="rId1345" o:title=""/>
                                </v:shape>
                                <o:OLEObject Type="Embed" ProgID="Equation.3" ShapeID="_x0000_i1577" DrawAspect="Content" ObjectID="_0000000001" r:id="rId1346"/>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212" w:dyaOrig="348">
                                <v:shape id="_x0000_i1578" type="#_x0000_t75" style="width:59.85pt;height:16.2pt" o:ole="">
                                  <v:imagedata r:id="rId1347" o:title=""/>
                                </v:shape>
                                <o:OLEObject Type="Embed" ProgID="Equation.3" ShapeID="_x0000_i1578" DrawAspect="Content" ObjectID="_0000000001" r:id="rId1348"/>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(2.478)</w:t>
                            </w:r>
                          </w:p>
                        </w:tc>
                      </w:tr>
                    </w:tbl>
                    <w:p>
                      <w:pPr>
                        <w:tabs>
                          <w:tab w:val="left" w:pos="567"/>
                        </w:tabs>
                        <w:suppressAutoHyphens/>
                        <w:ind w:left="600"/>
                        <w:rPr>
                          <w:color w:val="000000"/>
                          <w:szCs w:val="24"/>
                          <w:lang w:eastAsia="lt-LT"/>
                        </w:rPr>
                      </w:pPr>
                      <w:r>
                        <w:rPr>
                          <w:color w:val="000000"/>
                          <w:szCs w:val="24"/>
                          <w:lang w:eastAsia="lt-LT"/>
                        </w:rPr>
                        <w:t>(2.472)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vėjo ir hidroelektrinės pagamina daugiau energijos už energijos poreikį karštam vandeniui ruošti,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44" w:dyaOrig="816">
                                <v:shape id="_x0000_i1579" type="#_x0000_t75" style="width:308.2pt;height:43.7pt" o:ole="">
                                  <v:imagedata r:id="rId1349" o:title=""/>
                                </v:shape>
                                <o:OLEObject Type="Embed" ProgID="Equation.3" ShapeID="_x0000_i1579" DrawAspect="Content" ObjectID="_0000000001" r:id="rId1350"/>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(2.479)</w:t>
                            </w:r>
                          </w:p>
                        </w:tc>
                      </w:tr>
                    </w:tbl>
                    <w:p>
                      <w:pPr>
                        <w:tabs>
                          <w:tab w:val="left" w:pos="567"/>
                          <w:tab w:val="left" w:pos="851"/>
                        </w:tabs>
                        <w:suppressAutoHyphens/>
                        <w:ind w:left="1200" w:hanging="633"/>
                        <w:jc w:val="both"/>
                        <w:rPr>
                          <w:rFonts w:eastAsia="Calibri"/>
                          <w:color w:val="000000"/>
                          <w:szCs w:val="24"/>
                          <w:lang w:eastAsia="lt-LT"/>
                        </w:rPr>
                      </w:pPr>
                      <w:r>
                        <w:rPr>
                          <w:color w:val="000000"/>
                          <w:szCs w:val="24"/>
                          <w:lang w:eastAsia="lt-LT"/>
                        </w:rPr>
                        <w:t>-</w:t>
                        <w:tab/>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44" w:dyaOrig="816">
                                <v:shape id="_x0000_i1580" type="#_x0000_t75" style="width:308.2pt;height:43.7pt" o:ole="">
                                  <v:imagedata r:id="rId1351" o:title=""/>
                                </v:shape>
                                <o:OLEObject Type="Embed" ProgID="Equation.3" ShapeID="_x0000_i1580" DrawAspect="Content" ObjectID="_0000000001" r:id="rId1352"/>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(2.480)</w:t>
                            </w:r>
                          </w:p>
                        </w:tc>
                      </w:tr>
                    </w:tbl>
                    <w:p>
                      <w:pPr>
                        <w:tabs>
                          <w:tab w:val="left" w:pos="567"/>
                        </w:tabs>
                        <w:suppressAutoHyphens/>
                        <w:rPr>
                          <w:rFonts w:eastAsia="Calibri"/>
                          <w:color w:val="000000"/>
                          <w:szCs w:val="24"/>
                          <w:lang w:eastAsia="lt-LT"/>
                        </w:rPr>
                      </w:pPr>
                      <w:r>
                        <w:rPr>
                          <w:color w:val="000000"/>
                          <w:szCs w:val="24"/>
                          <w:lang w:eastAsia="lt-LT"/>
                        </w:rPr>
                        <w:t>kitais atvejais skaičiavimo rezultatas atitinka sumą, apskaičiuotą pagal (2.471) ir (2.472)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200" w:dyaOrig="1500">
                                <v:shape id="_x0000_i1581" type="#_x0000_t75" style="width:5in;height:1in" o:ole="">
                                  <v:imagedata r:id="rId1353" o:title=""/>
                                </v:shape>
                                <o:OLEObject Type="Embed" ProgID="Equation.3" ShapeID="_x0000_i1581" DrawAspect="Content" ObjectID="_0000000001" r:id="rId1354"/>
                              </w:object>
                            </w:r>
                            <w:r>
                              <w:rPr>
                                <w:color w:val="000000"/>
                                <w:szCs w:val="24"/>
                                <w:lang w:eastAsia="lt-LT"/>
                              </w:rPr>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(2.481)</w:t>
                            </w:r>
                          </w:p>
                        </w:tc>
                      </w:tr>
                    </w:tbl>
                    <w:p>
                      <w:pPr>
                        <w:tabs>
                          <w:tab w:val="left" w:pos="567"/>
                          <w:tab w:val="num" w:pos="1200"/>
                        </w:tabs>
                        <w:suppressAutoHyphens/>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764" w:dyaOrig="348">
                          <v:shape id="_x0000_i1582" type="#_x0000_t75" style="width:88.2pt;height:16.2pt" o:ole="">
                            <v:imagedata r:id="rId1355" o:title=""/>
                          </v:shape>
                          <o:OLEObject Type="Embed" ProgID="Equation.3" ShapeID="_x0000_i1582" DrawAspect="Content" ObjectID="_0000000001" r:id="rId1356"/>
                        </w:object>
                      </w:r>
                      <w:r>
                        <w:rPr>
                          <w:color w:val="000000"/>
                          <w:szCs w:val="24"/>
                          <w:lang w:eastAsia="lt-LT"/>
                        </w:rPr>
                        <w:t>) apskaičiuojama sumuojant skaičiavimų rezultatus pagal (2.471) ir (2.472)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740" w:dyaOrig="1080">
                                <v:shape id="_x0000_i1583" type="#_x0000_t75" style="width:335.75pt;height:56.65pt" o:ole="">
                                  <v:imagedata r:id="rId1357" o:title=""/>
                                </v:shape>
                                <o:OLEObject Type="Embed" ProgID="Equation.3" ShapeID="_x0000_i1583" DrawAspect="Content" ObjectID="_0000000001" r:id="rId1358"/>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(2.482)</w:t>
                            </w:r>
                          </w:p>
                        </w:tc>
                      </w:tr>
                    </w:tbl>
                    <w:p>
                      <w:pPr>
                        <w:tabs>
                          <w:tab w:val="left" w:pos="567"/>
                        </w:tabs>
                        <w:suppressAutoHyphens/>
                        <w:rPr>
                          <w:rFonts w:eastAsia="Calibri"/>
                          <w:color w:val="000000"/>
                          <w:szCs w:val="24"/>
                          <w:lang w:eastAsia="lt-LT"/>
                        </w:rPr>
                      </w:pPr>
                      <w:r>
                        <w:rPr>
                          <w:color w:val="000000"/>
                          <w:szCs w:val="24"/>
                          <w:lang w:eastAsia="lt-LT"/>
                        </w:rPr>
                        <w:t>ir pagal (2.482)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820" w:dyaOrig="380">
                                <v:shape id="_x0000_i1584" type="#_x0000_t75" style="width:241.1pt;height:19.4pt" o:ole="">
                                  <v:imagedata r:id="rId1359" o:title=""/>
                                </v:shape>
                                <o:OLEObject Type="Embed" ProgID="Equation.3" ShapeID="_x0000_i1584" DrawAspect="Content" ObjectID="_0000000001" r:id="rId1360"/>
                              </w:object>
                              <w:t xml:space="preserve">, kitais mėnesiais </w:t>
                            </w:r>
                            <w:r>
                              <w:rPr>
                                <w:rFonts w:eastAsia="Calibri"/>
                                <w:color w:val="000000"/>
                                <w:position w:val="-12"/>
                                <w:szCs w:val="24"/>
                                <w:lang w:eastAsia="lt-LT"/>
                              </w:rPr>
                              <w:object w:dxaOrig="2172" w:dyaOrig="348">
                                <v:shape id="_x0000_i1585" type="#_x0000_t75" style="width:107.6pt;height:16.2pt" o:ole="">
                                  <v:imagedata r:id="rId1361" o:title=""/>
                                </v:shape>
                                <o:OLEObject Type="Embed" ProgID="Equation.3" ShapeID="_x0000_i1585" DrawAspect="Content" ObjectID="_0000000001" r:id="rId1362"/>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(2.483)</w:t>
                            </w:r>
                          </w:p>
                        </w:tc>
                      </w:tr>
                    </w:tbl>
                    <w:p>
                      <w:pPr>
                        <w:tabs>
                          <w:tab w:val="left" w:pos="567"/>
                        </w:tabs>
                        <w:suppressAutoHyphens/>
                        <w:rPr>
                          <w:rFonts w:eastAsia="Calibri"/>
                          <w:color w:val="000000"/>
                          <w:szCs w:val="24"/>
                          <w:lang w:eastAsia="lt-LT"/>
                        </w:rPr>
                      </w:pPr>
                      <w:r>
                        <w:rPr>
                          <w:color w:val="000000"/>
                          <w:szCs w:val="24"/>
                          <w:lang w:eastAsia="lt-LT"/>
                        </w:rPr>
                        <w:t>o jei pagal (2.482)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040" w:dyaOrig="1520">
                                <v:shape id="_x0000_i1586" type="#_x0000_t75" style="width:252.4pt;height:76.05pt" o:ole="">
                                  <v:imagedata r:id="rId1363" o:title=""/>
                                </v:shape>
                                <o:OLEObject Type="Embed" ProgID="Equation.3" ShapeID="_x0000_i1586" DrawAspect="Content" ObjectID="_0000000001" r:id="rId1364"/>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2172" w:dyaOrig="348">
                                <v:shape id="_x0000_i1587" type="#_x0000_t75" style="width:107.6pt;height:16.2pt" o:ole="">
                                  <v:imagedata r:id="rId1365" o:title=""/>
                                </v:shape>
                                <o:OLEObject Type="Embed" ProgID="Equation.3" ShapeID="_x0000_i1587" DrawAspect="Content" ObjectID="_0000000001" r:id="rId1366"/>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(2.484)</w:t>
                            </w:r>
                          </w:p>
                        </w:tc>
                      </w:tr>
                    </w:tbl>
                    <w:p>
                      <w:pPr>
                        <w:tabs>
                          <w:tab w:val="left" w:pos="567"/>
                        </w:tabs>
                        <w:suppressAutoHyphens/>
                        <w:ind w:left="84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3912" w:dyaOrig="348">
                                <v:shape id="_x0000_i1588" type="#_x0000_t75" style="width:196.6pt;height:16.2pt" o:ole="">
                                  <v:imagedata r:id="rId1367" o:title=""/>
                                </v:shape>
                                <o:OLEObject Type="Embed" ProgID="Equation.3" ShapeID="_x0000_i1588" DrawAspect="Content" ObjectID="_0000000001" r:id="rId1368"/>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(2.485)</w:t>
                            </w:r>
                          </w:p>
                        </w:tc>
                      </w:tr>
                    </w:tbl>
                    <w:p>
                      <w:pPr>
                        <w:tabs>
                          <w:tab w:val="left" w:pos="567"/>
                        </w:tabs>
                        <w:suppressAutoHyphens/>
                        <w:ind w:left="600" w:hanging="600"/>
                        <w:rPr>
                          <w:rFonts w:eastAsia="Calibri"/>
                          <w:color w:val="000000"/>
                          <w:szCs w:val="24"/>
                          <w:lang w:eastAsia="lt-LT"/>
                        </w:rPr>
                      </w:pPr>
                      <w:r>
                        <w:rPr>
                          <w:color w:val="000000"/>
                          <w:szCs w:val="24"/>
                          <w:lang w:eastAsia="lt-LT"/>
                        </w:rPr>
                        <w:t>čia:</w:t>
                      </w:r>
                      <w:r>
                        <w:rPr>
                          <w:i/>
                          <w:color w:val="000000"/>
                          <w:szCs w:val="24"/>
                          <w:lang w:eastAsia="lt-LT"/>
                        </w:rPr>
                        <w:tab/>
                        <w:t>Q</w:t>
                      </w:r>
                      <w:r>
                        <w:rPr>
                          <w:i/>
                          <w:color w:val="000000"/>
                          <w:szCs w:val="24"/>
                          <w:vertAlign w:val="subscript"/>
                          <w:lang w:eastAsia="lt-LT"/>
                        </w:rPr>
                        <w:t>hw.sum.SK,m</w:t>
                      </w:r>
                      <w:r>
                        <w:rPr>
                          <w:color w:val="000000"/>
                          <w:szCs w:val="24"/>
                          <w:lang w:eastAsia="lt-LT"/>
                        </w:rPr>
                        <w:t xml:space="preserve"> – apskaičiuojama pagal (2.338)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hw.WE,m</w:t>
                      </w:r>
                      <w:r>
                        <w:rPr>
                          <w:color w:val="000000"/>
                          <w:szCs w:val="24"/>
                          <w:lang w:eastAsia="lt-LT"/>
                        </w:rPr>
                        <w:t xml:space="preserve"> – apskaičiuojama pagal (2.364)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hw.HE,m</w:t>
                      </w:r>
                      <w:r>
                        <w:rPr>
                          <w:color w:val="000000"/>
                          <w:szCs w:val="24"/>
                          <w:lang w:eastAsia="lt-LT"/>
                        </w:rPr>
                        <w:t xml:space="preserve"> – apskaičiuojama pagal (2.365)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hw.WE,m</w:t>
                      </w:r>
                      <w:r>
                        <w:rPr>
                          <w:color w:val="000000"/>
                          <w:szCs w:val="24"/>
                          <w:lang w:eastAsia="lt-LT"/>
                        </w:rPr>
                        <w:t xml:space="preserve"> – apskaičiuojama pagal (2.416)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hw.HE,m</w:t>
                      </w:r>
                      <w:r>
                        <w:rPr>
                          <w:color w:val="000000"/>
                          <w:szCs w:val="24"/>
                          <w:lang w:eastAsia="lt-LT"/>
                        </w:rPr>
                        <w:t xml:space="preserve"> – apskaičiuojama pagal (2.417) formulę;</w:t>
                      </w:r>
                    </w:p>
                    <w:p>
                      <w:pPr>
                        <w:tabs>
                          <w:tab w:val="left" w:pos="567"/>
                        </w:tabs>
                        <w:suppressAutoHyphens/>
                        <w:ind w:firstLine="600"/>
                        <w:jc w:val="both"/>
                        <w:rPr>
                          <w:i/>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hwSW,m,x</w:t>
                      </w:r>
                      <w:r>
                        <w:rPr>
                          <w:color w:val="000000"/>
                          <w:szCs w:val="24"/>
                          <w:lang w:eastAsia="lt-LT"/>
                        </w:rPr>
                        <w:t xml:space="preserve"> – kiekvieno mėnesio </w:t>
                      </w:r>
                      <w:r>
                        <w:rPr>
                          <w:i/>
                          <w:color w:val="000000"/>
                          <w:szCs w:val="24"/>
                          <w:lang w:eastAsia="lt-LT"/>
                        </w:rPr>
                        <w:t xml:space="preserve">„m“ </w:t>
                      </w:r>
                      <w:r>
                        <w:rPr>
                          <w:color w:val="000000"/>
                          <w:szCs w:val="24"/>
                          <w:lang w:eastAsia="lt-LT"/>
                        </w:rPr>
                        <w:t xml:space="preserve">šilumos nuostoliai karšto vandens talpose, kurios naudojamos atitinkamos </w:t>
                      </w:r>
                      <w:r>
                        <w:rPr>
                          <w:i/>
                          <w:color w:val="000000"/>
                          <w:szCs w:val="24"/>
                          <w:lang w:eastAsia="lt-LT"/>
                        </w:rPr>
                        <w:t>„x“</w:t>
                      </w:r>
                      <w:r>
                        <w:rPr>
                          <w:color w:val="000000"/>
                          <w:szCs w:val="24"/>
                          <w:lang w:eastAsia="lt-LT"/>
                        </w:rPr>
                        <w:t xml:space="preserve"> vėjo elektrinių grupės pagaminto karšto vandens saugojimui (kWh/(m²·mėn.)). Apskaičiuojama pagal (2.487) formulę;</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hw.WE.out,m,x </w:t>
                      </w:r>
                      <w:r>
                        <w:rPr>
                          <w:color w:val="000000"/>
                          <w:szCs w:val="24"/>
                          <w:lang w:eastAsia="lt-LT"/>
                        </w:rPr>
                        <w:t xml:space="preserve">– atitinkamos </w:t>
                      </w:r>
                      <w:r>
                        <w:rPr>
                          <w:i/>
                          <w:color w:val="000000"/>
                          <w:szCs w:val="24"/>
                          <w:lang w:eastAsia="lt-LT"/>
                        </w:rPr>
                        <w:t>„x“</w:t>
                      </w:r>
                      <w:r>
                        <w:rPr>
                          <w:color w:val="000000"/>
                          <w:szCs w:val="24"/>
                          <w:lang w:eastAsia="lt-LT"/>
                        </w:rPr>
                        <w:t xml:space="preserve"> vėjo elektrinių grupės pagamintas energijos kiekis karštam vandeniui ruošti atitinkamą </w:t>
                      </w:r>
                      <w:r>
                        <w:rPr>
                          <w:i/>
                          <w:color w:val="000000"/>
                          <w:szCs w:val="24"/>
                          <w:lang w:eastAsia="lt-LT"/>
                        </w:rPr>
                        <w:t>„m“</w:t>
                      </w:r>
                      <w:r>
                        <w:rPr>
                          <w:color w:val="000000"/>
                          <w:szCs w:val="24"/>
                          <w:lang w:eastAsia="lt-LT"/>
                        </w:rPr>
                        <w:t xml:space="preserve"> mėnesį pastate (kWh/(m²·mėn.)). Apskaičiuojama taip:</w:t>
                      </w:r>
                    </w:p>
                    <w:tbl>
                      <w:tblPr>
                        <w:tblW w:w="5000" w:type="pct"/>
                        <w:jc w:val="center"/>
                        <w:tblLook w:val="01E0" w:firstRow="1" w:lastRow="1" w:firstColumn="1" w:lastColumn="1" w:noHBand="0" w:noVBand="0"/>
                      </w:tblPr>
                      <w:tblGrid>
                        <w:gridCol w:w="8540"/>
                        <w:gridCol w:w="1314"/>
                      </w:tblGrid>
                      <w:tr>
                        <w:trPr>
                          <w:jc w:val="center"/>
                        </w:trPr>
                        <w:tc>
                          <w:tcPr>
                            <w:tcW w:w="8294"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852" w:dyaOrig="1476">
                                <v:shape id="_x0000_i1589" type="#_x0000_t75" style="width:340.6pt;height:74.45pt" o:ole="">
                                  <v:imagedata r:id="rId1369" o:title=""/>
                                </v:shape>
                                <o:OLEObject Type="Embed" ProgID="Equation.3" ShapeID="_x0000_i1589" DrawAspect="Content" ObjectID="_0000000001" r:id="rId1370"/>
                              </w:object>
                            </w:r>
                          </w:p>
                        </w:tc>
                        <w:tc>
                          <w:tcPr>
                            <w:tcW w:w="1276"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(2.486) </w:t>
                            </w:r>
                          </w:p>
                        </w:tc>
                      </w:tr>
                    </w:tbl>
                    <w:p>
                      <w:pPr>
                        <w:tabs>
                          <w:tab w:val="left" w:pos="567"/>
                        </w:tabs>
                        <w:suppressAutoHyphens/>
                        <w:ind w:left="600" w:hanging="600"/>
                        <w:rPr>
                          <w:color w:val="000000"/>
                          <w:szCs w:val="24"/>
                          <w:lang w:eastAsia="lt-LT"/>
                        </w:rPr>
                      </w:pPr>
                      <w:r>
                        <w:rPr>
                          <w:color w:val="000000"/>
                          <w:szCs w:val="24"/>
                          <w:lang w:eastAsia="lt-LT"/>
                        </w:rPr>
                        <w:t xml:space="preserve">čia: </w:t>
                        <w:tab/>
                        <w:t>formulės paaiškinimus žiūrėti prie (2.345) formulės;</w:t>
                      </w:r>
                    </w:p>
                    <w:tbl>
                      <w:tblPr>
                        <w:tblW w:w="0" w:type="auto"/>
                        <w:jc w:val="center"/>
                        <w:tblLook w:val="01E0" w:firstRow="1" w:lastRow="1" w:firstColumn="1" w:lastColumn="1" w:noHBand="0" w:noVBand="0"/>
                      </w:tblPr>
                      <w:tblGrid>
                        <w:gridCol w:w="8320"/>
                        <w:gridCol w:w="1053"/>
                      </w:tblGrid>
                      <w:tr>
                        <w:trPr>
                          <w:jc w:val="center"/>
                        </w:trPr>
                        <w:tc>
                          <w:tcPr>
                            <w:tcW w:w="8320"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400" w:dyaOrig="680">
                                <v:shape id="_x0000_i1590" type="#_x0000_t75" style="width:120.55pt;height:34.8pt" o:ole="">
                                  <v:imagedata r:id="rId1371" o:title=""/>
                                </v:shape>
                                <o:OLEObject Type="Embed" ProgID="Equation.3" ShapeID="_x0000_i1590" DrawAspect="Content" ObjectID="_0000000001" r:id="rId1372"/>
                              </w:object>
                              <w:t>;</w:t>
                            </w:r>
                          </w:p>
                        </w:tc>
                        <w:tc>
                          <w:tcPr>
                            <w:tcW w:w="1053"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(2.488)</w:t>
                            </w:r>
                          </w:p>
                        </w:tc>
                      </w:tr>
                    </w:tbl>
                    <w:p>
                      <w:pPr>
                        <w:tabs>
                          <w:tab w:val="left" w:pos="567"/>
                        </w:tabs>
                        <w:suppressAutoHyphens/>
                        <w:jc w:val="both"/>
                        <w:rPr>
                          <w:bCs/>
                          <w:color w:val="FF0000"/>
                          <w:szCs w:val="24"/>
                          <w:lang w:eastAsia="lt-LT"/>
                        </w:rPr>
                      </w:pPr>
                    </w:p>
                    <w:tbl>
                      <w:tblPr>
                        <w:tblW w:w="0" w:type="auto"/>
                        <w:jc w:val="center"/>
                        <w:tblLook w:val="01E0" w:firstRow="1" w:lastRow="1" w:firstColumn="1" w:lastColumn="1" w:noHBand="0" w:noVBand="0"/>
                      </w:tblPr>
                      <w:tblGrid>
                        <w:gridCol w:w="8336"/>
                        <w:gridCol w:w="1302"/>
                      </w:tblGrid>
                      <w:tr>
                        <w:trPr>
                          <w:trHeight w:val="917"/>
                          <w:jc w:val="center"/>
                        </w:trPr>
                        <w:tc>
                          <w:tcPr>
                            <w:tcW w:w="8336" w:type="dxa"/>
                            <w:vAlign w:val="center"/>
                            <w:hideMark/>
                          </w:tcPr>
                          <w:p>
                            <w:pPr>
                              <w:tabs>
                                <w:tab w:val="left" w:pos="567"/>
                              </w:tabs>
                              <w:suppressAutoHyphens/>
                              <w:jc w:val="center"/>
                              <w:rPr>
                                <w:rFonts w:eastAsia="Calibri"/>
                                <w:color w:val="000000"/>
                                <w:szCs w:val="24"/>
                                <w:lang w:eastAsia="lt-LT"/>
                              </w:rPr>
                            </w:pPr>
                            <w:r>
                              <w:rPr>
                                <w:color w:val="000000"/>
                                <w:szCs w:val="24"/>
                                <w:lang w:eastAsia="lt-LT"/>
                              </w:rPr>
                              <w:object w:dxaOrig="5568" w:dyaOrig="804">
                                <v:shape id="_x0000_i1591" type="#_x0000_t75" style="width:278.3pt;height:42.05pt" o:ole="">
                                  <v:imagedata r:id="rId1373" o:title=""/>
                                </v:shape>
                                <o:OLEObject Type="Embed" ProgID="Equation.3" ShapeID="_x0000_i1591" DrawAspect="Content" ObjectID="_0000000001" r:id="rId1374"/>
                              </w:object>
                              <w:t>;</w:t>
                            </w:r>
                          </w:p>
                        </w:tc>
                        <w:tc>
                          <w:tcPr>
                            <w:tcW w:w="1302" w:type="dxa"/>
                            <w:vAlign w:val="center"/>
                            <w:hideMark/>
                          </w:tcPr>
                          <w:p>
                            <w:pPr>
                              <w:tabs>
                                <w:tab w:val="left" w:pos="567"/>
                              </w:tabs>
                              <w:suppressAutoHyphens/>
                              <w:jc w:val="right"/>
                              <w:rPr>
                                <w:rFonts w:eastAsia="Calibri"/>
                                <w:color w:val="000000"/>
                                <w:szCs w:val="24"/>
                                <w:lang w:eastAsia="lt-LT"/>
                              </w:rPr>
                            </w:pPr>
                            <w:r>
                              <w:rPr>
                                <w:color w:val="000000"/>
                                <w:szCs w:val="24"/>
                                <w:lang w:eastAsia="lt-LT"/>
                              </w:rPr>
                              <w:t xml:space="preserve">(2.489) </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(2.488)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jei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H.WE,m</w:t>
                      </w:r>
                      <w:r>
                        <w:rPr>
                          <w:color w:val="000000"/>
                          <w:szCs w:val="24"/>
                          <w:lang w:eastAsia="lt-LT"/>
                        </w:rPr>
                        <w:t xml:space="preserve">&lt;0 arba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H.WE,m</w:t>
                      </w:r>
                      <w:r>
                        <w:rPr>
                          <w:color w:val="000000"/>
                          <w:szCs w:val="24"/>
                          <w:lang w:eastAsia="lt-LT"/>
                        </w:rPr>
                        <w:t>=0,</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4956" w:dyaOrig="816">
                                <v:shape id="_x0000_i1592" type="#_x0000_t75" style="width:247.55pt;height:42.05pt" o:ole="">
                                  <v:imagedata r:id="rId1375" o:title=""/>
                                </v:shape>
                                <o:OLEObject Type="Embed" ProgID="Equation.3" ShapeID="_x0000_i1592" DrawAspect="Content" ObjectID="_0000000001" r:id="rId1376"/>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(2.490)</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4956" w:dyaOrig="816">
                                <v:shape id="_x0000_i1593" type="#_x0000_t75" style="width:247.55pt;height:42.05pt" o:ole="">
                                  <v:imagedata r:id="rId1377" o:title=""/>
                                </v:shape>
                                <o:OLEObject Type="Embed" ProgID="Equation.3" ShapeID="_x0000_i1593" DrawAspect="Content" ObjectID="_0000000001" r:id="rId1378"/>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(2.491)</w:t>
                            </w:r>
                          </w:p>
                        </w:tc>
                      </w:tr>
                    </w:tbl>
                    <w:p>
                      <w:pPr>
                        <w:tabs>
                          <w:tab w:val="left" w:pos="567"/>
                        </w:tabs>
                        <w:suppressAutoHyphens/>
                        <w:rPr>
                          <w:rFonts w:eastAsia="Calibri"/>
                          <w:color w:val="000000"/>
                          <w:szCs w:val="24"/>
                          <w:lang w:eastAsia="lt-LT"/>
                        </w:rPr>
                      </w:pPr>
                      <w:r>
                        <w:rPr>
                          <w:color w:val="000000"/>
                          <w:szCs w:val="24"/>
                          <w:lang w:eastAsia="lt-LT"/>
                        </w:rPr>
                        <w:t xml:space="preserve">kitais atvejais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H.WE,m</w:t>
                      </w:r>
                      <w:r>
                        <w:rPr>
                          <w:color w:val="000000"/>
                          <w:szCs w:val="24"/>
                          <w:lang w:eastAsia="lt-LT"/>
                        </w:rPr>
                        <w:t xml:space="preserve"> atitinka skaičiavimo rezultatą, gautą pagal (2.488) formulę;</w:t>
                      </w:r>
                    </w:p>
                    <w:p>
                      <w:pPr>
                        <w:tabs>
                          <w:tab w:val="left" w:pos="567"/>
                          <w:tab w:val="left" w:pos="1650"/>
                        </w:tabs>
                        <w:suppressAutoHyphens/>
                        <w:ind w:firstLine="840"/>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80" w:dyaOrig="1520">
                                <v:shape id="_x0000_i1594" type="#_x0000_t75" style="width:348.65pt;height:76.85pt" o:ole="">
                                  <v:imagedata r:id="rId1379" o:title=""/>
                                </v:shape>
                                <o:OLEObject Type="Embed" ProgID="Equation.3" ShapeID="_x0000_i1594" DrawAspect="Content" ObjectID="_0000000001" r:id="rId1380"/>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(2.492)</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H.WE,m  </w:t>
                      </w:r>
                      <w:r>
                        <w:rPr>
                          <w:color w:val="000000"/>
                          <w:szCs w:val="24"/>
                          <w:lang w:eastAsia="lt-LT"/>
                        </w:rPr>
                        <w:t>apskaičiuojama pagal (2.488)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5640" w:dyaOrig="1080">
                                <v:shape id="_x0000_i1595" type="#_x0000_t75" style="width:283.95pt;height:56.65pt" o:ole="">
                                  <v:imagedata r:id="rId1381" o:title=""/>
                                </v:shape>
                                <o:OLEObject Type="Embed" ProgID="Equation.3" ShapeID="_x0000_i1595" DrawAspect="Content" ObjectID="_0000000001" r:id="rId1382"/>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(2.493)</w:t>
                            </w:r>
                          </w:p>
                        </w:tc>
                      </w:tr>
                    </w:tbl>
                    <w:p>
                      <w:pPr>
                        <w:tabs>
                          <w:tab w:val="left" w:pos="567"/>
                        </w:tabs>
                        <w:suppressAutoHyphens/>
                        <w:rPr>
                          <w:rFonts w:eastAsia="Calibri"/>
                          <w:color w:val="000000"/>
                          <w:szCs w:val="24"/>
                          <w:lang w:eastAsia="lt-LT"/>
                        </w:rPr>
                      </w:pPr>
                      <w:r>
                        <w:rPr>
                          <w:color w:val="000000"/>
                          <w:szCs w:val="24"/>
                          <w:lang w:eastAsia="lt-LT"/>
                        </w:rPr>
                        <w:t>ir pagal (2.493)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700" w:dyaOrig="380">
                                <v:shape id="_x0000_i1596" type="#_x0000_t75" style="width:133.5pt;height:20.2pt" o:ole="">
                                  <v:imagedata r:id="rId1383" o:title=""/>
                                </v:shape>
                                <o:OLEObject Type="Embed" ProgID="Equation.3" ShapeID="_x0000_i1596" DrawAspect="Content" ObjectID="_0000000001" r:id="rId1384"/>
                              </w:object>
                              <w:t xml:space="preserve">, kitais mėnesiais </w:t>
                            </w:r>
                            <w:r>
                              <w:rPr>
                                <w:rFonts w:eastAsia="Calibri"/>
                                <w:color w:val="000000"/>
                                <w:position w:val="-12"/>
                                <w:szCs w:val="24"/>
                                <w:lang w:eastAsia="lt-LT"/>
                              </w:rPr>
                              <w:object w:dxaOrig="1128" w:dyaOrig="384">
                                <v:shape id="_x0000_i1597" type="#_x0000_t75" style="width:55.8pt;height:20.2pt" o:ole="">
                                  <v:imagedata r:id="rId1385" o:title=""/>
                                </v:shape>
                                <o:OLEObject Type="Embed" ProgID="Equation.3" ShapeID="_x0000_i1597" DrawAspect="Content" ObjectID="_0000000001" r:id="rId1386"/>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(2.494)</w:t>
                            </w:r>
                          </w:p>
                        </w:tc>
                      </w:tr>
                    </w:tbl>
                    <w:p>
                      <w:pPr>
                        <w:tabs>
                          <w:tab w:val="left" w:pos="567"/>
                        </w:tabs>
                        <w:suppressAutoHyphens/>
                        <w:rPr>
                          <w:rFonts w:eastAsia="Calibri"/>
                          <w:color w:val="000000"/>
                          <w:szCs w:val="24"/>
                          <w:lang w:eastAsia="lt-LT"/>
                        </w:rPr>
                      </w:pPr>
                      <w:r>
                        <w:rPr>
                          <w:color w:val="000000"/>
                          <w:szCs w:val="24"/>
                          <w:lang w:eastAsia="lt-LT"/>
                        </w:rPr>
                        <w:t>o jei pagal (2.493)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40" w:dyaOrig="1080">
                                <v:shape id="_x0000_i1598" type="#_x0000_t75" style="width:329.25pt;height:56.65pt" o:ole="">
                                  <v:imagedata r:id="rId1387" o:title=""/>
                                </v:shape>
                                <o:OLEObject Type="Embed" ProgID="Equation.3" ShapeID="_x0000_i1598" DrawAspect="Content" ObjectID="_0000000001" r:id="rId1388"/>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28" w:dyaOrig="384">
                                <v:shape id="_x0000_i1599" type="#_x0000_t75" style="width:55.8pt;height:20.2pt" o:ole="">
                                  <v:imagedata r:id="rId1389" o:title=""/>
                                </v:shape>
                                <o:OLEObject Type="Embed" ProgID="Equation.3" ShapeID="_x0000_i1599" DrawAspect="Content" ObjectID="_0000000001" r:id="rId1390"/>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(2.495)</w:t>
                            </w:r>
                          </w:p>
                        </w:tc>
                      </w:tr>
                    </w:tbl>
                    <w:p>
                      <w:pPr>
                        <w:tabs>
                          <w:tab w:val="left" w:pos="567"/>
                        </w:tabs>
                        <w:suppressAutoHyphens/>
                        <w:ind w:left="600"/>
                        <w:rPr>
                          <w:color w:val="000000"/>
                          <w:szCs w:val="24"/>
                          <w:lang w:eastAsia="lt-LT"/>
                        </w:rPr>
                      </w:pPr>
                      <w:r>
                        <w:rPr>
                          <w:color w:val="000000"/>
                          <w:szCs w:val="24"/>
                          <w:lang w:eastAsia="lt-LT"/>
                        </w:rPr>
                        <w:t>(2.489)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vėjo ir hidroelektrinės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56" w:dyaOrig="840">
                                <v:shape id="_x0000_i1600" type="#_x0000_t75" style="width:307.4pt;height:43.7pt" o:ole="">
                                  <v:imagedata r:id="rId1391" o:title=""/>
                                </v:shape>
                                <o:OLEObject Type="Embed" ProgID="Equation.3" ShapeID="_x0000_i1600" DrawAspect="Content" ObjectID="_0000000001" r:id="rId1392"/>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(2.496)</w:t>
                            </w:r>
                          </w:p>
                        </w:tc>
                      </w:tr>
                    </w:tbl>
                    <w:p>
                      <w:pPr>
                        <w:tabs>
                          <w:tab w:val="left" w:pos="567"/>
                          <w:tab w:val="left" w:pos="851"/>
                        </w:tabs>
                        <w:suppressAutoHyphens/>
                        <w:ind w:left="1200" w:hanging="633"/>
                        <w:jc w:val="both"/>
                        <w:rPr>
                          <w:rFonts w:eastAsia="Calibri"/>
                          <w:color w:val="000000"/>
                          <w:szCs w:val="24"/>
                          <w:lang w:eastAsia="lt-LT"/>
                        </w:rPr>
                      </w:pPr>
                      <w:r>
                        <w:rPr>
                          <w:color w:val="000000"/>
                          <w:szCs w:val="24"/>
                          <w:lang w:eastAsia="lt-LT"/>
                        </w:rPr>
                        <w:t>-</w:t>
                        <w:tab/>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264" w:dyaOrig="840">
                                <v:shape id="_x0000_i1601" type="#_x0000_t75" style="width:314.7pt;height:43.7pt" o:ole="">
                                  <v:imagedata r:id="rId1393" o:title=""/>
                                </v:shape>
                                <o:OLEObject Type="Embed" ProgID="Equation.3" ShapeID="_x0000_i1601" DrawAspect="Content" ObjectID="_0000000001" r:id="rId1394"/>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(2.497)</w:t>
                            </w:r>
                          </w:p>
                        </w:tc>
                      </w:tr>
                    </w:tbl>
                    <w:p>
                      <w:pPr>
                        <w:tabs>
                          <w:tab w:val="left" w:pos="567"/>
                        </w:tabs>
                        <w:suppressAutoHyphens/>
                        <w:jc w:val="both"/>
                        <w:rPr>
                          <w:rFonts w:eastAsia="Calibri"/>
                          <w:color w:val="000000"/>
                          <w:szCs w:val="24"/>
                          <w:lang w:eastAsia="lt-LT"/>
                        </w:rPr>
                      </w:pPr>
                      <w:r>
                        <w:rPr>
                          <w:color w:val="000000"/>
                          <w:szCs w:val="24"/>
                          <w:lang w:eastAsia="lt-LT"/>
                        </w:rPr>
                        <w:t>o kitais atvejais skaičiavimo rezultatas atitinka sumą, apskaičiuotą pagal (2.488) ir (2.489)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80" w:dyaOrig="1520">
                                <v:shape id="_x0000_i1602" type="#_x0000_t75" style="width:348.65pt;height:76.85pt" o:ole="">
                                  <v:imagedata r:id="rId1395" o:title=""/>
                                </v:shape>
                                <o:OLEObject Type="Embed" ProgID="Equation.3" ShapeID="_x0000_i1602" DrawAspect="Content" ObjectID="_0000000001" r:id="rId1396"/>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(2.498)</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668" w:dyaOrig="384">
                          <v:shape id="_x0000_i1603" type="#_x0000_t75" style="width:81.7pt;height:20.2pt" o:ole="">
                            <v:imagedata r:id="rId1397" o:title=""/>
                          </v:shape>
                          <o:OLEObject Type="Embed" ProgID="Equation.3" ShapeID="_x0000_i1603" DrawAspect="Content" ObjectID="_0000000001" r:id="rId1398"/>
                        </w:object>
                      </w:r>
                      <w:r>
                        <w:rPr>
                          <w:color w:val="000000"/>
                          <w:szCs w:val="24"/>
                          <w:lang w:eastAsia="lt-LT"/>
                        </w:rPr>
                        <w:t>) apskaičiuojama sumuojant skaičiavimų rezultatus pagal (2.488) ir (2.489)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560" w:dyaOrig="1080">
                                <v:shape id="_x0000_i1604" type="#_x0000_t75" style="width:329.25pt;height:56.65pt" o:ole="">
                                  <v:imagedata r:id="rId1399" o:title=""/>
                                </v:shape>
                                <o:OLEObject Type="Embed" ProgID="Equation.3" ShapeID="_x0000_i1604" DrawAspect="Content" ObjectID="_0000000001" r:id="rId1400"/>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(2.499)</w:t>
                            </w:r>
                          </w:p>
                        </w:tc>
                      </w:tr>
                    </w:tbl>
                    <w:p>
                      <w:pPr>
                        <w:tabs>
                          <w:tab w:val="left" w:pos="567"/>
                        </w:tabs>
                        <w:suppressAutoHyphens/>
                        <w:rPr>
                          <w:rFonts w:eastAsia="Calibri"/>
                          <w:color w:val="000000"/>
                          <w:szCs w:val="24"/>
                          <w:lang w:eastAsia="lt-LT"/>
                        </w:rPr>
                      </w:pPr>
                      <w:r>
                        <w:rPr>
                          <w:color w:val="000000"/>
                          <w:szCs w:val="24"/>
                          <w:lang w:eastAsia="lt-LT"/>
                        </w:rPr>
                        <w:t>ir pagal (2.499)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680" w:dyaOrig="380">
                                <v:shape id="_x0000_i1605" type="#_x0000_t75" style="width:236.2pt;height:20.2pt" o:ole="">
                                  <v:imagedata r:id="rId1401" o:title=""/>
                                </v:shape>
                                <o:OLEObject Type="Embed" ProgID="Equation.3" ShapeID="_x0000_i1605" DrawAspect="Content" ObjectID="_0000000001" r:id="rId1402"/>
                              </w:object>
                              <w:t>, kitais mėnesiais</w:t>
                            </w:r>
                            <w:r>
                              <w:rPr>
                                <w:rFonts w:eastAsia="Calibri"/>
                                <w:color w:val="000000"/>
                                <w:szCs w:val="24"/>
                                <w:lang w:eastAsia="lt-LT"/>
                              </w:rPr>
                              <w:object w:dxaOrig="2040" w:dyaOrig="384">
                                <v:shape id="_x0000_i1606" type="#_x0000_t75" style="width:101.95pt;height:20.2pt" o:ole="">
                                  <v:imagedata r:id="rId1403" o:title=""/>
                                </v:shape>
                                <o:OLEObject Type="Embed" ProgID="Equation.3" ShapeID="_x0000_i1606" DrawAspect="Content" ObjectID="_0000000001" r:id="rId140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(2.500)</w:t>
                            </w:r>
                          </w:p>
                        </w:tc>
                      </w:tr>
                    </w:tbl>
                    <w:p>
                      <w:pPr>
                        <w:tabs>
                          <w:tab w:val="left" w:pos="567"/>
                        </w:tabs>
                        <w:suppressAutoHyphens/>
                        <w:jc w:val="both"/>
                        <w:rPr>
                          <w:rFonts w:eastAsia="Calibri"/>
                          <w:color w:val="000000"/>
                          <w:szCs w:val="24"/>
                          <w:lang w:eastAsia="lt-LT"/>
                        </w:rPr>
                      </w:pPr>
                      <w:r>
                        <w:rPr>
                          <w:color w:val="000000"/>
                          <w:szCs w:val="24"/>
                          <w:lang w:eastAsia="lt-LT"/>
                        </w:rPr>
                        <w:t>o jei pagal (2.499)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4860" w:dyaOrig="1520">
                                <v:shape id="_x0000_i1607" type="#_x0000_t75" style="width:241.1pt;height:76.85pt" o:ole="">
                                  <v:imagedata r:id="rId1405" o:title=""/>
                                </v:shape>
                                <o:OLEObject Type="Embed" ProgID="Equation.3" ShapeID="_x0000_i1607" DrawAspect="Content" ObjectID="_0000000001" r:id="rId1406"/>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kitais mėnesiais</w:t>
                            </w:r>
                            <w:r>
                              <w:rPr>
                                <w:rFonts w:eastAsia="Calibri"/>
                                <w:color w:val="000000"/>
                                <w:szCs w:val="24"/>
                                <w:lang w:eastAsia="lt-LT"/>
                              </w:rPr>
                              <w:object w:dxaOrig="2040" w:dyaOrig="384">
                                <v:shape id="_x0000_i1608" type="#_x0000_t75" style="width:101.95pt;height:20.2pt" o:ole="">
                                  <v:imagedata r:id="rId1407" o:title=""/>
                                </v:shape>
                                <o:OLEObject Type="Embed" ProgID="Equation.3" ShapeID="_x0000_i1608" DrawAspect="Content" ObjectID="_0000000001" r:id="rId1408"/>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(2.501)</w:t>
                            </w:r>
                          </w:p>
                        </w:tc>
                      </w:tr>
                    </w:tbl>
                    <w:p>
                      <w:pPr>
                        <w:tabs>
                          <w:tab w:val="left" w:pos="567"/>
                        </w:tabs>
                        <w:suppressAutoHyphens/>
                        <w:ind w:left="84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636" w:dyaOrig="384">
                                <v:shape id="_x0000_i1609" type="#_x0000_t75" style="width:186.05pt;height:20.2pt" o:ole="">
                                  <v:imagedata r:id="rId1409" o:title=""/>
                                </v:shape>
                                <o:OLEObject Type="Embed" ProgID="Equation.3" ShapeID="_x0000_i1609" DrawAspect="Content" ObjectID="_0000000001" r:id="rId1410"/>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(2.502)</w:t>
                            </w:r>
                          </w:p>
                        </w:tc>
                      </w:tr>
                    </w:tbl>
                    <w:p>
                      <w:pPr>
                        <w:tabs>
                          <w:tab w:val="left" w:pos="567"/>
                        </w:tabs>
                        <w:suppressAutoHyphens/>
                        <w:jc w:val="both"/>
                        <w:rPr>
                          <w:rFonts w:eastAsia="Calibri"/>
                          <w:color w:val="000000"/>
                          <w:szCs w:val="24"/>
                          <w:lang w:eastAsia="lt-LT"/>
                        </w:rPr>
                      </w:pPr>
                      <w:r>
                        <w:rPr>
                          <w:color w:val="000000"/>
                          <w:szCs w:val="24"/>
                          <w:lang w:eastAsia="lt-LT"/>
                        </w:rPr>
                        <w:t>čia:</w:t>
                      </w:r>
                      <w:r>
                        <w:rPr>
                          <w:i/>
                          <w:color w:val="000000"/>
                          <w:szCs w:val="24"/>
                          <w:lang w:eastAsia="lt-LT"/>
                        </w:rPr>
                        <w:tab/>
                        <w:t xml:space="preserve"> Q</w:t>
                      </w:r>
                      <w:r>
                        <w:rPr>
                          <w:i/>
                          <w:color w:val="000000"/>
                          <w:szCs w:val="24"/>
                          <w:vertAlign w:val="subscript"/>
                          <w:lang w:eastAsia="lt-LT"/>
                        </w:rPr>
                        <w:t>H.sum.SK,m</w:t>
                      </w:r>
                      <w:r>
                        <w:rPr>
                          <w:i/>
                          <w:color w:val="000000"/>
                          <w:szCs w:val="24"/>
                          <w:lang w:eastAsia="lt-LT"/>
                        </w:rPr>
                        <w:t>, Q</w:t>
                      </w:r>
                      <w:r>
                        <w:rPr>
                          <w:i/>
                          <w:color w:val="000000"/>
                          <w:szCs w:val="24"/>
                          <w:vertAlign w:val="subscript"/>
                          <w:lang w:eastAsia="lt-LT"/>
                        </w:rPr>
                        <w:t>H.WE,m</w:t>
                      </w:r>
                      <w:r>
                        <w:rPr>
                          <w:color w:val="000000"/>
                          <w:szCs w:val="24"/>
                          <w:lang w:eastAsia="lt-LT"/>
                        </w:rPr>
                        <w:t xml:space="preserve">, </w:t>
                      </w:r>
                      <w:r>
                        <w:rPr>
                          <w:i/>
                          <w:color w:val="000000"/>
                          <w:szCs w:val="24"/>
                          <w:lang w:eastAsia="lt-LT"/>
                        </w:rPr>
                        <w:t>Q</w:t>
                      </w:r>
                      <w:r>
                        <w:rPr>
                          <w:i/>
                          <w:color w:val="000000"/>
                          <w:szCs w:val="24"/>
                          <w:vertAlign w:val="subscript"/>
                          <w:lang w:eastAsia="lt-LT"/>
                        </w:rPr>
                        <w:t>H.HE,m</w:t>
                      </w:r>
                      <w:r>
                        <w:rPr>
                          <w:color w:val="000000"/>
                          <w:szCs w:val="24"/>
                          <w:lang w:eastAsia="lt-LT"/>
                        </w:rPr>
                        <w:t xml:space="preserve">,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xml:space="preserve">,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H.HE,m</w:t>
                      </w:r>
                      <w:r>
                        <w:rPr>
                          <w:color w:val="000000"/>
                          <w:szCs w:val="24"/>
                          <w:lang w:eastAsia="lt-LT"/>
                        </w:rPr>
                        <w:t xml:space="preserve"> – energijos suvartojimas pastatui šildyti atitinkamą </w:t>
                      </w:r>
                      <w:r>
                        <w:rPr>
                          <w:i/>
                          <w:color w:val="000000"/>
                          <w:szCs w:val="24"/>
                          <w:lang w:eastAsia="lt-LT"/>
                        </w:rPr>
                        <w:t>„m“</w:t>
                      </w:r>
                      <w:r>
                        <w:rPr>
                          <w:color w:val="000000"/>
                          <w:szCs w:val="24"/>
                          <w:lang w:eastAsia="lt-LT"/>
                        </w:rPr>
                        <w:t xml:space="preserve"> mėnesį (kWh/(m²·mėn.)). Apskaičiuojama pagal (2.340), (2.381), (2.382), (2.451) ir (2.452) formules;</w:t>
                      </w:r>
                    </w:p>
                    <w:p>
                      <w:pPr>
                        <w:tabs>
                          <w:tab w:val="left" w:pos="567"/>
                        </w:tabs>
                        <w:suppressAutoHyphens/>
                        <w:ind w:firstLine="567"/>
                        <w:jc w:val="both"/>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 xml:space="preserve">H.WE.out,m,x </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vėjo elektrinių grupės pagamintas energijos kiekis pastatui šildyti (kWh/(m²·mėn.)). Apskaičiuojamapagal (2.503) formulę;</w:t>
                      </w:r>
                    </w:p>
                    <w:tbl>
                      <w:tblPr>
                        <w:tblW w:w="5000" w:type="pct"/>
                        <w:jc w:val="center"/>
                        <w:tblLook w:val="01E0" w:firstRow="1" w:lastRow="1" w:firstColumn="1" w:lastColumn="1" w:noHBand="0" w:noVBand="0"/>
                      </w:tblPr>
                      <w:tblGrid>
                        <w:gridCol w:w="8540"/>
                        <w:gridCol w:w="1314"/>
                      </w:tblGrid>
                      <w:tr>
                        <w:trPr>
                          <w:jc w:val="center"/>
                        </w:trPr>
                        <w:tc>
                          <w:tcPr>
                            <w:tcW w:w="8541"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12" w:dyaOrig="1488">
                                <v:shape id="_x0000_i1610" type="#_x0000_t75" style="width:343pt;height:74.45pt" o:ole="">
                                  <v:imagedata r:id="rId1411" o:title=""/>
                                </v:shape>
                                <o:OLEObject Type="Embed" ProgID="Equation.3" ShapeID="_x0000_i1610" DrawAspect="Content" ObjectID="_0000000001" r:id="rId1412"/>
                              </w:object>
                            </w:r>
                          </w:p>
                        </w:tc>
                        <w:tc>
                          <w:tcPr>
                            <w:tcW w:w="1314"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(2.503)</w:t>
                            </w:r>
                          </w:p>
                        </w:tc>
                      </w:tr>
                    </w:tbl>
                    <w:p>
                      <w:pPr>
                        <w:rPr>
                          <w:rFonts w:eastAsia="Calibri"/>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68 p."/>
                <w:tag w:val="part_a4df6d426cc842269e48b62c779e1ab4"/>
                <w:lock w:val="sdtLocked"/>
                <w:richText/>
              </w:sdtPr>
              <w:sdtContent>
                <w:p>
                  <w:pPr>
                    <w:ind w:firstLine="567"/>
                    <w:jc w:val="both"/>
                    <w:rPr>
                      <w:szCs w:val="24"/>
                    </w:rPr>
                  </w:pPr>
                  <w:sdt>
                    <w:sdtPr>
                      <w:alias w:val="Numeris"/>
                      <w:tag w:val="nr_a4df6d426cc842269e48b62c779e1ab4"/>
                      <w:lock w:val="sdtLocked"/>
                      <w:richText/>
                    </w:sdtPr>
                    <w:sdtContent>
                      <w:r>
                        <w:rPr>
                          <w:szCs w:val="24"/>
                        </w:rPr>
                        <w:t>68</w:t>
                      </w:r>
                    </w:sdtContent>
                  </w:sdt>
                  <w:r>
                    <w:rPr>
                      <w:szCs w:val="24"/>
                    </w:rPr>
                    <w:t xml:space="preserve">. Energijos iš vėjo elektrinių ir hidroelektrinių neatsinaujinančios pirminės energijos sąnaudos pastate, kai ši energija naudojama elektros prietaisams, karštam vandeniui ruošti ir pastatui šildyti, apskaičiuojamos taip: </w:t>
                  </w:r>
                </w:p>
                <w:sdt>
                  <w:sdtPr>
                    <w:alias w:val="2 pr. 68.1 pp."/>
                    <w:tag w:val="part_1d2391aed4d74aa6a612244dde065a01"/>
                    <w:lock w:val="sdtLocked"/>
                    <w:richText/>
                  </w:sdtPr>
                  <w:sdtContent>
                    <w:p>
                      <w:pPr>
                        <w:ind w:firstLine="600"/>
                        <w:jc w:val="both"/>
                        <w:rPr>
                          <w:szCs w:val="24"/>
                        </w:rPr>
                      </w:pPr>
                      <w:sdt>
                        <w:sdtPr>
                          <w:alias w:val="Numeris"/>
                          <w:tag w:val="nr_1d2391aed4d74aa6a612244dde065a01"/>
                          <w:lock w:val="sdtLocked"/>
                          <w:richText/>
                        </w:sdtPr>
                        <w:sdtContent>
                          <w:r>
                            <w:rPr>
                              <w:szCs w:val="24"/>
                            </w:rPr>
                            <w:t>68.1</w:t>
                          </w:r>
                        </w:sdtContent>
                      </w:sdt>
                      <w:r>
                        <w:rPr>
                          <w:szCs w:val="24"/>
                        </w:rPr>
                        <w:t xml:space="preserve">. kiekvieną mėnesį </w:t>
                      </w:r>
                      <w:r>
                        <w:rPr>
                          <w:i/>
                          <w:szCs w:val="24"/>
                        </w:rPr>
                        <w:t xml:space="preserve">„m“ </w:t>
                      </w:r>
                      <w:r>
                        <w:rPr>
                          <w:szCs w:val="24"/>
                        </w:rPr>
                        <w:t xml:space="preserve">energijos iš vėjo ir hidroelektrinių neatsinaujinančios pirminės energijos sąnaudos pastato šildomo ploto vienetui </w:t>
                      </w:r>
                      <w:r>
                        <w:rPr>
                          <w:i/>
                          <w:szCs w:val="24"/>
                        </w:rPr>
                        <w:t>Q</w:t>
                      </w:r>
                      <w:r>
                        <w:rPr>
                          <w:i/>
                          <w:szCs w:val="24"/>
                          <w:vertAlign w:val="subscript"/>
                        </w:rPr>
                        <w:t>PRn.(E+hw+H).WE+HE,m</w:t>
                      </w:r>
                      <w:r>
                        <w:rPr>
                          <w:szCs w:val="24"/>
                        </w:rPr>
                        <w:t xml:space="preserve">(kWh/(m²·mėn.)),  kai ši energija naudojama elektros prietaisams, karštam vandeniui ruošti ir pastatui šildyti, apskaičiuojamos taip:</w:t>
                      </w: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spacing w:line="276" w:lineRule="auto"/>
                              <w:jc w:val="center"/>
                              <w:rPr>
                                <w:rFonts w:eastAsia="Calibri"/>
                                <w:color w:val="000000"/>
                                <w:szCs w:val="24"/>
                              </w:rPr>
                            </w:pPr>
                            <w:r>
                              <w:rPr>
                                <w:rFonts w:eastAsia="Calibri"/>
                                <w:color w:val="000000"/>
                                <w:szCs w:val="24"/>
                              </w:rPr>
                              <w:object w:dxaOrig="5630" w:dyaOrig="840">
                                <v:shape id="_x0000_i1611" type="#_x0000_t75" style="width:280.7pt;height:42.05pt" o:ole="">
                                  <v:imagedata r:id="rId1413" o:title=""/>
                                </v:shape>
                                <o:OLEObject Type="Embed" ProgID="Equation.3" ShapeID="_x0000_i1611" DrawAspect="Content" ObjectID="_0000000001" r:id="rId1414"/>
                              </w:object>
                            </w:r>
                          </w:p>
                        </w:tc>
                        <w:tc>
                          <w:tcPr>
                            <w:tcW w:w="1292" w:type="dxa"/>
                            <w:vAlign w:val="center"/>
                            <w:hideMark/>
                          </w:tcPr>
                          <w:p>
                            <w:pPr>
                              <w:spacing w:line="276" w:lineRule="auto"/>
                              <w:jc w:val="right"/>
                              <w:rPr>
                                <w:rFonts w:eastAsia="Calibri"/>
                                <w:color w:val="000000"/>
                                <w:szCs w:val="24"/>
                              </w:rPr>
                            </w:pPr>
                            <w:r>
                              <w:rPr>
                                <w:color w:val="000000"/>
                                <w:szCs w:val="24"/>
                              </w:rPr>
                              <w:t xml:space="preserve">(2.505) </w:t>
                            </w:r>
                          </w:p>
                        </w:tc>
                      </w:tr>
                    </w:tbl>
                    <w:p>
                      <w:pPr>
                        <w:tabs>
                          <w:tab w:val="left" w:pos="567"/>
                        </w:tabs>
                        <w:jc w:val="both"/>
                        <w:rPr>
                          <w:rFonts w:eastAsia="Calibri"/>
                          <w:color w:val="000000"/>
                          <w:szCs w:val="24"/>
                        </w:rPr>
                      </w:pPr>
                      <w:r>
                        <w:rPr>
                          <w:color w:val="000000"/>
                          <w:szCs w:val="24"/>
                        </w:rPr>
                        <w:t xml:space="preserve">čia: </w:t>
                        <w:tab/>
                      </w:r>
                      <w:r>
                        <w:rPr>
                          <w:i/>
                          <w:color w:val="000000"/>
                          <w:szCs w:val="24"/>
                        </w:rPr>
                        <w:t>Q</w:t>
                      </w:r>
                      <w:r>
                        <w:rPr>
                          <w:i/>
                          <w:color w:val="000000"/>
                          <w:szCs w:val="24"/>
                          <w:vertAlign w:val="superscript"/>
                        </w:rPr>
                        <w:t>IV</w:t>
                      </w:r>
                      <w:r>
                        <w:rPr>
                          <w:i/>
                          <w:color w:val="000000"/>
                          <w:szCs w:val="24"/>
                          <w:vertAlign w:val="subscript"/>
                        </w:rPr>
                        <w:t>E.WE,m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E.HE,m</w:t>
                      </w:r>
                      <w:r>
                        <w:rPr>
                          <w:color w:val="000000"/>
                          <w:szCs w:val="24"/>
                        </w:rPr>
                        <w:t xml:space="preserve"> – vėjo ir hidroelektrinių pagaminti energijos kiekiai, sunaudojami elektros prietaisams (kWh/(m²·mėn.)). Apskaičiuojami pagal (2.509) ir (2.510) formules;</w:t>
                      </w:r>
                    </w:p>
                    <w:p>
                      <w:pPr>
                        <w:ind w:firstLine="600"/>
                        <w:jc w:val="both"/>
                        <w:rPr>
                          <w:color w:val="000000"/>
                          <w:szCs w:val="24"/>
                        </w:rPr>
                      </w:pPr>
                      <w:r>
                        <w:rPr>
                          <w:i/>
                          <w:color w:val="000000"/>
                          <w:szCs w:val="24"/>
                        </w:rPr>
                        <w:t>Q</w:t>
                      </w:r>
                      <w:r>
                        <w:rPr>
                          <w:i/>
                          <w:color w:val="000000"/>
                          <w:szCs w:val="24"/>
                          <w:vertAlign w:val="superscript"/>
                        </w:rPr>
                        <w:t>IV</w:t>
                      </w:r>
                      <w:r>
                        <w:rPr>
                          <w:i/>
                          <w:color w:val="000000"/>
                          <w:szCs w:val="24"/>
                          <w:vertAlign w:val="subscript"/>
                        </w:rPr>
                        <w:t>hw.WE,m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 xml:space="preserve">hw.HE,m </w:t>
                      </w:r>
                      <w:r>
                        <w:rPr>
                          <w:color w:val="000000"/>
                          <w:szCs w:val="24"/>
                        </w:rPr>
                        <w:t>– vėjo ir hidroelektrinių pagaminti energijos kiekiai, sunaudojami karštam vandeniui ruošti (kWh/(m²·mėn.)). Apskaičiuojamas pagal (2.524) ir (2.525) formules;</w:t>
                      </w:r>
                    </w:p>
                    <w:p>
                      <w:pPr>
                        <w:ind w:firstLine="600"/>
                        <w:jc w:val="both"/>
                        <w:rPr>
                          <w:color w:val="000000"/>
                          <w:szCs w:val="24"/>
                        </w:rPr>
                      </w:pPr>
                      <w:r>
                        <w:rPr>
                          <w:i/>
                          <w:color w:val="000000"/>
                          <w:szCs w:val="24"/>
                        </w:rPr>
                        <w:t>Q</w:t>
                      </w:r>
                      <w:r>
                        <w:rPr>
                          <w:i/>
                          <w:color w:val="000000"/>
                          <w:szCs w:val="24"/>
                          <w:vertAlign w:val="superscript"/>
                        </w:rPr>
                        <w:t>IV</w:t>
                      </w:r>
                      <w:r>
                        <w:rPr>
                          <w:i/>
                          <w:color w:val="000000"/>
                          <w:szCs w:val="24"/>
                          <w:vertAlign w:val="subscript"/>
                        </w:rPr>
                        <w:t>H.WE,m</w:t>
                      </w:r>
                      <w:r>
                        <w:rPr>
                          <w:color w:val="000000"/>
                          <w:szCs w:val="24"/>
                        </w:rPr>
                        <w:t xml:space="preserve">, </w:t>
                      </w:r>
                      <w:r>
                        <w:rPr>
                          <w:i/>
                          <w:color w:val="000000"/>
                          <w:szCs w:val="24"/>
                        </w:rPr>
                        <w:t>Q</w:t>
                      </w:r>
                      <w:r>
                        <w:rPr>
                          <w:i/>
                          <w:color w:val="000000"/>
                          <w:szCs w:val="24"/>
                          <w:vertAlign w:val="superscript"/>
                        </w:rPr>
                        <w:t>IV</w:t>
                      </w:r>
                      <w:r>
                        <w:rPr>
                          <w:i/>
                          <w:color w:val="000000"/>
                          <w:szCs w:val="24"/>
                          <w:vertAlign w:val="subscript"/>
                        </w:rPr>
                        <w:t xml:space="preserve">H.HE,m </w:t>
                      </w:r>
                      <w:r>
                        <w:rPr>
                          <w:color w:val="000000"/>
                          <w:szCs w:val="24"/>
                        </w:rPr>
                        <w:t>– vėjo ir hidroelektrinių pagaminti energijos kiekiai, sunaudojami pastatui šildyti (kWh/(m²·mėn.)). Apskaičiuojamas pagal (2.541) ir (2.542) formules;</w:t>
                      </w:r>
                    </w:p>
                  </w:sdtContent>
                </w:sdt>
                <w:sdt>
                  <w:sdtPr>
                    <w:alias w:val="2 pr. 68.2 pp."/>
                    <w:tag w:val="part_5a604504d804480f8fe5b372c31aa398"/>
                    <w:lock w:val="sdtLocked"/>
                    <w:richText/>
                  </w:sdtPr>
                  <w:sdtContent>
                    <w:p>
                      <w:pPr>
                        <w:tabs>
                          <w:tab w:val="left" w:pos="567"/>
                        </w:tabs>
                        <w:suppressAutoHyphens/>
                        <w:ind w:firstLine="567"/>
                        <w:jc w:val="both"/>
                        <w:rPr>
                          <w:color w:val="000000"/>
                          <w:szCs w:val="24"/>
                          <w:lang w:eastAsia="lt-LT"/>
                        </w:rPr>
                      </w:pPr>
                      <w:sdt>
                        <w:sdtPr>
                          <w:alias w:val="Numeris"/>
                          <w:tag w:val="nr_5a604504d804480f8fe5b372c31aa398"/>
                          <w:lock w:val="sdtLocked"/>
                          <w:richText/>
                        </w:sdtPr>
                        <w:sdtContent>
                          <w:r>
                            <w:rPr>
                              <w:color w:val="000000"/>
                              <w:szCs w:val="24"/>
                              <w:lang w:eastAsia="lt-LT"/>
                            </w:rPr>
                            <w:t>68.2</w:t>
                          </w:r>
                        </w:sdtContent>
                      </w:sdt>
                      <w:r>
                        <w:rPr>
                          <w:color w:val="000000"/>
                          <w:szCs w:val="24"/>
                          <w:lang w:eastAsia="lt-LT"/>
                        </w:rPr>
                        <w:t xml:space="preserve">. vėjo ir hidroelektrinių pagamintos energijos dalys per atitinkamą mėnesį </w:t>
                      </w:r>
                      <w:r>
                        <w:rPr>
                          <w:i/>
                          <w:color w:val="000000"/>
                          <w:szCs w:val="24"/>
                          <w:lang w:eastAsia="lt-LT"/>
                        </w:rPr>
                        <w:t>„m“</w:t>
                      </w:r>
                      <w:r>
                        <w:rPr>
                          <w:color w:val="000000"/>
                          <w:szCs w:val="24"/>
                          <w:lang w:eastAsia="lt-LT"/>
                        </w:rPr>
                        <w:t xml:space="preserve">, kurios priskiriamos energijos suvartojimui elektros prietaisams </w:t>
                      </w:r>
                      <w:r>
                        <w:rPr>
                          <w:i/>
                          <w:color w:val="000000"/>
                          <w:szCs w:val="24"/>
                          <w:lang w:eastAsia="lt-LT"/>
                        </w:rPr>
                        <w:t>f</w:t>
                      </w:r>
                      <w:r>
                        <w:rPr>
                          <w:i/>
                          <w:color w:val="000000"/>
                          <w:szCs w:val="24"/>
                          <w:vertAlign w:val="superscript"/>
                          <w:lang w:eastAsia="lt-LT"/>
                        </w:rPr>
                        <w:t>.IV</w:t>
                      </w:r>
                      <w:r>
                        <w:rPr>
                          <w:i/>
                          <w:color w:val="000000"/>
                          <w:szCs w:val="24"/>
                          <w:vertAlign w:val="subscript"/>
                          <w:lang w:eastAsia="lt-LT"/>
                        </w:rPr>
                        <w:t>E.WE+HE,m</w:t>
                      </w:r>
                      <w:r>
                        <w:rPr>
                          <w:color w:val="000000"/>
                          <w:szCs w:val="24"/>
                          <w:lang w:eastAsia="lt-LT"/>
                        </w:rPr>
                        <w:t xml:space="preserve"> (vnt. dalis), karštam vandeniui ruošti </w:t>
                      </w:r>
                      <w:r>
                        <w:rPr>
                          <w:i/>
                          <w:color w:val="000000"/>
                          <w:szCs w:val="24"/>
                          <w:lang w:eastAsia="lt-LT"/>
                        </w:rPr>
                        <w:t>f</w:t>
                      </w:r>
                      <w:r>
                        <w:rPr>
                          <w:i/>
                          <w:color w:val="000000"/>
                          <w:szCs w:val="24"/>
                          <w:vertAlign w:val="superscript"/>
                          <w:lang w:eastAsia="lt-LT"/>
                        </w:rPr>
                        <w:t>.IV</w:t>
                      </w:r>
                      <w:r>
                        <w:rPr>
                          <w:i/>
                          <w:color w:val="000000"/>
                          <w:szCs w:val="24"/>
                          <w:vertAlign w:val="subscript"/>
                          <w:lang w:eastAsia="lt-LT"/>
                        </w:rPr>
                        <w:t>hw.WE+HE,m</w:t>
                      </w:r>
                      <w:r>
                        <w:rPr>
                          <w:color w:val="000000"/>
                          <w:szCs w:val="24"/>
                          <w:lang w:eastAsia="lt-LT"/>
                        </w:rPr>
                        <w:t xml:space="preserve"> (vnt. dalis) ir energijos suvartojimui pastatui šildyti</w:t>
                      </w:r>
                      <w:r>
                        <w:rPr>
                          <w:i/>
                          <w:color w:val="000000"/>
                          <w:szCs w:val="24"/>
                          <w:lang w:eastAsia="lt-LT"/>
                        </w:rPr>
                        <w:t xml:space="preserve"> f</w:t>
                      </w:r>
                      <w:r>
                        <w:rPr>
                          <w:i/>
                          <w:color w:val="000000"/>
                          <w:szCs w:val="24"/>
                          <w:vertAlign w:val="superscript"/>
                          <w:lang w:eastAsia="lt-LT"/>
                        </w:rPr>
                        <w:t>.IV</w:t>
                      </w:r>
                      <w:r>
                        <w:rPr>
                          <w:i/>
                          <w:color w:val="000000"/>
                          <w:szCs w:val="24"/>
                          <w:vertAlign w:val="subscript"/>
                          <w:lang w:eastAsia="lt-LT"/>
                        </w:rPr>
                        <w:t>H.WE+HE,m</w:t>
                      </w:r>
                      <w:r>
                        <w:rPr>
                          <w:color w:val="000000"/>
                          <w:szCs w:val="24"/>
                          <w:lang w:eastAsia="lt-LT"/>
                        </w:rPr>
                        <w:t xml:space="preserve"> (vnt. dalis) apskaičiuojamos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0"/>
                        <w:gridCol w:w="944"/>
                      </w:tblGrid>
                      <w:tr>
                        <w:tc>
                          <w:tcPr>
                            <w:tcW w:w="4521" w:type="pct"/>
                            <w:tcBorders>
                              <w:top w:val="nil"/>
                              <w:left w:val="nil"/>
                              <w:bottom w:val="nil"/>
                              <w:right w:val="nil"/>
                            </w:tcBorders>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72" w:dyaOrig="4152">
                                <v:shape id="_x0000_i1612" type="#_x0000_t75" style="width:351.1pt;height:206.3pt" o:ole="">
                                  <v:imagedata r:id="rId1415" o:title=""/>
                                </v:shape>
                                <o:OLEObject Type="Embed" ProgID="Equation.3" ShapeID="_x0000_i1612" DrawAspect="Content" ObjectID="_0000000001" r:id="rId1416"/>
                              </w:object>
                            </w:r>
                          </w:p>
                        </w:tc>
                        <w:tc>
                          <w:tcPr>
                            <w:tcW w:w="479" w:type="pct"/>
                            <w:tcBorders>
                              <w:top w:val="nil"/>
                              <w:left w:val="nil"/>
                              <w:bottom w:val="nil"/>
                              <w:right w:val="nil"/>
                            </w:tcBorders>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(2.506)</w:t>
                            </w:r>
                          </w:p>
                        </w:tc>
                      </w:tr>
                      <w:tr>
                        <w:tc>
                          <w:tcPr>
                            <w:tcW w:w="4521" w:type="pct"/>
                            <w:tcBorders>
                              <w:top w:val="nil"/>
                              <w:left w:val="nil"/>
                              <w:bottom w:val="nil"/>
                              <w:right w:val="nil"/>
                            </w:tcBorders>
                            <w:vAlign w:val="center"/>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228" w:dyaOrig="3720">
                                <v:shape id="_x0000_i1613" type="#_x0000_t75" style="width:310.65pt;height:186.05pt" o:ole="">
                                  <v:imagedata r:id="rId1417" o:title=""/>
                                </v:shape>
                                <o:OLEObject Type="Embed" ProgID="Equation.3" ShapeID="_x0000_i1613" DrawAspect="Content" ObjectID="_0000000001" r:id="rId1418"/>
                              </w:object>
                            </w:r>
                          </w:p>
                          <w:p>
                            <w:pPr>
                              <w:tabs>
                                <w:tab w:val="left" w:pos="567"/>
                              </w:tabs>
                              <w:suppressAutoHyphens/>
                              <w:spacing w:line="276" w:lineRule="auto"/>
                              <w:jc w:val="center"/>
                              <w:rPr>
                                <w:rFonts w:eastAsia="Calibri"/>
                                <w:color w:val="000000"/>
                                <w:szCs w:val="24"/>
                                <w:lang w:eastAsia="lt-LT"/>
                              </w:rPr>
                            </w:pPr>
                          </w:p>
                        </w:tc>
                        <w:tc>
                          <w:tcPr>
                            <w:tcW w:w="479" w:type="pct"/>
                            <w:tcBorders>
                              <w:top w:val="nil"/>
                              <w:left w:val="nil"/>
                              <w:bottom w:val="nil"/>
                              <w:right w:val="nil"/>
                            </w:tcBorders>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(2.507)</w:t>
                            </w:r>
                          </w:p>
                        </w:tc>
                      </w:tr>
                      <w:tr>
                        <w:tc>
                          <w:tcPr>
                            <w:tcW w:w="4521" w:type="pct"/>
                            <w:tcBorders>
                              <w:top w:val="nil"/>
                              <w:left w:val="nil"/>
                              <w:bottom w:val="nil"/>
                              <w:right w:val="nil"/>
                            </w:tcBorders>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588" w:dyaOrig="3732">
                                <v:shape id="_x0000_i1614" type="#_x0000_t75" style="width:330.05pt;height:186.05pt" o:ole="">
                                  <v:imagedata r:id="rId1419" o:title=""/>
                                </v:shape>
                                <o:OLEObject Type="Embed" ProgID="Equation.3" ShapeID="_x0000_i1614" DrawAspect="Content" ObjectID="_0000000001" r:id="rId1420"/>
                              </w:object>
                              <w:t>;</w:t>
                            </w:r>
                          </w:p>
                        </w:tc>
                        <w:tc>
                          <w:tcPr>
                            <w:tcW w:w="479" w:type="pct"/>
                            <w:tcBorders>
                              <w:top w:val="nil"/>
                              <w:left w:val="nil"/>
                              <w:bottom w:val="nil"/>
                              <w:right w:val="nil"/>
                            </w:tcBorders>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(2.508)</w:t>
                            </w:r>
                          </w:p>
                        </w:tc>
                      </w:tr>
                    </w:tbl>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E.eq,m</w:t>
                      </w:r>
                      <w:r>
                        <w:rPr>
                          <w:i/>
                          <w:color w:val="000000"/>
                          <w:szCs w:val="24"/>
                          <w:lang w:eastAsia="lt-LT"/>
                        </w:rPr>
                        <w:t>, Q</w:t>
                      </w:r>
                      <w:r>
                        <w:rPr>
                          <w:i/>
                          <w:color w:val="000000"/>
                          <w:szCs w:val="24"/>
                          <w:vertAlign w:val="subscript"/>
                          <w:lang w:eastAsia="lt-LT"/>
                        </w:rPr>
                        <w:t>E.lg,m</w:t>
                      </w:r>
                      <w:r>
                        <w:rPr>
                          <w:i/>
                          <w:color w:val="000000"/>
                          <w:szCs w:val="24"/>
                          <w:lang w:eastAsia="lt-LT"/>
                        </w:rPr>
                        <w:t>, Q</w:t>
                      </w:r>
                      <w:r>
                        <w:rPr>
                          <w:i/>
                          <w:color w:val="000000"/>
                          <w:szCs w:val="24"/>
                          <w:vertAlign w:val="subscript"/>
                          <w:lang w:eastAsia="lt-LT"/>
                        </w:rPr>
                        <w:t>E.e,m</w:t>
                      </w:r>
                      <w:r>
                        <w:rPr>
                          <w:i/>
                          <w:color w:val="000000"/>
                          <w:szCs w:val="24"/>
                          <w:lang w:eastAsia="lt-LT"/>
                        </w:rPr>
                        <w:t>, Q</w:t>
                      </w:r>
                      <w:r>
                        <w:rPr>
                          <w:i/>
                          <w:color w:val="000000"/>
                          <w:szCs w:val="24"/>
                          <w:vertAlign w:val="subscript"/>
                          <w:lang w:eastAsia="lt-LT"/>
                        </w:rPr>
                        <w:t>E.vent,m</w:t>
                      </w:r>
                      <w:r>
                        <w:rPr>
                          <w:i/>
                          <w:color w:val="000000"/>
                          <w:szCs w:val="24"/>
                          <w:lang w:eastAsia="lt-LT"/>
                        </w:rPr>
                        <w:t>, Q</w:t>
                      </w:r>
                      <w:r>
                        <w:rPr>
                          <w:i/>
                          <w:color w:val="000000"/>
                          <w:szCs w:val="24"/>
                          <w:vertAlign w:val="subscript"/>
                          <w:lang w:eastAsia="lt-LT"/>
                        </w:rPr>
                        <w:t>E.hw.hwSK,m</w:t>
                      </w:r>
                      <w:r>
                        <w:rPr>
                          <w:i/>
                          <w:color w:val="000000"/>
                          <w:szCs w:val="24"/>
                          <w:lang w:eastAsia="lt-LT"/>
                        </w:rPr>
                        <w:t>, Q</w:t>
                      </w:r>
                      <w:r>
                        <w:rPr>
                          <w:i/>
                          <w:color w:val="000000"/>
                          <w:szCs w:val="24"/>
                          <w:vertAlign w:val="subscript"/>
                          <w:lang w:eastAsia="lt-LT"/>
                        </w:rPr>
                        <w:t>E.H.hwSK,m</w:t>
                      </w:r>
                      <w:r>
                        <w:rPr>
                          <w:i/>
                          <w:color w:val="000000"/>
                          <w:szCs w:val="24"/>
                          <w:lang w:eastAsia="lt-LT"/>
                        </w:rPr>
                        <w:t>, Q</w:t>
                      </w:r>
                      <w:r>
                        <w:rPr>
                          <w:i/>
                          <w:color w:val="000000"/>
                          <w:szCs w:val="24"/>
                          <w:vertAlign w:val="subscript"/>
                          <w:lang w:eastAsia="lt-LT"/>
                        </w:rPr>
                        <w:t xml:space="preserve">E.(hw+H).hwSK,m </w:t>
                      </w:r>
                      <w:r>
                        <w:rPr>
                          <w:color w:val="000000"/>
                          <w:szCs w:val="24"/>
                          <w:lang w:eastAsia="lt-LT"/>
                        </w:rPr>
                        <w:t xml:space="preserve">– elektros energijos suvartojimai atitinkamą </w:t>
                      </w:r>
                      <w:r>
                        <w:rPr>
                          <w:i/>
                          <w:color w:val="000000"/>
                          <w:szCs w:val="24"/>
                          <w:lang w:eastAsia="lt-LT"/>
                        </w:rPr>
                        <w:t>„m“</w:t>
                      </w:r>
                      <w:r>
                        <w:rPr>
                          <w:color w:val="000000"/>
                          <w:szCs w:val="24"/>
                          <w:lang w:eastAsia="lt-LT"/>
                        </w:rPr>
                        <w:t xml:space="preserve"> mėnesį (kWh/(m²·mėn.)). Apskaičiuojama pagal (2.128), (2.129), (2.130), (2.242), (2.190), (2.200) ir (2.220) formules;</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E.sum.SK,m</w:t>
                      </w:r>
                      <w:r>
                        <w:rPr>
                          <w:color w:val="000000"/>
                          <w:szCs w:val="24"/>
                          <w:lang w:eastAsia="lt-LT"/>
                        </w:rPr>
                        <w:t xml:space="preserve"> – apskaičiuojama pagal (2.342)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E.WE,m</w:t>
                      </w:r>
                      <w:r>
                        <w:rPr>
                          <w:color w:val="000000"/>
                          <w:szCs w:val="24"/>
                          <w:lang w:eastAsia="lt-LT"/>
                        </w:rPr>
                        <w:t xml:space="preserve"> – apskaičiuojama pagal (2.345)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bscript"/>
                          <w:lang w:eastAsia="lt-LT"/>
                        </w:rPr>
                        <w:t>E.HE,m</w:t>
                      </w:r>
                      <w:r>
                        <w:rPr>
                          <w:color w:val="000000"/>
                          <w:szCs w:val="24"/>
                          <w:lang w:eastAsia="lt-LT"/>
                        </w:rPr>
                        <w:t xml:space="preserve"> – apskaičiuojama pagal (2.346)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E.WE,m</w:t>
                      </w:r>
                      <w:r>
                        <w:rPr>
                          <w:color w:val="000000"/>
                          <w:szCs w:val="24"/>
                          <w:lang w:eastAsia="lt-LT"/>
                        </w:rPr>
                        <w:t xml:space="preserve"> – apskaičiuojama pagal (2.401)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E.HE,m</w:t>
                      </w:r>
                      <w:r>
                        <w:rPr>
                          <w:color w:val="000000"/>
                          <w:szCs w:val="24"/>
                          <w:lang w:eastAsia="lt-LT"/>
                        </w:rPr>
                        <w:t xml:space="preserve"> – apskaičiuojama pagal (2.402)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E.WE,m</w:t>
                      </w:r>
                      <w:r>
                        <w:rPr>
                          <w:color w:val="000000"/>
                          <w:szCs w:val="24"/>
                          <w:lang w:eastAsia="lt-LT"/>
                        </w:rPr>
                        <w:t xml:space="preserve"> – apskaičiuojama pagal (2.436) formulę;</w:t>
                      </w:r>
                    </w:p>
                    <w:p>
                      <w:pPr>
                        <w:tabs>
                          <w:tab w:val="left" w:pos="567"/>
                        </w:tabs>
                        <w:suppressAutoHyphens/>
                        <w:ind w:left="600" w:hanging="33"/>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E.HE,m</w:t>
                      </w:r>
                      <w:r>
                        <w:rPr>
                          <w:color w:val="000000"/>
                          <w:szCs w:val="24"/>
                          <w:lang w:eastAsia="lt-LT"/>
                        </w:rPr>
                        <w:t xml:space="preserve"> – apskaičiuojama pagal (2.437)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H.sum.SK,m</w:t>
                      </w:r>
                      <w:r>
                        <w:rPr>
                          <w:color w:val="000000"/>
                          <w:szCs w:val="24"/>
                          <w:lang w:eastAsia="lt-LT"/>
                        </w:rPr>
                        <w:t xml:space="preserve"> – apskaičiuojama pagal (2.340)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H.WE,m</w:t>
                      </w:r>
                      <w:r>
                        <w:rPr>
                          <w:color w:val="000000"/>
                          <w:szCs w:val="24"/>
                          <w:lang w:eastAsia="lt-LT"/>
                        </w:rPr>
                        <w:t xml:space="preserve"> – apskaičiuojama pagal (2.381)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H.HE,m</w:t>
                      </w:r>
                      <w:r>
                        <w:rPr>
                          <w:color w:val="000000"/>
                          <w:szCs w:val="24"/>
                          <w:lang w:eastAsia="lt-LT"/>
                        </w:rPr>
                        <w:t xml:space="preserve"> – apskaičiuojama pagal (2.382)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xml:space="preserve"> – apskaičiuojama pagal (2.451)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H.HE,m</w:t>
                      </w:r>
                      <w:r>
                        <w:rPr>
                          <w:color w:val="000000"/>
                          <w:szCs w:val="24"/>
                          <w:lang w:eastAsia="lt-LT"/>
                        </w:rPr>
                        <w:t xml:space="preserve"> – apskaičiuojama pagal (2.452)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H.WE,m</w:t>
                      </w:r>
                      <w:r>
                        <w:rPr>
                          <w:color w:val="000000"/>
                          <w:szCs w:val="24"/>
                          <w:lang w:eastAsia="lt-LT"/>
                        </w:rPr>
                        <w:t xml:space="preserve"> – apskaičiuojama pagal (2.488)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H.WE,m</w:t>
                      </w:r>
                      <w:r>
                        <w:rPr>
                          <w:color w:val="000000"/>
                          <w:szCs w:val="24"/>
                          <w:lang w:eastAsia="lt-LT"/>
                        </w:rPr>
                        <w:t xml:space="preserve"> – apskaičiuojama pagal (2.489)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hw.sum.SK,m</w:t>
                      </w:r>
                      <w:r>
                        <w:rPr>
                          <w:color w:val="000000"/>
                          <w:szCs w:val="24"/>
                          <w:lang w:eastAsia="lt-LT"/>
                        </w:rPr>
                        <w:t xml:space="preserve"> – apskaičiuojama pagal (2.338)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hw.WE,m</w:t>
                      </w:r>
                      <w:r>
                        <w:rPr>
                          <w:color w:val="000000"/>
                          <w:szCs w:val="24"/>
                          <w:lang w:eastAsia="lt-LT"/>
                        </w:rPr>
                        <w:t xml:space="preserve"> – apskaičiuojama pagal (2.364)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hw.HE,m</w:t>
                      </w:r>
                      <w:r>
                        <w:rPr>
                          <w:color w:val="000000"/>
                          <w:szCs w:val="24"/>
                          <w:lang w:eastAsia="lt-LT"/>
                        </w:rPr>
                        <w:t xml:space="preserve"> – apskaičiuojama pagal (2.365) formulę;</w:t>
                      </w:r>
                    </w:p>
                    <w:p>
                      <w:pPr>
                        <w:tabs>
                          <w:tab w:val="left" w:pos="567"/>
                        </w:tabs>
                        <w:suppressAutoHyphens/>
                        <w:ind w:left="600"/>
                        <w:rPr>
                          <w:i/>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hw.WE,m</w:t>
                      </w:r>
                      <w:r>
                        <w:rPr>
                          <w:color w:val="000000"/>
                          <w:szCs w:val="24"/>
                          <w:lang w:eastAsia="lt-LT"/>
                        </w:rPr>
                        <w:t xml:space="preserve"> – apskaičiuojama pagal (2.416)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hw.HE,m</w:t>
                      </w:r>
                      <w:r>
                        <w:rPr>
                          <w:color w:val="000000"/>
                          <w:szCs w:val="24"/>
                          <w:lang w:eastAsia="lt-LT"/>
                        </w:rPr>
                        <w:t xml:space="preserve"> – apskaičiuojama pagal (2.417)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hw.WE,m</w:t>
                      </w:r>
                      <w:r>
                        <w:rPr>
                          <w:color w:val="000000"/>
                          <w:szCs w:val="24"/>
                          <w:lang w:eastAsia="lt-LT"/>
                        </w:rPr>
                        <w:t xml:space="preserve"> – apskaičiuojama pagal (2.471)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III</w:t>
                      </w:r>
                      <w:r>
                        <w:rPr>
                          <w:i/>
                          <w:color w:val="000000"/>
                          <w:szCs w:val="24"/>
                          <w:vertAlign w:val="subscript"/>
                          <w:lang w:eastAsia="lt-LT"/>
                        </w:rPr>
                        <w:t>hw.HE,m</w:t>
                      </w:r>
                      <w:r>
                        <w:rPr>
                          <w:color w:val="000000"/>
                          <w:szCs w:val="24"/>
                          <w:lang w:eastAsia="lt-LT"/>
                        </w:rPr>
                        <w:t xml:space="preserve"> – apskaičiuojama pagal (2.472) formulę.</w:t>
                      </w:r>
                    </w:p>
                    <w:p>
                      <w:pPr>
                        <w:tabs>
                          <w:tab w:val="left" w:pos="567"/>
                        </w:tabs>
                        <w:suppressAutoHyphens/>
                        <w:ind w:left="720" w:hanging="720"/>
                        <w:rPr>
                          <w:color w:val="000000"/>
                          <w:szCs w:val="24"/>
                          <w:lang w:eastAsia="lt-LT"/>
                        </w:rPr>
                      </w:pPr>
                    </w:p>
                    <w:tbl>
                      <w:tblPr>
                        <w:tblW w:w="5000" w:type="pct"/>
                        <w:jc w:val="center"/>
                        <w:tblLook w:val="01E0" w:firstRow="1" w:lastRow="1" w:firstColumn="1" w:lastColumn="1" w:noHBand="0" w:noVBand="0"/>
                      </w:tblPr>
                      <w:tblGrid>
                        <w:gridCol w:w="8540"/>
                        <w:gridCol w:w="1314"/>
                      </w:tblGrid>
                      <w:tr>
                        <w:trPr>
                          <w:jc w:val="center"/>
                        </w:trPr>
                        <w:tc>
                          <w:tcPr>
                            <w:tcW w:w="8294"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7524" w:dyaOrig="2148">
                                <v:shape id="_x0000_i1615" type="#_x0000_t75" style="width:380.2pt;height:108.4pt" o:ole="">
                                  <v:imagedata r:id="rId1421" o:title=""/>
                                </v:shape>
                                <o:OLEObject Type="Embed" ProgID="Equation.3" ShapeID="_x0000_i1615" DrawAspect="Content" ObjectID="_0000000001" r:id="rId1422"/>
                              </w:object>
                            </w:r>
                            <w:r>
                              <w:rPr>
                                <w:color w:val="000000"/>
                                <w:szCs w:val="24"/>
                                <w:lang w:eastAsia="lt-LT"/>
                              </w:rPr>
                              <w:t>;</w:t>
                            </w:r>
                          </w:p>
                        </w:tc>
                        <w:tc>
                          <w:tcPr>
                            <w:tcW w:w="1276"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(2.509) </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5508" w:dyaOrig="804">
                                <v:shape id="_x0000_i1616" type="#_x0000_t75" style="width:275.05pt;height:42.05pt" o:ole="">
                                  <v:imagedata r:id="rId1423" o:title=""/>
                                </v:shape>
                                <o:OLEObject Type="Embed" ProgID="Equation.3" ShapeID="_x0000_i1616" DrawAspect="Content" ObjectID="_0000000001" r:id="rId1424"/>
                              </w:object>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(2.510) </w:t>
                            </w:r>
                          </w:p>
                        </w:tc>
                      </w:tr>
                    </w:tbl>
                    <w:p>
                      <w:pPr>
                        <w:tabs>
                          <w:tab w:val="left" w:pos="567"/>
                        </w:tabs>
                        <w:suppressAutoHyphens/>
                        <w:ind w:left="600" w:hanging="600"/>
                        <w:rPr>
                          <w:rFonts w:eastAsia="Calibri"/>
                          <w:color w:val="000000"/>
                          <w:szCs w:val="24"/>
                          <w:lang w:eastAsia="lt-LT"/>
                        </w:rPr>
                      </w:pPr>
                      <w:r>
                        <w:rPr>
                          <w:color w:val="000000"/>
                          <w:szCs w:val="24"/>
                          <w:lang w:eastAsia="lt-LT"/>
                        </w:rPr>
                        <w:t xml:space="preserve">čia: </w:t>
                        <w:tab/>
                        <w:t>(2.509) formulės taikymo sąlygos:</w:t>
                      </w:r>
                    </w:p>
                    <w:p>
                      <w:pPr>
                        <w:tabs>
                          <w:tab w:val="left" w:pos="567"/>
                        </w:tabs>
                        <w:suppressAutoHyphens/>
                        <w:ind w:firstLine="567"/>
                        <w:jc w:val="both"/>
                        <w:rPr>
                          <w:color w:val="000000"/>
                          <w:szCs w:val="24"/>
                          <w:lang w:eastAsia="lt-LT"/>
                        </w:rPr>
                      </w:pPr>
                      <w:r>
                        <w:rPr>
                          <w:color w:val="000000"/>
                          <w:szCs w:val="24"/>
                          <w:lang w:eastAsia="lt-LT"/>
                        </w:rPr>
                        <w:t>- kai pastate nenaudojama iš vėjo elektrinių pagamintos elektros energijos dvipusė apskaita ir kai vėjo elektrinės pagamina daugiau elektros energijos už elektros prietaisų energijos sąnaudas,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660" w:dyaOrig="1212">
                                <v:shape id="_x0000_i1617" type="#_x0000_t75" style="width:332.5pt;height:59.85pt" o:ole="">
                                  <v:imagedata r:id="rId1425" o:title=""/>
                                </v:shape>
                                <o:OLEObject Type="Embed" ProgID="Equation.3" ShapeID="_x0000_i1617" DrawAspect="Content" ObjectID="_0000000001" r:id="rId1426"/>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(2.511)</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636" w:dyaOrig="1212">
                                <v:shape id="_x0000_i1618" type="#_x0000_t75" style="width:330.05pt;height:59.85pt" o:ole="">
                                  <v:imagedata r:id="rId1427" o:title=""/>
                                </v:shape>
                                <o:OLEObject Type="Embed" ProgID="Equation.3" ShapeID="_x0000_i1618" DrawAspect="Content" ObjectID="_0000000001" r:id="rId1428"/>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(2.512)</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gautą pagal (2.509) formulę;</w:t>
                      </w:r>
                    </w:p>
                    <w:p>
                      <w:pPr>
                        <w:tabs>
                          <w:tab w:val="left" w:pos="567"/>
                          <w:tab w:val="left" w:pos="851"/>
                        </w:tabs>
                        <w:suppressAutoHyphens/>
                        <w:ind w:firstLine="567"/>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520" w:dyaOrig="2760">
                                <v:shape id="_x0000_i1619" type="#_x0000_t75" style="width:368.1pt;height:134.3pt" o:ole="">
                                  <v:imagedata r:id="rId1429" o:title=""/>
                                </v:shape>
                                <o:OLEObject Type="Embed" ProgID="Equation.3" ShapeID="_x0000_i1619" DrawAspect="Content" ObjectID="_0000000001" r:id="rId1430"/>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(2.513)</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rFonts w:eastAsia="Calibri"/>
                          <w:color w:val="000000"/>
                          <w:position w:val="-12"/>
                          <w:szCs w:val="24"/>
                          <w:lang w:eastAsia="lt-LT"/>
                        </w:rPr>
                        <w:object w:dxaOrig="732" w:dyaOrig="384">
                          <v:shape id="_x0000_i1620" type="#_x0000_t75" style="width:37.2pt;height:19.4pt" o:ole="">
                            <v:imagedata r:id="rId1431" o:title=""/>
                          </v:shape>
                          <o:OLEObject Type="Embed" ProgID="Equation.3" ShapeID="_x0000_i1620" DrawAspect="Content" ObjectID="_0000000001" r:id="rId1432"/>
                        </w:object>
                      </w:r>
                      <w:r>
                        <w:rPr>
                          <w:color w:val="000000"/>
                          <w:szCs w:val="24"/>
                          <w:lang w:eastAsia="lt-LT"/>
                        </w:rPr>
                        <w:t>apskaičiuojama pagal (2.509)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280" w:dyaOrig="1520">
                                <v:shape id="_x0000_i1621" type="#_x0000_t75" style="width:363.25pt;height:76.05pt" o:ole="">
                                  <v:imagedata r:id="rId1433" o:title=""/>
                                </v:shape>
                                <o:OLEObject Type="Embed" ProgID="Equation.3" ShapeID="_x0000_i1621" DrawAspect="Content" ObjectID="_0000000001" r:id="rId1434"/>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(2.514)</w:t>
                            </w:r>
                          </w:p>
                        </w:tc>
                      </w:tr>
                    </w:tbl>
                    <w:p>
                      <w:pPr>
                        <w:tabs>
                          <w:tab w:val="left" w:pos="567"/>
                        </w:tabs>
                        <w:suppressAutoHyphens/>
                        <w:jc w:val="both"/>
                        <w:rPr>
                          <w:rFonts w:eastAsia="Calibri"/>
                          <w:color w:val="000000"/>
                          <w:szCs w:val="24"/>
                          <w:lang w:eastAsia="lt-LT"/>
                        </w:rPr>
                      </w:pPr>
                      <w:r>
                        <w:rPr>
                          <w:color w:val="000000"/>
                          <w:szCs w:val="24"/>
                          <w:lang w:eastAsia="lt-LT"/>
                        </w:rPr>
                        <w:t>ir pagal (2.514)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position w:val="-12"/>
                                <w:szCs w:val="24"/>
                                <w:lang w:eastAsia="lt-LT"/>
                              </w:rPr>
                              <w:object w:dxaOrig="2700" w:dyaOrig="380">
                                <v:shape id="_x0000_i1622" type="#_x0000_t75" style="width:139.95pt;height:19.4pt" o:ole="">
                                  <v:imagedata r:id="rId1435" o:title=""/>
                                </v:shape>
                                <o:OLEObject Type="Embed" ProgID="Equation.3" ShapeID="_x0000_i1622" DrawAspect="Content" ObjectID="_0000000001" r:id="rId1436"/>
                              </w:object>
                            </w:r>
                            <w:r>
                              <w:rPr>
                                <w:color w:val="000000"/>
                                <w:szCs w:val="24"/>
                                <w:lang w:eastAsia="lt-LT"/>
                              </w:rPr>
                              <w:t xml:space="preserve">, kitais mėnesiais </w:t>
                            </w:r>
                            <w:r>
                              <w:rPr>
                                <w:rFonts w:eastAsia="Calibri"/>
                                <w:color w:val="000000"/>
                                <w:position w:val="-12"/>
                                <w:szCs w:val="24"/>
                                <w:lang w:eastAsia="lt-LT"/>
                              </w:rPr>
                              <w:object w:dxaOrig="1128" w:dyaOrig="384">
                                <v:shape id="_x0000_i1623" type="#_x0000_t75" style="width:55.8pt;height:19.4pt" o:ole="">
                                  <v:imagedata r:id="rId1437" o:title=""/>
                                </v:shape>
                                <o:OLEObject Type="Embed" ProgID="Equation.3" ShapeID="_x0000_i1623" DrawAspect="Content" ObjectID="_0000000001" r:id="rId1438"/>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(2.515)</w:t>
                            </w:r>
                          </w:p>
                        </w:tc>
                      </w:tr>
                    </w:tbl>
                    <w:p>
                      <w:pPr>
                        <w:tabs>
                          <w:tab w:val="left" w:pos="567"/>
                        </w:tabs>
                        <w:suppressAutoHyphens/>
                        <w:rPr>
                          <w:rFonts w:eastAsia="Calibri"/>
                          <w:color w:val="000000"/>
                          <w:szCs w:val="24"/>
                          <w:lang w:eastAsia="lt-LT"/>
                        </w:rPr>
                      </w:pPr>
                      <w:r>
                        <w:rPr>
                          <w:color w:val="000000"/>
                          <w:szCs w:val="24"/>
                          <w:lang w:eastAsia="lt-LT"/>
                        </w:rPr>
                        <w:t>o jei pagal (2.514)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440" w:dyaOrig="1520">
                                <v:shape id="_x0000_i1624" type="#_x0000_t75" style="width:372.15pt;height:76.05pt" o:ole="">
                                  <v:imagedata r:id="rId1439" o:title=""/>
                                </v:shape>
                                <o:OLEObject Type="Embed" ProgID="Equation.3" ShapeID="_x0000_i1624" DrawAspect="Content" ObjectID="_0000000001" r:id="rId1440"/>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28" w:dyaOrig="384">
                                <v:shape id="_x0000_i1625" type="#_x0000_t75" style="width:55.8pt;height:19.4pt" o:ole="">
                                  <v:imagedata r:id="rId1441" o:title=""/>
                                </v:shape>
                                <o:OLEObject Type="Embed" ProgID="Equation.3" ShapeID="_x0000_i1625" DrawAspect="Content" ObjectID="_0000000001" r:id="rId1442"/>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(2.516)</w:t>
                            </w:r>
                          </w:p>
                        </w:tc>
                      </w:tr>
                    </w:tbl>
                    <w:p>
                      <w:pPr>
                        <w:tabs>
                          <w:tab w:val="left" w:pos="567"/>
                        </w:tabs>
                        <w:suppressAutoHyphens/>
                        <w:ind w:left="600" w:firstLine="62"/>
                        <w:rPr>
                          <w:color w:val="000000"/>
                          <w:szCs w:val="24"/>
                          <w:lang w:eastAsia="lt-LT"/>
                        </w:rPr>
                      </w:pPr>
                      <w:r>
                        <w:rPr>
                          <w:color w:val="000000"/>
                          <w:szCs w:val="24"/>
                          <w:lang w:eastAsia="lt-LT"/>
                        </w:rPr>
                        <w:t>(2.510) formulės taikymo sąlygos:</w:t>
                      </w:r>
                    </w:p>
                    <w:p>
                      <w:pPr>
                        <w:tabs>
                          <w:tab w:val="left" w:pos="567"/>
                        </w:tabs>
                        <w:suppressAutoHyphens/>
                        <w:ind w:firstLine="567"/>
                        <w:jc w:val="both"/>
                        <w:rPr>
                          <w:color w:val="000000"/>
                          <w:szCs w:val="24"/>
                          <w:lang w:eastAsia="lt-LT"/>
                        </w:rPr>
                      </w:pPr>
                      <w:r>
                        <w:rPr>
                          <w:color w:val="000000"/>
                          <w:szCs w:val="24"/>
                          <w:lang w:eastAsia="lt-LT"/>
                        </w:rPr>
                        <w:t>- kai pastate nenaudojama iš vėjo elektrinių ir hidroelektrinių pagamintos elektros energijos dvipusė apskaita ir kai vėjo ir hidroelektrinės pagamina daugiau elektros energijos už elektros prietaisų energijos sąnaudas,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480" w:dyaOrig="1236">
                                <v:shape id="_x0000_i1626" type="#_x0000_t75" style="width:326pt;height:62.3pt" o:ole="">
                                  <v:imagedata r:id="rId1443" o:title=""/>
                                </v:shape>
                                <o:OLEObject Type="Embed" ProgID="Equation.3" ShapeID="_x0000_i1626" DrawAspect="Content" ObjectID="_0000000001" r:id="rId1444"/>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(2.517)</w:t>
                            </w:r>
                          </w:p>
                        </w:tc>
                      </w:tr>
                    </w:tbl>
                    <w:p>
                      <w:pPr>
                        <w:tabs>
                          <w:tab w:val="left" w:pos="567"/>
                        </w:tabs>
                        <w:suppressAutoHyphens/>
                        <w:ind w:left="840"/>
                        <w:rPr>
                          <w:rFonts w:eastAsia="Calibri"/>
                          <w:color w:val="000000"/>
                          <w:szCs w:val="24"/>
                          <w:lang w:eastAsia="lt-LT"/>
                        </w:rPr>
                      </w:pPr>
                      <w:r>
                        <w:rPr>
                          <w:color w:val="000000"/>
                          <w:szCs w:val="24"/>
                          <w:lang w:eastAsia="lt-LT"/>
                        </w:rPr>
                        <w:t>tai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480" w:dyaOrig="1236">
                                <v:shape id="_x0000_i1627" type="#_x0000_t75" style="width:326pt;height:62.3pt" o:ole="">
                                  <v:imagedata r:id="rId1445" o:title=""/>
                                </v:shape>
                                <o:OLEObject Type="Embed" ProgID="Equation.3" ShapeID="_x0000_i1627" DrawAspect="Content" ObjectID="_0000000001" r:id="rId1446"/>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(2.518)</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sumą, apskaičiuotą pagal (2.509) ir (2.510)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560" w:dyaOrig="2760">
                                <v:shape id="_x0000_i1628" type="#_x0000_t75" style="width:381.05pt;height:138.35pt" o:ole="">
                                  <v:imagedata r:id="rId1447" o:title=""/>
                                </v:shape>
                                <o:OLEObject Type="Embed" ProgID="Equation.3" ShapeID="_x0000_i1628" DrawAspect="Content" ObjectID="_0000000001" r:id="rId1448"/>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(2.519)</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656" w:dyaOrig="384">
                          <v:shape id="_x0000_i1629" type="#_x0000_t75" style="width:82.5pt;height:19.4pt" o:ole="">
                            <v:imagedata r:id="rId1449" o:title=""/>
                          </v:shape>
                          <o:OLEObject Type="Embed" ProgID="Equation.3" ShapeID="_x0000_i1629" DrawAspect="Content" ObjectID="_0000000001" r:id="rId1450"/>
                        </w:object>
                      </w:r>
                      <w:r>
                        <w:rPr>
                          <w:color w:val="000000"/>
                          <w:szCs w:val="24"/>
                          <w:lang w:eastAsia="lt-LT"/>
                        </w:rPr>
                        <w:t>) apskaičiuojama sumuojant skaičiavimų rezultatus pagal (2.509) ir (2.510)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ind w:left="426"/>
                              <w:jc w:val="center"/>
                              <w:rPr>
                                <w:rFonts w:eastAsia="Calibri"/>
                                <w:color w:val="000000"/>
                                <w:szCs w:val="24"/>
                                <w:lang w:eastAsia="lt-LT"/>
                              </w:rPr>
                            </w:pPr>
                            <w:r>
                              <w:rPr>
                                <w:szCs w:val="24"/>
                                <w:lang w:eastAsia="lt-LT"/>
                              </w:rPr>
                              <w:object w:dxaOrig="7740" w:dyaOrig="1520">
                                <v:shape id="_x0000_i1630" type="#_x0000_t75" style="width:392.35pt;height:76.05pt" o:ole="">
                                  <v:imagedata r:id="rId1451" o:title=""/>
                                </v:shape>
                                <o:OLEObject Type="Embed" ProgID="Equation.3" ShapeID="_x0000_i1630" DrawAspect="Content" ObjectID="_0000000001" r:id="rId1452"/>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(2.520)</w:t>
                            </w:r>
                          </w:p>
                        </w:tc>
                      </w:tr>
                    </w:tbl>
                    <w:p>
                      <w:pPr>
                        <w:tabs>
                          <w:tab w:val="left" w:pos="567"/>
                        </w:tabs>
                        <w:suppressAutoHyphens/>
                        <w:jc w:val="both"/>
                        <w:rPr>
                          <w:rFonts w:eastAsia="Calibri"/>
                          <w:color w:val="000000"/>
                          <w:szCs w:val="24"/>
                          <w:lang w:eastAsia="lt-LT"/>
                        </w:rPr>
                      </w:pPr>
                      <w:r>
                        <w:rPr>
                          <w:color w:val="000000"/>
                          <w:szCs w:val="24"/>
                          <w:lang w:eastAsia="lt-LT"/>
                        </w:rPr>
                        <w:t>ir pagal (2.520)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640" w:dyaOrig="380">
                                <v:shape id="_x0000_i1631" type="#_x0000_t75" style="width:238.65pt;height:19.4pt" o:ole="">
                                  <v:imagedata r:id="rId1453" o:title=""/>
                                </v:shape>
                                <o:OLEObject Type="Embed" ProgID="Equation.3" ShapeID="_x0000_i1631" DrawAspect="Content" ObjectID="_0000000001" r:id="rId1454"/>
                              </w:object>
                              <w:t xml:space="preserve">, kitais mėnesiais </w:t>
                            </w:r>
                            <w:r>
                              <w:rPr>
                                <w:rFonts w:eastAsia="Calibri"/>
                                <w:color w:val="000000"/>
                                <w:position w:val="-12"/>
                                <w:szCs w:val="24"/>
                                <w:lang w:eastAsia="lt-LT"/>
                              </w:rPr>
                              <w:object w:dxaOrig="1956" w:dyaOrig="384">
                                <v:shape id="_x0000_i1632" type="#_x0000_t75" style="width:97.1pt;height:19.4pt" o:ole="">
                                  <v:imagedata r:id="rId1455" o:title=""/>
                                </v:shape>
                                <o:OLEObject Type="Embed" ProgID="Equation.3" ShapeID="_x0000_i1632" DrawAspect="Content" ObjectID="_0000000001" r:id="rId1456"/>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(2.521)</w:t>
                            </w:r>
                          </w:p>
                        </w:tc>
                      </w:tr>
                    </w:tbl>
                    <w:p>
                      <w:pPr>
                        <w:tabs>
                          <w:tab w:val="left" w:pos="567"/>
                        </w:tabs>
                        <w:suppressAutoHyphens/>
                        <w:jc w:val="both"/>
                        <w:rPr>
                          <w:rFonts w:eastAsia="Calibri"/>
                          <w:color w:val="000000"/>
                          <w:szCs w:val="24"/>
                          <w:lang w:eastAsia="lt-LT"/>
                        </w:rPr>
                      </w:pPr>
                      <w:r>
                        <w:rPr>
                          <w:color w:val="000000"/>
                          <w:szCs w:val="24"/>
                          <w:lang w:eastAsia="lt-LT"/>
                        </w:rPr>
                        <w:t>o jei pagal (2.520)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400" w:dyaOrig="1960">
                                <v:shape id="_x0000_i1633" type="#_x0000_t75" style="width:368.9pt;height:97.1pt" o:ole="">
                                  <v:imagedata r:id="rId1457" o:title=""/>
                                </v:shape>
                                <o:OLEObject Type="Embed" ProgID="Equation.3" ShapeID="_x0000_i1633" DrawAspect="Content" ObjectID="_0000000001" r:id="rId1458"/>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956" w:dyaOrig="384">
                                <v:shape id="_x0000_i1634" type="#_x0000_t75" style="width:97.1pt;height:19.4pt" o:ole="">
                                  <v:imagedata r:id="rId1459" o:title=""/>
                                </v:shape>
                                <o:OLEObject Type="Embed" ProgID="Equation.3" ShapeID="_x0000_i1634" DrawAspect="Content" ObjectID="_0000000001" r:id="rId1460"/>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(2.522)</w:t>
                            </w:r>
                          </w:p>
                        </w:tc>
                      </w:tr>
                    </w:tbl>
                    <w:p>
                      <w:pPr>
                        <w:tabs>
                          <w:tab w:val="left" w:pos="567"/>
                        </w:tabs>
                        <w:suppressAutoHyphens/>
                        <w:ind w:left="840"/>
                        <w:rPr>
                          <w:color w:val="000000"/>
                          <w:szCs w:val="24"/>
                          <w:lang w:eastAsia="lt-LT"/>
                        </w:rPr>
                      </w:pP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E.HE,m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504" w:dyaOrig="384">
                                <v:shape id="_x0000_i1635" type="#_x0000_t75" style="width:173.95pt;height:19.4pt" o:ole="">
                                  <v:imagedata r:id="rId1461" o:title=""/>
                                </v:shape>
                                <o:OLEObject Type="Embed" ProgID="Equation.3" ShapeID="_x0000_i1635" DrawAspect="Content" ObjectID="_0000000001" r:id="rId1462"/>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(2.523)</w:t>
                            </w:r>
                          </w:p>
                        </w:tc>
                      </w:tr>
                    </w:tbl>
                    <w:p>
                      <w:pPr>
                        <w:tabs>
                          <w:tab w:val="left" w:pos="567"/>
                        </w:tabs>
                        <w:suppressAutoHyphens/>
                        <w:rPr>
                          <w:rFonts w:eastAsia="Calibri"/>
                          <w:color w:val="000000"/>
                          <w:szCs w:val="24"/>
                          <w:lang w:eastAsia="lt-LT"/>
                        </w:rPr>
                      </w:pP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80" w:dyaOrig="680">
                                <v:shape id="_x0000_i1636" type="#_x0000_t75" style="width:124.6pt;height:34.8pt" o:ole="">
                                  <v:imagedata r:id="rId1463" o:title=""/>
                                </v:shape>
                                <o:OLEObject Type="Embed" ProgID="Equation.3" ShapeID="_x0000_i1636" DrawAspect="Content" ObjectID="_0000000001" r:id="rId1464"/>
                              </w:object>
                              <w:t>;</w:t>
                            </w:r>
                          </w:p>
                        </w:tc>
                        <w:tc>
                          <w:tcPr>
                            <w:tcW w:w="1062" w:type="dxa"/>
                            <w:vAlign w:val="center"/>
                            <w:hideMark/>
                          </w:tcPr>
                          <w:p>
                            <w:pPr>
                              <w:tabs>
                                <w:tab w:val="left" w:pos="567"/>
                              </w:tabs>
                              <w:suppressAutoHyphens/>
                              <w:spacing w:line="276" w:lineRule="auto"/>
                              <w:jc w:val="right"/>
                              <w:rPr>
                                <w:color w:val="000000"/>
                                <w:szCs w:val="24"/>
                                <w:lang w:eastAsia="lt-LT"/>
                              </w:rPr>
                            </w:pPr>
                            <w:r>
                              <w:rPr>
                                <w:color w:val="000000"/>
                                <w:szCs w:val="24"/>
                                <w:lang w:eastAsia="lt-LT"/>
                              </w:rPr>
                              <w:t>(2.524)</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712" w:dyaOrig="804">
                                <v:shape id="_x0000_i1637" type="#_x0000_t75" style="width:285.55pt;height:42.05pt" o:ole="">
                                  <v:imagedata r:id="rId1465" o:title=""/>
                                </v:shape>
                                <o:OLEObject Type="Embed" ProgID="Equation.3" ShapeID="_x0000_i1637" DrawAspect="Content" ObjectID="_0000000001" r:id="rId1466"/>
                              </w:object>
                            </w:r>
                            <w:r>
                              <w:rPr>
                                <w:color w:val="000000"/>
                                <w:szCs w:val="24"/>
                                <w:lang w:eastAsia="lt-LT"/>
                              </w:rPr>
                              <w:t>;</w:t>
                            </w:r>
                          </w:p>
                        </w:tc>
                        <w:tc>
                          <w:tcPr>
                            <w:tcW w:w="1292" w:type="dxa"/>
                            <w:vAlign w:val="center"/>
                            <w:hideMark/>
                          </w:tcPr>
                          <w:p>
                            <w:pPr>
                              <w:tabs>
                                <w:tab w:val="left" w:pos="567"/>
                              </w:tabs>
                              <w:suppressAutoHyphens/>
                              <w:spacing w:line="276" w:lineRule="auto"/>
                              <w:ind w:firstLine="186"/>
                              <w:jc w:val="center"/>
                              <w:rPr>
                                <w:rFonts w:eastAsia="Calibri"/>
                                <w:color w:val="000000"/>
                                <w:szCs w:val="24"/>
                                <w:lang w:eastAsia="lt-LT"/>
                              </w:rPr>
                            </w:pPr>
                            <w:r>
                              <w:rPr>
                                <w:color w:val="000000"/>
                                <w:szCs w:val="24"/>
                                <w:lang w:eastAsia="lt-LT"/>
                              </w:rPr>
                              <w:t xml:space="preserve">(2.525) </w:t>
                            </w:r>
                          </w:p>
                        </w:tc>
                      </w:tr>
                    </w:tbl>
                    <w:p>
                      <w:pPr>
                        <w:tabs>
                          <w:tab w:val="left" w:pos="567"/>
                        </w:tabs>
                        <w:suppressAutoHyphens/>
                        <w:jc w:val="both"/>
                        <w:rPr>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hw.WE.out,m,x </w:t>
                      </w:r>
                      <w:r>
                        <w:rPr>
                          <w:color w:val="000000"/>
                          <w:szCs w:val="24"/>
                          <w:lang w:eastAsia="lt-LT"/>
                        </w:rPr>
                        <w:t xml:space="preserve">– atitinkamos </w:t>
                      </w:r>
                      <w:r>
                        <w:rPr>
                          <w:i/>
                          <w:color w:val="000000"/>
                          <w:szCs w:val="24"/>
                          <w:lang w:eastAsia="lt-LT"/>
                        </w:rPr>
                        <w:t>„x“</w:t>
                      </w:r>
                      <w:r>
                        <w:rPr>
                          <w:color w:val="000000"/>
                          <w:szCs w:val="24"/>
                          <w:lang w:eastAsia="lt-LT"/>
                        </w:rPr>
                        <w:t xml:space="preserve"> vėjo elektrinių grupės pagamintas energijos kiekis karštam vandeniui ruošti atitinkamą </w:t>
                      </w:r>
                      <w:r>
                        <w:rPr>
                          <w:i/>
                          <w:color w:val="000000"/>
                          <w:szCs w:val="24"/>
                          <w:lang w:eastAsia="lt-LT"/>
                        </w:rPr>
                        <w:t>„m“</w:t>
                      </w:r>
                      <w:r>
                        <w:rPr>
                          <w:color w:val="000000"/>
                          <w:szCs w:val="24"/>
                          <w:lang w:eastAsia="lt-LT"/>
                        </w:rPr>
                        <w:t xml:space="preserve"> mėnesį (kWh/(m²·mėn.)). Apskaičiuojama pagal (2.539) formulę;</w:t>
                      </w:r>
                    </w:p>
                    <w:p>
                      <w:pPr>
                        <w:tabs>
                          <w:tab w:val="left" w:pos="567"/>
                        </w:tabs>
                        <w:suppressAutoHyphens/>
                        <w:ind w:left="600"/>
                        <w:rPr>
                          <w:color w:val="000000"/>
                          <w:szCs w:val="24"/>
                          <w:lang w:eastAsia="lt-LT"/>
                        </w:rPr>
                      </w:pPr>
                      <w:r>
                        <w:rPr>
                          <w:color w:val="000000"/>
                          <w:szCs w:val="24"/>
                          <w:lang w:eastAsia="lt-LT"/>
                        </w:rPr>
                        <w:t>(2.524)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energijos už energijos poreikį karštam vandeniui ruošti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412" w:dyaOrig="816">
                                <v:shape id="_x0000_i1638" type="#_x0000_t75" style="width:270.2pt;height:43.7pt" o:ole="">
                                  <v:imagedata r:id="rId1467" o:title=""/>
                                </v:shape>
                                <o:OLEObject Type="Embed" ProgID="Equation.3" ShapeID="_x0000_i1638" DrawAspect="Content" ObjectID="_0000000001" r:id="rId1468"/>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(2.526)</w:t>
                            </w:r>
                          </w:p>
                        </w:tc>
                      </w:tr>
                    </w:tbl>
                    <w:p>
                      <w:pPr>
                        <w:tabs>
                          <w:tab w:val="left" w:pos="567"/>
                        </w:tabs>
                        <w:suppressAutoHyphens/>
                        <w:ind w:left="840"/>
                        <w:rPr>
                          <w:rFonts w:eastAsia="Calibri"/>
                          <w:color w:val="000000"/>
                          <w:szCs w:val="24"/>
                          <w:lang w:eastAsia="lt-LT"/>
                        </w:rPr>
                      </w:pPr>
                      <w:r>
                        <w:rPr>
                          <w:color w:val="000000"/>
                          <w:szCs w:val="24"/>
                          <w:lang w:eastAsia="lt-LT"/>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412" w:dyaOrig="816">
                                <v:shape id="_x0000_i1639" type="#_x0000_t75" style="width:270.2pt;height:43.7pt" o:ole="">
                                  <v:imagedata r:id="rId1469" o:title=""/>
                                </v:shape>
                                <o:OLEObject Type="Embed" ProgID="Equation.3" ShapeID="_x0000_i1639" DrawAspect="Content" ObjectID="_0000000001" r:id="rId1470"/>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(2.527)</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gautąpagal (2.524) formulę;</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820" w:dyaOrig="1920">
                                <v:shape id="_x0000_i1640" type="#_x0000_t75" style="width:338.95pt;height:97.1pt" o:ole="">
                                  <v:imagedata r:id="rId1471" o:title=""/>
                                </v:shape>
                                <o:OLEObject Type="Embed" ProgID="Equation.3" ShapeID="_x0000_i1640" DrawAspect="Content" ObjectID="_0000000001" r:id="rId1472"/>
                              </w:object>
                            </w:r>
                            <w:r>
                              <w:rPr>
                                <w:color w:val="000000"/>
                                <w:szCs w:val="24"/>
                                <w:lang w:eastAsia="lt-LT"/>
                              </w:rPr>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(2.528)</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rFonts w:eastAsia="Calibri"/>
                          <w:color w:val="000000"/>
                          <w:position w:val="-12"/>
                          <w:szCs w:val="24"/>
                          <w:lang w:eastAsia="lt-LT"/>
                        </w:rPr>
                        <w:object w:dxaOrig="828" w:dyaOrig="384">
                          <v:shape id="_x0000_i1641" type="#_x0000_t75" style="width:43.7pt;height:19.4pt" o:ole="">
                            <v:imagedata r:id="rId1473" o:title=""/>
                          </v:shape>
                          <o:OLEObject Type="Embed" ProgID="Equation.3" ShapeID="_x0000_i1641" DrawAspect="Content" ObjectID="_0000000001" r:id="rId1474"/>
                        </w:object>
                      </w:r>
                      <w:r>
                        <w:rPr>
                          <w:color w:val="000000"/>
                          <w:szCs w:val="24"/>
                          <w:lang w:eastAsia="lt-LT"/>
                        </w:rPr>
                        <w:t>apskaičiuojama pagal (2.524)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79" w:dyaOrig="1080">
                                <v:shape id="_x0000_i1642" type="#_x0000_t75" style="width:342.2pt;height:56.65pt" o:ole="">
                                  <v:imagedata r:id="rId1475" o:title=""/>
                                </v:shape>
                                <o:OLEObject Type="Embed" ProgID="Equation.3" ShapeID="_x0000_i1642" DrawAspect="Content" ObjectID="_0000000001" r:id="rId1476"/>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(2.529)</w:t>
                            </w:r>
                          </w:p>
                        </w:tc>
                      </w:tr>
                    </w:tbl>
                    <w:p>
                      <w:pPr>
                        <w:tabs>
                          <w:tab w:val="left" w:pos="567"/>
                        </w:tabs>
                        <w:suppressAutoHyphens/>
                        <w:rPr>
                          <w:rFonts w:eastAsia="Calibri"/>
                          <w:color w:val="000000"/>
                          <w:szCs w:val="24"/>
                          <w:lang w:eastAsia="lt-LT"/>
                        </w:rPr>
                      </w:pPr>
                      <w:r>
                        <w:rPr>
                          <w:color w:val="000000"/>
                          <w:szCs w:val="24"/>
                          <w:lang w:eastAsia="lt-LT"/>
                        </w:rPr>
                        <w:t>ir pagal (2.529)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2860" w:dyaOrig="380">
                                <v:shape id="_x0000_i1643" type="#_x0000_t75" style="width:2in;height:19.4pt" o:ole="">
                                  <v:imagedata r:id="rId1477" o:title=""/>
                                </v:shape>
                                <o:OLEObject Type="Embed" ProgID="Equation.3" ShapeID="_x0000_i1643" DrawAspect="Content" ObjectID="_0000000001" r:id="rId1478"/>
                              </w:object>
                              <w:t xml:space="preserve">, kitais mėnesiais </w:t>
                            </w:r>
                            <w:r>
                              <w:rPr>
                                <w:rFonts w:eastAsia="Calibri"/>
                                <w:color w:val="000000"/>
                                <w:position w:val="-12"/>
                                <w:szCs w:val="24"/>
                                <w:lang w:eastAsia="lt-LT"/>
                              </w:rPr>
                              <w:object w:dxaOrig="1212" w:dyaOrig="384">
                                <v:shape id="_x0000_i1644" type="#_x0000_t75" style="width:59.85pt;height:19.4pt" o:ole="">
                                  <v:imagedata r:id="rId1479" o:title=""/>
                                </v:shape>
                                <o:OLEObject Type="Embed" ProgID="Equation.3" ShapeID="_x0000_i1644" DrawAspect="Content" ObjectID="_0000000001" r:id="rId1480"/>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(2.530)</w:t>
                            </w:r>
                          </w:p>
                        </w:tc>
                      </w:tr>
                    </w:tbl>
                    <w:p>
                      <w:pPr>
                        <w:tabs>
                          <w:tab w:val="left" w:pos="567"/>
                        </w:tabs>
                        <w:suppressAutoHyphens/>
                        <w:rPr>
                          <w:rFonts w:eastAsia="Calibri"/>
                          <w:color w:val="000000"/>
                          <w:szCs w:val="24"/>
                          <w:lang w:eastAsia="lt-LT"/>
                        </w:rPr>
                      </w:pPr>
                      <w:r>
                        <w:rPr>
                          <w:color w:val="000000"/>
                          <w:szCs w:val="24"/>
                          <w:lang w:eastAsia="lt-LT"/>
                        </w:rPr>
                        <w:t>o jei pagal (2.529)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720" w:dyaOrig="1080">
                                <v:shape id="_x0000_i1645" type="#_x0000_t75" style="width:335.75pt;height:56.65pt" o:ole="">
                                  <v:imagedata r:id="rId1481" o:title=""/>
                                </v:shape>
                                <o:OLEObject Type="Embed" ProgID="Equation.3" ShapeID="_x0000_i1645" DrawAspect="Content" ObjectID="_0000000001" r:id="rId1482"/>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52" w:dyaOrig="348">
                                <v:shape id="_x0000_i1646" type="#_x0000_t75" style="width:57.45pt;height:16.2pt" o:ole="">
                                  <v:imagedata r:id="rId1483" o:title=""/>
                                </v:shape>
                                <o:OLEObject Type="Embed" ProgID="Equation.3" ShapeID="_x0000_i1646" DrawAspect="Content" ObjectID="_0000000001" r:id="rId1484"/>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(2.531)</w:t>
                            </w:r>
                          </w:p>
                        </w:tc>
                      </w:tr>
                    </w:tbl>
                    <w:p>
                      <w:pPr>
                        <w:tabs>
                          <w:tab w:val="left" w:pos="567"/>
                        </w:tabs>
                        <w:suppressAutoHyphens/>
                        <w:ind w:left="600"/>
                        <w:rPr>
                          <w:color w:val="000000"/>
                          <w:szCs w:val="24"/>
                          <w:lang w:eastAsia="lt-LT"/>
                        </w:rPr>
                      </w:pPr>
                      <w:r>
                        <w:rPr>
                          <w:color w:val="000000"/>
                          <w:szCs w:val="24"/>
                          <w:lang w:eastAsia="lt-LT"/>
                        </w:rPr>
                        <w:t>(2.525)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vėjo ir hidroelektrinės pagamina daugiau energijos už energijos poreikį karštam vandeniui ruošti pastate,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44" w:dyaOrig="816">
                                <v:shape id="_x0000_i1647" type="#_x0000_t75" style="width:308.2pt;height:43.7pt" o:ole="">
                                  <v:imagedata r:id="rId1485" o:title=""/>
                                </v:shape>
                                <o:OLEObject Type="Embed" ProgID="Equation.3" ShapeID="_x0000_i1647" DrawAspect="Content" ObjectID="_0000000001" r:id="rId1486"/>
                              </w:object>
                            </w:r>
                          </w:p>
                        </w:tc>
                        <w:tc>
                          <w:tcPr>
                            <w:tcW w:w="1062" w:type="dxa"/>
                            <w:vAlign w:val="center"/>
                            <w:hideMark/>
                          </w:tcPr>
                          <w:p>
                            <w:pPr>
                              <w:tabs>
                                <w:tab w:val="left" w:pos="567"/>
                              </w:tabs>
                              <w:suppressAutoHyphens/>
                              <w:spacing w:line="276" w:lineRule="auto"/>
                              <w:ind w:firstLine="124"/>
                              <w:jc w:val="right"/>
                              <w:rPr>
                                <w:rFonts w:eastAsia="Calibri"/>
                                <w:color w:val="000000"/>
                                <w:szCs w:val="24"/>
                                <w:lang w:eastAsia="lt-LT"/>
                              </w:rPr>
                            </w:pPr>
                            <w:r>
                              <w:rPr>
                                <w:color w:val="000000"/>
                                <w:szCs w:val="24"/>
                                <w:lang w:eastAsia="lt-LT"/>
                              </w:rPr>
                              <w:t>(2.532)</w:t>
                            </w:r>
                          </w:p>
                        </w:tc>
                      </w:tr>
                    </w:tbl>
                    <w:p>
                      <w:pPr>
                        <w:tabs>
                          <w:tab w:val="left" w:pos="567"/>
                          <w:tab w:val="left" w:pos="1200"/>
                        </w:tabs>
                        <w:suppressAutoHyphens/>
                        <w:ind w:left="1200" w:hanging="360"/>
                        <w:jc w:val="both"/>
                        <w:rPr>
                          <w:rFonts w:eastAsia="Calibri"/>
                          <w:color w:val="000000"/>
                          <w:szCs w:val="24"/>
                          <w:lang w:eastAsia="lt-LT"/>
                        </w:rPr>
                      </w:pPr>
                      <w:r>
                        <w:rPr>
                          <w:color w:val="000000"/>
                          <w:szCs w:val="24"/>
                          <w:lang w:eastAsia="lt-LT"/>
                        </w:rPr>
                        <w:t>-</w:t>
                        <w:tab/>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44" w:dyaOrig="816">
                                <v:shape id="_x0000_i1648" type="#_x0000_t75" style="width:308.2pt;height:43.7pt" o:ole="">
                                  <v:imagedata r:id="rId1487" o:title=""/>
                                </v:shape>
                                <o:OLEObject Type="Embed" ProgID="Equation.3" ShapeID="_x0000_i1648" DrawAspect="Content" ObjectID="_0000000001" r:id="rId1488"/>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(2.533)</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sumą, apskaičiuotą pagal (2.524) ir (2.525) formules;</w:t>
                      </w:r>
                    </w:p>
                    <w:p>
                      <w:pPr>
                        <w:tabs>
                          <w:tab w:val="left" w:pos="567"/>
                          <w:tab w:val="left" w:pos="851"/>
                        </w:tabs>
                        <w:suppressAutoHyphens/>
                        <w:ind w:firstLine="600"/>
                        <w:jc w:val="both"/>
                        <w:rPr>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820" w:dyaOrig="1920">
                                <v:shape id="_x0000_i1649" type="#_x0000_t75" style="width:338.95pt;height:97.1pt" o:ole="">
                                  <v:imagedata r:id="rId1489" o:title=""/>
                                </v:shape>
                                <o:OLEObject Type="Embed" ProgID="Equation.3" ShapeID="_x0000_i1649" DrawAspect="Content" ObjectID="_0000000001" r:id="rId1490"/>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(2.534)</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764" w:dyaOrig="348">
                          <v:shape id="_x0000_i1650" type="#_x0000_t75" style="width:88.2pt;height:16.2pt" o:ole="">
                            <v:imagedata r:id="rId1491" o:title=""/>
                          </v:shape>
                          <o:OLEObject Type="Embed" ProgID="Equation.3" ShapeID="_x0000_i1650" DrawAspect="Content" ObjectID="_0000000001" r:id="rId1492"/>
                        </w:object>
                      </w:r>
                      <w:r>
                        <w:rPr>
                          <w:color w:val="000000"/>
                          <w:szCs w:val="24"/>
                          <w:lang w:eastAsia="lt-LT"/>
                        </w:rPr>
                        <w:t>)apskaičiuojama sumuojant skaičiavimų rezultatus pagal (2.524) ir (2.525)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79" w:dyaOrig="1080">
                                <v:shape id="_x0000_i1651" type="#_x0000_t75" style="width:351.9pt;height:56.65pt" o:ole="">
                                  <v:imagedata r:id="rId1493" o:title=""/>
                                </v:shape>
                                <o:OLEObject Type="Embed" ProgID="Equation.3" ShapeID="_x0000_i1651" DrawAspect="Content" ObjectID="_0000000001" r:id="rId1494"/>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(2.535)</w:t>
                            </w:r>
                          </w:p>
                        </w:tc>
                      </w:tr>
                    </w:tbl>
                    <w:p>
                      <w:pPr>
                        <w:tabs>
                          <w:tab w:val="left" w:pos="567"/>
                        </w:tabs>
                        <w:suppressAutoHyphens/>
                        <w:rPr>
                          <w:rFonts w:eastAsia="Calibri"/>
                          <w:color w:val="000000"/>
                          <w:szCs w:val="24"/>
                          <w:lang w:eastAsia="lt-LT"/>
                        </w:rPr>
                      </w:pPr>
                      <w:r>
                        <w:rPr>
                          <w:color w:val="000000"/>
                          <w:szCs w:val="24"/>
                          <w:lang w:eastAsia="lt-LT"/>
                        </w:rPr>
                        <w:t>ir pagal (2.535)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4819" w:dyaOrig="380">
                                <v:shape id="_x0000_i1652" type="#_x0000_t75" style="width:241.1pt;height:19.4pt" o:ole="">
                                  <v:imagedata r:id="rId1495" o:title=""/>
                                </v:shape>
                                <o:OLEObject Type="Embed" ProgID="Equation.3" ShapeID="_x0000_i1652" DrawAspect="Content" ObjectID="_0000000001" r:id="rId1496"/>
                              </w:object>
                              <w:t>, kitais mėnesiais</w:t>
                            </w:r>
                            <w:r>
                              <w:rPr>
                                <w:rFonts w:eastAsia="Calibri"/>
                                <w:color w:val="000000"/>
                                <w:szCs w:val="24"/>
                                <w:lang w:eastAsia="lt-LT"/>
                              </w:rPr>
                              <w:object w:dxaOrig="2172" w:dyaOrig="348">
                                <v:shape id="_x0000_i1653" type="#_x0000_t75" style="width:107.6pt;height:16.2pt" o:ole="">
                                  <v:imagedata r:id="rId1497" o:title=""/>
                                </v:shape>
                                <o:OLEObject Type="Embed" ProgID="Equation.3" ShapeID="_x0000_i1653" DrawAspect="Content" ObjectID="_0000000001" r:id="rId1498"/>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(2.536)</w:t>
                            </w:r>
                          </w:p>
                        </w:tc>
                      </w:tr>
                    </w:tbl>
                    <w:p>
                      <w:pPr>
                        <w:tabs>
                          <w:tab w:val="left" w:pos="567"/>
                        </w:tabs>
                        <w:suppressAutoHyphens/>
                        <w:rPr>
                          <w:rFonts w:eastAsia="Calibri"/>
                          <w:color w:val="000000"/>
                          <w:szCs w:val="24"/>
                          <w:lang w:eastAsia="lt-LT"/>
                        </w:rPr>
                      </w:pPr>
                      <w:r>
                        <w:rPr>
                          <w:color w:val="000000"/>
                          <w:szCs w:val="24"/>
                          <w:lang w:eastAsia="lt-LT"/>
                        </w:rPr>
                        <w:t>o jei pagal (2.535)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ind w:left="709"/>
                              <w:jc w:val="center"/>
                              <w:rPr>
                                <w:rFonts w:eastAsia="Calibri"/>
                                <w:color w:val="000000"/>
                                <w:szCs w:val="24"/>
                                <w:lang w:eastAsia="lt-LT"/>
                              </w:rPr>
                            </w:pPr>
                            <w:r>
                              <w:rPr>
                                <w:szCs w:val="24"/>
                                <w:lang w:eastAsia="lt-LT"/>
                              </w:rPr>
                              <w:object w:dxaOrig="6600" w:dyaOrig="1520">
                                <v:shape id="_x0000_i1654" type="#_x0000_t75" style="width:327.65pt;height:76.05pt" o:ole="">
                                  <v:imagedata r:id="rId1499" o:title=""/>
                                </v:shape>
                                <o:OLEObject Type="Embed" ProgID="Equation.3" ShapeID="_x0000_i1654" DrawAspect="Content" ObjectID="_0000000001" r:id="rId1500"/>
                              </w:object>
                            </w:r>
                          </w:p>
                          <w:p>
                            <w:pPr>
                              <w:tabs>
                                <w:tab w:val="left" w:pos="567"/>
                              </w:tabs>
                              <w:suppressAutoHyphens/>
                              <w:spacing w:line="276" w:lineRule="auto"/>
                              <w:jc w:val="center"/>
                              <w:rPr>
                                <w:rFonts w:eastAsia="Calibri"/>
                                <w:color w:val="000000"/>
                                <w:szCs w:val="24"/>
                                <w:lang w:eastAsia="lt-LT"/>
                              </w:rPr>
                            </w:pPr>
                            <w:r>
                              <w:rPr>
                                <w:color w:val="000000"/>
                                <w:szCs w:val="24"/>
                                <w:lang w:eastAsia="lt-LT"/>
                              </w:rPr>
                              <w:t>kitais mėnesiais</w:t>
                            </w:r>
                            <w:r>
                              <w:rPr>
                                <w:rFonts w:eastAsia="Calibri"/>
                                <w:color w:val="000000"/>
                                <w:szCs w:val="24"/>
                                <w:lang w:eastAsia="lt-LT"/>
                              </w:rPr>
                              <w:object w:dxaOrig="2172" w:dyaOrig="348">
                                <v:shape id="_x0000_i1655" type="#_x0000_t75" style="width:107.6pt;height:16.2pt" o:ole="">
                                  <v:imagedata r:id="rId1501" o:title=""/>
                                </v:shape>
                                <o:OLEObject Type="Embed" ProgID="Equation.3" ShapeID="_x0000_i1655" DrawAspect="Content" ObjectID="_0000000001" r:id="rId1502"/>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(2.537)</w:t>
                            </w:r>
                          </w:p>
                        </w:tc>
                      </w:tr>
                    </w:tbl>
                    <w:p>
                      <w:pPr>
                        <w:tabs>
                          <w:tab w:val="left" w:pos="567"/>
                        </w:tabs>
                        <w:suppressAutoHyphens/>
                        <w:ind w:left="840"/>
                        <w:rPr>
                          <w:color w:val="000000"/>
                          <w:szCs w:val="24"/>
                          <w:lang w:eastAsia="lt-LT"/>
                        </w:rPr>
                      </w:pP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hw.HE,m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984" w:dyaOrig="348">
                                <v:shape id="_x0000_i1656" type="#_x0000_t75" style="width:199.8pt;height:16.2pt" o:ole="">
                                  <v:imagedata r:id="rId1503" o:title=""/>
                                </v:shape>
                                <o:OLEObject Type="Embed" ProgID="Equation.3" ShapeID="_x0000_i1656" DrawAspect="Content" ObjectID="_0000000001" r:id="rId1504"/>
                              </w:object>
                            </w:r>
                            <w:r>
                              <w:rPr>
                                <w:color w:val="000000"/>
                                <w:szCs w:val="24"/>
                                <w:lang w:eastAsia="lt-LT"/>
                              </w:rPr>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(2.538)</w:t>
                            </w:r>
                          </w:p>
                        </w:tc>
                      </w:tr>
                    </w:tbl>
                    <w:p>
                      <w:pPr>
                        <w:tabs>
                          <w:tab w:val="left" w:pos="567"/>
                        </w:tabs>
                        <w:suppressAutoHyphens/>
                        <w:ind w:left="600"/>
                        <w:rPr>
                          <w:color w:val="000000"/>
                          <w:szCs w:val="24"/>
                          <w:lang w:eastAsia="lt-LT"/>
                        </w:rPr>
                      </w:pPr>
                    </w:p>
                    <w:tbl>
                      <w:tblPr>
                        <w:tblW w:w="5000" w:type="pct"/>
                        <w:jc w:val="center"/>
                        <w:tblLook w:val="01E0" w:firstRow="1" w:lastRow="1" w:firstColumn="1" w:lastColumn="1" w:noHBand="0" w:noVBand="0"/>
                      </w:tblPr>
                      <w:tblGrid>
                        <w:gridCol w:w="8540"/>
                        <w:gridCol w:w="1314"/>
                      </w:tblGrid>
                      <w:tr>
                        <w:trPr>
                          <w:jc w:val="center"/>
                        </w:trPr>
                        <w:tc>
                          <w:tcPr>
                            <w:tcW w:w="8541"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12" w:dyaOrig="1488">
                                <v:shape id="_x0000_i1657" type="#_x0000_t75" style="width:345.45pt;height:74.45pt" o:ole="">
                                  <v:imagedata r:id="rId1505" o:title=""/>
                                </v:shape>
                                <o:OLEObject Type="Embed" ProgID="Equation.3" ShapeID="_x0000_i1657" DrawAspect="Content" ObjectID="_0000000001" r:id="rId1506"/>
                              </w:object>
                            </w:r>
                          </w:p>
                        </w:tc>
                        <w:tc>
                          <w:tcPr>
                            <w:tcW w:w="1314"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(2.539) </w:t>
                            </w:r>
                          </w:p>
                        </w:tc>
                      </w:tr>
                    </w:tbl>
                    <w:p>
                      <w:pPr>
                        <w:rPr>
                          <w:rFonts w:eastAsia="Calibri"/>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8.3 pp."/>
                    <w:tag w:val="part_2e2d1e3e2777433984fb8470ff4696e8"/>
                    <w:lock w:val="sdtLocked"/>
                    <w:richText/>
                  </w:sdtPr>
                  <w:sdtContent>
                    <w:p>
                      <w:pPr>
                        <w:pStyle w:val="PlainText"/>
                        <w:ind w:firstLine="567"/>
                        <w:jc w:val="both"/>
                        <w:rPr>
                          <w:rFonts w:ascii="Times New Roman" w:hAnsi="Times New Roman"/>
                          <w:b/>
                          <w:bCs/>
                          <w:sz w:val="22"/>
                        </w:rPr>
                      </w:pPr>
                      <w:r>
                        <w:rPr>
                          <w:rFonts w:ascii="Times New Roman" w:hAnsi="Times New Roman"/>
                          <w:sz w:val="22"/>
                        </w:rPr>
                        <w:t>68.3</w:t>
                      </w:r>
                      <w:r>
                        <w:rPr>
                          <w:rFonts w:ascii="Times New Roman" w:hAnsi="Times New Roman"/>
                          <w:sz w:val="22"/>
                        </w:rPr>
                        <w:t>.</w:t>
                      </w:r>
                      <w:r>
                        <w:rPr>
                          <w:rFonts w:ascii="Times New Roman" w:eastAsia="MS Mincho" w:hAnsi="Times New Roman"/>
                          <w:sz w:val="20"/>
                          <w:i/>
                          <w:iCs/>
                        </w:rPr>
                        <w:t xml:space="preserve"> Neteko galios nuo 2022-08-26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8.4 pp."/>
                    <w:tag w:val="part_09b60a7569b4450a85abcc3355c556b8"/>
                    <w:lock w:val="sdtLocked"/>
                    <w:richText/>
                  </w:sdtPr>
                  <w:sdtContent>
                    <w:p>
                      <w:pPr>
                        <w:tabs>
                          <w:tab w:val="left" w:pos="567"/>
                        </w:tabs>
                        <w:suppressAutoHyphens/>
                        <w:ind w:firstLine="567"/>
                        <w:jc w:val="both"/>
                        <w:rPr>
                          <w:color w:val="000000"/>
                          <w:szCs w:val="24"/>
                          <w:lang w:eastAsia="lt-LT"/>
                        </w:rPr>
                      </w:pPr>
                      <w:sdt>
                        <w:sdtPr>
                          <w:alias w:val="Numeris"/>
                          <w:tag w:val="nr_09b60a7569b4450a85abcc3355c556b8"/>
                          <w:lock w:val="sdtLocked"/>
                          <w:richText/>
                        </w:sdtPr>
                        <w:sdtContent>
                          <w:r>
                            <w:rPr>
                              <w:color w:val="000000"/>
                              <w:szCs w:val="24"/>
                              <w:lang w:eastAsia="lt-LT"/>
                            </w:rPr>
                            <w:t>68.4</w:t>
                          </w:r>
                        </w:sdtContent>
                      </w:sdt>
                      <w:r>
                        <w:rPr>
                          <w:color w:val="000000"/>
                          <w:szCs w:val="24"/>
                          <w:lang w:eastAsia="lt-LT"/>
                        </w:rPr>
                        <w:t xml:space="preserve">. vėjo elektrinių atitinkamą </w:t>
                      </w:r>
                      <w:r>
                        <w:rPr>
                          <w:i/>
                          <w:color w:val="000000"/>
                          <w:szCs w:val="24"/>
                          <w:lang w:eastAsia="lt-LT"/>
                        </w:rPr>
                        <w:t>„m“</w:t>
                      </w:r>
                      <w:r>
                        <w:rPr>
                          <w:color w:val="000000"/>
                          <w:szCs w:val="24"/>
                          <w:lang w:eastAsia="lt-LT"/>
                        </w:rPr>
                        <w:t xml:space="preserve"> mėnesį pagamintos energijos sąnaudos pastatui šildyti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H.WE,m </w:t>
                      </w:r>
                      <w:r>
                        <w:rPr>
                          <w:color w:val="000000"/>
                          <w:szCs w:val="24"/>
                          <w:lang w:eastAsia="lt-LT"/>
                        </w:rPr>
                        <w:t>(kWh/(m²·mėn.)) apskaičiuojamos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tcPr>
                          <w:p>
                            <w:pPr>
                              <w:tabs>
                                <w:tab w:val="left" w:pos="567"/>
                              </w:tabs>
                              <w:suppressAutoHyphens/>
                              <w:spacing w:line="276" w:lineRule="auto"/>
                              <w:jc w:val="center"/>
                              <w:rPr>
                                <w:rFonts w:eastAsia="Calibri"/>
                                <w:strike/>
                                <w:color w:val="000000"/>
                                <w:szCs w:val="24"/>
                                <w:lang w:eastAsia="lt-LT"/>
                              </w:rPr>
                            </w:pPr>
                          </w:p>
                        </w:tc>
                        <w:tc>
                          <w:tcPr>
                            <w:tcW w:w="1062" w:type="dxa"/>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2400" w:dyaOrig="680">
                                <v:shape id="_x0000_i1658" type="#_x0000_t75" style="width:121.35pt;height:34.8pt" o:ole="">
                                  <v:imagedata r:id="rId1507" o:title=""/>
                                </v:shape>
                                <o:OLEObject Type="Embed" ProgID="Equation.3" ShapeID="_x0000_i1658" DrawAspect="Content" ObjectID="_0000000001" r:id="rId1508"/>
                              </w:object>
                              <w:t>;</w:t>
                            </w:r>
                          </w:p>
                        </w:tc>
                        <w:tc>
                          <w:tcPr>
                            <w:tcW w:w="1062" w:type="dxa"/>
                            <w:vAlign w:val="center"/>
                            <w:hideMark/>
                          </w:tcPr>
                          <w:p>
                            <w:pPr>
                              <w:tabs>
                                <w:tab w:val="left" w:pos="567"/>
                              </w:tabs>
                              <w:suppressAutoHyphens/>
                              <w:spacing w:line="276" w:lineRule="auto"/>
                              <w:jc w:val="right"/>
                              <w:rPr>
                                <w:color w:val="000000"/>
                                <w:szCs w:val="24"/>
                                <w:lang w:eastAsia="lt-LT"/>
                              </w:rPr>
                            </w:pPr>
                            <w:r>
                              <w:rPr>
                                <w:color w:val="000000"/>
                                <w:szCs w:val="24"/>
                                <w:lang w:eastAsia="lt-LT"/>
                              </w:rPr>
                              <w:t>(2.541)</w:t>
                            </w:r>
                          </w:p>
                        </w:tc>
                      </w:tr>
                    </w:tbl>
                    <w:p>
                      <w:pPr>
                        <w:tabs>
                          <w:tab w:val="left" w:pos="567"/>
                        </w:tabs>
                        <w:suppressAutoHyphens/>
                        <w:ind w:left="600" w:hanging="600"/>
                        <w:rPr>
                          <w:rFonts w:eastAsia="Calibri"/>
                          <w:color w:val="000000"/>
                          <w:szCs w:val="24"/>
                          <w:lang w:eastAsia="lt-LT"/>
                        </w:rPr>
                      </w:pPr>
                    </w:p>
                    <w:tbl>
                      <w:tblPr>
                        <w:tblW w:w="5000" w:type="pct"/>
                        <w:jc w:val="center"/>
                        <w:tblLook w:val="01E0" w:firstRow="1" w:lastRow="1" w:firstColumn="1" w:lastColumn="1" w:noHBand="0" w:noVBand="0"/>
                      </w:tblPr>
                      <w:tblGrid>
                        <w:gridCol w:w="8524"/>
                        <w:gridCol w:w="1330"/>
                      </w:tblGrid>
                      <w:tr>
                        <w:trPr>
                          <w:jc w:val="center"/>
                        </w:trPr>
                        <w:tc>
                          <w:tcPr>
                            <w:tcW w:w="827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544" w:dyaOrig="804">
                                <v:shape id="_x0000_i1659" type="#_x0000_t75" style="width:277.5pt;height:42.05pt" o:ole="">
                                  <v:imagedata r:id="rId1509" o:title=""/>
                                </v:shape>
                                <o:OLEObject Type="Embed" ProgID="Equation.3" ShapeID="_x0000_i1659" DrawAspect="Content" ObjectID="_0000000001" r:id="rId1510"/>
                              </w:object>
                            </w:r>
                            <w:r>
                              <w:rPr>
                                <w:color w:val="000000"/>
                                <w:szCs w:val="24"/>
                                <w:lang w:eastAsia="lt-LT"/>
                              </w:rPr>
                              <w:t>;</w:t>
                            </w:r>
                          </w:p>
                        </w:tc>
                        <w:tc>
                          <w:tcPr>
                            <w:tcW w:w="129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(2.542) </w:t>
                            </w:r>
                          </w:p>
                        </w:tc>
                      </w:tr>
                    </w:tbl>
                    <w:p>
                      <w:pPr>
                        <w:tabs>
                          <w:tab w:val="left" w:pos="567"/>
                        </w:tabs>
                        <w:suppressAutoHyphens/>
                        <w:jc w:val="both"/>
                        <w:rPr>
                          <w:color w:val="000000"/>
                          <w:szCs w:val="24"/>
                          <w:lang w:eastAsia="lt-LT"/>
                        </w:rPr>
                      </w:pPr>
                    </w:p>
                    <w:p>
                      <w:pPr>
                        <w:tabs>
                          <w:tab w:val="left" w:pos="567"/>
                        </w:tabs>
                        <w:suppressAutoHyphens/>
                        <w:jc w:val="both"/>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H.WE.out,m,x</w:t>
                      </w:r>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atitinkamos </w:t>
                      </w:r>
                      <w:r>
                        <w:rPr>
                          <w:i/>
                          <w:color w:val="000000"/>
                          <w:szCs w:val="24"/>
                          <w:lang w:eastAsia="lt-LT"/>
                        </w:rPr>
                        <w:t>„x“</w:t>
                      </w:r>
                      <w:r>
                        <w:rPr>
                          <w:color w:val="000000"/>
                          <w:szCs w:val="24"/>
                          <w:lang w:eastAsia="lt-LT"/>
                        </w:rPr>
                        <w:t xml:space="preserve"> vėjo elektrinių grupės pagamintas energijos kiekis pastatui šildyti (kWh/(m²·mėn.)). Apskaičiuojama pagal (2.556) formulę;</w:t>
                      </w:r>
                    </w:p>
                    <w:p>
                      <w:pPr>
                        <w:tabs>
                          <w:tab w:val="left" w:pos="567"/>
                        </w:tabs>
                        <w:suppressAutoHyphens/>
                        <w:ind w:left="600" w:firstLine="62"/>
                        <w:rPr>
                          <w:color w:val="000000"/>
                          <w:szCs w:val="24"/>
                          <w:lang w:eastAsia="lt-LT"/>
                        </w:rPr>
                      </w:pPr>
                      <w:r>
                        <w:rPr>
                          <w:color w:val="000000"/>
                          <w:szCs w:val="24"/>
                          <w:lang w:eastAsia="lt-LT"/>
                        </w:rPr>
                        <w:t>(2.541)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 xml:space="preserve">jei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H.WE,m</w:t>
                      </w:r>
                      <w:r>
                        <w:rPr>
                          <w:color w:val="000000"/>
                          <w:szCs w:val="24"/>
                          <w:lang w:eastAsia="lt-LT"/>
                        </w:rPr>
                        <w:t xml:space="preserve">&lt;0 arba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H.WE,m</w:t>
                      </w:r>
                      <w:r>
                        <w:rPr>
                          <w:color w:val="000000"/>
                          <w:szCs w:val="24"/>
                          <w:lang w:eastAsia="lt-LT"/>
                        </w:rPr>
                        <w:t>=0,</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pagamintos elektros energijos dvipusė apskaita ir kai vėjo 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520" w:dyaOrig="816">
                                <v:shape id="_x0000_i1660" type="#_x0000_t75" style="width:277.5pt;height:43.7pt" o:ole="">
                                  <v:imagedata r:id="rId1511" o:title=""/>
                                </v:shape>
                                <o:OLEObject Type="Embed" ProgID="Equation.3" ShapeID="_x0000_i1660" DrawAspect="Content" ObjectID="_0000000001" r:id="rId1512"/>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(2.543)</w:t>
                            </w:r>
                          </w:p>
                        </w:tc>
                      </w:tr>
                    </w:tbl>
                    <w:p>
                      <w:pPr>
                        <w:tabs>
                          <w:tab w:val="left" w:pos="567"/>
                        </w:tabs>
                        <w:suppressAutoHyphens/>
                        <w:ind w:left="840"/>
                        <w:rPr>
                          <w:rFonts w:eastAsia="Calibri"/>
                          <w:color w:val="000000"/>
                          <w:szCs w:val="24"/>
                          <w:lang w:eastAsia="lt-LT"/>
                        </w:rPr>
                      </w:pPr>
                      <w:r>
                        <w:rPr>
                          <w:color w:val="000000"/>
                          <w:szCs w:val="24"/>
                          <w:lang w:eastAsia="lt-LT"/>
                        </w:rPr>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544" w:dyaOrig="816">
                                <v:shape id="_x0000_i1661" type="#_x0000_t75" style="width:277.5pt;height:43.7pt" o:ole="">
                                  <v:imagedata r:id="rId1513" o:title=""/>
                                </v:shape>
                                <o:OLEObject Type="Embed" ProgID="Equation.3" ShapeID="_x0000_i1661" DrawAspect="Content" ObjectID="_0000000001" r:id="rId1514"/>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(2.544)</w:t>
                            </w:r>
                          </w:p>
                        </w:tc>
                      </w:tr>
                    </w:tbl>
                    <w:p>
                      <w:pPr>
                        <w:tabs>
                          <w:tab w:val="left" w:pos="567"/>
                        </w:tabs>
                        <w:suppressAutoHyphens/>
                        <w:rPr>
                          <w:rFonts w:eastAsia="Calibri"/>
                          <w:color w:val="000000"/>
                          <w:szCs w:val="24"/>
                          <w:lang w:eastAsia="lt-LT"/>
                        </w:rPr>
                      </w:pPr>
                      <w:r>
                        <w:rPr>
                          <w:color w:val="000000"/>
                          <w:szCs w:val="24"/>
                          <w:lang w:eastAsia="lt-LT"/>
                        </w:rPr>
                        <w:t>o kitais atvejais skaičiavimo rezultatas atitinka gautą pagal (2.541) formulę;</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naudojama iš vėjo 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 w:val="left" w:pos="1418"/>
                                <w:tab w:val="left" w:pos="1472"/>
                              </w:tabs>
                              <w:suppressAutoHyphens/>
                              <w:spacing w:line="276" w:lineRule="auto"/>
                              <w:ind w:left="1134"/>
                              <w:jc w:val="center"/>
                              <w:rPr>
                                <w:rFonts w:eastAsia="Calibri"/>
                                <w:color w:val="000000"/>
                                <w:szCs w:val="24"/>
                                <w:lang w:eastAsia="lt-LT"/>
                              </w:rPr>
                            </w:pPr>
                            <w:r>
                              <w:rPr>
                                <w:szCs w:val="24"/>
                                <w:lang w:eastAsia="lt-LT"/>
                              </w:rPr>
                              <w:object w:dxaOrig="6900" w:dyaOrig="1920">
                                <v:shape id="_x0000_i1662" type="#_x0000_t75" style="width:344.65pt;height:97.1pt" o:ole="">
                                  <v:imagedata r:id="rId1515" o:title=""/>
                                </v:shape>
                                <o:OLEObject Type="Embed" ProgID="Equation.3" ShapeID="_x0000_i1662" DrawAspect="Content" ObjectID="_0000000001" r:id="rId1516"/>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(2.545)</w:t>
                            </w:r>
                          </w:p>
                        </w:tc>
                      </w:tr>
                    </w:tbl>
                    <w:p>
                      <w:pPr>
                        <w:tabs>
                          <w:tab w:val="left" w:pos="567"/>
                          <w:tab w:val="num" w:pos="1200"/>
                        </w:tabs>
                        <w:suppressAutoHyphens/>
                        <w:rPr>
                          <w:rFonts w:eastAsia="Calibri"/>
                          <w:color w:val="000000"/>
                          <w:szCs w:val="24"/>
                          <w:lang w:eastAsia="lt-LT"/>
                        </w:rPr>
                      </w:pPr>
                      <w:r>
                        <w:rPr>
                          <w:color w:val="000000"/>
                          <w:szCs w:val="24"/>
                          <w:lang w:eastAsia="lt-LT"/>
                        </w:rPr>
                        <w:t xml:space="preserve">tai </w:t>
                      </w:r>
                      <w:r>
                        <w:rPr>
                          <w:rFonts w:eastAsia="Calibri"/>
                          <w:color w:val="000000"/>
                          <w:position w:val="-12"/>
                          <w:szCs w:val="24"/>
                          <w:lang w:eastAsia="lt-LT"/>
                        </w:rPr>
                        <w:object w:dxaOrig="744" w:dyaOrig="348">
                          <v:shape id="_x0000_i1663" type="#_x0000_t75" style="width:36.4pt;height:16.2pt" o:ole="">
                            <v:imagedata r:id="rId1517" o:title=""/>
                          </v:shape>
                          <o:OLEObject Type="Embed" ProgID="Equation.3" ShapeID="_x0000_i1663" DrawAspect="Content" ObjectID="_0000000001" r:id="rId1518"/>
                        </w:object>
                      </w:r>
                      <w:r>
                        <w:rPr>
                          <w:color w:val="000000"/>
                          <w:szCs w:val="24"/>
                          <w:lang w:eastAsia="lt-LT"/>
                        </w:rPr>
                        <w:t>apskaičiuojama pagal (2.541) formulę,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060" w:dyaOrig="1080">
                                <v:shape id="_x0000_i1664" type="#_x0000_t75" style="width:350.3pt;height:56.65pt" o:ole="">
                                  <v:imagedata r:id="rId1519" o:title=""/>
                                </v:shape>
                                <o:OLEObject Type="Embed" ProgID="Equation.3" ShapeID="_x0000_i1664" DrawAspect="Content" ObjectID="_0000000001" r:id="rId1520"/>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(2.546)</w:t>
                            </w:r>
                          </w:p>
                        </w:tc>
                      </w:tr>
                    </w:tbl>
                    <w:p>
                      <w:pPr>
                        <w:tabs>
                          <w:tab w:val="left" w:pos="567"/>
                        </w:tabs>
                        <w:suppressAutoHyphens/>
                        <w:rPr>
                          <w:rFonts w:eastAsia="Calibri"/>
                          <w:color w:val="000000"/>
                          <w:szCs w:val="24"/>
                          <w:lang w:eastAsia="lt-LT"/>
                        </w:rPr>
                      </w:pPr>
                      <w:r>
                        <w:rPr>
                          <w:color w:val="000000"/>
                          <w:szCs w:val="24"/>
                          <w:lang w:eastAsia="lt-LT"/>
                        </w:rPr>
                        <w:t>ir pagal (2.546)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2720" w:dyaOrig="380">
                                <v:shape id="_x0000_i1665" type="#_x0000_t75" style="width:138.35pt;height:19.4pt" o:ole="">
                                  <v:imagedata r:id="rId1521" o:title=""/>
                                </v:shape>
                                <o:OLEObject Type="Embed" ProgID="Equation.3" ShapeID="_x0000_i1665" DrawAspect="Content" ObjectID="_0000000001" r:id="rId1522"/>
                              </w:object>
                            </w:r>
                            <w:r>
                              <w:rPr>
                                <w:color w:val="000000"/>
                                <w:szCs w:val="24"/>
                                <w:lang w:eastAsia="lt-LT"/>
                              </w:rPr>
                              <w:t xml:space="preserve">, kitais mėnesiais </w:t>
                            </w:r>
                            <w:r>
                              <w:rPr>
                                <w:rFonts w:eastAsia="Calibri"/>
                                <w:color w:val="000000"/>
                                <w:position w:val="-12"/>
                                <w:szCs w:val="24"/>
                                <w:lang w:eastAsia="lt-LT"/>
                              </w:rPr>
                              <w:object w:dxaOrig="1116" w:dyaOrig="348">
                                <v:shape id="_x0000_i1666" type="#_x0000_t75" style="width:55.8pt;height:16.2pt" o:ole="">
                                  <v:imagedata r:id="rId1523" o:title=""/>
                                </v:shape>
                                <o:OLEObject Type="Embed" ProgID="Equation.3" ShapeID="_x0000_i1666" DrawAspect="Content" ObjectID="_0000000001" r:id="rId1524"/>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(2.547)</w:t>
                            </w:r>
                          </w:p>
                        </w:tc>
                      </w:tr>
                    </w:tbl>
                    <w:p>
                      <w:pPr>
                        <w:tabs>
                          <w:tab w:val="left" w:pos="567"/>
                        </w:tabs>
                        <w:suppressAutoHyphens/>
                        <w:rPr>
                          <w:rFonts w:eastAsia="Calibri"/>
                          <w:color w:val="000000"/>
                          <w:szCs w:val="24"/>
                          <w:lang w:eastAsia="lt-LT"/>
                        </w:rPr>
                      </w:pPr>
                      <w:r>
                        <w:rPr>
                          <w:color w:val="000000"/>
                          <w:szCs w:val="24"/>
                          <w:lang w:eastAsia="lt-LT"/>
                        </w:rPr>
                        <w:t>o jei pagal (2.546)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 w:val="center" w:pos="4148"/>
                                <w:tab w:val="right" w:pos="8297"/>
                              </w:tabs>
                              <w:suppressAutoHyphens/>
                              <w:spacing w:line="276" w:lineRule="auto"/>
                              <w:ind w:firstLine="567"/>
                              <w:rPr>
                                <w:rFonts w:eastAsia="Calibri"/>
                                <w:color w:val="000000"/>
                                <w:szCs w:val="24"/>
                                <w:lang w:eastAsia="lt-LT"/>
                              </w:rPr>
                            </w:pPr>
                            <w:r>
                              <w:rPr>
                                <w:szCs w:val="24"/>
                                <w:lang w:eastAsia="lt-LT"/>
                              </w:rPr>
                              <w:tab/>
                              <w:object w:dxaOrig="6640" w:dyaOrig="1080">
                                <v:shape id="_x0000_i1667" type="#_x0000_t75" style="width:335.75pt;height:56.65pt" o:ole="">
                                  <v:imagedata r:id="rId1525" o:title=""/>
                                </v:shape>
                                <o:OLEObject Type="Embed" ProgID="Equation.3" ShapeID="_x0000_i1667" DrawAspect="Content" ObjectID="_0000000001" r:id="rId1526"/>
                              </w:object>
                              <w:t>,</w:t>
                              <w:tab/>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1116" w:dyaOrig="348">
                                <v:shape id="_x0000_i1668" type="#_x0000_t75" style="width:55.8pt;height:16.2pt" o:ole="">
                                  <v:imagedata r:id="rId1527" o:title=""/>
                                </v:shape>
                                <o:OLEObject Type="Embed" ProgID="Equation.3" ShapeID="_x0000_i1668" DrawAspect="Content" ObjectID="_0000000001" r:id="rId1528"/>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(2.548)</w:t>
                            </w:r>
                          </w:p>
                        </w:tc>
                      </w:tr>
                    </w:tbl>
                    <w:p>
                      <w:pPr>
                        <w:tabs>
                          <w:tab w:val="left" w:pos="567"/>
                        </w:tabs>
                        <w:suppressAutoHyphens/>
                        <w:ind w:left="600"/>
                        <w:rPr>
                          <w:color w:val="000000"/>
                          <w:szCs w:val="24"/>
                          <w:lang w:eastAsia="lt-LT"/>
                        </w:rPr>
                      </w:pPr>
                      <w:r>
                        <w:rPr>
                          <w:color w:val="000000"/>
                          <w:szCs w:val="24"/>
                          <w:lang w:eastAsia="lt-LT"/>
                        </w:rPr>
                        <w:t>(2.542) formulės taikymo sąlygos:</w:t>
                      </w:r>
                    </w:p>
                    <w:p>
                      <w:pPr>
                        <w:tabs>
                          <w:tab w:val="left" w:pos="567"/>
                          <w:tab w:val="left" w:pos="851"/>
                        </w:tabs>
                        <w:suppressAutoHyphens/>
                        <w:ind w:firstLine="567"/>
                        <w:jc w:val="both"/>
                        <w:rPr>
                          <w:color w:val="000000"/>
                          <w:szCs w:val="24"/>
                          <w:lang w:eastAsia="lt-LT"/>
                        </w:rPr>
                      </w:pPr>
                      <w:r>
                        <w:rPr>
                          <w:color w:val="000000"/>
                          <w:szCs w:val="24"/>
                          <w:lang w:eastAsia="lt-LT"/>
                        </w:rPr>
                        <w:t>-</w:t>
                        <w:tab/>
                        <w:t>kai pastate nenaudojama iš vėjo elektrinių ir hidroelektrinių pagamintos elektros energijos dvipusė apskaita ir kai vėjo ir hidroelektrinės pagamina daugiau energijos už energijos poreikį pastatui šildyti, t. y. jei</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156" w:dyaOrig="840">
                                <v:shape id="_x0000_i1669" type="#_x0000_t75" style="width:307.4pt;height:43.7pt" o:ole="">
                                  <v:imagedata r:id="rId1529" o:title=""/>
                                </v:shape>
                                <o:OLEObject Type="Embed" ProgID="Equation.3" ShapeID="_x0000_i1669" DrawAspect="Content" ObjectID="_0000000001" r:id="rId1530"/>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(2.549)</w:t>
                            </w:r>
                          </w:p>
                        </w:tc>
                      </w:tr>
                    </w:tbl>
                    <w:p>
                      <w:pPr>
                        <w:tabs>
                          <w:tab w:val="left" w:pos="567"/>
                          <w:tab w:val="left" w:pos="851"/>
                        </w:tabs>
                        <w:suppressAutoHyphens/>
                        <w:ind w:left="1200" w:hanging="633"/>
                        <w:jc w:val="both"/>
                        <w:rPr>
                          <w:rFonts w:eastAsia="Calibri"/>
                          <w:color w:val="000000"/>
                          <w:szCs w:val="24"/>
                          <w:lang w:eastAsia="lt-LT"/>
                        </w:rPr>
                      </w:pPr>
                      <w:r>
                        <w:rPr>
                          <w:color w:val="000000"/>
                          <w:szCs w:val="24"/>
                          <w:lang w:eastAsia="lt-LT"/>
                        </w:rPr>
                        <w:t>-</w:t>
                        <w:tab/>
                        <w:t xml:space="preserve">tai </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868" w:dyaOrig="816">
                                <v:shape id="_x0000_i1670" type="#_x0000_t75" style="width:293.65pt;height:43.7pt" o:ole="">
                                  <v:imagedata r:id="rId1531" o:title=""/>
                                </v:shape>
                                <o:OLEObject Type="Embed" ProgID="Equation.3" ShapeID="_x0000_i1670" DrawAspect="Content" ObjectID="_0000000001" r:id="rId1532"/>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(2.550)</w:t>
                            </w:r>
                          </w:p>
                        </w:tc>
                      </w:tr>
                    </w:tbl>
                    <w:p>
                      <w:pPr>
                        <w:tabs>
                          <w:tab w:val="left" w:pos="567"/>
                          <w:tab w:val="left" w:pos="851"/>
                        </w:tabs>
                        <w:suppressAutoHyphens/>
                        <w:ind w:firstLine="600"/>
                        <w:jc w:val="both"/>
                        <w:rPr>
                          <w:rFonts w:eastAsia="Calibri"/>
                          <w:color w:val="000000"/>
                          <w:szCs w:val="24"/>
                          <w:lang w:eastAsia="lt-LT"/>
                        </w:rPr>
                      </w:pPr>
                      <w:r>
                        <w:rPr>
                          <w:color w:val="000000"/>
                          <w:szCs w:val="24"/>
                          <w:lang w:eastAsia="lt-LT"/>
                        </w:rPr>
                        <w:t>-</w:t>
                        <w:tab/>
                        <w:t>kai pastate naudojama iš vėjo elektrinių ir hidroelektrinių pagamintos elektros energijos dvipusė apskaita, jei</w:t>
                      </w:r>
                    </w:p>
                    <w:tbl>
                      <w:tblPr>
                        <w:tblW w:w="5000" w:type="pct"/>
                        <w:tblLook w:val="01E0" w:firstRow="1" w:lastRow="1" w:firstColumn="1" w:lastColumn="1" w:noHBand="0" w:noVBand="0"/>
                      </w:tblPr>
                      <w:tblGrid>
                        <w:gridCol w:w="8636"/>
                        <w:gridCol w:w="1218"/>
                      </w:tblGrid>
                      <w:tr>
                        <w:tc>
                          <w:tcPr>
                            <w:tcW w:w="438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6900" w:dyaOrig="1920">
                                <v:shape id="_x0000_i1671" type="#_x0000_t75" style="width:344.65pt;height:97.1pt" o:ole="">
                                  <v:imagedata r:id="rId1533" o:title=""/>
                                </v:shape>
                                <o:OLEObject Type="Embed" ProgID="Equation.3" ShapeID="_x0000_i1671" DrawAspect="Content" ObjectID="_0000000001" r:id="rId1534"/>
                              </w:object>
                              <w:t>,</w:t>
                            </w:r>
                          </w:p>
                        </w:tc>
                        <w:tc>
                          <w:tcPr>
                            <w:tcW w:w="61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(2.551)</w:t>
                            </w:r>
                          </w:p>
                        </w:tc>
                      </w:tr>
                    </w:tbl>
                    <w:p>
                      <w:pPr>
                        <w:tabs>
                          <w:tab w:val="left" w:pos="567"/>
                          <w:tab w:val="num" w:pos="1200"/>
                        </w:tabs>
                        <w:suppressAutoHyphens/>
                        <w:jc w:val="both"/>
                        <w:rPr>
                          <w:rFonts w:eastAsia="Calibri"/>
                          <w:color w:val="000000"/>
                          <w:szCs w:val="24"/>
                          <w:lang w:eastAsia="lt-LT"/>
                        </w:rPr>
                      </w:pPr>
                      <w:r>
                        <w:rPr>
                          <w:color w:val="000000"/>
                          <w:szCs w:val="24"/>
                          <w:lang w:eastAsia="lt-LT"/>
                        </w:rPr>
                        <w:t>tai (</w:t>
                      </w:r>
                      <w:r>
                        <w:rPr>
                          <w:rFonts w:eastAsia="Calibri"/>
                          <w:color w:val="000000"/>
                          <w:position w:val="-12"/>
                          <w:szCs w:val="24"/>
                          <w:lang w:eastAsia="lt-LT"/>
                        </w:rPr>
                        <w:object w:dxaOrig="1668" w:dyaOrig="348">
                          <v:shape id="_x0000_i1672" type="#_x0000_t75" style="width:84.15pt;height:16.2pt" o:ole="">
                            <v:imagedata r:id="rId1535" o:title=""/>
                          </v:shape>
                          <o:OLEObject Type="Embed" ProgID="Equation.3" ShapeID="_x0000_i1672" DrawAspect="Content" ObjectID="_0000000001" r:id="rId1536"/>
                        </w:object>
                      </w:r>
                      <w:r>
                        <w:rPr>
                          <w:color w:val="000000"/>
                          <w:szCs w:val="24"/>
                          <w:lang w:eastAsia="lt-LT"/>
                        </w:rPr>
                        <w:t>)apskaičiuojama sumuojant skaičiavimų rezultatus pagal (2.541) ir (2.542) formules, bet jei</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7060" w:dyaOrig="1080">
                                <v:shape id="_x0000_i1673" type="#_x0000_t75" style="width:355.15pt;height:56.65pt" o:ole="">
                                  <v:imagedata r:id="rId1537" o:title=""/>
                                </v:shape>
                                <o:OLEObject Type="Embed" ProgID="Equation.3" ShapeID="_x0000_i1673" DrawAspect="Content" ObjectID="_0000000001" r:id="rId1538"/>
                              </w:objec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(2.552)</w:t>
                            </w:r>
                          </w:p>
                        </w:tc>
                      </w:tr>
                    </w:tbl>
                    <w:p>
                      <w:pPr>
                        <w:tabs>
                          <w:tab w:val="left" w:pos="567"/>
                        </w:tabs>
                        <w:suppressAutoHyphens/>
                        <w:jc w:val="both"/>
                        <w:rPr>
                          <w:rFonts w:eastAsia="Calibri"/>
                          <w:color w:val="000000"/>
                          <w:szCs w:val="24"/>
                          <w:lang w:eastAsia="lt-LT"/>
                        </w:rPr>
                      </w:pPr>
                      <w:r>
                        <w:rPr>
                          <w:color w:val="000000"/>
                          <w:szCs w:val="24"/>
                          <w:lang w:eastAsia="lt-LT"/>
                        </w:rPr>
                        <w:t>ir pagal (2.552) formulę rezultatas gaunamas pirmąjį skaičiuojamąjį mėnesį (sausio mėnesį), tai</w:t>
                      </w:r>
                    </w:p>
                    <w:tbl>
                      <w:tblPr>
                        <w:tblW w:w="5000" w:type="pct"/>
                        <w:tblLook w:val="01E0" w:firstRow="1" w:lastRow="1" w:firstColumn="1" w:lastColumn="1" w:noHBand="0" w:noVBand="0"/>
                      </w:tblPr>
                      <w:tblGrid>
                        <w:gridCol w:w="8143"/>
                        <w:gridCol w:w="1711"/>
                      </w:tblGrid>
                      <w:tr>
                        <w:tc>
                          <w:tcPr>
                            <w:tcW w:w="4132" w:type="pct"/>
                            <w:hideMark/>
                          </w:tcPr>
                          <w:p>
                            <w:pPr>
                              <w:tabs>
                                <w:tab w:val="left" w:pos="567"/>
                              </w:tabs>
                              <w:suppressAutoHyphens/>
                              <w:spacing w:line="276" w:lineRule="auto"/>
                              <w:jc w:val="center"/>
                              <w:rPr>
                                <w:rFonts w:eastAsia="Calibri"/>
                                <w:color w:val="000000"/>
                                <w:szCs w:val="24"/>
                                <w:lang w:eastAsia="lt-LT"/>
                              </w:rPr>
                            </w:pPr>
                            <w:r>
                              <w:rPr>
                                <w:szCs w:val="24"/>
                                <w:lang w:eastAsia="lt-LT"/>
                              </w:rPr>
                              <w:object w:dxaOrig="4680" w:dyaOrig="380">
                                <v:shape id="_x0000_i1674" type="#_x0000_t75" style="width:236.2pt;height:19.4pt" o:ole="">
                                  <v:imagedata r:id="rId1539" o:title=""/>
                                </v:shape>
                                <o:OLEObject Type="Embed" ProgID="Equation.3" ShapeID="_x0000_i1674" DrawAspect="Content" ObjectID="_0000000001" r:id="rId1540"/>
                              </w:object>
                            </w:r>
                            <w:r>
                              <w:rPr>
                                <w:color w:val="000000"/>
                                <w:szCs w:val="24"/>
                                <w:lang w:eastAsia="lt-LT"/>
                              </w:rPr>
                              <w:t>, kitais mėnesiais</w:t>
                            </w:r>
                            <w:r>
                              <w:rPr>
                                <w:rFonts w:eastAsia="Calibri"/>
                                <w:color w:val="000000"/>
                                <w:szCs w:val="24"/>
                                <w:lang w:eastAsia="lt-LT"/>
                              </w:rPr>
                              <w:object w:dxaOrig="2028" w:dyaOrig="348">
                                <v:shape id="_x0000_i1675" type="#_x0000_t75" style="width:101.95pt;height:16.2pt" o:ole="">
                                  <v:imagedata r:id="rId1541" o:title=""/>
                                </v:shape>
                                <o:OLEObject Type="Embed" ProgID="Equation.3" ShapeID="_x0000_i1675" DrawAspect="Content" ObjectID="_0000000001" r:id="rId1542"/>
                              </w:object>
                            </w:r>
                            <w:r>
                              <w:rPr>
                                <w:color w:val="000000"/>
                                <w:szCs w:val="24"/>
                                <w:lang w:eastAsia="lt-LT"/>
                              </w:rPr>
                              <w:t>,</w:t>
                            </w:r>
                          </w:p>
                        </w:tc>
                        <w:tc>
                          <w:tcPr>
                            <w:tcW w:w="868"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(2.553)</w:t>
                            </w:r>
                          </w:p>
                        </w:tc>
                      </w:tr>
                    </w:tbl>
                    <w:p>
                      <w:pPr>
                        <w:tabs>
                          <w:tab w:val="left" w:pos="567"/>
                        </w:tabs>
                        <w:suppressAutoHyphens/>
                        <w:rPr>
                          <w:rFonts w:eastAsia="Calibri"/>
                          <w:color w:val="000000"/>
                          <w:szCs w:val="24"/>
                          <w:lang w:eastAsia="lt-LT"/>
                        </w:rPr>
                      </w:pPr>
                      <w:r>
                        <w:rPr>
                          <w:color w:val="000000"/>
                          <w:szCs w:val="24"/>
                          <w:lang w:eastAsia="lt-LT"/>
                        </w:rPr>
                        <w:t>o jei pagal (2.552) formulę rezultatas gaunamas kitą (ne sausio) mėnesį, tai šį mėnesį</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ind w:left="709"/>
                              <w:jc w:val="center"/>
                              <w:rPr>
                                <w:rFonts w:eastAsia="Calibri"/>
                                <w:color w:val="000000"/>
                                <w:szCs w:val="24"/>
                                <w:lang w:eastAsia="lt-LT"/>
                              </w:rPr>
                            </w:pPr>
                            <w:r>
                              <w:rPr>
                                <w:szCs w:val="24"/>
                                <w:lang w:eastAsia="lt-LT"/>
                              </w:rPr>
                              <w:object w:dxaOrig="6640" w:dyaOrig="1520">
                                <v:shape id="_x0000_i1676" type="#_x0000_t75" style="width:335.75pt;height:76.05pt" o:ole="">
                                  <v:imagedata r:id="rId1543" o:title=""/>
                                </v:shape>
                                <o:OLEObject Type="Embed" ProgID="Equation.3" ShapeID="_x0000_i1676" DrawAspect="Content" ObjectID="_0000000001" r:id="rId1544"/>
                              </w:object>
                              <w:t>,</w:t>
                            </w:r>
                          </w:p>
                          <w:p>
                            <w:pPr>
                              <w:tabs>
                                <w:tab w:val="left" w:pos="567"/>
                              </w:tabs>
                              <w:suppressAutoHyphens/>
                              <w:spacing w:line="276" w:lineRule="auto"/>
                              <w:jc w:val="center"/>
                              <w:rPr>
                                <w:rFonts w:eastAsia="Calibri"/>
                                <w:color w:val="000000"/>
                                <w:szCs w:val="24"/>
                                <w:lang w:eastAsia="lt-LT"/>
                              </w:rPr>
                            </w:pPr>
                            <w:r>
                              <w:rPr>
                                <w:color w:val="000000"/>
                                <w:szCs w:val="24"/>
                                <w:lang w:eastAsia="lt-LT"/>
                              </w:rPr>
                              <w:t xml:space="preserve">kitais mėnesiais </w:t>
                            </w:r>
                            <w:r>
                              <w:rPr>
                                <w:rFonts w:eastAsia="Calibri"/>
                                <w:color w:val="000000"/>
                                <w:position w:val="-12"/>
                                <w:szCs w:val="24"/>
                                <w:lang w:eastAsia="lt-LT"/>
                              </w:rPr>
                              <w:object w:dxaOrig="2028" w:dyaOrig="348">
                                <v:shape id="_x0000_i1677" type="#_x0000_t75" style="width:101.95pt;height:16.2pt" o:ole="">
                                  <v:imagedata r:id="rId1545" o:title=""/>
                                </v:shape>
                                <o:OLEObject Type="Embed" ProgID="Equation.3" ShapeID="_x0000_i1677" DrawAspect="Content" ObjectID="_0000000001" r:id="rId1546"/>
                              </w:object>
                            </w:r>
                            <w:r>
                              <w:rPr>
                                <w:color w:val="000000"/>
                                <w:szCs w:val="24"/>
                                <w:lang w:eastAsia="lt-LT"/>
                              </w:rPr>
                              <w:t>.</w:t>
                            </w:r>
                          </w:p>
                        </w:tc>
                        <w:tc>
                          <w:tcPr>
                            <w:tcW w:w="680"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(2.554)</w:t>
                            </w:r>
                          </w:p>
                        </w:tc>
                      </w:tr>
                    </w:tbl>
                    <w:p>
                      <w:pPr>
                        <w:tabs>
                          <w:tab w:val="left" w:pos="567"/>
                        </w:tabs>
                        <w:suppressAutoHyphens/>
                        <w:rPr>
                          <w:rFonts w:eastAsia="Calibri"/>
                          <w:color w:val="000000"/>
                          <w:szCs w:val="24"/>
                          <w:lang w:eastAsia="lt-LT"/>
                        </w:rPr>
                      </w:pPr>
                    </w:p>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perscript"/>
                          <w:lang w:eastAsia="lt-LT"/>
                        </w:rPr>
                        <w:t>IV</w:t>
                      </w:r>
                      <w:r>
                        <w:rPr>
                          <w:i/>
                          <w:color w:val="000000"/>
                          <w:szCs w:val="24"/>
                          <w:vertAlign w:val="subscript"/>
                          <w:lang w:eastAsia="lt-LT"/>
                        </w:rPr>
                        <w:t xml:space="preserve">H.HE,m </w:t>
                      </w:r>
                      <w:r>
                        <w:rPr>
                          <w:color w:val="000000"/>
                          <w:szCs w:val="24"/>
                          <w:lang w:eastAsia="lt-LT"/>
                        </w:rPr>
                        <w:t>apskaičiuojama taip:</w:t>
                      </w:r>
                    </w:p>
                    <w:tbl>
                      <w:tblPr>
                        <w:tblW w:w="0" w:type="auto"/>
                        <w:jc w:val="center"/>
                        <w:tblLook w:val="01E0" w:firstRow="1" w:lastRow="1" w:firstColumn="1" w:lastColumn="1" w:noHBand="0" w:noVBand="0"/>
                      </w:tblPr>
                      <w:tblGrid>
                        <w:gridCol w:w="8508"/>
                        <w:gridCol w:w="1062"/>
                      </w:tblGrid>
                      <w:tr>
                        <w:trPr>
                          <w:jc w:val="center"/>
                        </w:trP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648" w:dyaOrig="348">
                                <v:shape id="_x0000_i1678" type="#_x0000_t75" style="width:182pt;height:16.2pt" o:ole="">
                                  <v:imagedata r:id="rId1547" o:title=""/>
                                </v:shape>
                                <o:OLEObject Type="Embed" ProgID="Equation.3" ShapeID="_x0000_i1678" DrawAspect="Content" ObjectID="_0000000001" r:id="rId1548"/>
                              </w:object>
                              <w:t>;</w: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(2.555)</w:t>
                            </w:r>
                          </w:p>
                        </w:tc>
                      </w:tr>
                    </w:tbl>
                    <w:p>
                      <w:pPr>
                        <w:tabs>
                          <w:tab w:val="left" w:pos="567"/>
                        </w:tabs>
                        <w:suppressAutoHyphens/>
                        <w:jc w:val="both"/>
                        <w:rPr>
                          <w:color w:val="000000"/>
                          <w:szCs w:val="24"/>
                          <w:lang w:eastAsia="lt-LT"/>
                        </w:rPr>
                      </w:pPr>
                    </w:p>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H,m</w:t>
                      </w:r>
                      <w:r>
                        <w:rPr>
                          <w:i/>
                          <w:color w:val="000000"/>
                          <w:szCs w:val="24"/>
                          <w:lang w:eastAsia="lt-LT"/>
                        </w:rPr>
                        <w:t>, Q</w:t>
                      </w:r>
                      <w:r>
                        <w:rPr>
                          <w:i/>
                          <w:color w:val="000000"/>
                          <w:szCs w:val="24"/>
                          <w:vertAlign w:val="subscript"/>
                          <w:lang w:eastAsia="lt-LT"/>
                        </w:rPr>
                        <w:t>H.sum.SK,m</w:t>
                      </w:r>
                      <w:r>
                        <w:rPr>
                          <w:i/>
                          <w:color w:val="000000"/>
                          <w:szCs w:val="24"/>
                          <w:lang w:eastAsia="lt-LT"/>
                        </w:rPr>
                        <w:t>, Q</w:t>
                      </w:r>
                      <w:r>
                        <w:rPr>
                          <w:i/>
                          <w:color w:val="000000"/>
                          <w:szCs w:val="24"/>
                          <w:vertAlign w:val="subscript"/>
                          <w:lang w:eastAsia="lt-LT"/>
                        </w:rPr>
                        <w:t>H.WE,m</w:t>
                      </w:r>
                      <w:r>
                        <w:rPr>
                          <w:i/>
                          <w:color w:val="000000"/>
                          <w:szCs w:val="24"/>
                          <w:lang w:eastAsia="lt-LT"/>
                        </w:rPr>
                        <w:t>, Q</w:t>
                      </w:r>
                      <w:r>
                        <w:rPr>
                          <w:i/>
                          <w:color w:val="000000"/>
                          <w:szCs w:val="24"/>
                          <w:vertAlign w:val="subscript"/>
                          <w:lang w:eastAsia="lt-LT"/>
                        </w:rPr>
                        <w:t>H.HE,m</w:t>
                      </w:r>
                      <w:r>
                        <w:rPr>
                          <w:color w:val="000000"/>
                          <w:szCs w:val="24"/>
                          <w:lang w:eastAsia="lt-LT"/>
                        </w:rPr>
                        <w:t xml:space="preserve">,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H.WE,m</w:t>
                      </w:r>
                      <w:r>
                        <w:rPr>
                          <w:color w:val="000000"/>
                          <w:szCs w:val="24"/>
                          <w:lang w:eastAsia="lt-LT"/>
                        </w:rPr>
                        <w:t xml:space="preserve">, </w:t>
                      </w:r>
                      <w:r>
                        <w:rPr>
                          <w:i/>
                          <w:color w:val="000000"/>
                          <w:szCs w:val="24"/>
                          <w:lang w:eastAsia="lt-LT"/>
                        </w:rPr>
                        <w:t>Q</w:t>
                      </w:r>
                      <w:r>
                        <w:rPr>
                          <w:i/>
                          <w:color w:val="000000"/>
                          <w:szCs w:val="24"/>
                          <w:vertAlign w:val="superscript"/>
                          <w:lang w:eastAsia="lt-LT"/>
                        </w:rPr>
                        <w:t>II</w:t>
                      </w:r>
                      <w:r>
                        <w:rPr>
                          <w:i/>
                          <w:color w:val="000000"/>
                          <w:szCs w:val="24"/>
                          <w:vertAlign w:val="subscript"/>
                          <w:lang w:eastAsia="lt-LT"/>
                        </w:rPr>
                        <w:t>H.HE,m</w:t>
                      </w:r>
                      <w:r>
                        <w:rPr>
                          <w:i/>
                          <w:color w:val="000000"/>
                          <w:szCs w:val="24"/>
                          <w:lang w:eastAsia="lt-LT"/>
                        </w:rPr>
                        <w:t>, Q</w:t>
                      </w:r>
                      <w:r>
                        <w:rPr>
                          <w:i/>
                          <w:color w:val="000000"/>
                          <w:szCs w:val="24"/>
                          <w:vertAlign w:val="superscript"/>
                          <w:lang w:eastAsia="lt-LT"/>
                        </w:rPr>
                        <w:t>III</w:t>
                      </w:r>
                      <w:r>
                        <w:rPr>
                          <w:i/>
                          <w:color w:val="000000"/>
                          <w:szCs w:val="24"/>
                          <w:vertAlign w:val="subscript"/>
                          <w:lang w:eastAsia="lt-LT"/>
                        </w:rPr>
                        <w:t>H.WE,m</w:t>
                      </w:r>
                      <w:r>
                        <w:rPr>
                          <w:i/>
                          <w:color w:val="000000"/>
                          <w:szCs w:val="24"/>
                          <w:lang w:eastAsia="lt-LT"/>
                        </w:rPr>
                        <w:t>, Q</w:t>
                      </w:r>
                      <w:r>
                        <w:rPr>
                          <w:i/>
                          <w:color w:val="000000"/>
                          <w:szCs w:val="24"/>
                          <w:vertAlign w:val="superscript"/>
                          <w:lang w:eastAsia="lt-LT"/>
                        </w:rPr>
                        <w:t>III</w:t>
                      </w:r>
                      <w:r>
                        <w:rPr>
                          <w:i/>
                          <w:color w:val="000000"/>
                          <w:szCs w:val="24"/>
                          <w:vertAlign w:val="subscript"/>
                          <w:lang w:eastAsia="lt-LT"/>
                        </w:rPr>
                        <w:t>H.HE,m</w:t>
                      </w:r>
                      <w:r>
                        <w:rPr>
                          <w:color w:val="000000"/>
                          <w:szCs w:val="24"/>
                          <w:lang w:eastAsia="lt-LT"/>
                        </w:rPr>
                        <w:t xml:space="preserve"> – energijos sąnaudos pastatui šildyti atitinkamą </w:t>
                      </w:r>
                      <w:r>
                        <w:rPr>
                          <w:i/>
                          <w:color w:val="000000"/>
                          <w:szCs w:val="24"/>
                          <w:lang w:eastAsia="lt-LT"/>
                        </w:rPr>
                        <w:t>„m“</w:t>
                      </w:r>
                      <w:r>
                        <w:rPr>
                          <w:color w:val="000000"/>
                          <w:szCs w:val="24"/>
                          <w:lang w:eastAsia="lt-LT"/>
                        </w:rPr>
                        <w:t xml:space="preserve"> mėnesį (kWh/(m²·mėn.)). Apskaičiuojama pagal (2.169), (2.340), (2.381), (2.382), (2.451), (2.999a), (2.488) ir (2.489) formules.</w:t>
                      </w:r>
                    </w:p>
                    <w:p>
                      <w:pPr>
                        <w:tabs>
                          <w:tab w:val="left" w:pos="567"/>
                        </w:tabs>
                        <w:suppressAutoHyphens/>
                        <w:ind w:left="600" w:hanging="600"/>
                        <w:rPr>
                          <w:color w:val="000000"/>
                          <w:szCs w:val="24"/>
                          <w:lang w:eastAsia="lt-LT"/>
                        </w:rPr>
                      </w:pPr>
                    </w:p>
                    <w:tbl>
                      <w:tblPr>
                        <w:tblW w:w="5000" w:type="pct"/>
                        <w:jc w:val="center"/>
                        <w:tblLook w:val="01E0" w:firstRow="1" w:lastRow="1" w:firstColumn="1" w:lastColumn="1" w:noHBand="0" w:noVBand="0"/>
                      </w:tblPr>
                      <w:tblGrid>
                        <w:gridCol w:w="8540"/>
                        <w:gridCol w:w="1314"/>
                      </w:tblGrid>
                      <w:tr>
                        <w:trPr>
                          <w:jc w:val="center"/>
                        </w:trPr>
                        <w:tc>
                          <w:tcPr>
                            <w:tcW w:w="8352"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768" w:dyaOrig="1452">
                                <v:shape id="_x0000_i1679" type="#_x0000_t75" style="width:343.8pt;height:74.45pt" o:ole="">
                                  <v:imagedata r:id="rId1549" o:title=""/>
                                </v:shape>
                                <o:OLEObject Type="Embed" ProgID="Equation.3" ShapeID="_x0000_i1679" DrawAspect="Content" ObjectID="_0000000001" r:id="rId1550"/>
                              </w:object>
                            </w:r>
                          </w:p>
                        </w:tc>
                        <w:tc>
                          <w:tcPr>
                            <w:tcW w:w="1285"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 xml:space="preserve">(2.556) </w:t>
                            </w:r>
                          </w:p>
                        </w:tc>
                      </w:tr>
                    </w:tbl>
                    <w:p>
                      <w:pPr>
                        <w:rPr>
                          <w:rFonts w:eastAsia="Calibri"/>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2 pr. 69 p."/>
                <w:tag w:val="part_951d843364a7444a8ec23410f0522c2c"/>
                <w:lock w:val="sdtLocked"/>
                <w:richText/>
              </w:sdtPr>
              <w:sdtContent>
                <w:p>
                  <w:pPr>
                    <w:ind w:firstLine="567"/>
                    <w:jc w:val="both"/>
                    <w:rPr>
                      <w:color w:val="000000"/>
                      <w:szCs w:val="24"/>
                    </w:rPr>
                  </w:pPr>
                  <w:sdt>
                    <w:sdtPr>
                      <w:alias w:val="Numeris"/>
                      <w:tag w:val="nr_951d843364a7444a8ec23410f0522c2c"/>
                      <w:lock w:val="sdtLocked"/>
                      <w:richText/>
                    </w:sdtPr>
                    <w:sdtContent>
                      <w:r>
                        <w:rPr>
                          <w:color w:val="000000"/>
                          <w:szCs w:val="24"/>
                        </w:rPr>
                        <w:t>69</w:t>
                      </w:r>
                    </w:sdtContent>
                  </w:sdt>
                  <w:r>
                    <w:rPr>
                      <w:color w:val="000000"/>
                      <w:szCs w:val="24"/>
                    </w:rPr>
                    <w:t>. Energijos, pagamintos Saulės kolektoriuose, vėjo elektrinėse ir hidroelektrinėse, suminės energijos sąnaudos pastate apskaičiuojamos taip:</w:t>
                  </w:r>
                </w:p>
                <w:sdt>
                  <w:sdtPr>
                    <w:alias w:val="2 pr. 69.1 pp."/>
                    <w:tag w:val="part_8eaa8ff072ea49cebd917506ec710433"/>
                    <w:lock w:val="sdtLocked"/>
                    <w:richText/>
                  </w:sdtPr>
                  <w:sdtContent>
                    <w:p>
                      <w:pPr>
                        <w:ind w:firstLine="600"/>
                        <w:jc w:val="both"/>
                        <w:rPr>
                          <w:color w:val="000000"/>
                          <w:szCs w:val="24"/>
                        </w:rPr>
                      </w:pPr>
                      <w:sdt>
                        <w:sdtPr>
                          <w:alias w:val="Numeris"/>
                          <w:tag w:val="nr_8eaa8ff072ea49cebd917506ec710433"/>
                          <w:lock w:val="sdtLocked"/>
                          <w:richText/>
                        </w:sdtPr>
                        <w:sdtContent>
                          <w:r>
                            <w:rPr>
                              <w:color w:val="000000"/>
                              <w:szCs w:val="24"/>
                            </w:rPr>
                            <w:t>69.1</w:t>
                          </w:r>
                        </w:sdtContent>
                      </w:sdt>
                      <w:r>
                        <w:rPr>
                          <w:color w:val="000000"/>
                          <w:szCs w:val="24"/>
                        </w:rPr>
                        <w:t xml:space="preserve">. kiekvieną mėnesį </w:t>
                      </w:r>
                      <w:r>
                        <w:rPr>
                          <w:i/>
                          <w:color w:val="000000"/>
                          <w:szCs w:val="24"/>
                        </w:rPr>
                        <w:t xml:space="preserve">„m“ </w:t>
                      </w:r>
                      <w:r>
                        <w:rPr>
                          <w:color w:val="000000"/>
                          <w:szCs w:val="24"/>
                        </w:rPr>
                        <w:t xml:space="preserve">energijos (šiluminės ir elektros) iš Saulės kolektorių, vėjo elektrinių ir hidroelektrinių suminės sąnaudos karštam buitiniam vandeniui ruošti </w:t>
                      </w:r>
                      <w:r>
                        <w:rPr>
                          <w:i/>
                          <w:color w:val="000000"/>
                          <w:szCs w:val="24"/>
                        </w:rPr>
                        <w:t>Q</w:t>
                      </w:r>
                      <w:r>
                        <w:rPr>
                          <w:i/>
                          <w:color w:val="000000"/>
                          <w:szCs w:val="24"/>
                          <w:vertAlign w:val="subscript"/>
                        </w:rPr>
                        <w:t>hw.SK+WE+HE,m</w:t>
                      </w:r>
                      <w:r>
                        <w:rPr>
                          <w:color w:val="000000"/>
                          <w:szCs w:val="24"/>
                        </w:rPr>
                        <w:t>(kWh/(m²·mėn.)) apskaičiuojamos taip:</w:t>
                      </w:r>
                    </w:p>
                    <w:tbl>
                      <w:tblPr>
                        <w:tblW w:w="5000" w:type="pct"/>
                        <w:jc w:val="center"/>
                        <w:tblLook w:val="01E0" w:firstRow="1" w:lastRow="1" w:firstColumn="1" w:lastColumn="1" w:noHBand="0" w:noVBand="0"/>
                      </w:tblPr>
                      <w:tblGrid>
                        <w:gridCol w:w="8802"/>
                        <w:gridCol w:w="1052"/>
                      </w:tblGrid>
                      <w:tr>
                        <w:trPr>
                          <w:jc w:val="center"/>
                        </w:trPr>
                        <w:tc>
                          <w:tcPr>
                            <w:tcW w:w="4466" w:type="pct"/>
                            <w:vAlign w:val="center"/>
                            <w:hideMark/>
                          </w:tcPr>
                          <w:p>
                            <w:pPr>
                              <w:spacing w:line="276" w:lineRule="auto"/>
                              <w:jc w:val="center"/>
                              <w:rPr>
                                <w:rFonts w:eastAsia="Calibri"/>
                                <w:color w:val="000000"/>
                                <w:szCs w:val="24"/>
                              </w:rPr>
                            </w:pPr>
                            <w:r>
                              <w:rPr>
                                <w:rFonts w:eastAsia="Calibri"/>
                                <w:color w:val="000000"/>
                                <w:szCs w:val="24"/>
                              </w:rPr>
                              <w:object w:dxaOrig="6430" w:dyaOrig="840">
                                <v:shape id="_x0000_i1680" type="#_x0000_t75" style="width:322pt;height:42.05pt" o:ole="">
                                  <v:imagedata r:id="rId1551" o:title=""/>
                                </v:shape>
                                <o:OLEObject Type="Embed" ProgID="Equation.3" ShapeID="_x0000_i1680" DrawAspect="Content" ObjectID="_0000000001" r:id="rId1552"/>
                              </w:object>
                            </w:r>
                          </w:p>
                        </w:tc>
                        <w:tc>
                          <w:tcPr>
                            <w:tcW w:w="534" w:type="pct"/>
                            <w:vAlign w:val="center"/>
                            <w:hideMark/>
                          </w:tcPr>
                          <w:p>
                            <w:pPr>
                              <w:spacing w:line="276" w:lineRule="auto"/>
                              <w:jc w:val="right"/>
                              <w:rPr>
                                <w:rFonts w:eastAsia="Calibri"/>
                                <w:color w:val="000000"/>
                                <w:szCs w:val="24"/>
                              </w:rPr>
                            </w:pPr>
                            <w:r>
                              <w:rPr>
                                <w:color w:val="000000"/>
                                <w:szCs w:val="24"/>
                              </w:rPr>
                              <w:t>(2.558)</w:t>
                            </w:r>
                          </w:p>
                        </w:tc>
                      </w:tr>
                    </w:tbl>
                    <w:p>
                      <w:pPr>
                        <w:ind w:left="600" w:hanging="600"/>
                        <w:rPr>
                          <w:color w:val="000000"/>
                          <w:szCs w:val="24"/>
                        </w:rPr>
                      </w:pPr>
                    </w:p>
                    <w:p>
                      <w:pPr>
                        <w:ind w:left="600" w:hanging="600"/>
                        <w:rPr>
                          <w:color w:val="000000"/>
                          <w:szCs w:val="24"/>
                        </w:rPr>
                      </w:pPr>
                    </w:p>
                    <w:p>
                      <w:pPr>
                        <w:ind w:left="600" w:hanging="600"/>
                        <w:rPr>
                          <w:rFonts w:eastAsia="Calibri"/>
                          <w:color w:val="000000"/>
                          <w:szCs w:val="24"/>
                        </w:rPr>
                      </w:pPr>
                      <w:r>
                        <w:rPr>
                          <w:color w:val="000000"/>
                          <w:szCs w:val="24"/>
                        </w:rPr>
                        <w:t>čia:</w:t>
                      </w:r>
                      <w:r>
                        <w:rPr>
                          <w:i/>
                          <w:color w:val="000000"/>
                          <w:szCs w:val="24"/>
                        </w:rPr>
                        <w:tab/>
                        <w:t>Q</w:t>
                      </w:r>
                      <w:r>
                        <w:rPr>
                          <w:i/>
                          <w:color w:val="000000"/>
                          <w:szCs w:val="24"/>
                          <w:vertAlign w:val="subscript"/>
                        </w:rPr>
                        <w:t>hw.sum.SK,m</w:t>
                      </w:r>
                      <w:r>
                        <w:rPr>
                          <w:color w:val="000000"/>
                          <w:szCs w:val="24"/>
                        </w:rPr>
                        <w:t xml:space="preserve"> – apskaičiuojama pagal (2.338) formulę;</w:t>
                      </w:r>
                    </w:p>
                    <w:p>
                      <w:pPr>
                        <w:ind w:left="600"/>
                        <w:rPr>
                          <w:color w:val="000000"/>
                          <w:szCs w:val="24"/>
                        </w:rPr>
                      </w:pPr>
                      <w:r>
                        <w:rPr>
                          <w:i/>
                          <w:color w:val="000000"/>
                          <w:szCs w:val="24"/>
                        </w:rPr>
                        <w:t>Q</w:t>
                      </w:r>
                      <w:r>
                        <w:rPr>
                          <w:i/>
                          <w:color w:val="000000"/>
                          <w:szCs w:val="24"/>
                          <w:vertAlign w:val="subscript"/>
                        </w:rPr>
                        <w:t>hw.WE,m</w:t>
                      </w:r>
                      <w:r>
                        <w:rPr>
                          <w:color w:val="000000"/>
                          <w:szCs w:val="24"/>
                        </w:rPr>
                        <w:t xml:space="preserve"> – apskaičiuojama pagal (2.364) formulę;</w:t>
                      </w:r>
                    </w:p>
                    <w:p>
                      <w:pPr>
                        <w:ind w:left="600"/>
                        <w:rPr>
                          <w:color w:val="000000"/>
                          <w:szCs w:val="24"/>
                        </w:rPr>
                      </w:pPr>
                      <w:r>
                        <w:rPr>
                          <w:i/>
                          <w:color w:val="000000"/>
                          <w:szCs w:val="24"/>
                        </w:rPr>
                        <w:t>Q</w:t>
                      </w:r>
                      <w:r>
                        <w:rPr>
                          <w:i/>
                          <w:color w:val="000000"/>
                          <w:szCs w:val="24"/>
                          <w:vertAlign w:val="subscript"/>
                        </w:rPr>
                        <w:t>hw.HE,m</w:t>
                      </w:r>
                      <w:r>
                        <w:rPr>
                          <w:color w:val="000000"/>
                          <w:szCs w:val="24"/>
                        </w:rPr>
                        <w:t xml:space="preserve"> – apskaičiuojama pagal (2.365) formulę;</w:t>
                      </w:r>
                    </w:p>
                    <w:p>
                      <w:pPr>
                        <w:ind w:left="600"/>
                        <w:rPr>
                          <w:i/>
                          <w:color w:val="000000"/>
                          <w:szCs w:val="24"/>
                        </w:rPr>
                      </w:pPr>
                      <w:r>
                        <w:rPr>
                          <w:i/>
                          <w:color w:val="000000"/>
                          <w:szCs w:val="24"/>
                        </w:rPr>
                        <w:t>Q</w:t>
                      </w:r>
                      <w:r>
                        <w:rPr>
                          <w:i/>
                          <w:color w:val="000000"/>
                          <w:szCs w:val="24"/>
                          <w:vertAlign w:val="superscript"/>
                        </w:rPr>
                        <w:t>I</w:t>
                      </w:r>
                      <w:r>
                        <w:rPr>
                          <w:i/>
                          <w:color w:val="000000"/>
                          <w:szCs w:val="24"/>
                          <w:vertAlign w:val="subscript"/>
                        </w:rPr>
                        <w:t>hw.WE,m</w:t>
                      </w:r>
                      <w:r>
                        <w:rPr>
                          <w:color w:val="000000"/>
                          <w:szCs w:val="24"/>
                        </w:rPr>
                        <w:t xml:space="preserve"> – apskaičiuojama pagal (2.416) formulę;</w:t>
                      </w:r>
                    </w:p>
                    <w:p>
                      <w:pPr>
                        <w:ind w:left="600"/>
                        <w:rPr>
                          <w:color w:val="000000"/>
                          <w:szCs w:val="24"/>
                        </w:rPr>
                      </w:pPr>
                      <w:r>
                        <w:rPr>
                          <w:i/>
                          <w:color w:val="000000"/>
                          <w:szCs w:val="24"/>
                        </w:rPr>
                        <w:t>Q</w:t>
                      </w:r>
                      <w:r>
                        <w:rPr>
                          <w:i/>
                          <w:color w:val="000000"/>
                          <w:szCs w:val="24"/>
                          <w:vertAlign w:val="superscript"/>
                        </w:rPr>
                        <w:t>I</w:t>
                      </w:r>
                      <w:r>
                        <w:rPr>
                          <w:i/>
                          <w:color w:val="000000"/>
                          <w:szCs w:val="24"/>
                          <w:vertAlign w:val="subscript"/>
                        </w:rPr>
                        <w:t>hw.HE,m</w:t>
                      </w:r>
                      <w:r>
                        <w:rPr>
                          <w:color w:val="000000"/>
                          <w:szCs w:val="24"/>
                        </w:rPr>
                        <w:t xml:space="preserve"> – apskaičiuojama pagal (2.417) formulę;</w:t>
                      </w:r>
                    </w:p>
                    <w:p>
                      <w:pPr>
                        <w:ind w:left="600"/>
                        <w:rPr>
                          <w:color w:val="000000"/>
                          <w:szCs w:val="24"/>
                        </w:rPr>
                      </w:pPr>
                      <w:r>
                        <w:rPr>
                          <w:i/>
                          <w:color w:val="000000"/>
                          <w:szCs w:val="24"/>
                        </w:rPr>
                        <w:t>Q</w:t>
                      </w:r>
                      <w:r>
                        <w:rPr>
                          <w:i/>
                          <w:color w:val="000000"/>
                          <w:szCs w:val="24"/>
                          <w:vertAlign w:val="superscript"/>
                        </w:rPr>
                        <w:t>III</w:t>
                      </w:r>
                      <w:r>
                        <w:rPr>
                          <w:i/>
                          <w:color w:val="000000"/>
                          <w:szCs w:val="24"/>
                          <w:vertAlign w:val="subscript"/>
                        </w:rPr>
                        <w:t>hw.WE,m</w:t>
                      </w:r>
                      <w:r>
                        <w:rPr>
                          <w:color w:val="000000"/>
                          <w:szCs w:val="24"/>
                        </w:rPr>
                        <w:t xml:space="preserve"> – apskaičiuojama pagal (2.471) formulę;</w:t>
                      </w:r>
                    </w:p>
                    <w:p>
                      <w:pPr>
                        <w:ind w:left="600"/>
                        <w:rPr>
                          <w:color w:val="000000"/>
                          <w:szCs w:val="24"/>
                        </w:rPr>
                      </w:pPr>
                      <w:r>
                        <w:rPr>
                          <w:i/>
                          <w:color w:val="000000"/>
                          <w:szCs w:val="24"/>
                        </w:rPr>
                        <w:t>Q</w:t>
                      </w:r>
                      <w:r>
                        <w:rPr>
                          <w:i/>
                          <w:color w:val="000000"/>
                          <w:szCs w:val="24"/>
                          <w:vertAlign w:val="superscript"/>
                        </w:rPr>
                        <w:t>III</w:t>
                      </w:r>
                      <w:r>
                        <w:rPr>
                          <w:i/>
                          <w:color w:val="000000"/>
                          <w:szCs w:val="24"/>
                          <w:vertAlign w:val="subscript"/>
                        </w:rPr>
                        <w:t>hw.HE,m</w:t>
                      </w:r>
                      <w:r>
                        <w:rPr>
                          <w:color w:val="000000"/>
                          <w:szCs w:val="24"/>
                        </w:rPr>
                        <w:t xml:space="preserve"> – apskaičiuojama pagal (2.472) formulę;</w:t>
                      </w:r>
                    </w:p>
                    <w:p>
                      <w:pPr>
                        <w:ind w:left="600" w:hanging="33"/>
                        <w:rPr>
                          <w:color w:val="000000"/>
                          <w:szCs w:val="24"/>
                        </w:rPr>
                      </w:pPr>
                      <w:r>
                        <w:rPr>
                          <w:i/>
                          <w:color w:val="000000"/>
                          <w:szCs w:val="24"/>
                        </w:rPr>
                        <w:t>Q</w:t>
                      </w:r>
                      <w:r>
                        <w:rPr>
                          <w:i/>
                          <w:color w:val="000000"/>
                          <w:szCs w:val="24"/>
                          <w:vertAlign w:val="superscript"/>
                        </w:rPr>
                        <w:t>IV</w:t>
                      </w:r>
                      <w:r>
                        <w:rPr>
                          <w:i/>
                          <w:color w:val="000000"/>
                          <w:szCs w:val="24"/>
                          <w:vertAlign w:val="subscript"/>
                        </w:rPr>
                        <w:t>hw.WE,m</w:t>
                      </w:r>
                      <w:r>
                        <w:rPr>
                          <w:color w:val="000000"/>
                          <w:szCs w:val="24"/>
                        </w:rPr>
                        <w:t xml:space="preserve"> – apskaičiuojama pagal (2.524) formulę;</w:t>
                      </w:r>
                    </w:p>
                    <w:p>
                      <w:pPr>
                        <w:ind w:left="600" w:hanging="33"/>
                        <w:rPr>
                          <w:color w:val="000000"/>
                          <w:szCs w:val="24"/>
                        </w:rPr>
                      </w:pPr>
                      <w:r>
                        <w:rPr>
                          <w:i/>
                          <w:color w:val="000000"/>
                          <w:szCs w:val="24"/>
                        </w:rPr>
                        <w:t>Q</w:t>
                      </w:r>
                      <w:r>
                        <w:rPr>
                          <w:i/>
                          <w:color w:val="000000"/>
                          <w:szCs w:val="24"/>
                          <w:vertAlign w:val="superscript"/>
                        </w:rPr>
                        <w:t>IV</w:t>
                      </w:r>
                      <w:r>
                        <w:rPr>
                          <w:i/>
                          <w:color w:val="000000"/>
                          <w:szCs w:val="24"/>
                          <w:vertAlign w:val="subscript"/>
                        </w:rPr>
                        <w:t>hw.HE,m</w:t>
                      </w:r>
                      <w:r>
                        <w:rPr>
                          <w:color w:val="000000"/>
                          <w:szCs w:val="24"/>
                        </w:rPr>
                        <w:t xml:space="preserve"> – apskaičiuojama pagal (2.525) formulę;</w:t>
                      </w:r>
                    </w:p>
                  </w:sdtContent>
                </w:sdt>
                <w:sdt>
                  <w:sdtPr>
                    <w:alias w:val="2 pr. 69.2 pp."/>
                    <w:tag w:val="part_8db656989f3445049c217b77d7db1789"/>
                    <w:lock w:val="sdtLocked"/>
                    <w:richText/>
                  </w:sdtPr>
                  <w:sdtContent>
                    <w:p>
                      <w:pPr>
                        <w:ind w:firstLine="600"/>
                        <w:jc w:val="both"/>
                        <w:rPr>
                          <w:color w:val="000000"/>
                          <w:szCs w:val="24"/>
                        </w:rPr>
                      </w:pPr>
                      <w:sdt>
                        <w:sdtPr>
                          <w:alias w:val="Numeris"/>
                          <w:tag w:val="nr_8db656989f3445049c217b77d7db1789"/>
                          <w:lock w:val="sdtLocked"/>
                          <w:richText/>
                        </w:sdtPr>
                        <w:sdtContent>
                          <w:r>
                            <w:rPr>
                              <w:color w:val="000000"/>
                              <w:szCs w:val="24"/>
                            </w:rPr>
                            <w:t>69.2</w:t>
                          </w:r>
                        </w:sdtContent>
                      </w:sdt>
                      <w:r>
                        <w:rPr>
                          <w:color w:val="000000"/>
                          <w:szCs w:val="24"/>
                        </w:rPr>
                        <w:t xml:space="preserve">. kiekvieną mėnesį </w:t>
                      </w:r>
                      <w:r>
                        <w:rPr>
                          <w:i/>
                          <w:color w:val="000000"/>
                          <w:szCs w:val="24"/>
                        </w:rPr>
                        <w:t xml:space="preserve">„m“ </w:t>
                      </w:r>
                      <w:r>
                        <w:rPr>
                          <w:color w:val="000000"/>
                          <w:szCs w:val="24"/>
                        </w:rPr>
                        <w:t xml:space="preserve">energijos iš Saulės kolektorių, vėjo elektrinių ir hidroelektrinių neatsinaujinančios pirminės energijos sąnaudos karštam buitiniam vandeniui ruošti </w:t>
                      </w:r>
                      <w:r>
                        <w:rPr>
                          <w:i/>
                          <w:color w:val="000000"/>
                          <w:szCs w:val="24"/>
                        </w:rPr>
                        <w:t>Q</w:t>
                      </w:r>
                      <w:r>
                        <w:rPr>
                          <w:i/>
                          <w:color w:val="000000"/>
                          <w:szCs w:val="24"/>
                          <w:vertAlign w:val="subscript"/>
                        </w:rPr>
                        <w:t>PRn.hw.SK+WE+HE,m</w:t>
                      </w:r>
                      <w:r>
                        <w:rPr>
                          <w:color w:val="000000"/>
                          <w:szCs w:val="24"/>
                        </w:rPr>
                        <w:t>(kWh/(m²·mėn.)) apskaičiuojamos taip:</w:t>
                      </w:r>
                    </w:p>
                    <w:tbl>
                      <w:tblPr>
                        <w:tblW w:w="5000" w:type="pct"/>
                        <w:jc w:val="center"/>
                        <w:tblLook w:val="01E0" w:firstRow="1" w:lastRow="1" w:firstColumn="1" w:lastColumn="1" w:noHBand="0" w:noVBand="0"/>
                      </w:tblPr>
                      <w:tblGrid>
                        <w:gridCol w:w="8802"/>
                        <w:gridCol w:w="1052"/>
                      </w:tblGrid>
                      <w:tr>
                        <w:trPr>
                          <w:jc w:val="center"/>
                        </w:trPr>
                        <w:tc>
                          <w:tcPr>
                            <w:tcW w:w="4466" w:type="pct"/>
                            <w:vAlign w:val="center"/>
                            <w:hideMark/>
                          </w:tcPr>
                          <w:p>
                            <w:pPr>
                              <w:spacing w:line="276" w:lineRule="auto"/>
                              <w:jc w:val="center"/>
                              <w:rPr>
                                <w:rFonts w:eastAsia="Calibri"/>
                                <w:color w:val="000000"/>
                                <w:szCs w:val="24"/>
                              </w:rPr>
                            </w:pPr>
                            <w:r>
                              <w:rPr>
                                <w:rFonts w:eastAsia="Calibri"/>
                                <w:color w:val="000000"/>
                                <w:szCs w:val="24"/>
                              </w:rPr>
                              <w:object w:dxaOrig="7310" w:dyaOrig="820">
                                <v:shape id="_x0000_i1681" type="#_x0000_t75" style="width:364.85pt;height:41.25pt" o:ole="">
                                  <v:imagedata r:id="rId1553" o:title=""/>
                                </v:shape>
                                <o:OLEObject Type="Embed" ProgID="Equation.3" ShapeID="_x0000_i1681" DrawAspect="Content" ObjectID="_0000000001" r:id="rId1554"/>
                              </w:object>
                            </w:r>
                          </w:p>
                        </w:tc>
                        <w:tc>
                          <w:tcPr>
                            <w:tcW w:w="534" w:type="pct"/>
                            <w:vAlign w:val="center"/>
                            <w:hideMark/>
                          </w:tcPr>
                          <w:p>
                            <w:pPr>
                              <w:spacing w:line="276" w:lineRule="auto"/>
                              <w:jc w:val="right"/>
                              <w:rPr>
                                <w:rFonts w:eastAsia="Calibri"/>
                                <w:color w:val="000000"/>
                                <w:szCs w:val="24"/>
                              </w:rPr>
                            </w:pPr>
                            <w:r>
                              <w:rPr>
                                <w:color w:val="000000"/>
                                <w:szCs w:val="24"/>
                              </w:rPr>
                              <w:t>(2.559)</w:t>
                            </w:r>
                          </w:p>
                        </w:tc>
                      </w:tr>
                    </w:tbl>
                    <w:p>
                      <w:pPr>
                        <w:ind w:left="600" w:hanging="600"/>
                        <w:jc w:val="both"/>
                        <w:rPr>
                          <w:color w:val="000000"/>
                          <w:szCs w:val="24"/>
                        </w:rPr>
                      </w:pPr>
                    </w:p>
                    <w:p>
                      <w:pPr>
                        <w:ind w:left="600" w:hanging="600"/>
                        <w:jc w:val="both"/>
                        <w:rPr>
                          <w:color w:val="000000"/>
                          <w:szCs w:val="24"/>
                        </w:rPr>
                      </w:pPr>
                    </w:p>
                    <w:p>
                      <w:pPr>
                        <w:ind w:left="600" w:hanging="600"/>
                        <w:jc w:val="both"/>
                        <w:rPr>
                          <w:rFonts w:eastAsia="Calibri"/>
                          <w:color w:val="000000"/>
                          <w:szCs w:val="24"/>
                        </w:rPr>
                      </w:pPr>
                      <w:r>
                        <w:rPr>
                          <w:color w:val="000000"/>
                          <w:szCs w:val="24"/>
                        </w:rPr>
                        <w:t>čia:</w:t>
                      </w:r>
                      <w:r>
                        <w:rPr>
                          <w:i/>
                          <w:color w:val="000000"/>
                          <w:szCs w:val="24"/>
                        </w:rPr>
                        <w:tab/>
                        <w:t>Q</w:t>
                      </w:r>
                      <w:r>
                        <w:rPr>
                          <w:i/>
                          <w:color w:val="000000"/>
                          <w:szCs w:val="24"/>
                          <w:vertAlign w:val="subscript"/>
                        </w:rPr>
                        <w:t>PRn.hw.sum.SK,m</w:t>
                      </w:r>
                      <w:r>
                        <w:rPr>
                          <w:color w:val="000000"/>
                          <w:szCs w:val="24"/>
                        </w:rPr>
                        <w:t xml:space="preserve"> - apskaičiuojama pagal (2.339) formulę;</w:t>
                      </w:r>
                    </w:p>
                    <w:p>
                      <w:pPr>
                        <w:ind w:firstLine="567"/>
                        <w:jc w:val="both"/>
                        <w:rPr>
                          <w:color w:val="000000"/>
                          <w:szCs w:val="24"/>
                        </w:rPr>
                      </w:pPr>
                      <w:r>
                        <w:rPr>
                          <w:i/>
                          <w:color w:val="000000"/>
                          <w:szCs w:val="24"/>
                        </w:rPr>
                        <w:t>f</w:t>
                      </w:r>
                      <w:r>
                        <w:rPr>
                          <w:i/>
                          <w:color w:val="000000"/>
                          <w:szCs w:val="24"/>
                          <w:vertAlign w:val="subscript"/>
                        </w:rPr>
                        <w:t xml:space="preserve">PRn.WE </w:t>
                      </w:r>
                      <w:r>
                        <w:rPr>
                          <w:color w:val="000000"/>
                          <w:szCs w:val="24"/>
                        </w:rPr>
                        <w:t xml:space="preserve">– neatsinaujinančios pirminės energijos faktorius, kai energija gaminama  vėjo elektrinėse (vnt.). Imamas iš 2.18 lentelės;</w:t>
                      </w:r>
                    </w:p>
                    <w:p>
                      <w:pPr>
                        <w:ind w:firstLine="567"/>
                        <w:jc w:val="both"/>
                        <w:rPr>
                          <w:color w:val="000000"/>
                          <w:szCs w:val="24"/>
                        </w:rPr>
                      </w:pPr>
                      <w:r>
                        <w:rPr>
                          <w:i/>
                          <w:color w:val="000000"/>
                          <w:szCs w:val="24"/>
                        </w:rPr>
                        <w:t>f</w:t>
                      </w:r>
                      <w:r>
                        <w:rPr>
                          <w:i/>
                          <w:color w:val="000000"/>
                          <w:szCs w:val="24"/>
                          <w:vertAlign w:val="subscript"/>
                        </w:rPr>
                        <w:t xml:space="preserve">PRn.HE </w:t>
                      </w:r>
                      <w:r>
                        <w:rPr>
                          <w:color w:val="000000"/>
                          <w:szCs w:val="24"/>
                        </w:rPr>
                        <w:t xml:space="preserve">– neatsinaujinančios pirminės energijos faktorius, kai energija gaminama  hidroelektrinėse (vnt.). Imamas iš 2.18 lentelės;</w:t>
                      </w:r>
                    </w:p>
                    <w:p>
                      <w:pPr>
                        <w:ind w:left="600" w:hanging="33"/>
                        <w:rPr>
                          <w:color w:val="000000"/>
                          <w:szCs w:val="24"/>
                        </w:rPr>
                      </w:pPr>
                    </w:p>
                  </w:sdtContent>
                </w:sdt>
                <w:sdt>
                  <w:sdtPr>
                    <w:alias w:val="2 pr. 69.3 pp."/>
                    <w:tag w:val="part_996b9229ab8444c3b766964dd50e849d"/>
                    <w:lock w:val="sdtLocked"/>
                    <w:richText/>
                  </w:sdtPr>
                  <w:sdtContent>
                    <w:p>
                      <w:pPr>
                        <w:ind w:firstLine="600"/>
                        <w:jc w:val="both"/>
                        <w:rPr>
                          <w:color w:val="000000"/>
                          <w:szCs w:val="24"/>
                        </w:rPr>
                      </w:pPr>
                      <w:sdt>
                        <w:sdtPr>
                          <w:alias w:val="Numeris"/>
                          <w:tag w:val="nr_996b9229ab8444c3b766964dd50e849d"/>
                          <w:lock w:val="sdtLocked"/>
                          <w:richText/>
                        </w:sdtPr>
                        <w:sdtContent>
                          <w:r>
                            <w:rPr>
                              <w:color w:val="000000"/>
                              <w:szCs w:val="24"/>
                            </w:rPr>
                            <w:t>69.3</w:t>
                          </w:r>
                        </w:sdtContent>
                      </w:sdt>
                      <w:r>
                        <w:rPr>
                          <w:color w:val="000000"/>
                          <w:szCs w:val="24"/>
                        </w:rPr>
                        <w:t xml:space="preserve">. kiekvieną mėnesį </w:t>
                      </w:r>
                      <w:r>
                        <w:rPr>
                          <w:i/>
                          <w:color w:val="000000"/>
                          <w:szCs w:val="24"/>
                        </w:rPr>
                        <w:t xml:space="preserve">„m“ </w:t>
                      </w:r>
                      <w:r>
                        <w:rPr>
                          <w:color w:val="000000"/>
                          <w:szCs w:val="24"/>
                        </w:rPr>
                        <w:t xml:space="preserve">energijos (šiluminės ir elektros) iš Saulės kolektorių, vėjo elektrinių ir hidroelektrinių suminės sąnaudos pastatui šildyti </w:t>
                      </w:r>
                      <w:r>
                        <w:rPr>
                          <w:i/>
                          <w:color w:val="000000"/>
                          <w:szCs w:val="24"/>
                        </w:rPr>
                        <w:t>Q</w:t>
                      </w:r>
                      <w:r>
                        <w:rPr>
                          <w:i/>
                          <w:color w:val="000000"/>
                          <w:szCs w:val="24"/>
                          <w:vertAlign w:val="subscript"/>
                        </w:rPr>
                        <w:t>H.SK+WE+HE,m</w:t>
                      </w:r>
                      <w:r>
                        <w:rPr>
                          <w:color w:val="000000"/>
                          <w:szCs w:val="24"/>
                        </w:rPr>
                        <w:t>(kWh/(m²·mėn.)) apskaičiuojamos taip:</w:t>
                      </w:r>
                    </w:p>
                    <w:tbl>
                      <w:tblPr>
                        <w:tblW w:w="5000" w:type="pct"/>
                        <w:jc w:val="center"/>
                        <w:tblLook w:val="01E0" w:firstRow="1" w:lastRow="1" w:firstColumn="1" w:lastColumn="1" w:noHBand="0" w:noVBand="0"/>
                      </w:tblPr>
                      <w:tblGrid>
                        <w:gridCol w:w="8788"/>
                        <w:gridCol w:w="1066"/>
                      </w:tblGrid>
                      <w:tr>
                        <w:trPr>
                          <w:jc w:val="center"/>
                        </w:trPr>
                        <w:tc>
                          <w:tcPr>
                            <w:tcW w:w="4459" w:type="pct"/>
                            <w:vAlign w:val="center"/>
                            <w:hideMark/>
                          </w:tcPr>
                          <w:p>
                            <w:pPr>
                              <w:spacing w:line="276" w:lineRule="auto"/>
                              <w:jc w:val="center"/>
                              <w:rPr>
                                <w:rFonts w:eastAsia="Calibri"/>
                                <w:color w:val="000000"/>
                                <w:szCs w:val="24"/>
                              </w:rPr>
                            </w:pPr>
                            <w:r>
                              <w:rPr>
                                <w:rFonts w:eastAsia="Calibri"/>
                                <w:color w:val="000000"/>
                                <w:szCs w:val="24"/>
                              </w:rPr>
                              <w:object w:dxaOrig="6030" w:dyaOrig="840">
                                <v:shape id="_x0000_i1682" type="#_x0000_t75" style="width:302.55pt;height:42.05pt" o:ole="">
                                  <v:imagedata r:id="rId1555" o:title=""/>
                                </v:shape>
                                <o:OLEObject Type="Embed" ProgID="Equation.3" ShapeID="_x0000_i1682" DrawAspect="Content" ObjectID="_0000000001" r:id="rId1556"/>
                              </w:object>
                            </w:r>
                          </w:p>
                        </w:tc>
                        <w:tc>
                          <w:tcPr>
                            <w:tcW w:w="541" w:type="pct"/>
                            <w:vAlign w:val="center"/>
                            <w:hideMark/>
                          </w:tcPr>
                          <w:p>
                            <w:pPr>
                              <w:spacing w:line="276" w:lineRule="auto"/>
                              <w:jc w:val="right"/>
                              <w:rPr>
                                <w:rFonts w:eastAsia="Calibri"/>
                                <w:color w:val="000000"/>
                                <w:szCs w:val="24"/>
                              </w:rPr>
                            </w:pPr>
                            <w:r>
                              <w:rPr>
                                <w:color w:val="000000"/>
                                <w:szCs w:val="24"/>
                              </w:rPr>
                              <w:t>(2.560)</w:t>
                            </w:r>
                          </w:p>
                        </w:tc>
                      </w:tr>
                    </w:tbl>
                    <w:p>
                      <w:pPr>
                        <w:ind w:left="600" w:hanging="600"/>
                        <w:rPr>
                          <w:color w:val="000000"/>
                          <w:szCs w:val="24"/>
                        </w:rPr>
                      </w:pPr>
                    </w:p>
                    <w:p>
                      <w:pPr>
                        <w:ind w:left="600" w:hanging="600"/>
                        <w:rPr>
                          <w:rFonts w:eastAsia="Calibri"/>
                          <w:color w:val="000000"/>
                          <w:szCs w:val="24"/>
                        </w:rPr>
                      </w:pPr>
                      <w:r>
                        <w:rPr>
                          <w:color w:val="000000"/>
                          <w:szCs w:val="24"/>
                        </w:rPr>
                        <w:t>čia:</w:t>
                      </w:r>
                      <w:r>
                        <w:rPr>
                          <w:i/>
                          <w:color w:val="000000"/>
                          <w:szCs w:val="24"/>
                        </w:rPr>
                        <w:tab/>
                        <w:t>Q</w:t>
                      </w:r>
                      <w:r>
                        <w:rPr>
                          <w:i/>
                          <w:color w:val="000000"/>
                          <w:szCs w:val="24"/>
                          <w:vertAlign w:val="subscript"/>
                        </w:rPr>
                        <w:t>H.sum.SK,m</w:t>
                      </w:r>
                      <w:r>
                        <w:rPr>
                          <w:color w:val="000000"/>
                          <w:szCs w:val="24"/>
                        </w:rPr>
                        <w:t xml:space="preserve"> – apskaičiuojama pagal (2.340) formulę;</w:t>
                      </w:r>
                    </w:p>
                    <w:p>
                      <w:pPr>
                        <w:ind w:left="600"/>
                        <w:rPr>
                          <w:color w:val="000000"/>
                          <w:szCs w:val="24"/>
                        </w:rPr>
                      </w:pPr>
                      <w:r>
                        <w:rPr>
                          <w:i/>
                          <w:color w:val="000000"/>
                          <w:szCs w:val="24"/>
                        </w:rPr>
                        <w:t>Q</w:t>
                      </w:r>
                      <w:r>
                        <w:rPr>
                          <w:i/>
                          <w:color w:val="000000"/>
                          <w:szCs w:val="24"/>
                          <w:vertAlign w:val="subscript"/>
                        </w:rPr>
                        <w:t>H.WE,m</w:t>
                      </w:r>
                      <w:r>
                        <w:rPr>
                          <w:color w:val="000000"/>
                          <w:szCs w:val="24"/>
                        </w:rPr>
                        <w:t xml:space="preserve"> – apskaičiuojama pagal (2.381) formulę;</w:t>
                      </w:r>
                    </w:p>
                    <w:p>
                      <w:pPr>
                        <w:ind w:left="600"/>
                        <w:rPr>
                          <w:color w:val="000000"/>
                          <w:szCs w:val="24"/>
                        </w:rPr>
                      </w:pPr>
                      <w:r>
                        <w:rPr>
                          <w:i/>
                          <w:color w:val="000000"/>
                          <w:szCs w:val="24"/>
                        </w:rPr>
                        <w:t>Q</w:t>
                      </w:r>
                      <w:r>
                        <w:rPr>
                          <w:i/>
                          <w:color w:val="000000"/>
                          <w:szCs w:val="24"/>
                          <w:vertAlign w:val="subscript"/>
                        </w:rPr>
                        <w:t>H.HE,m</w:t>
                      </w:r>
                      <w:r>
                        <w:rPr>
                          <w:color w:val="000000"/>
                          <w:szCs w:val="24"/>
                        </w:rPr>
                        <w:t xml:space="preserve"> – apskaičiuojama pagal (2.382) formulę;</w:t>
                      </w:r>
                    </w:p>
                    <w:p>
                      <w:pPr>
                        <w:ind w:left="600"/>
                        <w:rPr>
                          <w:color w:val="000000"/>
                          <w:szCs w:val="24"/>
                        </w:rPr>
                      </w:pPr>
                      <w:r>
                        <w:rPr>
                          <w:i/>
                          <w:color w:val="000000"/>
                          <w:szCs w:val="24"/>
                        </w:rPr>
                        <w:t>Q</w:t>
                      </w:r>
                      <w:r>
                        <w:rPr>
                          <w:i/>
                          <w:color w:val="000000"/>
                          <w:szCs w:val="24"/>
                          <w:vertAlign w:val="superscript"/>
                        </w:rPr>
                        <w:t>II</w:t>
                      </w:r>
                      <w:r>
                        <w:rPr>
                          <w:i/>
                          <w:color w:val="000000"/>
                          <w:szCs w:val="24"/>
                          <w:vertAlign w:val="subscript"/>
                        </w:rPr>
                        <w:t>H.WE,m</w:t>
                      </w:r>
                      <w:r>
                        <w:rPr>
                          <w:color w:val="000000"/>
                          <w:szCs w:val="24"/>
                        </w:rPr>
                        <w:t xml:space="preserve"> – apskaičiuojama pagal (2.451) formulę;</w:t>
                      </w:r>
                    </w:p>
                    <w:p>
                      <w:pPr>
                        <w:ind w:left="600"/>
                        <w:rPr>
                          <w:color w:val="000000"/>
                          <w:szCs w:val="24"/>
                        </w:rPr>
                      </w:pPr>
                      <w:r>
                        <w:rPr>
                          <w:i/>
                          <w:color w:val="000000"/>
                          <w:szCs w:val="24"/>
                        </w:rPr>
                        <w:t>Q</w:t>
                      </w:r>
                      <w:r>
                        <w:rPr>
                          <w:i/>
                          <w:color w:val="000000"/>
                          <w:szCs w:val="24"/>
                          <w:vertAlign w:val="superscript"/>
                        </w:rPr>
                        <w:t>II</w:t>
                      </w:r>
                      <w:r>
                        <w:rPr>
                          <w:i/>
                          <w:color w:val="000000"/>
                          <w:szCs w:val="24"/>
                          <w:vertAlign w:val="subscript"/>
                        </w:rPr>
                        <w:t>H.HE,m</w:t>
                      </w:r>
                      <w:r>
                        <w:rPr>
                          <w:color w:val="000000"/>
                          <w:szCs w:val="24"/>
                        </w:rPr>
                        <w:t xml:space="preserve"> – apskaičiuojama pagal (2.452) formulę;</w:t>
                      </w:r>
                    </w:p>
                    <w:p>
                      <w:pPr>
                        <w:ind w:left="600"/>
                        <w:rPr>
                          <w:color w:val="000000"/>
                          <w:szCs w:val="24"/>
                        </w:rPr>
                      </w:pPr>
                      <w:r>
                        <w:rPr>
                          <w:i/>
                          <w:color w:val="000000"/>
                          <w:szCs w:val="24"/>
                        </w:rPr>
                        <w:t>Q</w:t>
                      </w:r>
                      <w:r>
                        <w:rPr>
                          <w:i/>
                          <w:color w:val="000000"/>
                          <w:szCs w:val="24"/>
                          <w:vertAlign w:val="superscript"/>
                        </w:rPr>
                        <w:t>III</w:t>
                      </w:r>
                      <w:r>
                        <w:rPr>
                          <w:i/>
                          <w:color w:val="000000"/>
                          <w:szCs w:val="24"/>
                          <w:vertAlign w:val="subscript"/>
                        </w:rPr>
                        <w:t>H.WE,m</w:t>
                      </w:r>
                      <w:r>
                        <w:rPr>
                          <w:color w:val="000000"/>
                          <w:szCs w:val="24"/>
                        </w:rPr>
                        <w:t xml:space="preserve"> – apskaičiuojama pagal (2.488) formulę;</w:t>
                      </w:r>
                    </w:p>
                    <w:p>
                      <w:pPr>
                        <w:ind w:left="600"/>
                        <w:rPr>
                          <w:color w:val="000000"/>
                          <w:szCs w:val="24"/>
                        </w:rPr>
                      </w:pPr>
                      <w:r>
                        <w:rPr>
                          <w:i/>
                          <w:color w:val="000000"/>
                          <w:szCs w:val="24"/>
                        </w:rPr>
                        <w:t>Q</w:t>
                      </w:r>
                      <w:r>
                        <w:rPr>
                          <w:i/>
                          <w:color w:val="000000"/>
                          <w:szCs w:val="24"/>
                          <w:vertAlign w:val="superscript"/>
                        </w:rPr>
                        <w:t>III</w:t>
                      </w:r>
                      <w:r>
                        <w:rPr>
                          <w:i/>
                          <w:color w:val="000000"/>
                          <w:szCs w:val="24"/>
                          <w:vertAlign w:val="subscript"/>
                        </w:rPr>
                        <w:t>H.HE,m</w:t>
                      </w:r>
                      <w:r>
                        <w:rPr>
                          <w:color w:val="000000"/>
                          <w:szCs w:val="24"/>
                        </w:rPr>
                        <w:t xml:space="preserve"> – apskaičiuojama pagal (2.489) formulę;</w:t>
                      </w:r>
                    </w:p>
                    <w:p>
                      <w:pPr>
                        <w:ind w:left="600"/>
                        <w:rPr>
                          <w:color w:val="000000"/>
                          <w:szCs w:val="24"/>
                        </w:rPr>
                      </w:pPr>
                      <w:r>
                        <w:rPr>
                          <w:i/>
                          <w:color w:val="000000"/>
                          <w:szCs w:val="24"/>
                        </w:rPr>
                        <w:t>Q</w:t>
                      </w:r>
                      <w:r>
                        <w:rPr>
                          <w:i/>
                          <w:color w:val="000000"/>
                          <w:szCs w:val="24"/>
                          <w:vertAlign w:val="superscript"/>
                        </w:rPr>
                        <w:t>IV</w:t>
                      </w:r>
                      <w:r>
                        <w:rPr>
                          <w:i/>
                          <w:color w:val="000000"/>
                          <w:szCs w:val="24"/>
                          <w:vertAlign w:val="subscript"/>
                        </w:rPr>
                        <w:t>H.WE,m</w:t>
                      </w:r>
                      <w:r>
                        <w:rPr>
                          <w:color w:val="000000"/>
                          <w:szCs w:val="24"/>
                        </w:rPr>
                        <w:t xml:space="preserve"> – apskaičiuojama pagal (2.541) formulę;</w:t>
                      </w:r>
                    </w:p>
                    <w:p>
                      <w:pPr>
                        <w:ind w:left="600"/>
                        <w:rPr>
                          <w:color w:val="000000"/>
                          <w:szCs w:val="24"/>
                        </w:rPr>
                      </w:pPr>
                      <w:r>
                        <w:rPr>
                          <w:i/>
                          <w:color w:val="000000"/>
                          <w:szCs w:val="24"/>
                        </w:rPr>
                        <w:t>Q</w:t>
                      </w:r>
                      <w:r>
                        <w:rPr>
                          <w:i/>
                          <w:color w:val="000000"/>
                          <w:szCs w:val="24"/>
                          <w:vertAlign w:val="superscript"/>
                        </w:rPr>
                        <w:t>IV</w:t>
                      </w:r>
                      <w:r>
                        <w:rPr>
                          <w:i/>
                          <w:color w:val="000000"/>
                          <w:szCs w:val="24"/>
                          <w:vertAlign w:val="subscript"/>
                        </w:rPr>
                        <w:t>H.HE,m</w:t>
                      </w:r>
                      <w:r>
                        <w:rPr>
                          <w:color w:val="000000"/>
                          <w:szCs w:val="24"/>
                        </w:rPr>
                        <w:t xml:space="preserve"> – apskaičiuojama pagal (2.542) formulę; </w:t>
                      </w:r>
                    </w:p>
                  </w:sdtContent>
                </w:sdt>
                <w:sdt>
                  <w:sdtPr>
                    <w:alias w:val="2 pr. 69.4 pp."/>
                    <w:tag w:val="part_a9849bfc1972434e8891a4b04a6c910a"/>
                    <w:lock w:val="sdtLocked"/>
                    <w:richText/>
                  </w:sdtPr>
                  <w:sdtContent>
                    <w:p>
                      <w:pPr>
                        <w:ind w:firstLine="600"/>
                        <w:jc w:val="both"/>
                        <w:rPr>
                          <w:color w:val="000000"/>
                          <w:szCs w:val="24"/>
                        </w:rPr>
                      </w:pPr>
                      <w:sdt>
                        <w:sdtPr>
                          <w:alias w:val="Numeris"/>
                          <w:tag w:val="nr_a9849bfc1972434e8891a4b04a6c910a"/>
                          <w:lock w:val="sdtLocked"/>
                          <w:richText/>
                        </w:sdtPr>
                        <w:sdtContent>
                          <w:r>
                            <w:rPr>
                              <w:color w:val="000000"/>
                              <w:szCs w:val="24"/>
                            </w:rPr>
                            <w:t>69.4</w:t>
                          </w:r>
                        </w:sdtContent>
                      </w:sdt>
                      <w:r>
                        <w:rPr>
                          <w:color w:val="000000"/>
                          <w:szCs w:val="24"/>
                        </w:rPr>
                        <w:t xml:space="preserve">. kiekvieną mėnesį </w:t>
                      </w:r>
                      <w:r>
                        <w:rPr>
                          <w:i/>
                          <w:color w:val="000000"/>
                          <w:szCs w:val="24"/>
                        </w:rPr>
                        <w:t xml:space="preserve">„m“ </w:t>
                      </w:r>
                      <w:r>
                        <w:rPr>
                          <w:color w:val="000000"/>
                          <w:szCs w:val="24"/>
                        </w:rPr>
                        <w:t xml:space="preserve">energijos iš Saulės kolektorių, vėjo elektrinių ir hidroelektrinių neatsinaujinančios pirminės energijos sąnaudos pastatui šildyti </w:t>
                      </w:r>
                      <w:r>
                        <w:rPr>
                          <w:i/>
                          <w:color w:val="000000"/>
                          <w:szCs w:val="24"/>
                        </w:rPr>
                        <w:t>Q</w:t>
                      </w:r>
                      <w:r>
                        <w:rPr>
                          <w:i/>
                          <w:color w:val="000000"/>
                          <w:szCs w:val="24"/>
                          <w:vertAlign w:val="subscript"/>
                        </w:rPr>
                        <w:t>PRn.H.SK+WE+HE,m</w:t>
                      </w:r>
                      <w:r>
                        <w:rPr>
                          <w:color w:val="000000"/>
                          <w:szCs w:val="24"/>
                        </w:rPr>
                        <w:t>(kWh/(m²·mėn.)) apskaičiuojamos taip:</w:t>
                      </w:r>
                    </w:p>
                    <w:tbl>
                      <w:tblPr>
                        <w:tblW w:w="5000" w:type="pct"/>
                        <w:jc w:val="center"/>
                        <w:tblLook w:val="01E0" w:firstRow="1" w:lastRow="1" w:firstColumn="1" w:lastColumn="1" w:noHBand="0" w:noVBand="0"/>
                      </w:tblPr>
                      <w:tblGrid>
                        <w:gridCol w:w="8788"/>
                        <w:gridCol w:w="1066"/>
                      </w:tblGrid>
                      <w:tr>
                        <w:trPr>
                          <w:jc w:val="center"/>
                        </w:trPr>
                        <w:tc>
                          <w:tcPr>
                            <w:tcW w:w="4459" w:type="pct"/>
                            <w:vAlign w:val="center"/>
                            <w:hideMark/>
                          </w:tcPr>
                          <w:p>
                            <w:pPr>
                              <w:spacing w:line="276" w:lineRule="auto"/>
                              <w:jc w:val="center"/>
                              <w:rPr>
                                <w:rFonts w:eastAsia="Calibri"/>
                                <w:color w:val="000000"/>
                                <w:szCs w:val="24"/>
                              </w:rPr>
                            </w:pPr>
                            <w:r>
                              <w:rPr>
                                <w:rFonts w:eastAsia="Calibri"/>
                                <w:color w:val="000000"/>
                                <w:szCs w:val="24"/>
                              </w:rPr>
                              <w:object w:dxaOrig="7600" w:dyaOrig="840">
                                <v:shape id="_x0000_i1683" type="#_x0000_t75" style="width:380.2pt;height:42.05pt" o:ole="">
                                  <v:imagedata r:id="rId1557" o:title=""/>
                                </v:shape>
                                <o:OLEObject Type="Embed" ProgID="Equation.3" ShapeID="_x0000_i1683" DrawAspect="Content" ObjectID="_0000000001" r:id="rId1558"/>
                              </w:object>
                            </w:r>
                          </w:p>
                        </w:tc>
                        <w:tc>
                          <w:tcPr>
                            <w:tcW w:w="541" w:type="pct"/>
                            <w:vAlign w:val="center"/>
                            <w:hideMark/>
                          </w:tcPr>
                          <w:p>
                            <w:pPr>
                              <w:spacing w:line="276" w:lineRule="auto"/>
                              <w:jc w:val="right"/>
                              <w:rPr>
                                <w:rFonts w:eastAsia="Calibri"/>
                                <w:color w:val="000000"/>
                                <w:szCs w:val="24"/>
                              </w:rPr>
                            </w:pPr>
                            <w:r>
                              <w:rPr>
                                <w:color w:val="000000"/>
                                <w:szCs w:val="24"/>
                              </w:rPr>
                              <w:t>(2.561)</w:t>
                            </w:r>
                          </w:p>
                        </w:tc>
                      </w:tr>
                    </w:tbl>
                    <w:p>
                      <w:pPr>
                        <w:ind w:left="600" w:hanging="600"/>
                        <w:rPr>
                          <w:rFonts w:eastAsia="Calibri"/>
                          <w:color w:val="000000"/>
                          <w:szCs w:val="24"/>
                        </w:rPr>
                      </w:pPr>
                      <w:r>
                        <w:rPr>
                          <w:color w:val="000000"/>
                          <w:szCs w:val="24"/>
                        </w:rPr>
                        <w:t>čia:</w:t>
                      </w:r>
                      <w:r>
                        <w:rPr>
                          <w:i/>
                          <w:color w:val="000000"/>
                          <w:szCs w:val="24"/>
                        </w:rPr>
                        <w:tab/>
                        <w:t>Q</w:t>
                      </w:r>
                      <w:r>
                        <w:rPr>
                          <w:i/>
                          <w:color w:val="000000"/>
                          <w:szCs w:val="24"/>
                          <w:vertAlign w:val="subscript"/>
                        </w:rPr>
                        <w:t>PRn.H.sum.SK,m</w:t>
                      </w:r>
                      <w:r>
                        <w:rPr>
                          <w:color w:val="000000"/>
                          <w:szCs w:val="24"/>
                        </w:rPr>
                        <w:t xml:space="preserve"> – apskaičiuojama pagal (2.341) formulę;</w:t>
                      </w:r>
                    </w:p>
                  </w:sdtContent>
                </w:sdt>
                <w:sdt>
                  <w:sdtPr>
                    <w:alias w:val="2 pr. 69.5 pp."/>
                    <w:tag w:val="part_8a22bb55207d405d882aa80ab2f21286"/>
                    <w:lock w:val="sdtLocked"/>
                    <w:richText/>
                  </w:sdtPr>
                  <w:sdtContent>
                    <w:p>
                      <w:pPr>
                        <w:tabs>
                          <w:tab w:val="left" w:pos="567"/>
                        </w:tabs>
                        <w:suppressAutoHyphens/>
                        <w:ind w:firstLine="567"/>
                        <w:jc w:val="both"/>
                        <w:rPr>
                          <w:color w:val="000000"/>
                          <w:szCs w:val="24"/>
                          <w:lang w:eastAsia="lt-LT"/>
                        </w:rPr>
                      </w:pPr>
                      <w:sdt>
                        <w:sdtPr>
                          <w:alias w:val="Numeris"/>
                          <w:tag w:val="nr_8a22bb55207d405d882aa80ab2f21286"/>
                          <w:lock w:val="sdtLocked"/>
                          <w:richText/>
                        </w:sdtPr>
                        <w:sdtContent>
                          <w:r>
                            <w:rPr>
                              <w:color w:val="000000"/>
                              <w:szCs w:val="24"/>
                              <w:lang w:eastAsia="lt-LT"/>
                            </w:rPr>
                            <w:t>69.5</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 xml:space="preserve">Saulės kolektorių, vėjo elektrinių ir hidroelektrinių pagamintos elektros energijos suminės sąnaudos pastate elektros prietaisams </w:t>
                      </w:r>
                      <w:r>
                        <w:rPr>
                          <w:i/>
                          <w:color w:val="000000"/>
                          <w:szCs w:val="24"/>
                          <w:lang w:eastAsia="lt-LT"/>
                        </w:rPr>
                        <w:t>Q</w:t>
                      </w:r>
                      <w:r>
                        <w:rPr>
                          <w:i/>
                          <w:color w:val="000000"/>
                          <w:szCs w:val="24"/>
                          <w:vertAlign w:val="subscript"/>
                          <w:lang w:eastAsia="lt-LT"/>
                        </w:rPr>
                        <w:t>E.SK+WE+HE,m,x</w:t>
                      </w:r>
                      <w:r>
                        <w:rPr>
                          <w:color w:val="000000"/>
                          <w:szCs w:val="24"/>
                          <w:lang w:eastAsia="lt-LT"/>
                        </w:rPr>
                        <w:t>(kWh/(m²·mėn.)) apskaičiuojamos taip:</w:t>
                      </w:r>
                    </w:p>
                    <w:tbl>
                      <w:tblPr>
                        <w:tblW w:w="5000" w:type="pct"/>
                        <w:jc w:val="center"/>
                        <w:tblLook w:val="01E0" w:firstRow="1" w:lastRow="1" w:firstColumn="1" w:lastColumn="1" w:noHBand="0" w:noVBand="0"/>
                      </w:tblPr>
                      <w:tblGrid>
                        <w:gridCol w:w="8802"/>
                        <w:gridCol w:w="1052"/>
                      </w:tblGrid>
                      <w:tr>
                        <w:trPr>
                          <w:jc w:val="center"/>
                        </w:trPr>
                        <w:tc>
                          <w:tcPr>
                            <w:tcW w:w="4466" w:type="pct"/>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960" w:dyaOrig="800">
                                <v:shape id="_x0000_i1684" type="#_x0000_t75" style="width:347.85pt;height:40.45pt" o:ole="">
                                  <v:imagedata r:id="rId1559" o:title=""/>
                                </v:shape>
                                <o:OLEObject Type="Embed" ProgID="Equation.3" ShapeID="_x0000_i1684" DrawAspect="Content" ObjectID="_0000000001" r:id="rId1560"/>
                              </w:object>
                            </w:r>
                          </w:p>
                        </w:tc>
                        <w:tc>
                          <w:tcPr>
                            <w:tcW w:w="534" w:type="pct"/>
                            <w:vAlign w:val="center"/>
                            <w:hideMark/>
                          </w:tcPr>
                          <w:p>
                            <w:pPr>
                              <w:tabs>
                                <w:tab w:val="left" w:pos="567"/>
                              </w:tabs>
                              <w:suppressAutoHyphens/>
                              <w:spacing w:line="276" w:lineRule="auto"/>
                              <w:jc w:val="right"/>
                              <w:rPr>
                                <w:color w:val="000000"/>
                                <w:szCs w:val="24"/>
                                <w:lang w:eastAsia="lt-LT"/>
                              </w:rPr>
                            </w:pPr>
                            <w:r>
                              <w:rPr>
                                <w:color w:val="000000"/>
                                <w:szCs w:val="24"/>
                                <w:lang w:eastAsia="lt-LT"/>
                              </w:rPr>
                              <w:t>(2.562)</w:t>
                            </w:r>
                          </w:p>
                        </w:tc>
                      </w:tr>
                    </w:tbl>
                    <w:p>
                      <w:pPr>
                        <w:tabs>
                          <w:tab w:val="left" w:pos="567"/>
                        </w:tabs>
                        <w:suppressAutoHyphens/>
                        <w:ind w:left="600" w:hanging="600"/>
                        <w:rPr>
                          <w:color w:val="000000"/>
                          <w:szCs w:val="24"/>
                          <w:lang w:eastAsia="lt-LT"/>
                        </w:rPr>
                      </w:pPr>
                    </w:p>
                    <w:p>
                      <w:pPr>
                        <w:tabs>
                          <w:tab w:val="left" w:pos="567"/>
                        </w:tabs>
                        <w:suppressAutoHyphens/>
                        <w:rPr>
                          <w:i/>
                          <w:color w:val="000000"/>
                          <w:szCs w:val="24"/>
                          <w:lang w:eastAsia="lt-LT"/>
                        </w:rPr>
                      </w:pPr>
                      <w:r>
                        <w:rPr>
                          <w:color w:val="000000"/>
                          <w:szCs w:val="24"/>
                          <w:lang w:eastAsia="lt-LT"/>
                        </w:rPr>
                        <w:t>čia:</w:t>
                      </w:r>
                      <w:r>
                        <w:rPr>
                          <w:i/>
                          <w:color w:val="000000"/>
                          <w:szCs w:val="24"/>
                          <w:lang w:eastAsia="lt-LT"/>
                        </w:rPr>
                        <w:tab/>
                        <w:t>Q</w:t>
                      </w:r>
                      <w:r>
                        <w:rPr>
                          <w:i/>
                          <w:color w:val="000000"/>
                          <w:szCs w:val="24"/>
                          <w:vertAlign w:val="subscript"/>
                          <w:lang w:eastAsia="lt-LT"/>
                        </w:rPr>
                        <w:t>E.fvSK,m</w:t>
                      </w:r>
                      <w:r>
                        <w:rPr>
                          <w:i/>
                          <w:color w:val="000000"/>
                          <w:szCs w:val="24"/>
                          <w:lang w:eastAsia="lt-LT"/>
                        </w:rPr>
                        <w:t>, Q</w:t>
                      </w:r>
                      <w:r>
                        <w:rPr>
                          <w:i/>
                          <w:color w:val="000000"/>
                          <w:szCs w:val="24"/>
                          <w:vertAlign w:val="superscript"/>
                          <w:lang w:eastAsia="lt-LT"/>
                        </w:rPr>
                        <w:t>I</w:t>
                      </w:r>
                      <w:r>
                        <w:rPr>
                          <w:i/>
                          <w:color w:val="000000"/>
                          <w:szCs w:val="24"/>
                          <w:vertAlign w:val="subscript"/>
                          <w:lang w:eastAsia="lt-LT"/>
                        </w:rPr>
                        <w:t>E.fvSK,m</w:t>
                      </w:r>
                      <w:r>
                        <w:rPr>
                          <w:i/>
                          <w:color w:val="000000"/>
                          <w:szCs w:val="24"/>
                          <w:lang w:eastAsia="lt-LT"/>
                        </w:rPr>
                        <w:t>, Q</w:t>
                      </w:r>
                      <w:r>
                        <w:rPr>
                          <w:i/>
                          <w:color w:val="000000"/>
                          <w:szCs w:val="24"/>
                          <w:vertAlign w:val="superscript"/>
                          <w:lang w:eastAsia="lt-LT"/>
                        </w:rPr>
                        <w:t>II</w:t>
                      </w:r>
                      <w:r>
                        <w:rPr>
                          <w:i/>
                          <w:color w:val="000000"/>
                          <w:szCs w:val="24"/>
                          <w:vertAlign w:val="subscript"/>
                          <w:lang w:eastAsia="lt-LT"/>
                        </w:rPr>
                        <w:t>E.fvSK,m</w:t>
                      </w:r>
                      <w:r>
                        <w:rPr>
                          <w:color w:val="000000"/>
                          <w:szCs w:val="24"/>
                          <w:lang w:eastAsia="lt-LT"/>
                        </w:rPr>
                        <w:t xml:space="preserve">, </w:t>
                      </w:r>
                      <w:r>
                        <w:rPr>
                          <w:i/>
                          <w:color w:val="000000"/>
                          <w:szCs w:val="24"/>
                          <w:lang w:eastAsia="lt-LT"/>
                        </w:rPr>
                        <w:t>Q</w:t>
                      </w:r>
                      <w:r>
                        <w:rPr>
                          <w:i/>
                          <w:color w:val="000000"/>
                          <w:szCs w:val="24"/>
                          <w:vertAlign w:val="superscript"/>
                          <w:lang w:eastAsia="lt-LT"/>
                        </w:rPr>
                        <w:t>IV</w:t>
                      </w:r>
                      <w:r>
                        <w:rPr>
                          <w:i/>
                          <w:color w:val="000000"/>
                          <w:szCs w:val="24"/>
                          <w:vertAlign w:val="subscript"/>
                          <w:lang w:eastAsia="lt-LT"/>
                        </w:rPr>
                        <w:t>E.fvSK,m</w:t>
                      </w:r>
                      <w:r>
                        <w:rPr>
                          <w:color w:val="000000"/>
                          <w:szCs w:val="24"/>
                          <w:lang w:eastAsia="lt-LT"/>
                        </w:rPr>
                        <w:t xml:space="preserve"> – apskaičiuojama pagal (2.229), (2.253), (2.272) ir (2.313) formules;</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E.WE,m</w:t>
                      </w:r>
                      <w:r>
                        <w:rPr>
                          <w:color w:val="000000"/>
                          <w:szCs w:val="24"/>
                          <w:lang w:eastAsia="lt-LT"/>
                        </w:rPr>
                        <w:t xml:space="preserve"> – apskaičiuojama pagal (2.345)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E.HE,m</w:t>
                      </w:r>
                      <w:r>
                        <w:rPr>
                          <w:color w:val="000000"/>
                          <w:szCs w:val="24"/>
                          <w:lang w:eastAsia="lt-LT"/>
                        </w:rPr>
                        <w:t xml:space="preserve"> – apskaičiuojama pagal (2.346)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E.WE,m</w:t>
                      </w:r>
                      <w:r>
                        <w:rPr>
                          <w:color w:val="000000"/>
                          <w:szCs w:val="24"/>
                          <w:lang w:eastAsia="lt-LT"/>
                        </w:rPr>
                        <w:t xml:space="preserve"> – apskaičiuojama pagal (2.401)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w:t>
                      </w:r>
                      <w:r>
                        <w:rPr>
                          <w:i/>
                          <w:color w:val="000000"/>
                          <w:szCs w:val="24"/>
                          <w:vertAlign w:val="subscript"/>
                          <w:lang w:eastAsia="lt-LT"/>
                        </w:rPr>
                        <w:t>E.HE,m</w:t>
                      </w:r>
                      <w:r>
                        <w:rPr>
                          <w:color w:val="000000"/>
                          <w:szCs w:val="24"/>
                          <w:lang w:eastAsia="lt-LT"/>
                        </w:rPr>
                        <w:t xml:space="preserve"> – apskaičiuojama pagal (2.402)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E.WE,m</w:t>
                      </w:r>
                      <w:r>
                        <w:rPr>
                          <w:color w:val="000000"/>
                          <w:szCs w:val="24"/>
                          <w:lang w:eastAsia="lt-LT"/>
                        </w:rPr>
                        <w:t xml:space="preserve"> – apskaičiuojama pagal (2.436)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II</w:t>
                      </w:r>
                      <w:r>
                        <w:rPr>
                          <w:i/>
                          <w:color w:val="000000"/>
                          <w:szCs w:val="24"/>
                          <w:vertAlign w:val="subscript"/>
                          <w:lang w:eastAsia="lt-LT"/>
                        </w:rPr>
                        <w:t>E.HE,m</w:t>
                      </w:r>
                      <w:r>
                        <w:rPr>
                          <w:color w:val="000000"/>
                          <w:szCs w:val="24"/>
                          <w:lang w:eastAsia="lt-LT"/>
                        </w:rPr>
                        <w:t xml:space="preserve"> – apskaičiuojama pagal (2.437)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perscript"/>
                          <w:lang w:eastAsia="lt-LT"/>
                        </w:rPr>
                        <w:t>IV</w:t>
                      </w:r>
                      <w:r>
                        <w:rPr>
                          <w:i/>
                          <w:color w:val="000000"/>
                          <w:szCs w:val="24"/>
                          <w:vertAlign w:val="subscript"/>
                          <w:lang w:eastAsia="lt-LT"/>
                        </w:rPr>
                        <w:t>E.WE,m</w:t>
                      </w:r>
                      <w:r>
                        <w:rPr>
                          <w:color w:val="000000"/>
                          <w:szCs w:val="24"/>
                          <w:lang w:eastAsia="lt-LT"/>
                        </w:rPr>
                        <w:t xml:space="preserve"> – apskaičiuojama pagal (2.509) formulę;</w:t>
                      </w:r>
                    </w:p>
                    <w:p>
                      <w:pPr>
                        <w:tabs>
                          <w:tab w:val="left" w:pos="567"/>
                        </w:tabs>
                        <w:suppressAutoHyphens/>
                        <w:ind w:left="600"/>
                        <w:rPr>
                          <w:color w:val="000000"/>
                          <w:szCs w:val="24"/>
                        </w:rPr>
                      </w:pPr>
                      <w:r>
                        <w:rPr>
                          <w:i/>
                          <w:color w:val="000000"/>
                          <w:szCs w:val="24"/>
                          <w:lang w:eastAsia="lt-LT"/>
                        </w:rPr>
                        <w:t>Q</w:t>
                      </w:r>
                      <w:r>
                        <w:rPr>
                          <w:i/>
                          <w:color w:val="000000"/>
                          <w:szCs w:val="24"/>
                          <w:vertAlign w:val="superscript"/>
                          <w:lang w:eastAsia="lt-LT"/>
                        </w:rPr>
                        <w:t>IV</w:t>
                      </w:r>
                      <w:r>
                        <w:rPr>
                          <w:i/>
                          <w:color w:val="000000"/>
                          <w:szCs w:val="24"/>
                          <w:vertAlign w:val="subscript"/>
                          <w:lang w:eastAsia="lt-LT"/>
                        </w:rPr>
                        <w:t>E.HE,m</w:t>
                      </w:r>
                      <w:r>
                        <w:rPr>
                          <w:color w:val="000000"/>
                          <w:szCs w:val="24"/>
                          <w:lang w:eastAsia="lt-LT"/>
                        </w:rPr>
                        <w:t xml:space="preserve"> – apskaičiuojama pagal (2.510)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69.6 pp."/>
                    <w:tag w:val="part_e04876ef16dd417c9c19bcee986ddce2"/>
                    <w:lock w:val="sdtLocked"/>
                    <w:richText/>
                  </w:sdtPr>
                  <w:sdtContent>
                    <w:p>
                      <w:pPr>
                        <w:tabs>
                          <w:tab w:val="left" w:pos="567"/>
                        </w:tabs>
                        <w:suppressAutoHyphens/>
                        <w:ind w:firstLine="600"/>
                        <w:jc w:val="both"/>
                        <w:rPr>
                          <w:color w:val="000000"/>
                          <w:szCs w:val="24"/>
                          <w:lang w:eastAsia="lt-LT"/>
                        </w:rPr>
                      </w:pPr>
                      <w:sdt>
                        <w:sdtPr>
                          <w:alias w:val="Numeris"/>
                          <w:tag w:val="nr_e04876ef16dd417c9c19bcee986ddce2"/>
                          <w:lock w:val="sdtLocked"/>
                          <w:richText/>
                        </w:sdtPr>
                        <w:sdtContent>
                          <w:r>
                            <w:rPr>
                              <w:szCs w:val="24"/>
                              <w:lang w:eastAsia="lt-LT"/>
                            </w:rPr>
                            <w:t>69.6</w:t>
                          </w:r>
                        </w:sdtContent>
                      </w:sdt>
                      <w:r>
                        <w:rPr>
                          <w:szCs w:val="24"/>
                          <w:lang w:eastAsia="lt-LT"/>
                        </w:rPr>
                        <w:t xml:space="preserve">. </w:t>
                      </w:r>
                      <w:r>
                        <w:rPr>
                          <w:color w:val="000000"/>
                          <w:szCs w:val="24"/>
                          <w:lang w:eastAsia="lt-LT"/>
                        </w:rPr>
                        <w:t xml:space="preserve">kiekvieną mėnesį </w:t>
                      </w:r>
                      <w:r>
                        <w:rPr>
                          <w:i/>
                          <w:color w:val="000000"/>
                          <w:szCs w:val="24"/>
                          <w:lang w:eastAsia="lt-LT"/>
                        </w:rPr>
                        <w:t xml:space="preserve">„m“ </w:t>
                      </w:r>
                      <w:r>
                        <w:rPr>
                          <w:color w:val="000000"/>
                          <w:szCs w:val="24"/>
                          <w:lang w:eastAsia="lt-LT"/>
                        </w:rPr>
                        <w:t xml:space="preserve">iš Saulės kolektorių, vėjo elektrinių ir hidroelektrinių į pastatą pateiktos elektros energijos neatsinaujinančios pirminės energijos suminės sąnaudos </w:t>
                      </w:r>
                      <w:r>
                        <w:rPr>
                          <w:i/>
                          <w:color w:val="000000"/>
                          <w:szCs w:val="24"/>
                          <w:lang w:eastAsia="lt-LT"/>
                        </w:rPr>
                        <w:t>Q</w:t>
                      </w:r>
                      <w:r>
                        <w:rPr>
                          <w:i/>
                          <w:color w:val="000000"/>
                          <w:szCs w:val="24"/>
                          <w:vertAlign w:val="subscript"/>
                          <w:lang w:eastAsia="lt-LT"/>
                        </w:rPr>
                        <w:t>PRn.E.SK+WE+HE,m,x</w:t>
                      </w:r>
                      <w:r>
                        <w:rPr>
                          <w:color w:val="000000"/>
                          <w:szCs w:val="24"/>
                          <w:lang w:eastAsia="lt-LT"/>
                        </w:rPr>
                        <w:t>(kWh/(m²·mėn.)) apskaičiuojamos taip:</w:t>
                      </w:r>
                    </w:p>
                    <w:tbl>
                      <w:tblPr>
                        <w:tblW w:w="5000" w:type="pct"/>
                        <w:jc w:val="center"/>
                        <w:tblLook w:val="01E0" w:firstRow="1" w:lastRow="1" w:firstColumn="1" w:lastColumn="1" w:noHBand="0" w:noVBand="0"/>
                      </w:tblPr>
                      <w:tblGrid>
                        <w:gridCol w:w="8788"/>
                        <w:gridCol w:w="1066"/>
                      </w:tblGrid>
                      <w:tr>
                        <w:trPr>
                          <w:jc w:val="center"/>
                        </w:trPr>
                        <w:tc>
                          <w:tcPr>
                            <w:tcW w:w="4459" w:type="pct"/>
                            <w:vAlign w:val="center"/>
                          </w:tcPr>
                          <w:tbl>
                            <w:tblPr>
                              <w:tblW w:w="5000" w:type="pct"/>
                              <w:jc w:val="center"/>
                              <w:tblLook w:val="01E0" w:firstRow="1" w:lastRow="1" w:firstColumn="1" w:lastColumn="1" w:noHBand="0" w:noVBand="0"/>
                            </w:tblPr>
                            <w:tblGrid>
                              <w:gridCol w:w="7645"/>
                              <w:gridCol w:w="927"/>
                            </w:tblGrid>
                            <w:tr>
                              <w:trPr>
                                <w:jc w:val="center"/>
                              </w:trPr>
                              <w:tc>
                                <w:tcPr>
                                  <w:tcW w:w="4459" w:type="pct"/>
                                  <w:vAlign w:val="center"/>
                                </w:tcPr>
                                <w:p>
                                  <w:pPr>
                                    <w:tabs>
                                      <w:tab w:val="left" w:pos="567"/>
                                    </w:tabs>
                                    <w:suppressAutoHyphens/>
                                    <w:spacing w:line="276" w:lineRule="auto"/>
                                    <w:rPr>
                                      <w:rFonts w:eastAsia="Calibri"/>
                                      <w:strike/>
                                      <w:color w:val="000000"/>
                                      <w:szCs w:val="24"/>
                                      <w:lang w:eastAsia="lt-LT"/>
                                    </w:rPr>
                                  </w:pPr>
                                </w:p>
                              </w:tc>
                              <w:tc>
                                <w:tcPr>
                                  <w:tcW w:w="541" w:type="pct"/>
                                  <w:vAlign w:val="center"/>
                                </w:tcPr>
                                <w:p>
                                  <w:pPr>
                                    <w:tabs>
                                      <w:tab w:val="left" w:pos="567"/>
                                    </w:tabs>
                                    <w:suppressAutoHyphens/>
                                    <w:spacing w:line="276" w:lineRule="auto"/>
                                    <w:jc w:val="right"/>
                                    <w:rPr>
                                      <w:rFonts w:eastAsia="Calibri"/>
                                      <w:strike/>
                                      <w:color w:val="000000"/>
                                      <w:szCs w:val="24"/>
                                      <w:lang w:eastAsia="lt-LT"/>
                                    </w:rPr>
                                  </w:pPr>
                                </w:p>
                              </w:tc>
                            </w:tr>
                            <w:tr>
                              <w:trPr>
                                <w:jc w:val="center"/>
                              </w:trPr>
                              <w:tc>
                                <w:tcPr>
                                  <w:tcW w:w="4459" w:type="pct"/>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540" w:dyaOrig="1219">
                                      <v:shape id="_x0000_i1685" type="#_x0000_t75" style="width:326pt;height:61.5pt" o:ole="">
                                        <v:imagedata r:id="rId1561" o:title=""/>
                                      </v:shape>
                                      <o:OLEObject Type="Embed" ProgID="Equation.3" ShapeID="_x0000_i1685" DrawAspect="Content" ObjectID="_0000000001" r:id="rId1562"/>
                                    </w:object>
                                    <w:t>;</w:t>
                                  </w:r>
                                </w:p>
                              </w:tc>
                              <w:tc>
                                <w:tcPr>
                                  <w:tcW w:w="541" w:type="pct"/>
                                  <w:vAlign w:val="center"/>
                                  <w:hideMark/>
                                </w:tcPr>
                                <w:p>
                                  <w:pPr>
                                    <w:tabs>
                                      <w:tab w:val="left" w:pos="567"/>
                                    </w:tabs>
                                    <w:suppressAutoHyphens/>
                                    <w:spacing w:line="276" w:lineRule="auto"/>
                                    <w:jc w:val="right"/>
                                    <w:rPr>
                                      <w:color w:val="000000"/>
                                      <w:szCs w:val="24"/>
                                      <w:lang w:eastAsia="lt-LT"/>
                                    </w:rPr>
                                  </w:pPr>
                                  <w:r>
                                    <w:rPr>
                                      <w:color w:val="000000"/>
                                      <w:szCs w:val="24"/>
                                      <w:lang w:eastAsia="lt-LT"/>
                                    </w:rPr>
                                    <w:t>(2.563)</w:t>
                                  </w:r>
                                </w:p>
                              </w:tc>
                            </w:tr>
                          </w:tbl>
                          <w:p>
                            <w:pPr>
                              <w:tabs>
                                <w:tab w:val="left" w:pos="567"/>
                              </w:tabs>
                              <w:suppressAutoHyphens/>
                              <w:spacing w:line="276" w:lineRule="auto"/>
                              <w:jc w:val="center"/>
                              <w:rPr>
                                <w:rFonts w:eastAsia="Calibri"/>
                                <w:color w:val="000000"/>
                                <w:szCs w:val="24"/>
                                <w:lang w:eastAsia="lt-LT"/>
                              </w:rPr>
                            </w:pPr>
                          </w:p>
                        </w:tc>
                        <w:tc>
                          <w:tcPr>
                            <w:tcW w:w="541" w:type="pct"/>
                            <w:vAlign w:val="center"/>
                          </w:tcPr>
                          <w:p>
                            <w:pPr>
                              <w:tabs>
                                <w:tab w:val="left" w:pos="567"/>
                              </w:tabs>
                              <w:suppressAutoHyphens/>
                              <w:spacing w:line="276" w:lineRule="auto"/>
                              <w:jc w:val="right"/>
                              <w:rPr>
                                <w:rFonts w:eastAsia="Calibri"/>
                                <w:color w:val="000000"/>
                                <w:szCs w:val="24"/>
                                <w:lang w:eastAsia="lt-LT"/>
                              </w:rPr>
                            </w:pPr>
                          </w:p>
                          <w:p>
                            <w:pPr>
                              <w:tabs>
                                <w:tab w:val="left" w:pos="567"/>
                              </w:tabs>
                              <w:suppressAutoHyphens/>
                              <w:spacing w:line="276" w:lineRule="auto"/>
                              <w:jc w:val="right"/>
                              <w:rPr>
                                <w:rFonts w:eastAsia="Calibri"/>
                                <w:color w:val="000000"/>
                                <w:szCs w:val="24"/>
                                <w:lang w:eastAsia="lt-LT"/>
                              </w:rPr>
                            </w:pPr>
                          </w:p>
                        </w:tc>
                      </w:tr>
                    </w:tbl>
                    <w:p>
                      <w:pPr>
                        <w:tabs>
                          <w:tab w:val="left" w:pos="567"/>
                        </w:tabs>
                        <w:suppressAutoHyphens/>
                        <w:ind w:left="600" w:hanging="600"/>
                        <w:rPr>
                          <w:color w:val="000000"/>
                          <w:szCs w:val="24"/>
                          <w:lang w:eastAsia="lt-LT"/>
                        </w:rPr>
                      </w:pPr>
                    </w:p>
                    <w:p>
                      <w:pPr>
                        <w:tabs>
                          <w:tab w:val="left" w:pos="567"/>
                        </w:tabs>
                        <w:suppressAutoHyphens/>
                        <w:ind w:left="600" w:hanging="600"/>
                        <w:rPr>
                          <w:rFonts w:eastAsia="Calibri"/>
                          <w:color w:val="000000"/>
                          <w:szCs w:val="24"/>
                          <w:lang w:eastAsia="lt-LT"/>
                        </w:rPr>
                      </w:pPr>
                      <w:r>
                        <w:rPr>
                          <w:color w:val="000000"/>
                          <w:szCs w:val="24"/>
                          <w:lang w:eastAsia="lt-LT"/>
                        </w:rPr>
                        <w:t>čia:</w:t>
                      </w:r>
                      <w:r>
                        <w:rPr>
                          <w:i/>
                          <w:color w:val="000000"/>
                          <w:szCs w:val="24"/>
                          <w:lang w:eastAsia="lt-LT"/>
                        </w:rPr>
                        <w:tab/>
                        <w:t>Q</w:t>
                      </w:r>
                      <w:r>
                        <w:rPr>
                          <w:i/>
                          <w:color w:val="000000"/>
                          <w:szCs w:val="24"/>
                          <w:vertAlign w:val="subscript"/>
                          <w:lang w:eastAsia="lt-LT"/>
                        </w:rPr>
                        <w:t>PRn.E.sum.SK,m</w:t>
                      </w:r>
                      <w:r>
                        <w:rPr>
                          <w:color w:val="000000"/>
                          <w:szCs w:val="24"/>
                          <w:lang w:eastAsia="lt-LT"/>
                        </w:rPr>
                        <w:t xml:space="preserve"> – apskaičiuojama pagal (2.343) formulę;</w:t>
                      </w:r>
                    </w:p>
                    <w:p>
                      <w:pPr>
                        <w:tabs>
                          <w:tab w:val="left" w:pos="567"/>
                        </w:tabs>
                        <w:suppressAutoHyphens/>
                        <w:ind w:left="600" w:firstLine="62"/>
                        <w:rPr>
                          <w:color w:val="000000"/>
                          <w:szCs w:val="24"/>
                          <w:lang w:eastAsia="lt-LT"/>
                        </w:rPr>
                      </w:pPr>
                      <w:r>
                        <w:rPr>
                          <w:i/>
                          <w:color w:val="000000"/>
                          <w:szCs w:val="24"/>
                          <w:lang w:eastAsia="lt-LT"/>
                        </w:rPr>
                        <w:t>Q</w:t>
                      </w:r>
                      <w:r>
                        <w:rPr>
                          <w:i/>
                          <w:color w:val="000000"/>
                          <w:szCs w:val="24"/>
                          <w:vertAlign w:val="subscript"/>
                          <w:lang w:eastAsia="lt-LT"/>
                        </w:rPr>
                        <w:t>PRn.hw.SK+WE+HE,m</w:t>
                      </w:r>
                      <w:r>
                        <w:rPr>
                          <w:color w:val="000000"/>
                          <w:szCs w:val="24"/>
                          <w:lang w:eastAsia="lt-LT"/>
                        </w:rPr>
                        <w:t xml:space="preserve"> – apskaičiuojama pagal (2.559)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PRn.hw.hwSK,m</w:t>
                      </w:r>
                      <w:r>
                        <w:rPr>
                          <w:color w:val="000000"/>
                          <w:szCs w:val="24"/>
                          <w:lang w:eastAsia="lt-LT"/>
                        </w:rPr>
                        <w:t>– apskaičiuojama pagal (2.182) formulę;</w:t>
                      </w:r>
                    </w:p>
                    <w:p>
                      <w:pPr>
                        <w:tabs>
                          <w:tab w:val="left" w:pos="567"/>
                        </w:tabs>
                        <w:suppressAutoHyphens/>
                        <w:ind w:left="600"/>
                        <w:rPr>
                          <w:color w:val="000000"/>
                          <w:szCs w:val="24"/>
                          <w:lang w:eastAsia="lt-LT"/>
                        </w:rPr>
                      </w:pPr>
                      <w:r>
                        <w:rPr>
                          <w:i/>
                          <w:color w:val="000000"/>
                          <w:szCs w:val="24"/>
                          <w:lang w:eastAsia="lt-LT"/>
                        </w:rPr>
                        <w:t>f</w:t>
                      </w:r>
                      <w:r>
                        <w:rPr>
                          <w:i/>
                          <w:color w:val="000000"/>
                          <w:szCs w:val="24"/>
                          <w:vertAlign w:val="subscript"/>
                          <w:lang w:eastAsia="lt-LT"/>
                        </w:rPr>
                        <w:t xml:space="preserve">hw..hwSK,m </w:t>
                      </w:r>
                      <w:r>
                        <w:rPr>
                          <w:color w:val="000000"/>
                          <w:szCs w:val="24"/>
                          <w:lang w:eastAsia="lt-LT"/>
                        </w:rPr>
                        <w:t>– apskaičiuojama pagal (2.203)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 xml:space="preserve">PRn.(hw+H).hwSK,m </w:t>
                      </w:r>
                      <w:r>
                        <w:rPr>
                          <w:color w:val="000000"/>
                          <w:szCs w:val="24"/>
                          <w:lang w:eastAsia="lt-LT"/>
                        </w:rPr>
                        <w:t>– apskaičiuojama pagal (2.202)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PRn.H.SK+WE+HE,m</w:t>
                      </w:r>
                      <w:r>
                        <w:rPr>
                          <w:color w:val="000000"/>
                          <w:szCs w:val="24"/>
                          <w:lang w:eastAsia="lt-LT"/>
                        </w:rPr>
                        <w:t xml:space="preserve"> – apskaičiuojama pagal (2.561) formulę;</w:t>
                      </w:r>
                    </w:p>
                    <w:p>
                      <w:pPr>
                        <w:tabs>
                          <w:tab w:val="left" w:pos="567"/>
                        </w:tabs>
                        <w:suppressAutoHyphens/>
                        <w:ind w:left="600"/>
                        <w:rPr>
                          <w:color w:val="000000"/>
                          <w:szCs w:val="24"/>
                          <w:lang w:eastAsia="lt-LT"/>
                        </w:rPr>
                      </w:pPr>
                      <w:r>
                        <w:rPr>
                          <w:i/>
                          <w:color w:val="000000"/>
                          <w:szCs w:val="24"/>
                          <w:lang w:eastAsia="lt-LT"/>
                        </w:rPr>
                        <w:t>Q</w:t>
                      </w:r>
                      <w:r>
                        <w:rPr>
                          <w:i/>
                          <w:color w:val="000000"/>
                          <w:szCs w:val="24"/>
                          <w:vertAlign w:val="subscript"/>
                          <w:lang w:eastAsia="lt-LT"/>
                        </w:rPr>
                        <w:t xml:space="preserve">PRn.H.hwSK,m </w:t>
                      </w:r>
                      <w:r>
                        <w:rPr>
                          <w:color w:val="000000"/>
                          <w:szCs w:val="24"/>
                          <w:lang w:eastAsia="lt-LT"/>
                        </w:rPr>
                        <w:t>– apskaičiuojama pagal (2.192) formulę;</w:t>
                      </w:r>
                    </w:p>
                    <w:p>
                      <w:pPr>
                        <w:tabs>
                          <w:tab w:val="left" w:pos="567"/>
                        </w:tabs>
                        <w:suppressAutoHyphens/>
                        <w:ind w:left="600"/>
                      </w:pPr>
                      <w:r>
                        <w:rPr>
                          <w:i/>
                          <w:color w:val="000000"/>
                          <w:szCs w:val="24"/>
                          <w:lang w:eastAsia="lt-LT"/>
                        </w:rPr>
                        <w:t>f</w:t>
                      </w:r>
                      <w:r>
                        <w:rPr>
                          <w:i/>
                          <w:color w:val="000000"/>
                          <w:szCs w:val="24"/>
                          <w:vertAlign w:val="subscript"/>
                          <w:lang w:eastAsia="lt-LT"/>
                        </w:rPr>
                        <w:t xml:space="preserve">H.hwSK,m </w:t>
                      </w:r>
                      <w:r>
                        <w:rPr>
                          <w:color w:val="000000"/>
                          <w:szCs w:val="24"/>
                          <w:lang w:eastAsia="lt-LT"/>
                        </w:rPr>
                        <w:t>– apskaičiuojama pagal (2.204) formulę.</w:t>
                      </w:r>
                      <w:r>
                        <w:t xml:space="preserve"> </w:t>
                      </w:r>
                    </w:p>
                    <w:p>
                      <w:pPr>
                        <w:tabs>
                          <w:tab w:val="left" w:pos="567"/>
                        </w:tabs>
                        <w:suppressAutoHyphens/>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69.7 pp."/>
                    <w:tag w:val="part_5ad688ce891f401e8b808340ec9663c3"/>
                    <w:lock w:val="sdtLocked"/>
                    <w:richText/>
                  </w:sdtPr>
                  <w:sdtContent>
                    <w:p>
                      <w:pPr>
                        <w:tabs>
                          <w:tab w:val="left" w:pos="567"/>
                        </w:tabs>
                        <w:suppressAutoHyphens/>
                        <w:ind w:firstLine="567"/>
                        <w:jc w:val="both"/>
                        <w:rPr>
                          <w:color w:val="000000"/>
                          <w:szCs w:val="24"/>
                          <w:lang w:eastAsia="lt-LT"/>
                        </w:rPr>
                      </w:pPr>
                      <w:sdt>
                        <w:sdtPr>
                          <w:alias w:val="Numeris"/>
                          <w:tag w:val="nr_5ad688ce891f401e8b808340ec9663c3"/>
                          <w:lock w:val="sdtLocked"/>
                          <w:richText/>
                        </w:sdtPr>
                        <w:sdtContent>
                          <w:r>
                            <w:rPr>
                              <w:color w:val="000000"/>
                              <w:szCs w:val="24"/>
                              <w:lang w:eastAsia="lt-LT"/>
                            </w:rPr>
                            <w:t>69.7</w:t>
                          </w:r>
                        </w:sdtContent>
                      </w:sdt>
                      <w:r>
                        <w:rPr>
                          <w:color w:val="000000"/>
                          <w:szCs w:val="24"/>
                          <w:lang w:eastAsia="lt-LT"/>
                        </w:rPr>
                        <w:t xml:space="preserve">. kiekvieną mėnesį </w:t>
                      </w:r>
                      <w:r>
                        <w:rPr>
                          <w:i/>
                          <w:color w:val="000000"/>
                          <w:szCs w:val="24"/>
                          <w:lang w:eastAsia="lt-LT"/>
                        </w:rPr>
                        <w:t xml:space="preserve">„m“ </w:t>
                      </w:r>
                      <w:r>
                        <w:rPr>
                          <w:color w:val="000000"/>
                          <w:szCs w:val="24"/>
                          <w:lang w:eastAsia="lt-LT"/>
                        </w:rPr>
                        <w:t>iš Saulės kolektorių, vėjo elektrinių ir hidroelektrinių į pastatą pateiktos elektros energijos suminės sąnaudos apskaičiuojamos taip:</w:t>
                      </w:r>
                    </w:p>
                    <w:sdt>
                      <w:sdtPr>
                        <w:alias w:val="69.7.1 pp."/>
                        <w:tag w:val="part_53a0f4c2731b43f1ab8497b7c0f6a752"/>
                        <w:lock w:val="sdtLocked"/>
                        <w:richText/>
                      </w:sdtPr>
                      <w:sdtContent>
                        <w:p>
                          <w:pPr>
                            <w:tabs>
                              <w:tab w:val="left" w:pos="567"/>
                            </w:tabs>
                            <w:suppressAutoHyphens/>
                            <w:ind w:firstLine="567"/>
                            <w:jc w:val="both"/>
                            <w:rPr>
                              <w:lang w:eastAsia="lt-LT"/>
                            </w:rPr>
                          </w:pPr>
                          <w:sdt>
                            <w:sdtPr>
                              <w:alias w:val="Numeris"/>
                              <w:tag w:val="nr_53a0f4c2731b43f1ab8497b7c0f6a752"/>
                              <w:lock w:val="sdtLocked"/>
                              <w:richText/>
                            </w:sdtPr>
                            <w:sdtContent>
                              <w:r>
                                <w:rPr>
                                  <w:color w:val="000000"/>
                                  <w:szCs w:val="24"/>
                                  <w:lang w:eastAsia="lt-LT"/>
                                </w:rPr>
                                <w:t>69.7.1</w:t>
                              </w:r>
                            </w:sdtContent>
                          </w:sdt>
                          <w:r>
                            <w:rPr>
                              <w:color w:val="000000"/>
                              <w:szCs w:val="24"/>
                              <w:lang w:eastAsia="lt-LT"/>
                            </w:rPr>
                            <w:t xml:space="preserve">. </w:t>
                          </w:r>
                          <w:r>
                            <w:rPr>
                              <w:lang w:eastAsia="lt-LT"/>
                            </w:rPr>
                            <w:t xml:space="preserve">elektros energijos iš fotovoltinių Saulės kolektorių, vėjo ir hidroelektrinių sąnaudos pastatui šildyti </w:t>
                          </w:r>
                          <w:r>
                            <w:rPr>
                              <w:i/>
                              <w:color w:val="000000"/>
                              <w:szCs w:val="24"/>
                              <w:lang w:eastAsia="lt-LT"/>
                            </w:rPr>
                            <w:t>Q</w:t>
                          </w:r>
                          <w:r>
                            <w:rPr>
                              <w:i/>
                              <w:color w:val="000000"/>
                              <w:szCs w:val="24"/>
                              <w:vertAlign w:val="subscript"/>
                              <w:lang w:eastAsia="lt-LT"/>
                            </w:rPr>
                            <w:t xml:space="preserve">H.E.SK+WE+HE,m  </w:t>
                          </w:r>
                          <w:r>
                            <w:rPr>
                              <w:color w:val="000000"/>
                              <w:szCs w:val="24"/>
                              <w:lang w:eastAsia="lt-LT"/>
                            </w:rPr>
                            <w:t>(kWh/(m²·mėn.))</w:t>
                          </w:r>
                          <w:r>
                            <w:rPr>
                              <w:lang w:eastAsia="lt-LT"/>
                            </w:rPr>
                            <w:t xml:space="preserve"> apskaičiuojamos taip:</w:t>
                          </w:r>
                        </w:p>
                        <w:p>
                          <w:pPr>
                            <w:tabs>
                              <w:tab w:val="left" w:pos="567"/>
                            </w:tabs>
                            <w:suppressAutoHyphens/>
                            <w:ind w:firstLine="567"/>
                            <w:jc w:val="both"/>
                            <w:rPr>
                              <w:lang w:eastAsia="lt-LT"/>
                            </w:rPr>
                          </w:pPr>
                        </w:p>
                        <w:tbl>
                          <w:tblPr>
                            <w:tblW w:w="5000" w:type="pct"/>
                            <w:jc w:val="center"/>
                            <w:tblLook w:val="01E0" w:firstRow="1" w:lastRow="1" w:firstColumn="1" w:lastColumn="1" w:noHBand="0" w:noVBand="0"/>
                          </w:tblPr>
                          <w:tblGrid>
                            <w:gridCol w:w="8358"/>
                            <w:gridCol w:w="1496"/>
                          </w:tblGrid>
                          <w:tr>
                            <w:trPr>
                              <w:jc w:val="center"/>
                            </w:trPr>
                            <w:tc>
                              <w:tcPr>
                                <w:tcW w:w="4241" w:type="pct"/>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34"/>
                                    <w:szCs w:val="24"/>
                                    <w:lang w:eastAsia="lt-LT"/>
                                  </w:rPr>
                                  <w:object w:dxaOrig="6180" w:dyaOrig="800">
                                    <v:shape id="_x0000_i1686" type="#_x0000_t75" style="width:307.4pt;height:42.05pt" o:ole="">
                                      <v:imagedata r:id="rId1723" o:title=""/>
                                    </v:shape>
                                    <o:OLEObject Type="Embed" ProgID="Equation.3" ShapeID="_x0000_i1686" DrawAspect="Content" ObjectID="_0000000001" r:id="rId1724"/>
                                  </w:object>
                                </w:r>
                              </w:p>
                            </w:tc>
                            <w:tc>
                              <w:tcPr>
                                <w:tcW w:w="759" w:type="pct"/>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(2.563-1)</w:t>
                                </w:r>
                              </w:p>
                            </w:tc>
                          </w:tr>
                        </w:tbl>
                        <w:p/>
                      </w:sdtContent>
                    </w:sdt>
                    <w:sdt>
                      <w:sdtPr>
                        <w:alias w:val="69.7.2 pp."/>
                        <w:tag w:val="part_6df88b8eb4064728a749400997e054d5"/>
                        <w:lock w:val="sdtLocked"/>
                        <w:richText/>
                      </w:sdtPr>
                      <w:sdtContent>
                        <w:p>
                          <w:pPr>
                            <w:tabs>
                              <w:tab w:val="left" w:pos="567"/>
                            </w:tabs>
                            <w:suppressAutoHyphens/>
                            <w:ind w:firstLine="567"/>
                            <w:jc w:val="both"/>
                            <w:rPr>
                              <w:lang w:eastAsia="lt-LT"/>
                            </w:rPr>
                          </w:pPr>
                          <w:sdt>
                            <w:sdtPr>
                              <w:alias w:val="Numeris"/>
                              <w:tag w:val="nr_6df88b8eb4064728a749400997e054d5"/>
                              <w:lock w:val="sdtLocked"/>
                              <w:richText/>
                            </w:sdtPr>
                            <w:sdtContent>
                              <w:r>
                                <w:rPr>
                                  <w:lang w:eastAsia="lt-LT"/>
                                </w:rPr>
                                <w:t>69.7.2</w:t>
                              </w:r>
                            </w:sdtContent>
                          </w:sdt>
                          <w:r>
                            <w:rPr>
                              <w:lang w:eastAsia="lt-LT"/>
                            </w:rPr>
                            <w:t xml:space="preserve">. elektros energijos iš fotovoltinių Saulės kolektorių, vėjo ir hidroelektrinių sąnaudos karšto vandens ruošimo sistemoje </w:t>
                          </w:r>
                          <w:r>
                            <w:rPr>
                              <w:i/>
                              <w:color w:val="000000"/>
                              <w:szCs w:val="24"/>
                              <w:lang w:eastAsia="lt-LT"/>
                            </w:rPr>
                            <w:t>Q</w:t>
                          </w:r>
                          <w:r>
                            <w:rPr>
                              <w:i/>
                              <w:color w:val="000000"/>
                              <w:szCs w:val="24"/>
                              <w:vertAlign w:val="subscript"/>
                              <w:lang w:eastAsia="lt-LT"/>
                            </w:rPr>
                            <w:t xml:space="preserve">hw.E.SK+WE+HE,m  </w:t>
                          </w:r>
                          <w:r>
                            <w:rPr>
                              <w:color w:val="000000"/>
                              <w:szCs w:val="24"/>
                              <w:lang w:eastAsia="lt-LT"/>
                            </w:rPr>
                            <w:t>(kWh/(m²·mėn.))</w:t>
                          </w:r>
                          <w:r>
                            <w:rPr>
                              <w:lang w:eastAsia="lt-LT"/>
                            </w:rPr>
                            <w:t xml:space="preserve"> apskaičiuojamos taip:</w:t>
                          </w:r>
                        </w:p>
                        <w:p>
                          <w:pPr>
                            <w:tabs>
                              <w:tab w:val="left" w:pos="567"/>
                            </w:tabs>
                            <w:suppressAutoHyphens/>
                            <w:ind w:firstLine="567"/>
                            <w:jc w:val="both"/>
                            <w:rPr>
                              <w:lang w:eastAsia="lt-LT"/>
                            </w:rPr>
                          </w:pPr>
                        </w:p>
                        <w:tbl>
                          <w:tblPr>
                            <w:tblW w:w="5000" w:type="pct"/>
                            <w:jc w:val="center"/>
                            <w:tblLook w:val="01E0" w:firstRow="1" w:lastRow="1" w:firstColumn="1" w:lastColumn="1" w:noHBand="0" w:noVBand="0"/>
                          </w:tblPr>
                          <w:tblGrid>
                            <w:gridCol w:w="8437"/>
                            <w:gridCol w:w="1417"/>
                          </w:tblGrid>
                          <w:tr>
                            <w:trPr>
                              <w:jc w:val="center"/>
                            </w:trPr>
                            <w:tc>
                              <w:tcPr>
                                <w:tcW w:w="4281" w:type="pct"/>
                                <w:shd w:val="clear" w:color="auto" w:fill="auto"/>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position w:val="-34"/>
                                    <w:szCs w:val="24"/>
                                    <w:lang w:eastAsia="lt-LT"/>
                                  </w:rPr>
                                  <w:object w:dxaOrig="6600" w:dyaOrig="800">
                                    <v:shape id="_x0000_i1687" type="#_x0000_t75" style="width:331.7pt;height:42.05pt" o:ole="">
                                      <v:imagedata r:id="rId1725" o:title=""/>
                                    </v:shape>
                                    <o:OLEObject Type="Embed" ProgID="Equation.3" ShapeID="_x0000_i1687" DrawAspect="Content" ObjectID="_0000000001" r:id="rId1726"/>
                                  </w:object>
                                </w:r>
                              </w:p>
                              <w:p>
                                <w:pPr>
                                  <w:tabs>
                                    <w:tab w:val="left" w:pos="567"/>
                                  </w:tabs>
                                  <w:suppressAutoHyphens/>
                                  <w:spacing w:line="276" w:lineRule="auto"/>
                                  <w:jc w:val="center"/>
                                  <w:rPr>
                                    <w:rFonts w:eastAsia="Calibri"/>
                                    <w:color w:val="000000"/>
                                    <w:szCs w:val="24"/>
                                    <w:lang w:eastAsia="lt-LT"/>
                                  </w:rPr>
                                </w:pPr>
                              </w:p>
                            </w:tc>
                            <w:tc>
                              <w:tcPr>
                                <w:tcW w:w="719" w:type="pct"/>
                                <w:shd w:val="clear" w:color="auto" w:fill="auto"/>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(2.563-2)</w:t>
                                </w:r>
                              </w:p>
                            </w:tc>
                          </w:tr>
                        </w:tbl>
                        <w:p/>
                      </w:sdtContent>
                    </w:sdt>
                    <w:sdt>
                      <w:sdtPr>
                        <w:alias w:val="69.7.3 pp."/>
                        <w:tag w:val="part_be1a45437c8444c88f48b79d78996402"/>
                        <w:lock w:val="sdtLocked"/>
                        <w:richText/>
                      </w:sdtPr>
                      <w:sdtContent>
                        <w:p>
                          <w:pPr>
                            <w:tabs>
                              <w:tab w:val="left" w:pos="567"/>
                            </w:tabs>
                            <w:suppressAutoHyphens/>
                            <w:ind w:firstLine="567"/>
                            <w:jc w:val="both"/>
                            <w:rPr>
                              <w:lang w:eastAsia="lt-LT"/>
                            </w:rPr>
                          </w:pPr>
                          <w:sdt>
                            <w:sdtPr>
                              <w:alias w:val="Numeris"/>
                              <w:tag w:val="nr_be1a45437c8444c88f48b79d78996402"/>
                              <w:lock w:val="sdtLocked"/>
                              <w:richText/>
                            </w:sdtPr>
                            <w:sdtContent>
                              <w:r>
                                <w:rPr>
                                  <w:lang w:eastAsia="lt-LT"/>
                                </w:rPr>
                                <w:t>69.7.3</w:t>
                              </w:r>
                            </w:sdtContent>
                          </w:sdt>
                          <w:r>
                            <w:rPr>
                              <w:lang w:eastAsia="lt-LT"/>
                            </w:rPr>
                            <w:t xml:space="preserve">. elektros energijos iš fotovoltinių saulės kolektorių, vėjo ir hidroelektrinių suminės sąnaudos pastate </w:t>
                          </w:r>
                          <w:r>
                            <w:rPr>
                              <w:i/>
                              <w:color w:val="000000"/>
                              <w:szCs w:val="24"/>
                              <w:lang w:eastAsia="lt-LT"/>
                            </w:rPr>
                            <w:t>Q</w:t>
                          </w:r>
                          <w:r>
                            <w:rPr>
                              <w:i/>
                              <w:color w:val="000000"/>
                              <w:szCs w:val="24"/>
                              <w:vertAlign w:val="subscript"/>
                              <w:lang w:eastAsia="lt-LT"/>
                            </w:rPr>
                            <w:t xml:space="preserve">E.sum.SK+WE+HE,m </w:t>
                          </w:r>
                          <w:r>
                            <w:rPr>
                              <w:color w:val="000000"/>
                              <w:szCs w:val="24"/>
                              <w:lang w:eastAsia="lt-LT"/>
                            </w:rPr>
                            <w:t>(kWh/(m²·mėn.))</w:t>
                          </w:r>
                          <w:r>
                            <w:rPr>
                              <w:lang w:eastAsia="lt-LT"/>
                            </w:rPr>
                            <w:t xml:space="preserve"> apskaičiuojamos taip:</w:t>
                          </w:r>
                        </w:p>
                        <w:p>
                          <w:pPr>
                            <w:tabs>
                              <w:tab w:val="left" w:pos="567"/>
                            </w:tabs>
                            <w:suppressAutoHyphens/>
                            <w:ind w:firstLine="567"/>
                            <w:jc w:val="both"/>
                            <w:rPr>
                              <w:lang w:eastAsia="lt-LT"/>
                            </w:rPr>
                          </w:pPr>
                        </w:p>
                        <w:tbl>
                          <w:tblPr>
                            <w:tblW w:w="5000" w:type="pct"/>
                            <w:jc w:val="center"/>
                            <w:tblLook w:val="01E0" w:firstRow="1" w:lastRow="1" w:firstColumn="1" w:lastColumn="1" w:noHBand="0" w:noVBand="0"/>
                          </w:tblPr>
                          <w:tblGrid>
                            <w:gridCol w:w="8437"/>
                            <w:gridCol w:w="1417"/>
                          </w:tblGrid>
                          <w:tr>
                            <w:trPr>
                              <w:jc w:val="center"/>
                            </w:trPr>
                            <w:tc>
                              <w:tcPr>
                                <w:tcW w:w="4281" w:type="pct"/>
                                <w:shd w:val="clear" w:color="auto" w:fill="auto"/>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220" w:dyaOrig="360">
                                    <v:shape id="_x0000_i1688" type="#_x0000_t75" style="width:312.25pt;height:17.8pt" o:ole="">
                                      <v:imagedata r:id="rId1727" o:title=""/>
                                    </v:shape>
                                    <o:OLEObject Type="Embed" ProgID="Equation.3" ShapeID="_x0000_i1688" DrawAspect="Content" ObjectID="_0000000001" r:id="rId1728"/>
                                  </w:object>
                                </w:r>
                              </w:p>
                            </w:tc>
                            <w:tc>
                              <w:tcPr>
                                <w:tcW w:w="719" w:type="pct"/>
                                <w:shd w:val="clear" w:color="auto" w:fill="auto"/>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(2.563-3)</w:t>
                                </w:r>
                              </w:p>
                            </w:tc>
                          </w:tr>
                        </w:tbl>
                        <w:p>
                          <w:pPr>
                            <w:rPr>
                              <w:rFonts w:eastAsia="MS Mincho"/>
                              <w:i/>
                              <w:iCs/>
                              <w:sz w:val="20"/>
                            </w:rPr>
                          </w:pPr>
                          <w:r>
                            <w:rPr>
                              <w:rFonts w:eastAsia="MS Mincho"/>
                              <w:i/>
                              <w:iCs/>
                              <w:sz w:val="20"/>
                            </w:rPr>
                            <w:t>Skyriaus pakeitimai:</w:t>
                          </w:r>
                        </w:p>
                        <w:p>
                          <w:pPr>
                            <w:rPr>
                              <w:rFonts w:eastAsia="MS Mincho"/>
                              <w:i/>
                              <w:iCs/>
                              <w:sz w:val="20"/>
                            </w:rPr>
                          </w:pPr>
                          <w:r>
                            <w:rPr>
                              <w:rFonts w:eastAsia="MS Mincho"/>
                              <w:i/>
                              <w:iCs/>
                              <w:sz w:val="20"/>
                            </w:rPr>
                            <w:t xml:space="preserve">Nr. </w:t>
                          </w:r>
                          <w:hyperlink r:id="rId1729" w:history="1">
                            <w:r>
                              <w:rPr>
                                <w:rFonts w:eastAsia="MS Mincho"/>
                                <w:i/>
                                <w:iCs/>
                                <w:color w:val="0000FF"/>
                                <w:sz w:val="20"/>
                                <w:u w:val="single"/>
                              </w:rPr>
                              <w:t>D1-23</w:t>
                            </w:r>
                          </w:hyperlink>
                          <w:r>
                            <w:rPr>
                              <w:rFonts w:eastAsia="MS Mincho"/>
                              <w:i/>
                              <w:iCs/>
                              <w:sz w:val="20"/>
                            </w:rPr>
                            <w:t>, 2019-01-11, paskelbta TAR 2019-01-14, i. k. 2019-00444</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Content>
        </w:sdt>
        <w:sdt>
          <w:sdtPr>
            <w:alias w:val="skyrius"/>
            <w:tag w:val="part_8da7646fd9364690b3f3e536dafba303"/>
            <w:lock w:val="sdtLocked"/>
            <w:richText/>
          </w:sdtPr>
          <w:sdtContent>
            <w:p>
              <w:pPr>
                <w:keepNext/>
                <w:keepLines/>
                <w:suppressAutoHyphens/>
                <w:jc w:val="center"/>
                <w:outlineLvl w:val="2"/>
                <w:rPr>
                  <w:b/>
                  <w:bCs/>
                  <w:lang w:eastAsia="lt-LT"/>
                </w:rPr>
              </w:pPr>
              <w:sdt>
                <w:sdtPr>
                  <w:alias w:val="Numeris"/>
                  <w:tag w:val="nr_8da7646fd9364690b3f3e536dafba303"/>
                  <w:lock w:val="sdtLocked"/>
                  <w:richText/>
                </w:sdtPr>
                <w:sdtContent>
                  <w:r>
                    <w:rPr>
                      <w:b/>
                      <w:bCs/>
                      <w:lang w:eastAsia="lt-LT"/>
                    </w:rPr>
                    <w:t>XXI</w:t>
                  </w:r>
                </w:sdtContent>
              </w:sdt>
              <w:r>
                <w:rPr>
                  <w:b/>
                  <w:bCs/>
                  <w:lang w:eastAsia="lt-LT"/>
                </w:rPr>
                <w:t xml:space="preserve"> skyrius</w:t>
              </w:r>
            </w:p>
            <w:p>
              <w:pPr>
                <w:keepNext/>
                <w:keepLines/>
                <w:suppressAutoHyphens/>
                <w:jc w:val="center"/>
                <w:outlineLvl w:val="2"/>
                <w:rPr>
                  <w:b/>
                  <w:bCs/>
                  <w:lang w:eastAsia="lt-LT"/>
                </w:rPr>
              </w:pPr>
              <w:sdt>
                <w:sdtPr>
                  <w:alias w:val="Pavadinimas"/>
                  <w:tag w:val="title_8da7646fd9364690b3f3e536dafba303"/>
                  <w:lock w:val="sdtLocked"/>
                  <w:richText/>
                </w:sdtPr>
                <w:sdtContent>
                  <w:r>
                    <w:rPr>
                      <w:b/>
                      <w:bCs/>
                      <w:lang w:eastAsia="lt-LT"/>
                    </w:rPr>
                    <w:t>Neatsinaujinančios pirminės energijos ir elektros energijos sąnaudų pastatui vėsinti skaičiavimas</w:t>
                  </w:r>
                </w:sdtContent>
              </w:sdt>
            </w:p>
            <w:p>
              <w:pPr>
                <w:suppressAutoHyphens/>
                <w:ind w:firstLine="570"/>
                <w:rPr>
                  <w:lang w:eastAsia="lt-LT"/>
                </w:rPr>
              </w:pPr>
            </w:p>
            <w:sdt>
              <w:sdtPr>
                <w:alias w:val="2 pr. 70 p."/>
                <w:tag w:val="part_49d7ab6e3ecd42cfa414eabc51bb6560"/>
                <w:lock w:val="sdtLocked"/>
                <w:richText/>
              </w:sdtPr>
              <w:sdtContent>
                <w:p>
                  <w:pPr>
                    <w:tabs>
                      <w:tab w:val="left" w:pos="567"/>
                    </w:tabs>
                    <w:suppressAutoHyphens/>
                    <w:ind w:firstLine="570"/>
                    <w:jc w:val="both"/>
                    <w:rPr>
                      <w:color w:val="000000"/>
                      <w:lang w:eastAsia="lt-LT"/>
                    </w:rPr>
                  </w:pPr>
                  <w:sdt>
                    <w:sdtPr>
                      <w:alias w:val="Numeris"/>
                      <w:tag w:val="nr_49d7ab6e3ecd42cfa414eabc51bb6560"/>
                      <w:lock w:val="sdtLocked"/>
                      <w:richText/>
                    </w:sdtPr>
                    <w:sdtContent>
                      <w:r>
                        <w:rPr>
                          <w:szCs w:val="24"/>
                          <w:lang w:eastAsia="lt-LT"/>
                        </w:rPr>
                        <w:t>70</w:t>
                      </w:r>
                    </w:sdtContent>
                  </w:sdt>
                  <w:r>
                    <w:rPr>
                      <w:szCs w:val="24"/>
                      <w:lang w:eastAsia="lt-LT"/>
                    </w:rPr>
                    <w:t xml:space="preserve">. </w:t>
                  </w:r>
                  <w:r>
                    <w:rPr>
                      <w:color w:val="000000"/>
                      <w:lang w:eastAsia="lt-LT"/>
                    </w:rPr>
                    <w:t xml:space="preserve">Kiekvieno mėnesio „m“ norminės </w:t>
                  </w:r>
                  <w:r>
                    <w:rPr>
                      <w:i/>
                      <w:color w:val="000000"/>
                      <w:lang w:eastAsia="lt-LT"/>
                    </w:rPr>
                    <w:t>Q</w:t>
                  </w:r>
                  <w:r>
                    <w:rPr>
                      <w:i/>
                      <w:color w:val="000000"/>
                      <w:vertAlign w:val="subscript"/>
                      <w:lang w:eastAsia="lt-LT"/>
                    </w:rPr>
                    <w:t>N.PR.C,m</w:t>
                  </w:r>
                  <w:r>
                    <w:rPr>
                      <w:color w:val="000000"/>
                      <w:lang w:eastAsia="lt-LT"/>
                    </w:rPr>
                    <w:t xml:space="preserve"> (kWh/(m²·mėn.)) ir atskaitinės </w:t>
                  </w:r>
                  <w:r>
                    <w:rPr>
                      <w:i/>
                      <w:color w:val="000000"/>
                      <w:lang w:eastAsia="lt-LT"/>
                    </w:rPr>
                    <w:t>Q</w:t>
                  </w:r>
                  <w:r>
                    <w:rPr>
                      <w:i/>
                      <w:color w:val="000000"/>
                      <w:vertAlign w:val="subscript"/>
                      <w:lang w:eastAsia="lt-LT"/>
                    </w:rPr>
                    <w:t>R.PR.C,m</w:t>
                  </w:r>
                  <w:r>
                    <w:rPr>
                      <w:color w:val="000000"/>
                      <w:lang w:eastAsia="lt-LT"/>
                    </w:rPr>
                    <w:t xml:space="preserve"> (kWh/(m²·mėn.)) neatsinaujinančios pirminės energijos sąnaudos pastatui vėsinti laikomos lygios nuliui. Kiekvieno mėnesio „m“ skaičiuojamosios neatsinaujinančios pirminės energijos sąnaudos pastatui vėsinti</w:t>
                  </w:r>
                  <w:r>
                    <w:rPr>
                      <w:i/>
                      <w:color w:val="000000"/>
                      <w:lang w:eastAsia="lt-LT"/>
                    </w:rPr>
                    <w:t xml:space="preserve"> Q</w:t>
                  </w:r>
                  <w:r>
                    <w:rPr>
                      <w:i/>
                      <w:color w:val="000000"/>
                      <w:vertAlign w:val="subscript"/>
                      <w:lang w:eastAsia="lt-LT"/>
                    </w:rPr>
                    <w:t>PRn.C,m</w:t>
                  </w:r>
                  <w:r>
                    <w:rPr>
                      <w:color w:val="000000"/>
                      <w:lang w:eastAsia="lt-LT"/>
                    </w:rPr>
                    <w:t xml:space="preserve"> (kWh/(m²·mėn.)) apskaičiuojamos taip:</w:t>
                  </w:r>
                </w:p>
                <w:sdt>
                  <w:sdtPr>
                    <w:alias w:val="70.1 pp."/>
                    <w:tag w:val="part_8c39c22204a44f049d29ee8578b4de2b"/>
                    <w:lock w:val="sdtLocked"/>
                    <w:richText/>
                  </w:sdtPr>
                  <w:sdtContent>
                    <w:p>
                      <w:pPr>
                        <w:tabs>
                          <w:tab w:val="left" w:pos="567"/>
                        </w:tabs>
                        <w:suppressAutoHyphens/>
                        <w:ind w:firstLine="570"/>
                        <w:jc w:val="both"/>
                        <w:rPr>
                          <w:color w:val="FF0000"/>
                          <w:lang w:eastAsia="lt-LT"/>
                        </w:rPr>
                      </w:pPr>
                      <w:sdt>
                        <w:sdtPr>
                          <w:alias w:val="Numeris"/>
                          <w:tag w:val="nr_8c39c22204a44f049d29ee8578b4de2b"/>
                          <w:lock w:val="sdtLocked"/>
                          <w:richText/>
                        </w:sdtPr>
                        <w:sdtContent>
                          <w:r>
                            <w:rPr>
                              <w:color w:val="000000"/>
                              <w:lang w:eastAsia="lt-LT"/>
                            </w:rPr>
                            <w:t>70.1</w:t>
                          </w:r>
                        </w:sdtContent>
                      </w:sdt>
                      <w:r>
                        <w:rPr>
                          <w:color w:val="000000"/>
                          <w:lang w:eastAsia="lt-LT"/>
                        </w:rPr>
                        <w:t xml:space="preserve">. </w:t>
                      </w:r>
                      <w:r>
                        <w:rPr>
                          <w:lang w:eastAsia="lt-LT"/>
                        </w:rPr>
                        <w:t>jei pastatui vėsinti nenaudojami dujiniai katilai su absorbciniais šilumos siurbliais:</w:t>
                      </w:r>
                    </w:p>
                    <w:tbl>
                      <w:tblPr>
                        <w:tblW w:w="5000" w:type="pct"/>
                        <w:jc w:val="center"/>
                        <w:tblLook w:val="01E0" w:firstRow="1" w:lastRow="1" w:firstColumn="1" w:lastColumn="1" w:noHBand="0" w:noVBand="0"/>
                      </w:tblPr>
                      <w:tblGrid>
                        <w:gridCol w:w="8831"/>
                        <w:gridCol w:w="79"/>
                        <w:gridCol w:w="944"/>
                      </w:tblGrid>
                      <w:tr>
                        <w:trPr>
                          <w:jc w:val="center"/>
                        </w:trPr>
                        <w:tc>
                          <w:tcPr>
                            <w:tcW w:w="4521" w:type="pct"/>
                            <w:gridSpan w:val="2"/>
                            <w:vAlign w:val="center"/>
                          </w:tcPr>
                          <w:p>
                            <w:pPr>
                              <w:tabs>
                                <w:tab w:val="left" w:pos="567"/>
                              </w:tabs>
                              <w:suppressAutoHyphens/>
                              <w:spacing w:line="276" w:lineRule="auto"/>
                              <w:jc w:val="center"/>
                              <w:rPr>
                                <w:rFonts w:eastAsia="Calibri"/>
                                <w:strike/>
                                <w:color w:val="000000"/>
                                <w:szCs w:val="22"/>
                                <w:lang w:eastAsia="lt-LT"/>
                              </w:rPr>
                            </w:pPr>
                          </w:p>
                        </w:tc>
                        <w:tc>
                          <w:tcPr>
                            <w:tcW w:w="479" w:type="pct"/>
                            <w:vAlign w:val="center"/>
                          </w:tcPr>
                          <w:p>
                            <w:pPr>
                              <w:tabs>
                                <w:tab w:val="left" w:pos="567"/>
                              </w:tabs>
                              <w:suppressAutoHyphens/>
                              <w:spacing w:line="276" w:lineRule="auto"/>
                              <w:jc w:val="right"/>
                              <w:rPr>
                                <w:rFonts w:eastAsia="Calibri"/>
                                <w:strike/>
                                <w:color w:val="000000"/>
                                <w:szCs w:val="22"/>
                                <w:lang w:eastAsia="lt-LT"/>
                              </w:rPr>
                            </w:pPr>
                          </w:p>
                        </w:tc>
                      </w:tr>
                      <w:tr>
                        <w:trPr>
                          <w:jc w:val="center"/>
                        </w:trPr>
                        <w:tc>
                          <w:tcPr>
                            <w:tcW w:w="4481" w:type="pct"/>
                            <w:vAlign w:val="center"/>
                            <w:hideMark/>
                          </w:tcPr>
                          <w:p>
                            <w:pPr>
                              <w:tabs>
                                <w:tab w:val="left" w:pos="567"/>
                              </w:tabs>
                              <w:suppressAutoHyphens/>
                              <w:spacing w:line="276" w:lineRule="auto"/>
                              <w:jc w:val="center"/>
                              <w:rPr>
                                <w:szCs w:val="24"/>
                                <w:lang w:eastAsia="lt-LT"/>
                              </w:rPr>
                            </w:pPr>
                            <w:r>
                              <w:rPr>
                                <w:szCs w:val="24"/>
                                <w:lang w:eastAsia="lt-LT"/>
                              </w:rPr>
                              <w:object w:dxaOrig="9360" w:dyaOrig="3040">
                                <v:shape id="_x0000_i1689" type="#_x0000_t75" style="width:403.7pt;height:131.05pt" o:ole="">
                                  <v:imagedata r:id="rId1730" o:title=""/>
                                </v:shape>
                                <o:OLEObject Type="Embed" ProgID="Equation.3" ShapeID="_x0000_i1689" DrawAspect="Content" ObjectID="_0000000001" r:id="rId1731"/>
                              </w:object>
                            </w:r>
                          </w:p>
                        </w:tc>
                        <w:tc>
                          <w:tcPr>
                            <w:tcW w:w="519" w:type="pct"/>
                            <w:gridSpan w:val="2"/>
                            <w:vAlign w:val="center"/>
                            <w:hideMark/>
                          </w:tcPr>
                          <w:p>
                            <w:pPr>
                              <w:tabs>
                                <w:tab w:val="left" w:pos="567"/>
                              </w:tabs>
                              <w:suppressAutoHyphens/>
                              <w:spacing w:line="276" w:lineRule="auto"/>
                              <w:jc w:val="right"/>
                              <w:rPr>
                                <w:color w:val="000000"/>
                                <w:lang w:eastAsia="lt-LT"/>
                              </w:rPr>
                            </w:pPr>
                            <w:r>
                              <w:rPr>
                                <w:color w:val="000000"/>
                                <w:lang w:eastAsia="lt-LT"/>
                              </w:rPr>
                              <w:t>(2.564)</w:t>
                            </w:r>
                          </w:p>
                        </w:tc>
                      </w:tr>
                      <w:tr>
                        <w:trPr>
                          <w:jc w:val="center"/>
                        </w:trPr>
                        <w:tc>
                          <w:tcPr>
                            <w:tcW w:w="4521" w:type="pct"/>
                            <w:gridSpan w:val="2"/>
                            <w:vAlign w:val="center"/>
                          </w:tcPr>
                          <w:p>
                            <w:pPr>
                              <w:tabs>
                                <w:tab w:val="left" w:pos="567"/>
                              </w:tabs>
                              <w:suppressAutoHyphens/>
                              <w:spacing w:line="276" w:lineRule="auto"/>
                              <w:jc w:val="center"/>
                              <w:rPr>
                                <w:strike/>
                                <w:szCs w:val="24"/>
                                <w:lang w:eastAsia="lt-LT"/>
                              </w:rPr>
                            </w:pPr>
                          </w:p>
                        </w:tc>
                        <w:tc>
                          <w:tcPr>
                            <w:tcW w:w="479" w:type="pct"/>
                            <w:vAlign w:val="center"/>
                          </w:tcPr>
                          <w:p>
                            <w:pPr>
                              <w:tabs>
                                <w:tab w:val="left" w:pos="567"/>
                              </w:tabs>
                              <w:suppressAutoHyphens/>
                              <w:spacing w:line="276" w:lineRule="auto"/>
                              <w:jc w:val="right"/>
                              <w:rPr>
                                <w:strike/>
                                <w:color w:val="000000"/>
                                <w:lang w:eastAsia="lt-LT"/>
                              </w:rPr>
                            </w:pPr>
                          </w:p>
                        </w:tc>
                      </w:tr>
                    </w:tbl>
                    <w:p>
                      <w:pPr>
                        <w:tabs>
                          <w:tab w:val="left" w:pos="567"/>
                        </w:tabs>
                        <w:suppressAutoHyphens/>
                        <w:ind w:left="2268" w:firstLine="62"/>
                        <w:jc w:val="right"/>
                        <w:rPr>
                          <w:szCs w:val="24"/>
                          <w:lang w:eastAsia="lt-LT"/>
                        </w:rPr>
                      </w:pPr>
                      <w:r>
                        <w:rPr>
                          <w:position w:val="-32"/>
                          <w:szCs w:val="24"/>
                          <w:lang w:eastAsia="lt-LT"/>
                        </w:rPr>
                        <w:object w:dxaOrig="2385" w:dyaOrig="1050">
                          <v:shape id="_x0000_i1690" type="#_x0000_t75" style="width:119.75pt;height:53.4pt" o:ole="">
                            <v:imagedata r:id="rId1732" o:title=""/>
                          </v:shape>
                          <o:OLEObject Type="Embed" ProgID="Equation.3" ShapeID="_x0000_i1690" DrawAspect="Content" ObjectID="_0000000001" r:id="rId1733"/>
                        </w:object>
                      </w:r>
                      <w:r>
                        <w:rPr>
                          <w:szCs w:val="24"/>
                          <w:lang w:eastAsia="lt-LT"/>
                        </w:rPr>
                        <w:t xml:space="preserve">        ;                                                         (2.564-1)</w:t>
                      </w:r>
                    </w:p>
                    <w:p>
                      <w:pPr>
                        <w:tabs>
                          <w:tab w:val="left" w:pos="567"/>
                        </w:tabs>
                        <w:suppressAutoHyphens/>
                        <w:jc w:val="both"/>
                        <w:rPr>
                          <w:color w:val="000000"/>
                          <w:lang w:eastAsia="lt-LT"/>
                        </w:rPr>
                      </w:pPr>
                      <w:r>
                        <w:rPr>
                          <w:color w:val="000000"/>
                          <w:lang w:eastAsia="lt-LT"/>
                        </w:rPr>
                        <w:t xml:space="preserve">čia: </w:t>
                        <w:tab/>
                      </w:r>
                      <w:r>
                        <w:rPr>
                          <w:i/>
                          <w:color w:val="000000"/>
                          <w:lang w:eastAsia="lt-LT"/>
                        </w:rPr>
                        <w:t>Q</w:t>
                      </w:r>
                      <w:r>
                        <w:rPr>
                          <w:i/>
                          <w:color w:val="000000"/>
                          <w:vertAlign w:val="subscript"/>
                          <w:lang w:eastAsia="lt-LT"/>
                        </w:rPr>
                        <w:t>C,m</w:t>
                      </w:r>
                      <w:r>
                        <w:rPr>
                          <w:color w:val="000000"/>
                          <w:lang w:eastAsia="lt-LT"/>
                        </w:rPr>
                        <w:t xml:space="preserve"> – apskaičiuojama pagal (2.176) formulę;</w:t>
                      </w:r>
                    </w:p>
                    <w:p>
                      <w:pPr>
                        <w:tabs>
                          <w:tab w:val="left" w:pos="567"/>
                        </w:tabs>
                        <w:suppressAutoHyphens/>
                        <w:ind w:left="567"/>
                        <w:jc w:val="both"/>
                        <w:rPr>
                          <w:rFonts w:eastAsia="Calibri"/>
                          <w:szCs w:val="22"/>
                          <w:lang w:eastAsia="lt-LT"/>
                        </w:rPr>
                      </w:pPr>
                      <w:r>
                        <w:rPr>
                          <w:i/>
                          <w:lang w:eastAsia="lt-LT"/>
                        </w:rPr>
                        <w:t>Q</w:t>
                      </w:r>
                      <w:r>
                        <w:rPr>
                          <w:i/>
                          <w:vertAlign w:val="subscript"/>
                          <w:lang w:eastAsia="lt-LT"/>
                        </w:rPr>
                        <w:t>C.E1,m</w:t>
                      </w:r>
                      <w:r>
                        <w:rPr>
                          <w:lang w:eastAsia="lt-LT"/>
                        </w:rPr>
                        <w:t xml:space="preserve">  – apskaičiuojama pagal (2.566-1) formulę;</w:t>
                      </w:r>
                    </w:p>
                    <w:p>
                      <w:pPr>
                        <w:tabs>
                          <w:tab w:val="left" w:pos="567"/>
                          <w:tab w:val="left" w:pos="709"/>
                        </w:tabs>
                        <w:suppressAutoHyphens/>
                        <w:ind w:left="567"/>
                        <w:jc w:val="both"/>
                        <w:rPr>
                          <w:color w:val="000000"/>
                          <w:lang w:eastAsia="lt-LT"/>
                        </w:rPr>
                      </w:pPr>
                      <w:r>
                        <w:rPr>
                          <w:i/>
                          <w:color w:val="000000"/>
                          <w:lang w:eastAsia="lt-LT"/>
                        </w:rPr>
                        <w:t>f</w:t>
                      </w:r>
                      <w:r>
                        <w:rPr>
                          <w:i/>
                          <w:color w:val="000000"/>
                          <w:vertAlign w:val="subscript"/>
                          <w:lang w:eastAsia="lt-LT"/>
                        </w:rPr>
                        <w:t>PRn.E</w:t>
                      </w:r>
                      <w:r>
                        <w:rPr>
                          <w:i/>
                          <w:color w:val="000000"/>
                          <w:lang w:eastAsia="lt-LT"/>
                        </w:rPr>
                        <w:t xml:space="preserve"> </w:t>
                      </w:r>
                      <w:r>
                        <w:rPr>
                          <w:color w:val="000000"/>
                          <w:lang w:eastAsia="lt-LT"/>
                        </w:rPr>
                        <w:t xml:space="preserve">– neatsinaujinančios pirminės energijos faktoriaus vertė elektros energijai (vnt.). Imama </w:t>
                      </w:r>
                    </w:p>
                    <w:p>
                      <w:pPr>
                        <w:tabs>
                          <w:tab w:val="left" w:pos="567"/>
                          <w:tab w:val="left" w:pos="709"/>
                        </w:tabs>
                        <w:suppressAutoHyphens/>
                        <w:jc w:val="both"/>
                        <w:rPr>
                          <w:color w:val="000000"/>
                          <w:lang w:eastAsia="lt-LT"/>
                        </w:rPr>
                      </w:pPr>
                      <w:r>
                        <w:rPr>
                          <w:color w:val="000000"/>
                          <w:lang w:eastAsia="lt-LT"/>
                        </w:rPr>
                        <w:t>iš 2.18 lentelės;</w:t>
                      </w:r>
                    </w:p>
                    <w:p>
                      <w:pPr>
                        <w:tabs>
                          <w:tab w:val="left" w:pos="567"/>
                        </w:tabs>
                        <w:suppressAutoHyphens/>
                        <w:ind w:firstLine="567"/>
                        <w:jc w:val="both"/>
                        <w:rPr>
                          <w:color w:val="000000"/>
                          <w:lang w:eastAsia="lt-LT"/>
                        </w:rPr>
                      </w:pPr>
                      <w:r>
                        <w:rPr>
                          <w:i/>
                          <w:color w:val="000000"/>
                          <w:lang w:eastAsia="lt-LT"/>
                        </w:rPr>
                        <w:t>η</w:t>
                      </w:r>
                      <w:r>
                        <w:rPr>
                          <w:i/>
                          <w:color w:val="000000"/>
                          <w:vertAlign w:val="subscript"/>
                          <w:lang w:eastAsia="lt-LT"/>
                        </w:rPr>
                        <w:t>EER,x</w:t>
                      </w:r>
                      <w:r>
                        <w:rPr>
                          <w:color w:val="000000"/>
                          <w:vertAlign w:val="subscript"/>
                          <w:lang w:eastAsia="lt-LT"/>
                        </w:rPr>
                        <w:t xml:space="preserve"> </w:t>
                      </w:r>
                      <w:r>
                        <w:rPr>
                          <w:color w:val="000000"/>
                          <w:lang w:eastAsia="lt-LT"/>
                        </w:rPr>
                        <w:t xml:space="preserve">– atitinkamo </w:t>
                      </w:r>
                      <w:r>
                        <w:rPr>
                          <w:i/>
                          <w:color w:val="000000"/>
                          <w:lang w:eastAsia="lt-LT"/>
                        </w:rPr>
                        <w:t>„x“</w:t>
                      </w:r>
                      <w:r>
                        <w:rPr>
                          <w:color w:val="000000"/>
                          <w:lang w:eastAsia="lt-LT"/>
                        </w:rPr>
                        <w:t xml:space="preserve"> orą šaldančio įrenginio energinio efektyvumo koeficientas (vnt.) pagal LST EN 14511-3:2008 [3.35] reikalavimus atitinka koeficientą EER. Jei </w:t>
                      </w:r>
                      <w:r>
                        <w:rPr>
                          <w:i/>
                          <w:color w:val="000000"/>
                          <w:lang w:eastAsia="lt-LT"/>
                        </w:rPr>
                        <w:t>Q</w:t>
                      </w:r>
                      <w:r>
                        <w:rPr>
                          <w:i/>
                          <w:color w:val="000000"/>
                          <w:vertAlign w:val="subscript"/>
                          <w:lang w:eastAsia="lt-LT"/>
                        </w:rPr>
                        <w:t>C,m</w:t>
                      </w:r>
                      <w:r>
                        <w:rPr>
                          <w:color w:val="000000"/>
                          <w:lang w:eastAsia="lt-LT"/>
                        </w:rPr>
                        <w:t xml:space="preserve">&gt;0 ir pastate oro vėsinimo sistema neįrengta, imama </w:t>
                      </w:r>
                      <w:r>
                        <w:rPr>
                          <w:i/>
                          <w:color w:val="000000"/>
                          <w:lang w:eastAsia="lt-LT"/>
                        </w:rPr>
                        <w:t>η</w:t>
                      </w:r>
                      <w:r>
                        <w:rPr>
                          <w:i/>
                          <w:color w:val="000000"/>
                          <w:vertAlign w:val="subscript"/>
                          <w:lang w:eastAsia="lt-LT"/>
                        </w:rPr>
                        <w:t>EER</w:t>
                      </w:r>
                      <w:r>
                        <w:rPr>
                          <w:color w:val="000000"/>
                          <w:vertAlign w:val="subscript"/>
                          <w:lang w:eastAsia="lt-LT"/>
                        </w:rPr>
                        <w:t xml:space="preserve"> </w:t>
                      </w:r>
                      <w:r>
                        <w:rPr>
                          <w:color w:val="000000"/>
                          <w:lang w:eastAsia="lt-LT"/>
                        </w:rPr>
                        <w:t xml:space="preserve">=2,8. Jei oro vėsinimo sistema įrengta, </w:t>
                      </w:r>
                      <w:r>
                        <w:rPr>
                          <w:i/>
                          <w:color w:val="000000"/>
                          <w:lang w:eastAsia="lt-LT"/>
                        </w:rPr>
                        <w:t>η</w:t>
                      </w:r>
                      <w:r>
                        <w:rPr>
                          <w:i/>
                          <w:color w:val="000000"/>
                          <w:vertAlign w:val="subscript"/>
                          <w:lang w:eastAsia="lt-LT"/>
                        </w:rPr>
                        <w:t>EER</w:t>
                      </w:r>
                      <w:r>
                        <w:rPr>
                          <w:color w:val="000000"/>
                          <w:lang w:eastAsia="lt-LT"/>
                        </w:rPr>
                        <w:t xml:space="preserve"> vertė imama iš įrenginio techninės dokumentacijos; </w:t>
                      </w:r>
                      <w:r>
                        <w:rPr>
                          <w:color w:val="000000"/>
                          <w:szCs w:val="24"/>
                          <w:lang w:eastAsia="lt-LT"/>
                        </w:rPr>
                        <w:t>jei nėra</w:t>
                      </w:r>
                      <w:r>
                        <w:rPr>
                          <w:color w:val="000000"/>
                          <w:lang w:eastAsia="lt-LT"/>
                        </w:rPr>
                        <w:t xml:space="preserve"> duomenų, imama iš 2.43 lentelės;</w:t>
                      </w:r>
                    </w:p>
                    <w:p>
                      <w:pPr>
                        <w:tabs>
                          <w:tab w:val="left" w:pos="567"/>
                        </w:tabs>
                        <w:suppressAutoHyphens/>
                        <w:ind w:firstLine="567"/>
                        <w:jc w:val="both"/>
                        <w:rPr>
                          <w:color w:val="000000"/>
                          <w:lang w:eastAsia="lt-LT"/>
                        </w:rPr>
                      </w:pPr>
                      <w:r>
                        <w:rPr>
                          <w:i/>
                          <w:color w:val="000000"/>
                          <w:lang w:eastAsia="lt-LT"/>
                        </w:rPr>
                        <w:t>A</w:t>
                      </w:r>
                      <w:r>
                        <w:rPr>
                          <w:i/>
                          <w:color w:val="000000"/>
                          <w:vertAlign w:val="subscript"/>
                          <w:lang w:eastAsia="lt-LT"/>
                        </w:rPr>
                        <w:t xml:space="preserve">Ceq,x </w:t>
                      </w:r>
                      <w:r>
                        <w:rPr>
                          <w:color w:val="000000"/>
                          <w:lang w:eastAsia="lt-LT"/>
                        </w:rPr>
                        <w:t xml:space="preserve">– pastato šildomas plotas, kuriame orui vėsinti naudojamas atitinkamas </w:t>
                      </w:r>
                      <w:r>
                        <w:rPr>
                          <w:i/>
                          <w:color w:val="000000"/>
                          <w:lang w:eastAsia="lt-LT"/>
                        </w:rPr>
                        <w:t>„x“</w:t>
                      </w:r>
                      <w:r>
                        <w:rPr>
                          <w:color w:val="000000"/>
                          <w:lang w:eastAsia="lt-LT"/>
                        </w:rPr>
                        <w:t xml:space="preserve"> orą šaldantis įrenginys (m²).</w:t>
                      </w:r>
                    </w:p>
                    <w:p>
                      <w:pPr>
                        <w:tabs>
                          <w:tab w:val="left" w:pos="567"/>
                        </w:tabs>
                        <w:suppressAutoHyphens/>
                        <w:ind w:firstLine="567"/>
                        <w:jc w:val="both"/>
                        <w:rPr>
                          <w:color w:val="000000"/>
                          <w:lang w:eastAsia="lt-LT"/>
                        </w:rPr>
                      </w:pPr>
                    </w:p>
                    <w:p>
                      <w:pPr>
                        <w:tabs>
                          <w:tab w:val="left" w:pos="567"/>
                        </w:tabs>
                        <w:suppressAutoHyphens/>
                        <w:jc w:val="center"/>
                        <w:rPr>
                          <w:b/>
                          <w:bCs/>
                          <w:lang w:eastAsia="lt-LT"/>
                        </w:rPr>
                      </w:pPr>
                      <w:r>
                        <w:rPr>
                          <w:b/>
                          <w:bCs/>
                          <w:lang w:eastAsia="lt-LT"/>
                        </w:rPr>
                        <w:t xml:space="preserve">Orą šaldančių įrenginių skaičiuojamųjų energinio efektyvumo koeficientų </w:t>
                      </w:r>
                      <w:r>
                        <w:rPr>
                          <w:b/>
                          <w:bCs/>
                          <w:i/>
                          <w:lang w:eastAsia="lt-LT"/>
                        </w:rPr>
                        <w:t>η</w:t>
                      </w:r>
                      <w:r>
                        <w:rPr>
                          <w:b/>
                          <w:bCs/>
                          <w:i/>
                          <w:vertAlign w:val="subscript"/>
                          <w:lang w:eastAsia="lt-LT"/>
                        </w:rPr>
                        <w:t>EER</w:t>
                      </w:r>
                      <w:r>
                        <w:rPr>
                          <w:b/>
                          <w:bCs/>
                          <w:i/>
                          <w:lang w:eastAsia="lt-LT"/>
                        </w:rPr>
                        <w:t xml:space="preserve"> </w:t>
                      </w:r>
                      <w:r>
                        <w:rPr>
                          <w:b/>
                          <w:bCs/>
                          <w:lang w:eastAsia="lt-LT"/>
                        </w:rPr>
                        <w:t>vertės</w:t>
                      </w:r>
                    </w:p>
                    <w:p>
                      <w:pPr>
                        <w:tabs>
                          <w:tab w:val="left" w:pos="567"/>
                        </w:tabs>
                        <w:suppressAutoHyphens/>
                        <w:ind w:left="720"/>
                        <w:jc w:val="right"/>
                        <w:rPr>
                          <w:lang w:eastAsia="lt-LT"/>
                        </w:rPr>
                      </w:pPr>
                      <w:r>
                        <w:rPr>
                          <w:lang w:eastAsia="lt-LT"/>
                        </w:rPr>
                        <w:t>2.43 lentelė</w:t>
                      </w:r>
                    </w:p>
                    <w:tbl>
                      <w:tblPr>
                        <w:tblW w:w="9645" w:type="dxa"/>
                        <w:tblInd w:w="103" w:type="dxa"/>
                        <w:tblLayout w:type="fixed"/>
                        <w:tblLook w:val="04A0" w:firstRow="1" w:lastRow="0" w:firstColumn="1" w:lastColumn="0" w:noHBand="0" w:noVBand="1"/>
                      </w:tblPr>
                      <w:tblGrid>
                        <w:gridCol w:w="572"/>
                        <w:gridCol w:w="6864"/>
                        <w:gridCol w:w="2209"/>
                      </w:tblGrid>
                      <w:tr>
                        <w:trPr>
                          <w:trHeight w:val="479"/>
                        </w:trPr>
                        <w:tc>
                          <w:tcPr>
                            <w:tcW w:w="572"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bCs/>
                                <w:lang w:eastAsia="lt-LT"/>
                              </w:rPr>
                            </w:pPr>
                            <w:r>
                              <w:rPr>
                                <w:bCs/>
                                <w:lang w:eastAsia="lt-LT"/>
                              </w:rPr>
                              <w:t>Eil. Nr.</w:t>
                            </w:r>
                          </w:p>
                        </w:tc>
                        <w:tc>
                          <w:tcPr>
                            <w:tcW w:w="6864" w:type="dxa"/>
                            <w:tcBorders>
                              <w:top w:val="single" w:sz="4" w:space="0" w:color="auto"/>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bCs/>
                                <w:szCs w:val="22"/>
                                <w:lang w:eastAsia="lt-LT"/>
                              </w:rPr>
                            </w:pPr>
                            <w:r>
                              <w:rPr>
                                <w:bCs/>
                                <w:lang w:eastAsia="lt-LT"/>
                              </w:rPr>
                              <w:t>Orą šaldančio įrenginio tipas</w:t>
                            </w:r>
                          </w:p>
                        </w:tc>
                        <w:tc>
                          <w:tcPr>
                            <w:tcW w:w="2209" w:type="dxa"/>
                            <w:tcBorders>
                              <w:top w:val="single" w:sz="4" w:space="0" w:color="auto"/>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szCs w:val="22"/>
                                <w:lang w:eastAsia="lt-LT"/>
                              </w:rPr>
                            </w:pPr>
                            <w:r>
                              <w:rPr>
                                <w:b/>
                                <w:i/>
                                <w:lang w:eastAsia="lt-LT"/>
                              </w:rPr>
                              <w:t>η</w:t>
                            </w:r>
                            <w:r>
                              <w:rPr>
                                <w:b/>
                                <w:i/>
                                <w:vertAlign w:val="subscript"/>
                                <w:lang w:eastAsia="lt-LT"/>
                              </w:rPr>
                              <w:t>EER</w:t>
                            </w:r>
                            <w:r>
                              <w:rPr>
                                <w:b/>
                                <w:i/>
                                <w:lang w:eastAsia="lt-LT"/>
                              </w:rPr>
                              <w:t xml:space="preserve"> </w:t>
                            </w:r>
                          </w:p>
                        </w:tc>
                      </w:tr>
                      <w:tr>
                        <w:trPr>
                          <w:trHeight w:val="315"/>
                        </w:trPr>
                        <w:tc>
                          <w:tcPr>
                            <w:tcW w:w="572" w:type="dxa"/>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lang w:eastAsia="lt-LT"/>
                              </w:rPr>
                            </w:pPr>
                            <w:r>
                              <w:rPr>
                                <w:lang w:eastAsia="lt-LT"/>
                              </w:rPr>
                              <w:t>1.</w:t>
                            </w:r>
                          </w:p>
                        </w:tc>
                        <w:tc>
                          <w:tcPr>
                            <w:tcW w:w="6864" w:type="dxa"/>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2"/>
                                <w:lang w:eastAsia="lt-LT"/>
                              </w:rPr>
                            </w:pPr>
                            <w:r>
                              <w:rPr>
                                <w:lang w:eastAsia="lt-LT"/>
                              </w:rPr>
                              <w:t>Iš oro energiją imantis šilumos siurblys</w:t>
                            </w:r>
                          </w:p>
                        </w:tc>
                        <w:tc>
                          <w:tcPr>
                            <w:tcW w:w="2209" w:type="dxa"/>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2"/>
                                <w:lang w:eastAsia="lt-LT"/>
                              </w:rPr>
                            </w:pPr>
                            <w:r>
                              <w:rPr>
                                <w:lang w:eastAsia="lt-LT"/>
                              </w:rPr>
                              <w:t xml:space="preserve">2,8  </w:t>
                            </w:r>
                          </w:p>
                        </w:tc>
                      </w:tr>
                      <w:tr>
                        <w:trPr>
                          <w:trHeight w:val="315"/>
                        </w:trPr>
                        <w:tc>
                          <w:tcPr>
                            <w:tcW w:w="572" w:type="dxa"/>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lang w:eastAsia="lt-LT"/>
                              </w:rPr>
                            </w:pPr>
                            <w:r>
                              <w:rPr>
                                <w:lang w:eastAsia="lt-LT"/>
                              </w:rPr>
                              <w:t>2.</w:t>
                            </w:r>
                          </w:p>
                        </w:tc>
                        <w:tc>
                          <w:tcPr>
                            <w:tcW w:w="6864" w:type="dxa"/>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2"/>
                                <w:lang w:eastAsia="lt-LT"/>
                              </w:rPr>
                            </w:pPr>
                            <w:r>
                              <w:rPr>
                                <w:lang w:eastAsia="lt-LT"/>
                              </w:rPr>
                              <w:t>Iš grunto energiją imantis šilumos siurblys</w:t>
                            </w:r>
                          </w:p>
                        </w:tc>
                        <w:tc>
                          <w:tcPr>
                            <w:tcW w:w="2209" w:type="dxa"/>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2"/>
                                <w:lang w:eastAsia="lt-LT"/>
                              </w:rPr>
                            </w:pPr>
                            <w:r>
                              <w:rPr>
                                <w:lang w:eastAsia="lt-LT"/>
                              </w:rPr>
                              <w:t>3,8</w:t>
                            </w:r>
                          </w:p>
                        </w:tc>
                      </w:tr>
                      <w:tr>
                        <w:trPr>
                          <w:trHeight w:val="315"/>
                        </w:trPr>
                        <w:tc>
                          <w:tcPr>
                            <w:tcW w:w="572" w:type="dxa"/>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lang w:eastAsia="lt-LT"/>
                              </w:rPr>
                            </w:pPr>
                            <w:r>
                              <w:rPr>
                                <w:lang w:eastAsia="lt-LT"/>
                              </w:rPr>
                              <w:t>3.</w:t>
                            </w:r>
                          </w:p>
                        </w:tc>
                        <w:tc>
                          <w:tcPr>
                            <w:tcW w:w="6864" w:type="dxa"/>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2"/>
                                <w:lang w:eastAsia="lt-LT"/>
                              </w:rPr>
                            </w:pPr>
                            <w:r>
                              <w:rPr>
                                <w:lang w:eastAsia="lt-LT"/>
                              </w:rPr>
                              <w:t>Iš vandens energiją imantis šilumos siurblys</w:t>
                            </w:r>
                          </w:p>
                        </w:tc>
                        <w:tc>
                          <w:tcPr>
                            <w:tcW w:w="2209" w:type="dxa"/>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2"/>
                                <w:lang w:eastAsia="lt-LT"/>
                              </w:rPr>
                            </w:pPr>
                            <w:r>
                              <w:rPr>
                                <w:lang w:eastAsia="lt-LT"/>
                              </w:rPr>
                              <w:t>4,3</w:t>
                            </w:r>
                          </w:p>
                        </w:tc>
                      </w:tr>
                    </w:tbl>
                    <w:p>
                      <w:pPr>
                        <w:tabs>
                          <w:tab w:val="left" w:pos="567"/>
                        </w:tabs>
                        <w:suppressAutoHyphens/>
                        <w:rPr>
                          <w:lang w:eastAsia="lt-LT"/>
                        </w:rPr>
                      </w:pPr>
                    </w:p>
                  </w:sdtContent>
                </w:sdt>
                <w:sdt>
                  <w:sdtPr>
                    <w:alias w:val="70.2 pp."/>
                    <w:tag w:val="part_0ae6d5491d8049188b5d3debaba0bfe2"/>
                    <w:lock w:val="sdtLocked"/>
                    <w:richText/>
                  </w:sdtPr>
                  <w:sdtContent>
                    <w:p>
                      <w:pPr>
                        <w:tabs>
                          <w:tab w:val="left" w:pos="567"/>
                        </w:tabs>
                        <w:suppressAutoHyphens/>
                        <w:ind w:firstLine="570"/>
                        <w:jc w:val="both"/>
                        <w:rPr>
                          <w:lang w:eastAsia="lt-LT"/>
                        </w:rPr>
                      </w:pPr>
                      <w:sdt>
                        <w:sdtPr>
                          <w:alias w:val="Numeris"/>
                          <w:tag w:val="nr_0ae6d5491d8049188b5d3debaba0bfe2"/>
                          <w:lock w:val="sdtLocked"/>
                          <w:richText/>
                        </w:sdtPr>
                        <w:sdtContent>
                          <w:r>
                            <w:rPr>
                              <w:lang w:eastAsia="lt-LT"/>
                            </w:rPr>
                            <w:t>70.2</w:t>
                          </w:r>
                        </w:sdtContent>
                      </w:sdt>
                      <w:r>
                        <w:rPr>
                          <w:lang w:eastAsia="lt-LT"/>
                        </w:rPr>
                        <w:t>. jei pastatui vėsinti naudojami tik dujiniai katilai su absorbciniais šilumos siurbliais:</w:t>
                      </w:r>
                    </w:p>
                    <w:p>
                      <w:pPr>
                        <w:tabs>
                          <w:tab w:val="left" w:pos="567"/>
                        </w:tabs>
                        <w:suppressAutoHyphens/>
                        <w:ind w:firstLine="570"/>
                        <w:jc w:val="both"/>
                        <w:rPr>
                          <w:lang w:eastAsia="lt-LT"/>
                        </w:rPr>
                      </w:pPr>
                    </w:p>
                    <w:tbl>
                      <w:tblPr>
                        <w:tblW w:w="5000" w:type="pct"/>
                        <w:tblLook w:val="01E0" w:firstRow="1" w:lastRow="1" w:firstColumn="1" w:lastColumn="1" w:noHBand="0" w:noVBand="0"/>
                      </w:tblPr>
                      <w:tblGrid>
                        <w:gridCol w:w="8387"/>
                        <w:gridCol w:w="219"/>
                        <w:gridCol w:w="1248"/>
                      </w:tblGrid>
                      <w:tr>
                        <w:tc>
                          <w:tcPr>
                            <w:tcW w:w="4256" w:type="pct"/>
                            <w:vAlign w:val="center"/>
                            <w:hideMark/>
                          </w:tcPr>
                          <w:p>
                            <w:pPr>
                              <w:tabs>
                                <w:tab w:val="left" w:pos="567"/>
                              </w:tabs>
                              <w:suppressAutoHyphens/>
                              <w:jc w:val="center"/>
                              <w:rPr>
                                <w:rFonts w:eastAsia="Calibri"/>
                                <w:bCs/>
                                <w:szCs w:val="22"/>
                                <w:lang w:eastAsia="lt-LT"/>
                              </w:rPr>
                            </w:pPr>
                          </w:p>
                        </w:tc>
                        <w:tc>
                          <w:tcPr>
                            <w:tcW w:w="744" w:type="pct"/>
                            <w:gridSpan w:val="2"/>
                            <w:vAlign w:val="center"/>
                            <w:hideMark/>
                          </w:tcPr>
                          <w:p>
                            <w:pPr>
                              <w:tabs>
                                <w:tab w:val="left" w:pos="567"/>
                              </w:tabs>
                              <w:suppressAutoHyphens/>
                              <w:jc w:val="right"/>
                              <w:rPr>
                                <w:rFonts w:eastAsia="Calibri"/>
                                <w:bCs/>
                                <w:szCs w:val="22"/>
                                <w:lang w:eastAsia="lt-LT"/>
                              </w:rPr>
                            </w:pPr>
                          </w:p>
                        </w:tc>
                      </w:tr>
                      <w:tr>
                        <w:tblPrEx>
                          <w:tblLook w:val="04A0" w:firstRow="1" w:lastRow="0" w:firstColumn="1" w:lastColumn="0" w:noHBand="0" w:noVBand="1"/>
                        </w:tblPrEx>
                        <w:tc>
                          <w:tcPr>
                            <w:tcW w:w="4367" w:type="pct"/>
                            <w:gridSpan w:val="2"/>
                            <w:vAlign w:val="center"/>
                          </w:tcPr>
                          <w:p>
                            <w:pPr>
                              <w:tabs>
                                <w:tab w:val="left" w:pos="567"/>
                              </w:tabs>
                              <w:suppressAutoHyphens/>
                              <w:jc w:val="center"/>
                              <w:rPr>
                                <w:szCs w:val="24"/>
                                <w:lang w:eastAsia="lt-LT"/>
                              </w:rPr>
                            </w:pPr>
                            <w:r>
                              <w:rPr>
                                <w:szCs w:val="24"/>
                                <w:lang w:eastAsia="lt-LT"/>
                              </w:rPr>
                              <w:object w:dxaOrig="7580" w:dyaOrig="3760">
                                <v:shape id="_x0000_i1691" type="#_x0000_t75" style="width:346.25pt;height:172.3pt" o:ole="">
                                  <v:imagedata r:id="rId1734" o:title=""/>
                                </v:shape>
                                <o:OLEObject Type="Embed" ProgID="Equation.3" ShapeID="_x0000_i1691" DrawAspect="Content" ObjectID="_0000000001" r:id="rId1735"/>
                              </w:object>
                            </w:r>
                          </w:p>
                        </w:tc>
                        <w:tc>
                          <w:tcPr>
                            <w:tcW w:w="633" w:type="pct"/>
                            <w:vAlign w:val="center"/>
                          </w:tcPr>
                          <w:p>
                            <w:pPr>
                              <w:tabs>
                                <w:tab w:val="left" w:pos="567"/>
                              </w:tabs>
                              <w:suppressAutoHyphens/>
                              <w:jc w:val="right"/>
                              <w:rPr>
                                <w:szCs w:val="24"/>
                                <w:lang w:eastAsia="lt-LT"/>
                              </w:rPr>
                            </w:pPr>
                            <w:r>
                              <w:rPr>
                                <w:szCs w:val="24"/>
                                <w:lang w:eastAsia="lt-LT"/>
                              </w:rPr>
                              <w:t>(2.564-2)</w:t>
                            </w:r>
                          </w:p>
                        </w:tc>
                      </w:tr>
                      <w:tr>
                        <w:tblPrEx>
                          <w:tblLook w:val="04A0" w:firstRow="1" w:lastRow="0" w:firstColumn="1" w:lastColumn="0" w:noHBand="0" w:noVBand="1"/>
                        </w:tblPrEx>
                        <w:tc>
                          <w:tcPr>
                            <w:tcW w:w="4367" w:type="pct"/>
                            <w:gridSpan w:val="2"/>
                            <w:vAlign w:val="center"/>
                          </w:tcPr>
                          <w:p>
                            <w:pPr>
                              <w:tabs>
                                <w:tab w:val="left" w:pos="567"/>
                              </w:tabs>
                              <w:suppressAutoHyphens/>
                              <w:jc w:val="center"/>
                              <w:rPr>
                                <w:bCs/>
                                <w:szCs w:val="24"/>
                                <w:lang w:eastAsia="lt-LT"/>
                              </w:rPr>
                            </w:pPr>
                          </w:p>
                        </w:tc>
                        <w:tc>
                          <w:tcPr>
                            <w:tcW w:w="633" w:type="pct"/>
                            <w:vAlign w:val="center"/>
                          </w:tcPr>
                          <w:p>
                            <w:pPr>
                              <w:tabs>
                                <w:tab w:val="left" w:pos="567"/>
                              </w:tabs>
                              <w:suppressAutoHyphens/>
                              <w:jc w:val="right"/>
                              <w:rPr>
                                <w:bCs/>
                                <w:szCs w:val="24"/>
                                <w:lang w:eastAsia="lt-LT"/>
                              </w:rPr>
                            </w:pPr>
                          </w:p>
                        </w:tc>
                      </w:tr>
                    </w:tbl>
                    <w:p>
                      <w:pPr>
                        <w:tabs>
                          <w:tab w:val="left" w:pos="567"/>
                        </w:tabs>
                        <w:suppressAutoHyphens/>
                        <w:ind w:left="720" w:hanging="720"/>
                        <w:jc w:val="both"/>
                        <w:rPr>
                          <w:bCs/>
                          <w:szCs w:val="24"/>
                          <w:lang w:eastAsia="lt-LT"/>
                        </w:rPr>
                      </w:pPr>
                    </w:p>
                    <w:tbl>
                      <w:tblPr>
                        <w:tblW w:w="5000" w:type="pct"/>
                        <w:tblLook w:val="04A0" w:firstRow="1" w:lastRow="0" w:firstColumn="1" w:lastColumn="0" w:noHBand="0" w:noVBand="1"/>
                      </w:tblPr>
                      <w:tblGrid>
                        <w:gridCol w:w="8606"/>
                        <w:gridCol w:w="1248"/>
                      </w:tblGrid>
                      <w:tr>
                        <w:tc>
                          <w:tcPr>
                            <w:tcW w:w="4367" w:type="pct"/>
                            <w:vAlign w:val="center"/>
                          </w:tcPr>
                          <w:p>
                            <w:pPr>
                              <w:tabs>
                                <w:tab w:val="left" w:pos="567"/>
                              </w:tabs>
                              <w:suppressAutoHyphens/>
                              <w:jc w:val="center"/>
                              <w:rPr>
                                <w:bCs/>
                                <w:szCs w:val="24"/>
                                <w:lang w:eastAsia="lt-LT"/>
                              </w:rPr>
                            </w:pPr>
                            <w:r>
                              <w:rPr>
                                <w:szCs w:val="24"/>
                                <w:lang w:eastAsia="lt-LT"/>
                              </w:rPr>
                              <w:object w:dxaOrig="2500" w:dyaOrig="1020">
                                <v:shape id="_x0000_i1692" type="#_x0000_t75" style="width:118.9pt;height:46.9pt" o:ole="">
                                  <v:imagedata r:id="rId1736" o:title=""/>
                                </v:shape>
                                <o:OLEObject Type="Embed" ProgID="Equation.3" ShapeID="_x0000_i1692" DrawAspect="Content" ObjectID="_0000000001" r:id="rId1737"/>
                              </w:object>
                              <w:t xml:space="preserve">  ;  </w:t>
                            </w:r>
                          </w:p>
                        </w:tc>
                        <w:tc>
                          <w:tcPr>
                            <w:tcW w:w="633" w:type="pct"/>
                            <w:vAlign w:val="center"/>
                          </w:tcPr>
                          <w:p>
                            <w:pPr>
                              <w:tabs>
                                <w:tab w:val="left" w:pos="567"/>
                              </w:tabs>
                              <w:suppressAutoHyphens/>
                              <w:jc w:val="right"/>
                              <w:rPr>
                                <w:bCs/>
                                <w:szCs w:val="24"/>
                                <w:lang w:eastAsia="lt-LT"/>
                              </w:rPr>
                            </w:pPr>
                            <w:r>
                              <w:rPr>
                                <w:bCs/>
                                <w:szCs w:val="24"/>
                                <w:lang w:eastAsia="lt-LT"/>
                              </w:rPr>
                              <w:t>(2.564-3)</w:t>
                            </w:r>
                          </w:p>
                        </w:tc>
                      </w:tr>
                    </w:tbl>
                    <w:p>
                      <w:pPr>
                        <w:tabs>
                          <w:tab w:val="left" w:pos="567"/>
                          <w:tab w:val="left" w:pos="709"/>
                        </w:tabs>
                        <w:suppressAutoHyphens/>
                        <w:jc w:val="both"/>
                        <w:rPr>
                          <w:rFonts w:eastAsia="Calibri"/>
                          <w:szCs w:val="22"/>
                          <w:lang w:eastAsia="lt-LT"/>
                        </w:rPr>
                      </w:pPr>
                      <w:r>
                        <w:rPr>
                          <w:bCs/>
                          <w:szCs w:val="24"/>
                          <w:lang w:eastAsia="lt-LT"/>
                        </w:rPr>
                        <w:t>čia:</w:t>
                        <w:tab/>
                      </w:r>
                      <w:r>
                        <w:rPr>
                          <w:i/>
                          <w:lang w:eastAsia="lt-LT"/>
                        </w:rPr>
                        <w:t>Q</w:t>
                      </w:r>
                      <w:r>
                        <w:rPr>
                          <w:i/>
                          <w:vertAlign w:val="subscript"/>
                          <w:lang w:eastAsia="lt-LT"/>
                        </w:rPr>
                        <w:t>C.E2,m</w:t>
                      </w:r>
                      <w:r>
                        <w:rPr>
                          <w:lang w:eastAsia="lt-LT"/>
                        </w:rPr>
                        <w:t xml:space="preserve">  – apskaičiuojama pagal (2.566-3) arba (2.566-4) formulę;</w:t>
                      </w:r>
                    </w:p>
                    <w:p>
                      <w:pPr>
                        <w:tabs>
                          <w:tab w:val="left" w:pos="567"/>
                        </w:tabs>
                        <w:suppressAutoHyphens/>
                        <w:ind w:firstLine="709"/>
                        <w:jc w:val="both"/>
                        <w:rPr>
                          <w:bCs/>
                          <w:szCs w:val="24"/>
                          <w:lang w:eastAsia="lt-LT"/>
                        </w:rPr>
                      </w:pPr>
                      <w:r>
                        <w:rPr>
                          <w:bCs/>
                          <w:i/>
                          <w:iCs/>
                          <w:szCs w:val="24"/>
                          <w:lang w:eastAsia="lt-LT"/>
                        </w:rPr>
                        <w:t>P</w:t>
                      </w:r>
                      <w:r>
                        <w:rPr>
                          <w:bCs/>
                          <w:i/>
                          <w:iCs/>
                          <w:szCs w:val="24"/>
                          <w:vertAlign w:val="subscript"/>
                          <w:lang w:eastAsia="lt-LT"/>
                        </w:rPr>
                        <w:t>GHP.C</w:t>
                      </w:r>
                      <w:r>
                        <w:rPr>
                          <w:bCs/>
                          <w:szCs w:val="24"/>
                          <w:lang w:eastAsia="lt-LT"/>
                        </w:rPr>
                        <w:t xml:space="preserve"> –- pagal [3.46], [3.47] reikalavimus prie standartinių bandymo sąlygų nustatyta dujinio katilo vėsinimo galia, kW; </w:t>
                      </w:r>
                    </w:p>
                    <w:p>
                      <w:pPr>
                        <w:tabs>
                          <w:tab w:val="left" w:pos="567"/>
                        </w:tabs>
                        <w:suppressAutoHyphens/>
                        <w:ind w:firstLine="709"/>
                        <w:jc w:val="both"/>
                        <w:rPr>
                          <w:szCs w:val="24"/>
                          <w:lang w:eastAsia="lt-LT"/>
                        </w:rPr>
                      </w:pPr>
                      <w:r>
                        <w:rPr>
                          <w:i/>
                          <w:szCs w:val="24"/>
                          <w:lang w:eastAsia="lt-LT"/>
                        </w:rPr>
                        <w:t>η</w:t>
                      </w:r>
                      <w:r>
                        <w:rPr>
                          <w:i/>
                          <w:szCs w:val="24"/>
                          <w:vertAlign w:val="subscript"/>
                          <w:lang w:eastAsia="lt-LT"/>
                        </w:rPr>
                        <w:t xml:space="preserve">GHP.C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vėsinimo režimu, vnt.;</w:t>
                      </w:r>
                    </w:p>
                    <w:p>
                      <w:pPr>
                        <w:tabs>
                          <w:tab w:val="left" w:pos="567"/>
                        </w:tabs>
                        <w:suppressAutoHyphens/>
                        <w:ind w:firstLine="709"/>
                        <w:jc w:val="both"/>
                        <w:rPr>
                          <w:bCs/>
                          <w:szCs w:val="24"/>
                          <w:lang w:eastAsia="lt-LT"/>
                        </w:rPr>
                      </w:pPr>
                      <w:r>
                        <w:rPr>
                          <w:bCs/>
                          <w:i/>
                          <w:iCs/>
                          <w:szCs w:val="24"/>
                          <w:lang w:eastAsia="lt-LT"/>
                        </w:rPr>
                        <w:t>f</w:t>
                      </w:r>
                      <w:r>
                        <w:rPr>
                          <w:bCs/>
                          <w:i/>
                          <w:iCs/>
                          <w:szCs w:val="24"/>
                          <w:vertAlign w:val="subscript"/>
                          <w:lang w:eastAsia="lt-LT"/>
                        </w:rPr>
                        <w:t>PRr</w:t>
                      </w:r>
                      <w:r>
                        <w:rPr>
                          <w:bCs/>
                          <w:szCs w:val="24"/>
                          <w:vertAlign w:val="subscript"/>
                          <w:lang w:eastAsia="lt-LT"/>
                        </w:rPr>
                        <w:t>.g</w:t>
                      </w:r>
                      <w:r>
                        <w:rPr>
                          <w:bCs/>
                          <w:szCs w:val="24"/>
                          <w:lang w:eastAsia="lt-LT"/>
                        </w:rPr>
                        <w:t xml:space="preserve"> – dujų, kurias vartoja dujinis katilas, atsinaujinančios pirminės energijos faktoriaus vertė. Imama iš 2.18 lentelės;</w:t>
                      </w:r>
                    </w:p>
                    <w:p>
                      <w:pPr>
                        <w:tabs>
                          <w:tab w:val="left" w:pos="567"/>
                          <w:tab w:val="left" w:pos="993"/>
                        </w:tabs>
                        <w:suppressAutoHyphens/>
                        <w:ind w:firstLine="709"/>
                        <w:jc w:val="both"/>
                        <w:rPr>
                          <w:bCs/>
                          <w:szCs w:val="24"/>
                          <w:lang w:eastAsia="lt-LT"/>
                        </w:rPr>
                      </w:pPr>
                      <w:r>
                        <w:rPr>
                          <w:rFonts w:eastAsia="Calibri"/>
                          <w:bCs/>
                          <w:szCs w:val="24"/>
                          <w:lang w:eastAsia="lt-LT"/>
                        </w:rPr>
                        <w:t>-</w:t>
                        <w:tab/>
                      </w:r>
                      <w:r>
                        <w:rPr>
                          <w:bCs/>
                          <w:szCs w:val="24"/>
                          <w:lang w:eastAsia="lt-LT"/>
                        </w:rPr>
                        <w:t xml:space="preserve">jei nėra duomenų apie </w:t>
                      </w:r>
                      <w:r>
                        <w:rPr>
                          <w:bCs/>
                          <w:i/>
                          <w:iCs/>
                          <w:szCs w:val="24"/>
                          <w:lang w:eastAsia="lt-LT"/>
                        </w:rPr>
                        <w:t>P</w:t>
                      </w:r>
                      <w:r>
                        <w:rPr>
                          <w:bCs/>
                          <w:i/>
                          <w:iCs/>
                          <w:szCs w:val="24"/>
                          <w:vertAlign w:val="subscript"/>
                          <w:lang w:eastAsia="lt-LT"/>
                        </w:rPr>
                        <w:t>GHP.C</w:t>
                      </w:r>
                      <w:r>
                        <w:rPr>
                          <w:bCs/>
                          <w:szCs w:val="24"/>
                          <w:lang w:eastAsia="lt-LT"/>
                        </w:rPr>
                        <w:t xml:space="preserve"> arba </w:t>
                      </w:r>
                      <w:r>
                        <w:rPr>
                          <w:i/>
                          <w:szCs w:val="24"/>
                          <w:lang w:eastAsia="lt-LT"/>
                        </w:rPr>
                        <w:t>η</w:t>
                      </w:r>
                      <w:r>
                        <w:rPr>
                          <w:i/>
                          <w:szCs w:val="24"/>
                          <w:vertAlign w:val="subscript"/>
                          <w:lang w:eastAsia="lt-LT"/>
                        </w:rPr>
                        <w:t xml:space="preserve">GHP.C </w:t>
                      </w:r>
                      <w:r>
                        <w:rPr>
                          <w:bCs/>
                          <w:szCs w:val="24"/>
                          <w:lang w:eastAsia="lt-LT"/>
                        </w:rPr>
                        <w:t xml:space="preserve">vertes, tada, jei dujinis katilas naudoja gamtines ar suskystintas dujas, (2.564-3) formulėje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w:t>
                      </w:r>
                      <w:r>
                        <w:rPr>
                          <w:bCs/>
                          <w:i/>
                          <w:iCs/>
                          <w:szCs w:val="24"/>
                          <w:lang w:eastAsia="lt-LT"/>
                        </w:rPr>
                        <w:t>f</w:t>
                      </w:r>
                      <w:r>
                        <w:rPr>
                          <w:bCs/>
                          <w:i/>
                          <w:iCs/>
                          <w:szCs w:val="24"/>
                          <w:vertAlign w:val="subscript"/>
                          <w:lang w:eastAsia="lt-LT"/>
                        </w:rPr>
                        <w:t xml:space="preserve">PRn.GHP.C </w:t>
                      </w:r>
                      <w:r>
                        <w:rPr>
                          <w:bCs/>
                          <w:szCs w:val="24"/>
                          <w:lang w:eastAsia="lt-LT"/>
                        </w:rPr>
                        <w:t xml:space="preserve">=1,7, jei naudoja biodujas, tada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w:t>
                      </w:r>
                      <w:r>
                        <w:rPr>
                          <w:bCs/>
                          <w:i/>
                          <w:iCs/>
                          <w:szCs w:val="24"/>
                          <w:lang w:eastAsia="lt-LT"/>
                        </w:rPr>
                        <w:t>f</w:t>
                      </w:r>
                      <w:r>
                        <w:rPr>
                          <w:bCs/>
                          <w:i/>
                          <w:iCs/>
                          <w:szCs w:val="24"/>
                          <w:vertAlign w:val="subscript"/>
                          <w:lang w:eastAsia="lt-LT"/>
                        </w:rPr>
                        <w:t xml:space="preserve">PRn.GHP.C </w:t>
                      </w:r>
                      <w:r>
                        <w:rPr>
                          <w:bCs/>
                          <w:szCs w:val="24"/>
                          <w:lang w:eastAsia="lt-LT"/>
                        </w:rPr>
                        <w:t>=0,3;</w:t>
                      </w:r>
                    </w:p>
                  </w:sdtContent>
                </w:sdt>
                <w:sdt>
                  <w:sdtPr>
                    <w:alias w:val="70.3 pp."/>
                    <w:tag w:val="part_4022073bd4e845f69736f4dca0e7e43e"/>
                    <w:lock w:val="sdtLocked"/>
                    <w:richText/>
                  </w:sdtPr>
                  <w:sdtContent>
                    <w:p>
                      <w:pPr>
                        <w:tabs>
                          <w:tab w:val="left" w:pos="567"/>
                        </w:tabs>
                        <w:suppressAutoHyphens/>
                        <w:ind w:firstLine="570"/>
                        <w:jc w:val="both"/>
                        <w:rPr>
                          <w:lang w:eastAsia="lt-LT"/>
                        </w:rPr>
                      </w:pPr>
                      <w:sdt>
                        <w:sdtPr>
                          <w:alias w:val="Numeris"/>
                          <w:tag w:val="nr_4022073bd4e845f69736f4dca0e7e43e"/>
                          <w:lock w:val="sdtLocked"/>
                          <w:richText/>
                        </w:sdtPr>
                        <w:sdtContent>
                          <w:r>
                            <w:rPr>
                              <w:lang w:eastAsia="lt-LT"/>
                            </w:rPr>
                            <w:t>70.3</w:t>
                          </w:r>
                        </w:sdtContent>
                      </w:sdt>
                      <w:r>
                        <w:rPr>
                          <w:lang w:eastAsia="lt-LT"/>
                        </w:rPr>
                        <w:t>. jei pastato tam pačiam plotui vėsinti naudojami šiluminiai siurbliai kartu su dujiniais katilais su absorbciniais šilumos siurbliais:</w:t>
                      </w:r>
                    </w:p>
                    <w:tbl>
                      <w:tblPr>
                        <w:tblW w:w="5000" w:type="pct"/>
                        <w:jc w:val="center"/>
                        <w:tblLook w:val="01E0" w:firstRow="1" w:lastRow="1" w:firstColumn="1" w:lastColumn="1" w:noHBand="0" w:noVBand="0"/>
                      </w:tblPr>
                      <w:tblGrid>
                        <w:gridCol w:w="9632"/>
                        <w:gridCol w:w="222"/>
                      </w:tblGrid>
                      <w:tr>
                        <w:trPr>
                          <w:jc w:val="center"/>
                        </w:trPr>
                        <w:tc>
                          <w:tcPr>
                            <w:tcW w:w="4887" w:type="pct"/>
                            <w:vAlign w:val="center"/>
                          </w:tcPr>
                          <w:p>
                            <w:pPr>
                              <w:tabs>
                                <w:tab w:val="left" w:pos="567"/>
                              </w:tabs>
                              <w:suppressAutoHyphens/>
                              <w:ind w:left="709" w:hanging="709"/>
                              <w:jc w:val="both"/>
                              <w:rPr>
                                <w:bCs/>
                                <w:szCs w:val="24"/>
                                <w:lang w:eastAsia="lt-LT"/>
                              </w:rPr>
                            </w:pPr>
                          </w:p>
                          <w:tbl>
                            <w:tblPr>
                              <w:tblW w:w="9599" w:type="dxa"/>
                              <w:jc w:val="center"/>
                              <w:tblLook w:val="01E0" w:firstRow="1" w:lastRow="1" w:firstColumn="1" w:lastColumn="1" w:noHBand="0" w:noVBand="0"/>
                            </w:tblPr>
                            <w:tblGrid>
                              <w:gridCol w:w="8253"/>
                              <w:gridCol w:w="1346"/>
                            </w:tblGrid>
                            <w:tr>
                              <w:trPr>
                                <w:jc w:val="center"/>
                              </w:trPr>
                              <w:tc>
                                <w:tcPr>
                                  <w:tcW w:w="4299" w:type="pct"/>
                                  <w:vAlign w:val="center"/>
                                  <w:hideMark/>
                                </w:tcPr>
                                <w:p>
                                  <w:pPr>
                                    <w:tabs>
                                      <w:tab w:val="left" w:pos="567"/>
                                    </w:tabs>
                                    <w:suppressAutoHyphens/>
                                    <w:jc w:val="center"/>
                                    <w:rPr>
                                      <w:szCs w:val="24"/>
                                      <w:lang w:eastAsia="lt-LT"/>
                                    </w:rPr>
                                  </w:pPr>
                                  <w:r>
                                    <w:rPr>
                                      <w:szCs w:val="24"/>
                                      <w:lang w:eastAsia="lt-LT"/>
                                    </w:rPr>
                                    <w:object w:dxaOrig="7520" w:dyaOrig="7520">
                                      <v:shape id="_x0000_i1693" type="#_x0000_t75" style="width:361.6pt;height:5in" o:ole="">
                                        <v:imagedata r:id="rId1738" o:title=""/>
                                      </v:shape>
                                      <o:OLEObject Type="Embed" ProgID="Equation.3" ShapeID="_x0000_i1693" DrawAspect="Content" ObjectID="_0000000001" r:id="rId1739"/>
                                    </w:object>
                                  </w:r>
                                </w:p>
                              </w:tc>
                              <w:tc>
                                <w:tcPr>
                                  <w:tcW w:w="701" w:type="pct"/>
                                  <w:vAlign w:val="center"/>
                                  <w:hideMark/>
                                </w:tcPr>
                                <w:p>
                                  <w:pPr>
                                    <w:tabs>
                                      <w:tab w:val="left" w:pos="567"/>
                                    </w:tabs>
                                    <w:suppressAutoHyphens/>
                                    <w:ind w:left="-38"/>
                                    <w:jc w:val="right"/>
                                    <w:rPr>
                                      <w:rFonts w:eastAsia="Calibri"/>
                                      <w:szCs w:val="22"/>
                                      <w:lang w:eastAsia="lt-LT"/>
                                    </w:rPr>
                                  </w:pPr>
                                  <w:r>
                                    <w:rPr>
                                      <w:lang w:eastAsia="lt-LT"/>
                                    </w:rPr>
                                    <w:t xml:space="preserve">;   (2.564-4)</w:t>
                                  </w:r>
                                </w:p>
                              </w:tc>
                            </w:tr>
                          </w:tbl>
                          <w:p>
                            <w:pPr>
                              <w:tabs>
                                <w:tab w:val="left" w:pos="567"/>
                              </w:tabs>
                              <w:suppressAutoHyphens/>
                              <w:jc w:val="center"/>
                              <w:rPr>
                                <w:szCs w:val="24"/>
                                <w:lang w:eastAsia="lt-LT"/>
                              </w:rPr>
                            </w:pPr>
                          </w:p>
                        </w:tc>
                        <w:tc>
                          <w:tcPr>
                            <w:tcW w:w="113" w:type="pct"/>
                            <w:vAlign w:val="center"/>
                          </w:tcPr>
                          <w:p>
                            <w:pPr>
                              <w:tabs>
                                <w:tab w:val="left" w:pos="567"/>
                              </w:tabs>
                              <w:suppressAutoHyphens/>
                              <w:jc w:val="right"/>
                              <w:rPr>
                                <w:rFonts w:eastAsia="Calibri"/>
                                <w:szCs w:val="22"/>
                                <w:lang w:eastAsia="lt-LT"/>
                              </w:rPr>
                            </w:pPr>
                          </w:p>
                        </w:tc>
                      </w:tr>
                    </w:tbl>
                    <w:p>
                      <w:pPr>
                        <w:tabs>
                          <w:tab w:val="left" w:pos="567"/>
                        </w:tabs>
                        <w:suppressAutoHyphens/>
                        <w:ind w:left="709" w:hanging="709"/>
                        <w:jc w:val="both"/>
                        <w:rPr>
                          <w:lang w:eastAsia="lt-LT"/>
                        </w:rPr>
                      </w:pPr>
                      <w:r>
                        <w:rPr>
                          <w:bCs/>
                          <w:szCs w:val="24"/>
                          <w:lang w:eastAsia="lt-LT"/>
                        </w:rPr>
                        <w:t>čia:</w:t>
                        <w:tab/>
                      </w:r>
                      <w:r>
                        <w:rPr>
                          <w:i/>
                          <w:lang w:eastAsia="lt-LT"/>
                        </w:rPr>
                        <w:t>Q</w:t>
                      </w:r>
                      <w:r>
                        <w:rPr>
                          <w:i/>
                          <w:vertAlign w:val="subscript"/>
                          <w:lang w:eastAsia="lt-LT"/>
                        </w:rPr>
                        <w:t>C.E3,m</w:t>
                      </w:r>
                      <w:r>
                        <w:rPr>
                          <w:lang w:eastAsia="lt-LT"/>
                        </w:rPr>
                        <w:t xml:space="preserve">  – apskaičiuojama pagal (2.566-5) formulę;</w:t>
                      </w:r>
                    </w:p>
                    <w:p>
                      <w:pPr>
                        <w:tabs>
                          <w:tab w:val="left" w:pos="567"/>
                        </w:tabs>
                        <w:suppressAutoHyphens/>
                        <w:ind w:firstLine="720"/>
                        <w:jc w:val="both"/>
                        <w:rPr>
                          <w:rFonts w:eastAsia="Calibri"/>
                          <w:szCs w:val="22"/>
                          <w:lang w:eastAsia="lt-LT"/>
                        </w:rPr>
                      </w:pPr>
                      <w:r>
                        <w:rPr>
                          <w:i/>
                          <w:lang w:eastAsia="lt-LT"/>
                        </w:rPr>
                        <w:t>Q</w:t>
                      </w:r>
                      <w:r>
                        <w:rPr>
                          <w:i/>
                          <w:vertAlign w:val="subscript"/>
                          <w:lang w:eastAsia="lt-LT"/>
                        </w:rPr>
                        <w:t>C.E4,m</w:t>
                      </w:r>
                      <w:r>
                        <w:rPr>
                          <w:lang w:eastAsia="lt-LT"/>
                        </w:rPr>
                        <w:t xml:space="preserve">  – apskaičiuojama pagal (2.566-6) formulę;</w:t>
                      </w:r>
                    </w:p>
                    <w:p>
                      <w:pPr>
                        <w:tabs>
                          <w:tab w:val="left" w:pos="567"/>
                        </w:tabs>
                        <w:suppressAutoHyphens/>
                        <w:ind w:firstLine="720"/>
                        <w:jc w:val="both"/>
                        <w:rPr>
                          <w:szCs w:val="24"/>
                          <w:lang w:eastAsia="lt-LT"/>
                        </w:rPr>
                      </w:pPr>
                      <w:r>
                        <w:rPr>
                          <w:i/>
                          <w:szCs w:val="24"/>
                          <w:lang w:eastAsia="lt-LT"/>
                        </w:rPr>
                        <w:t>η</w:t>
                      </w:r>
                      <w:r>
                        <w:rPr>
                          <w:i/>
                          <w:szCs w:val="24"/>
                          <w:vertAlign w:val="subscript"/>
                          <w:lang w:eastAsia="lt-LT"/>
                        </w:rPr>
                        <w:t xml:space="preserve">GHP.C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vėsinimo ržimu, vnt.;</w:t>
                      </w:r>
                    </w:p>
                    <w:p>
                      <w:pPr>
                        <w:tabs>
                          <w:tab w:val="left" w:pos="567"/>
                        </w:tabs>
                        <w:suppressAutoHyphens/>
                        <w:ind w:left="1070" w:hanging="218"/>
                        <w:jc w:val="both"/>
                        <w:rPr>
                          <w:bCs/>
                          <w:szCs w:val="24"/>
                          <w:lang w:eastAsia="lt-LT"/>
                        </w:rPr>
                      </w:pPr>
                      <w:r>
                        <w:rPr>
                          <w:rFonts w:eastAsia="Calibri"/>
                          <w:bCs/>
                          <w:szCs w:val="24"/>
                          <w:lang w:eastAsia="lt-LT"/>
                        </w:rPr>
                        <w:t>-</w:t>
                        <w:tab/>
                      </w:r>
                      <w:r>
                        <w:rPr>
                          <w:bCs/>
                          <w:szCs w:val="24"/>
                          <w:lang w:eastAsia="lt-LT"/>
                        </w:rPr>
                        <w:t xml:space="preserve">jei nėra duomenų apie </w:t>
                      </w:r>
                      <w:r>
                        <w:rPr>
                          <w:i/>
                          <w:szCs w:val="24"/>
                          <w:lang w:eastAsia="lt-LT"/>
                        </w:rPr>
                        <w:t>η</w:t>
                      </w:r>
                      <w:r>
                        <w:rPr>
                          <w:i/>
                          <w:szCs w:val="24"/>
                          <w:vertAlign w:val="subscript"/>
                          <w:lang w:eastAsia="lt-LT"/>
                        </w:rPr>
                        <w:t xml:space="preserve">GHP.C </w:t>
                      </w:r>
                      <w:r>
                        <w:rPr>
                          <w:bCs/>
                          <w:szCs w:val="24"/>
                          <w:lang w:eastAsia="lt-LT"/>
                        </w:rPr>
                        <w:t xml:space="preserve">vertę, imama </w:t>
                      </w:r>
                      <w:r>
                        <w:rPr>
                          <w:i/>
                          <w:szCs w:val="24"/>
                          <w:lang w:eastAsia="lt-LT"/>
                        </w:rPr>
                        <w:t>η</w:t>
                      </w:r>
                      <w:r>
                        <w:rPr>
                          <w:i/>
                          <w:szCs w:val="24"/>
                          <w:vertAlign w:val="subscript"/>
                          <w:lang w:eastAsia="lt-LT"/>
                        </w:rPr>
                        <w:t xml:space="preserve">GHP.C </w:t>
                      </w:r>
                      <w:r>
                        <w:rPr>
                          <w:iCs/>
                          <w:szCs w:val="24"/>
                          <w:lang w:eastAsia="lt-LT"/>
                        </w:rPr>
                        <w:t>=0,6;</w:t>
                      </w:r>
                    </w:p>
                  </w:sdtContent>
                </w:sdt>
                <w:sdt>
                  <w:sdtPr>
                    <w:alias w:val="70.4 pp."/>
                    <w:tag w:val="part_58cfbe99261944d2a86c251068ed2f28"/>
                    <w:lock w:val="sdtLocked"/>
                    <w:richText/>
                  </w:sdtPr>
                  <w:sdtContent>
                    <w:p>
                      <w:pPr>
                        <w:tabs>
                          <w:tab w:val="left" w:pos="567"/>
                          <w:tab w:val="left" w:pos="1134"/>
                        </w:tabs>
                        <w:suppressAutoHyphens/>
                        <w:ind w:firstLine="567"/>
                        <w:jc w:val="both"/>
                        <w:rPr>
                          <w:color w:val="000000"/>
                          <w:lang w:eastAsia="lt-LT"/>
                        </w:rPr>
                      </w:pPr>
                      <w:sdt>
                        <w:sdtPr>
                          <w:alias w:val="Numeris"/>
                          <w:tag w:val="nr_58cfbe99261944d2a86c251068ed2f28"/>
                          <w:lock w:val="sdtLocked"/>
                          <w:richText/>
                        </w:sdtPr>
                        <w:sdtContent>
                          <w:r>
                            <w:rPr>
                              <w:bCs/>
                              <w:szCs w:val="24"/>
                              <w:lang w:eastAsia="lt-LT"/>
                            </w:rPr>
                            <w:t>70.4</w:t>
                          </w:r>
                        </w:sdtContent>
                      </w:sdt>
                      <w:r>
                        <w:rPr>
                          <w:bCs/>
                          <w:szCs w:val="24"/>
                          <w:lang w:eastAsia="lt-LT"/>
                        </w:rPr>
                        <w:t xml:space="preserve">. </w:t>
                      </w:r>
                      <w:r>
                        <w:rPr>
                          <w:color w:val="000000"/>
                          <w:lang w:eastAsia="lt-LT"/>
                        </w:rPr>
                        <w:t xml:space="preserve">metinės skaičiuojamosios neatsinaujinančios pirminės energijos sąnaudos pastatui vėsinti </w:t>
                      </w:r>
                      <w:r>
                        <w:rPr>
                          <w:i/>
                          <w:color w:val="000000"/>
                          <w:lang w:eastAsia="lt-LT"/>
                        </w:rPr>
                        <w:t>Q</w:t>
                      </w:r>
                      <w:r>
                        <w:rPr>
                          <w:i/>
                          <w:color w:val="000000"/>
                          <w:vertAlign w:val="subscript"/>
                          <w:lang w:eastAsia="lt-LT"/>
                        </w:rPr>
                        <w:t>PRn.C</w:t>
                      </w:r>
                      <w:r>
                        <w:rPr>
                          <w:color w:val="000000"/>
                          <w:lang w:eastAsia="lt-LT"/>
                        </w:rPr>
                        <w:t xml:space="preserve"> (kWh/(m²·mėn.)) apskaičiuojamos taip:</w:t>
                      </w:r>
                    </w:p>
                    <w:p>
                      <w:pPr>
                        <w:tabs>
                          <w:tab w:val="left" w:pos="567"/>
                        </w:tabs>
                        <w:suppressAutoHyphens/>
                        <w:ind w:firstLine="570"/>
                        <w:jc w:val="both"/>
                        <w:rPr>
                          <w:color w:val="000000"/>
                          <w:lang w:eastAsia="lt-LT"/>
                        </w:rPr>
                      </w:pP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jc w:val="center"/>
                              <w:rPr>
                                <w:rFonts w:eastAsia="Calibri"/>
                                <w:bCs/>
                                <w:color w:val="000000"/>
                                <w:szCs w:val="22"/>
                                <w:lang w:eastAsia="lt-LT"/>
                              </w:rPr>
                            </w:pPr>
                            <w:r>
                              <w:rPr>
                                <w:rFonts w:eastAsia="Calibri"/>
                                <w:color w:val="000000"/>
                                <w:position w:val="-24"/>
                                <w:szCs w:val="22"/>
                                <w:lang w:eastAsia="lt-LT"/>
                              </w:rPr>
                              <w:object w:dxaOrig="1995" w:dyaOrig="600">
                                <v:shape id="_x0000_i1694" type="#_x0000_t75" style="width:95.45pt;height:29.95pt" o:ole="">
                                  <v:imagedata r:id="rId1740" o:title=""/>
                                </v:shape>
                                <o:OLEObject Type="Embed" ProgID="Equation.3" ShapeID="_x0000_i1694" DrawAspect="Content" ObjectID="_0000000001" r:id="rId1741"/>
                              </w:object>
                            </w:r>
                            <w:r>
                              <w:rPr>
                                <w:color w:val="000000"/>
                                <w:lang w:eastAsia="lt-LT"/>
                              </w:rPr>
                              <w:t>;</w:t>
                            </w:r>
                          </w:p>
                        </w:tc>
                        <w:tc>
                          <w:tcPr>
                            <w:tcW w:w="571" w:type="pct"/>
                            <w:vAlign w:val="center"/>
                            <w:hideMark/>
                          </w:tcPr>
                          <w:p>
                            <w:pPr>
                              <w:tabs>
                                <w:tab w:val="left" w:pos="567"/>
                              </w:tabs>
                              <w:suppressAutoHyphens/>
                              <w:jc w:val="right"/>
                              <w:rPr>
                                <w:rFonts w:eastAsia="Calibri"/>
                                <w:bCs/>
                                <w:color w:val="000000"/>
                                <w:szCs w:val="22"/>
                                <w:lang w:eastAsia="lt-LT"/>
                              </w:rPr>
                            </w:pPr>
                            <w:r>
                              <w:rPr>
                                <w:color w:val="000000"/>
                                <w:lang w:eastAsia="lt-LT"/>
                              </w:rPr>
                              <w:t>(2.565)</w:t>
                            </w:r>
                          </w:p>
                        </w:tc>
                      </w:tr>
                    </w:tbl>
                    <w:p>
                      <w:pPr>
                        <w:tabs>
                          <w:tab w:val="left" w:pos="567"/>
                        </w:tabs>
                        <w:suppressAutoHyphens/>
                        <w:rPr>
                          <w:rFonts w:eastAsia="Calibri"/>
                          <w:szCs w:val="22"/>
                          <w:lang w:eastAsia="lt-LT"/>
                        </w:rPr>
                      </w:pPr>
                    </w:p>
                  </w:sdtContent>
                </w:sdt>
                <w:sdt>
                  <w:sdtPr>
                    <w:alias w:val="70.5 pp."/>
                    <w:tag w:val="part_aaa8cc8846384847a2eea9b1727f5447"/>
                    <w:lock w:val="sdtLocked"/>
                    <w:richText/>
                  </w:sdtPr>
                  <w:sdtContent>
                    <w:p>
                      <w:pPr>
                        <w:tabs>
                          <w:tab w:val="left" w:pos="567"/>
                        </w:tabs>
                        <w:suppressAutoHyphens/>
                        <w:ind w:firstLine="570"/>
                        <w:jc w:val="both"/>
                        <w:rPr>
                          <w:lang w:eastAsia="lt-LT"/>
                        </w:rPr>
                      </w:pPr>
                      <w:sdt>
                        <w:sdtPr>
                          <w:alias w:val="Numeris"/>
                          <w:tag w:val="nr_aaa8cc8846384847a2eea9b1727f5447"/>
                          <w:lock w:val="sdtLocked"/>
                          <w:richText/>
                        </w:sdtPr>
                        <w:sdtContent>
                          <w:r>
                            <w:rPr>
                              <w:lang w:eastAsia="lt-LT"/>
                            </w:rPr>
                            <w:t>70.5</w:t>
                          </w:r>
                        </w:sdtContent>
                      </w:sdt>
                      <w:r>
                        <w:rPr>
                          <w:lang w:eastAsia="lt-LT"/>
                        </w:rPr>
                        <w:t>. kiekvieno mėnesio „m“ suminės skaičiuojamosios elektros energijos sąnaudos pastatui vėsinti</w:t>
                      </w:r>
                      <w:r>
                        <w:rPr>
                          <w:i/>
                          <w:lang w:eastAsia="lt-LT"/>
                        </w:rPr>
                        <w:t xml:space="preserve"> Q</w:t>
                      </w:r>
                      <w:r>
                        <w:rPr>
                          <w:i/>
                          <w:vertAlign w:val="subscript"/>
                          <w:lang w:eastAsia="lt-LT"/>
                        </w:rPr>
                        <w:t>C.E,m</w:t>
                      </w:r>
                      <w:r>
                        <w:rPr>
                          <w:lang w:eastAsia="lt-LT"/>
                        </w:rPr>
                        <w:t xml:space="preserve"> (kWh/(m²·mėn.)) apskaičiuojamos taip:</w:t>
                      </w:r>
                    </w:p>
                    <w:p>
                      <w:pPr>
                        <w:tabs>
                          <w:tab w:val="left" w:pos="567"/>
                        </w:tabs>
                        <w:suppressAutoHyphens/>
                        <w:ind w:firstLine="570"/>
                        <w:jc w:val="both"/>
                        <w:rPr>
                          <w:lang w:eastAsia="lt-LT"/>
                        </w:rPr>
                      </w:pPr>
                    </w:p>
                    <w:p>
                      <w:pPr>
                        <w:tabs>
                          <w:tab w:val="left" w:pos="567"/>
                          <w:tab w:val="left" w:pos="851"/>
                        </w:tabs>
                        <w:suppressAutoHyphens/>
                        <w:ind w:left="1650" w:hanging="1083"/>
                        <w:jc w:val="both"/>
                        <w:rPr>
                          <w:lang w:eastAsia="lt-LT"/>
                        </w:rPr>
                      </w:pPr>
                      <w:r>
                        <w:rPr>
                          <w:lang w:eastAsia="lt-LT"/>
                        </w:rPr>
                        <w:t>-</w:t>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C.E,m</w:t>
                      </w:r>
                      <w:r>
                        <w:rPr>
                          <w:lang w:eastAsia="lt-LT"/>
                        </w:rPr>
                        <w:t xml:space="preserve"> =0;</w:t>
                      </w:r>
                    </w:p>
                    <w:p>
                      <w:pPr>
                        <w:tabs>
                          <w:tab w:val="left" w:pos="567"/>
                          <w:tab w:val="left" w:pos="851"/>
                        </w:tabs>
                        <w:suppressAutoHyphens/>
                        <w:ind w:left="1650" w:hanging="1083"/>
                        <w:jc w:val="both"/>
                        <w:rPr>
                          <w:lang w:eastAsia="lt-LT"/>
                        </w:rPr>
                      </w:pPr>
                      <w:r>
                        <w:rPr>
                          <w:lang w:eastAsia="lt-LT"/>
                        </w:rPr>
                        <w:t>-</w:t>
                        <w:tab/>
                        <w:t xml:space="preserve">kitais atvejais </w:t>
                      </w:r>
                    </w:p>
                    <w:tbl>
                      <w:tblPr>
                        <w:tblW w:w="5000" w:type="pct"/>
                        <w:jc w:val="center"/>
                        <w:tblLook w:val="01E0" w:firstRow="1" w:lastRow="1" w:firstColumn="1" w:lastColumn="1" w:noHBand="0" w:noVBand="0"/>
                      </w:tblPr>
                      <w:tblGrid>
                        <w:gridCol w:w="8555"/>
                        <w:gridCol w:w="1299"/>
                      </w:tblGrid>
                      <w:tr>
                        <w:trPr>
                          <w:jc w:val="center"/>
                        </w:trPr>
                        <w:tc>
                          <w:tcPr>
                            <w:tcW w:w="4341" w:type="pct"/>
                            <w:vAlign w:val="center"/>
                            <w:hideMark/>
                          </w:tcPr>
                          <w:p>
                            <w:pPr>
                              <w:tabs>
                                <w:tab w:val="left" w:pos="567"/>
                              </w:tabs>
                              <w:suppressAutoHyphens/>
                              <w:jc w:val="center"/>
                              <w:rPr>
                                <w:rFonts w:eastAsia="Calibri"/>
                                <w:szCs w:val="22"/>
                                <w:lang w:eastAsia="lt-LT"/>
                              </w:rPr>
                            </w:pPr>
                            <w:r>
                              <w:rPr>
                                <w:rFonts w:eastAsia="Calibri"/>
                                <w:position w:val="-12"/>
                                <w:szCs w:val="22"/>
                                <w:lang w:eastAsia="lt-LT"/>
                              </w:rPr>
                              <w:object w:dxaOrig="3940" w:dyaOrig="360">
                                <v:shape id="_x0000_i1695" type="#_x0000_t75" style="width:196.6pt;height:19.4pt" o:ole="">
                                  <v:imagedata r:id="rId1742" o:title=""/>
                                </v:shape>
                                <o:OLEObject Type="Embed" ProgID="Equation.3" ShapeID="_x0000_i1695" DrawAspect="Content" ObjectID="_0000000001" r:id="rId1743"/>
                              </w:object>
                            </w:r>
                            <w:r>
                              <w:rPr>
                                <w:lang w:eastAsia="lt-LT"/>
                              </w:rPr>
                              <w:t>;</w:t>
                            </w:r>
                          </w:p>
                        </w:tc>
                        <w:tc>
                          <w:tcPr>
                            <w:tcW w:w="659" w:type="pct"/>
                            <w:vAlign w:val="center"/>
                            <w:hideMark/>
                          </w:tcPr>
                          <w:p>
                            <w:pPr>
                              <w:tabs>
                                <w:tab w:val="left" w:pos="567"/>
                              </w:tabs>
                              <w:suppressAutoHyphens/>
                              <w:jc w:val="right"/>
                              <w:rPr>
                                <w:rFonts w:eastAsia="Calibri"/>
                                <w:szCs w:val="22"/>
                                <w:lang w:eastAsia="lt-LT"/>
                              </w:rPr>
                            </w:pPr>
                            <w:r>
                              <w:rPr>
                                <w:lang w:eastAsia="lt-LT"/>
                              </w:rPr>
                              <w:t>(2.566)</w:t>
                            </w:r>
                          </w:p>
                        </w:tc>
                      </w:tr>
                    </w:tbl>
                    <w:p>
                      <w:pPr>
                        <w:tabs>
                          <w:tab w:val="left" w:pos="567"/>
                        </w:tabs>
                        <w:suppressAutoHyphens/>
                        <w:ind w:left="720" w:hanging="720"/>
                        <w:rPr>
                          <w:rFonts w:eastAsia="Calibri"/>
                          <w:szCs w:val="22"/>
                          <w:lang w:eastAsia="lt-LT"/>
                        </w:rPr>
                      </w:pPr>
                    </w:p>
                  </w:sdtContent>
                </w:sdt>
                <w:sdt>
                  <w:sdtPr>
                    <w:alias w:val="70.6 pp."/>
                    <w:tag w:val="part_d676e4cd49134997ad20c78f2df684f0"/>
                    <w:lock w:val="sdtLocked"/>
                    <w:richText/>
                  </w:sdtPr>
                  <w:sdtContent>
                    <w:p>
                      <w:pPr>
                        <w:tabs>
                          <w:tab w:val="left" w:pos="567"/>
                        </w:tabs>
                        <w:suppressAutoHyphens/>
                        <w:ind w:firstLine="570"/>
                        <w:jc w:val="both"/>
                        <w:rPr>
                          <w:lang w:eastAsia="lt-LT"/>
                        </w:rPr>
                      </w:pPr>
                      <w:sdt>
                        <w:sdtPr>
                          <w:alias w:val="Numeris"/>
                          <w:tag w:val="nr_d676e4cd49134997ad20c78f2df684f0"/>
                          <w:lock w:val="sdtLocked"/>
                          <w:richText/>
                        </w:sdtPr>
                        <w:sdtContent>
                          <w:r>
                            <w:rPr>
                              <w:lang w:eastAsia="lt-LT"/>
                            </w:rPr>
                            <w:t>70.6</w:t>
                          </w:r>
                        </w:sdtContent>
                      </w:sdt>
                      <w:r>
                        <w:rPr>
                          <w:lang w:eastAsia="lt-LT"/>
                        </w:rPr>
                        <w:t>. kiekvieno mėnesio „m“ skaičiuojamosios elektros energijos sąnaudos pastatui ar jo daliai vėsinti</w:t>
                      </w:r>
                      <w:r>
                        <w:rPr>
                          <w:i/>
                          <w:lang w:eastAsia="lt-LT"/>
                        </w:rPr>
                        <w:t xml:space="preserve"> Q</w:t>
                      </w:r>
                      <w:r>
                        <w:rPr>
                          <w:i/>
                          <w:vertAlign w:val="subscript"/>
                          <w:lang w:eastAsia="lt-LT"/>
                        </w:rPr>
                        <w:t>C.E1,m</w:t>
                      </w:r>
                      <w:r>
                        <w:rPr>
                          <w:lang w:eastAsia="lt-LT"/>
                        </w:rPr>
                        <w:t xml:space="preserve"> (kWh/(m²·mėn.)), jei tam naudojami tik šilumos siurbliai arba jei nėra vėsinimo įrenginių, apskaičiuojamos taip:</w:t>
                      </w:r>
                    </w:p>
                    <w:p>
                      <w:pPr>
                        <w:tabs>
                          <w:tab w:val="left" w:pos="567"/>
                        </w:tabs>
                        <w:suppressAutoHyphens/>
                        <w:ind w:firstLine="570"/>
                        <w:jc w:val="both"/>
                        <w:rPr>
                          <w:lang w:eastAsia="lt-LT"/>
                        </w:rPr>
                      </w:pPr>
                    </w:p>
                    <w:p>
                      <w:pPr>
                        <w:tabs>
                          <w:tab w:val="left" w:pos="567"/>
                          <w:tab w:val="left" w:pos="851"/>
                        </w:tabs>
                        <w:suppressAutoHyphens/>
                        <w:ind w:left="1650" w:hanging="1083"/>
                        <w:jc w:val="both"/>
                        <w:rPr>
                          <w:lang w:eastAsia="lt-LT"/>
                        </w:rPr>
                      </w:pPr>
                      <w:r>
                        <w:rPr>
                          <w:lang w:eastAsia="lt-LT"/>
                        </w:rPr>
                        <w:t>-</w:t>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C.E1,m</w:t>
                      </w:r>
                      <w:r>
                        <w:rPr>
                          <w:lang w:eastAsia="lt-LT"/>
                        </w:rPr>
                        <w:t xml:space="preserve"> =0;</w:t>
                      </w:r>
                    </w:p>
                    <w:p>
                      <w:pPr>
                        <w:tabs>
                          <w:tab w:val="left" w:pos="567"/>
                          <w:tab w:val="left" w:pos="851"/>
                        </w:tabs>
                        <w:suppressAutoHyphens/>
                        <w:ind w:left="1650" w:hanging="1083"/>
                        <w:jc w:val="both"/>
                        <w:rPr>
                          <w:lang w:eastAsia="lt-LT"/>
                        </w:rPr>
                      </w:pPr>
                      <w:r>
                        <w:rPr>
                          <w:lang w:eastAsia="lt-LT"/>
                        </w:rPr>
                        <w:t>-</w:t>
                        <w:tab/>
                        <w:t>kitais atvejais, jei visam pastatui naudojamas vienas vėsinimo įrenginys,</w:t>
                      </w:r>
                    </w:p>
                    <w:tbl>
                      <w:tblPr>
                        <w:tblW w:w="5000" w:type="pct"/>
                        <w:jc w:val="center"/>
                        <w:tblLook w:val="01E0" w:firstRow="1" w:lastRow="1" w:firstColumn="1" w:lastColumn="1" w:noHBand="0" w:noVBand="0"/>
                      </w:tblPr>
                      <w:tblGrid>
                        <w:gridCol w:w="8555"/>
                        <w:gridCol w:w="1299"/>
                      </w:tblGrid>
                      <w:tr>
                        <w:trPr>
                          <w:jc w:val="center"/>
                        </w:trPr>
                        <w:tc>
                          <w:tcPr>
                            <w:tcW w:w="4341" w:type="pct"/>
                            <w:vAlign w:val="center"/>
                            <w:hideMark/>
                          </w:tcPr>
                          <w:p>
                            <w:pPr>
                              <w:tabs>
                                <w:tab w:val="left" w:pos="567"/>
                              </w:tabs>
                              <w:suppressAutoHyphens/>
                              <w:jc w:val="center"/>
                              <w:rPr>
                                <w:rFonts w:eastAsia="Calibri"/>
                                <w:szCs w:val="22"/>
                                <w:lang w:eastAsia="lt-LT"/>
                              </w:rPr>
                            </w:pPr>
                            <w:r>
                              <w:rPr>
                                <w:lang w:eastAsia="lt-LT"/>
                              </w:rPr>
                              <w:object w:dxaOrig="1340" w:dyaOrig="700">
                                <v:shape id="_x0000_i1696" type="#_x0000_t75" style="width:65.55pt;height:36.4pt" o:ole="">
                                  <v:imagedata r:id="rId1744" o:title=""/>
                                </v:shape>
                                <o:OLEObject Type="Embed" ProgID="Equation.3" ShapeID="_x0000_i1696" DrawAspect="Content" ObjectID="_0000000001" r:id="rId1745"/>
                              </w:object>
                              <w:t>;</w:t>
                            </w:r>
                          </w:p>
                        </w:tc>
                        <w:tc>
                          <w:tcPr>
                            <w:tcW w:w="659" w:type="pct"/>
                            <w:vAlign w:val="center"/>
                            <w:hideMark/>
                          </w:tcPr>
                          <w:p>
                            <w:pPr>
                              <w:tabs>
                                <w:tab w:val="left" w:pos="567"/>
                              </w:tabs>
                              <w:suppressAutoHyphens/>
                              <w:jc w:val="right"/>
                              <w:rPr>
                                <w:rFonts w:eastAsia="Calibri"/>
                                <w:szCs w:val="22"/>
                                <w:lang w:eastAsia="lt-LT"/>
                              </w:rPr>
                            </w:pPr>
                            <w:r>
                              <w:rPr>
                                <w:lang w:eastAsia="lt-LT"/>
                              </w:rPr>
                              <w:t>(2.566-1)</w:t>
                            </w:r>
                          </w:p>
                        </w:tc>
                      </w:tr>
                    </w:tbl>
                    <w:p>
                      <w:pPr>
                        <w:tabs>
                          <w:tab w:val="left" w:pos="567"/>
                          <w:tab w:val="left" w:pos="851"/>
                        </w:tabs>
                        <w:suppressAutoHyphens/>
                        <w:ind w:left="1650" w:hanging="1083"/>
                        <w:jc w:val="both"/>
                        <w:rPr>
                          <w:lang w:eastAsia="lt-LT"/>
                        </w:rPr>
                      </w:pPr>
                      <w:r>
                        <w:rPr>
                          <w:lang w:eastAsia="lt-LT"/>
                        </w:rPr>
                        <w:t>jei pastate atskiriems plotams „x“ vėsinti naudojami skirtingi vėsinimo įrenginiai,</w:t>
                      </w:r>
                    </w:p>
                    <w:tbl>
                      <w:tblPr>
                        <w:tblW w:w="5000" w:type="pct"/>
                        <w:jc w:val="center"/>
                        <w:tblLook w:val="01E0" w:firstRow="1" w:lastRow="1" w:firstColumn="1" w:lastColumn="1" w:noHBand="0" w:noVBand="0"/>
                      </w:tblPr>
                      <w:tblGrid>
                        <w:gridCol w:w="8555"/>
                        <w:gridCol w:w="1299"/>
                      </w:tblGrid>
                      <w:tr>
                        <w:trPr>
                          <w:jc w:val="center"/>
                        </w:trPr>
                        <w:tc>
                          <w:tcPr>
                            <w:tcW w:w="4341" w:type="pct"/>
                            <w:vAlign w:val="center"/>
                            <w:hideMark/>
                          </w:tcPr>
                          <w:p>
                            <w:pPr>
                              <w:tabs>
                                <w:tab w:val="left" w:pos="567"/>
                              </w:tabs>
                              <w:suppressAutoHyphens/>
                              <w:jc w:val="center"/>
                              <w:rPr>
                                <w:rFonts w:eastAsia="Calibri"/>
                                <w:szCs w:val="22"/>
                                <w:lang w:eastAsia="lt-LT"/>
                              </w:rPr>
                            </w:pPr>
                            <w:r>
                              <w:rPr>
                                <w:rFonts w:eastAsia="Calibri"/>
                                <w:position w:val="-32"/>
                                <w:szCs w:val="22"/>
                                <w:lang w:eastAsia="lt-LT"/>
                              </w:rPr>
                              <w:object w:dxaOrig="2920" w:dyaOrig="740">
                                <v:shape id="_x0000_i1697" type="#_x0000_t75" style="width:146.45pt;height:36.4pt" o:ole="">
                                  <v:imagedata r:id="rId1746" o:title=""/>
                                </v:shape>
                                <o:OLEObject Type="Embed" ProgID="Equation.3" ShapeID="_x0000_i1697" DrawAspect="Content" ObjectID="_0000000001" r:id="rId1747"/>
                              </w:object>
                            </w:r>
                            <w:r>
                              <w:rPr>
                                <w:lang w:eastAsia="lt-LT"/>
                              </w:rPr>
                              <w:t>;</w:t>
                            </w:r>
                          </w:p>
                        </w:tc>
                        <w:tc>
                          <w:tcPr>
                            <w:tcW w:w="659" w:type="pct"/>
                            <w:vAlign w:val="center"/>
                            <w:hideMark/>
                          </w:tcPr>
                          <w:p>
                            <w:pPr>
                              <w:tabs>
                                <w:tab w:val="left" w:pos="567"/>
                              </w:tabs>
                              <w:suppressAutoHyphens/>
                              <w:jc w:val="right"/>
                              <w:rPr>
                                <w:rFonts w:eastAsia="Calibri"/>
                                <w:szCs w:val="22"/>
                                <w:lang w:eastAsia="lt-LT"/>
                              </w:rPr>
                            </w:pPr>
                            <w:r>
                              <w:rPr>
                                <w:lang w:eastAsia="lt-LT"/>
                              </w:rPr>
                              <w:t>(2.566-2)</w:t>
                            </w:r>
                          </w:p>
                        </w:tc>
                      </w:tr>
                    </w:tbl>
                    <w:p>
                      <w:pPr>
                        <w:tabs>
                          <w:tab w:val="left" w:pos="567"/>
                        </w:tabs>
                        <w:suppressAutoHyphens/>
                        <w:rPr>
                          <w:lang w:eastAsia="lt-LT"/>
                        </w:rPr>
                      </w:pPr>
                    </w:p>
                  </w:sdtContent>
                </w:sdt>
                <w:sdt>
                  <w:sdtPr>
                    <w:alias w:val="70.7 pp."/>
                    <w:tag w:val="part_3498ee8c7fba47e0b1888b1091e8bb0b"/>
                    <w:lock w:val="sdtLocked"/>
                    <w:richText/>
                  </w:sdtPr>
                  <w:sdtContent>
                    <w:p>
                      <w:pPr>
                        <w:tabs>
                          <w:tab w:val="left" w:pos="567"/>
                        </w:tabs>
                        <w:suppressAutoHyphens/>
                        <w:ind w:firstLine="720"/>
                        <w:jc w:val="both"/>
                        <w:rPr>
                          <w:lang w:eastAsia="lt-LT"/>
                        </w:rPr>
                      </w:pPr>
                      <w:sdt>
                        <w:sdtPr>
                          <w:alias w:val="Numeris"/>
                          <w:tag w:val="nr_3498ee8c7fba47e0b1888b1091e8bb0b"/>
                          <w:lock w:val="sdtLocked"/>
                          <w:richText/>
                        </w:sdtPr>
                        <w:sdtContent>
                          <w:r>
                            <w:rPr>
                              <w:lang w:eastAsia="lt-LT"/>
                            </w:rPr>
                            <w:t>70.7</w:t>
                          </w:r>
                        </w:sdtContent>
                      </w:sdt>
                      <w:r>
                        <w:rPr>
                          <w:lang w:eastAsia="lt-LT"/>
                        </w:rPr>
                        <w:t>. kiekvieno mėnesio „m“ skaičiuojamosios elektros energijos sąnaudos pastatui ar jo daliai vėsinti</w:t>
                      </w:r>
                      <w:r>
                        <w:rPr>
                          <w:i/>
                          <w:lang w:eastAsia="lt-LT"/>
                        </w:rPr>
                        <w:t xml:space="preserve"> Q</w:t>
                      </w:r>
                      <w:r>
                        <w:rPr>
                          <w:i/>
                          <w:vertAlign w:val="subscript"/>
                          <w:lang w:eastAsia="lt-LT"/>
                        </w:rPr>
                        <w:t>C.E2,m</w:t>
                      </w:r>
                      <w:r>
                        <w:rPr>
                          <w:lang w:eastAsia="lt-LT"/>
                        </w:rPr>
                        <w:t xml:space="preserve"> (kWh/(m²·mėn.)), jei tam naudojami tik dujiniai katilai su absorbciniais šilumos siurbliais, apskaičiuojamos taip:</w:t>
                      </w:r>
                    </w:p>
                    <w:p>
                      <w:pPr>
                        <w:tabs>
                          <w:tab w:val="left" w:pos="567"/>
                          <w:tab w:val="left" w:pos="851"/>
                        </w:tabs>
                        <w:suppressAutoHyphens/>
                        <w:ind w:left="1650" w:hanging="1083"/>
                        <w:jc w:val="both"/>
                        <w:rPr>
                          <w:lang w:eastAsia="lt-LT"/>
                        </w:rPr>
                      </w:pPr>
                      <w:r>
                        <w:rPr>
                          <w:lang w:eastAsia="lt-LT"/>
                        </w:rPr>
                        <w:t>-</w:t>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C.E2,m</w:t>
                      </w:r>
                      <w:r>
                        <w:rPr>
                          <w:lang w:eastAsia="lt-LT"/>
                        </w:rPr>
                        <w:t xml:space="preserve"> =0;</w:t>
                      </w:r>
                    </w:p>
                    <w:p>
                      <w:pPr>
                        <w:tabs>
                          <w:tab w:val="left" w:pos="567"/>
                          <w:tab w:val="left" w:pos="851"/>
                        </w:tabs>
                        <w:suppressAutoHyphens/>
                        <w:ind w:left="1650" w:hanging="1083"/>
                        <w:jc w:val="both"/>
                        <w:rPr>
                          <w:lang w:eastAsia="lt-LT"/>
                        </w:rPr>
                      </w:pPr>
                      <w:r>
                        <w:rPr>
                          <w:lang w:eastAsia="lt-LT"/>
                        </w:rPr>
                        <w:t>-</w:t>
                        <w:tab/>
                        <w:t>kitais atvejais, jei visam pastatui naudojamas vienas vėsinimo įrenginys,</w:t>
                      </w:r>
                    </w:p>
                    <w:p>
                      <w:pPr>
                        <w:tabs>
                          <w:tab w:val="left" w:pos="567"/>
                          <w:tab w:val="left" w:pos="851"/>
                        </w:tabs>
                        <w:suppressAutoHyphens/>
                        <w:ind w:left="1650" w:hanging="1083"/>
                        <w:jc w:val="both"/>
                        <w:rPr>
                          <w:lang w:eastAsia="lt-LT"/>
                        </w:rPr>
                      </w:pPr>
                    </w:p>
                    <w:tbl>
                      <w:tblPr>
                        <w:tblW w:w="5000" w:type="pct"/>
                        <w:tblLook w:val="04A0" w:firstRow="1" w:lastRow="0" w:firstColumn="1" w:lastColumn="0" w:noHBand="0" w:noVBand="1"/>
                      </w:tblPr>
                      <w:tblGrid>
                        <w:gridCol w:w="8606"/>
                        <w:gridCol w:w="1248"/>
                      </w:tblGrid>
                      <w:tr>
                        <w:tc>
                          <w:tcPr>
                            <w:tcW w:w="4367" w:type="pct"/>
                            <w:vAlign w:val="center"/>
                          </w:tcPr>
                          <w:p>
                            <w:pPr>
                              <w:tabs>
                                <w:tab w:val="left" w:pos="567"/>
                              </w:tabs>
                              <w:suppressAutoHyphens/>
                              <w:jc w:val="center"/>
                              <w:rPr>
                                <w:bCs/>
                                <w:szCs w:val="24"/>
                                <w:lang w:eastAsia="lt-LT"/>
                              </w:rPr>
                            </w:pPr>
                            <w:r>
                              <w:rPr>
                                <w:rFonts w:eastAsia="Calibri"/>
                                <w:position w:val="-30"/>
                                <w:lang w:eastAsia="lt-LT"/>
                              </w:rPr>
                              <w:object w:dxaOrig="2260" w:dyaOrig="700">
                                <v:shape id="_x0000_i1698" type="#_x0000_t75" style="width:112.45pt;height:36.4pt" o:ole="">
                                  <v:imagedata r:id="rId1748" o:title=""/>
                                </v:shape>
                                <o:OLEObject Type="Embed" ProgID="Equation.3" ShapeID="_x0000_i1698" DrawAspect="Content" ObjectID="_0000000001" r:id="rId1749"/>
                              </w:object>
                            </w:r>
                            <w:r>
                              <w:rPr>
                                <w:rFonts w:eastAsia="Calibri"/>
                                <w:lang w:eastAsia="lt-LT"/>
                              </w:rPr>
                              <w:t>;</w:t>
                            </w:r>
                          </w:p>
                        </w:tc>
                        <w:tc>
                          <w:tcPr>
                            <w:tcW w:w="633" w:type="pct"/>
                            <w:vAlign w:val="center"/>
                          </w:tcPr>
                          <w:p>
                            <w:pPr>
                              <w:tabs>
                                <w:tab w:val="left" w:pos="567"/>
                              </w:tabs>
                              <w:suppressAutoHyphens/>
                              <w:jc w:val="right"/>
                              <w:rPr>
                                <w:bCs/>
                                <w:szCs w:val="24"/>
                                <w:lang w:eastAsia="lt-LT"/>
                              </w:rPr>
                            </w:pPr>
                            <w:r>
                              <w:rPr>
                                <w:bCs/>
                                <w:szCs w:val="24"/>
                                <w:lang w:eastAsia="lt-LT"/>
                              </w:rPr>
                              <w:t>(2.566-3)</w:t>
                            </w:r>
                          </w:p>
                        </w:tc>
                      </w:tr>
                    </w:tbl>
                    <w:p>
                      <w:pPr>
                        <w:tabs>
                          <w:tab w:val="left" w:pos="567"/>
                        </w:tabs>
                        <w:suppressAutoHyphens/>
                        <w:ind w:firstLine="720"/>
                        <w:jc w:val="both"/>
                        <w:rPr>
                          <w:lang w:eastAsia="lt-LT"/>
                        </w:rPr>
                      </w:pPr>
                    </w:p>
                    <w:p>
                      <w:pPr>
                        <w:tabs>
                          <w:tab w:val="left" w:pos="567"/>
                          <w:tab w:val="left" w:pos="851"/>
                        </w:tabs>
                        <w:suppressAutoHyphens/>
                        <w:ind w:left="1650" w:hanging="1083"/>
                        <w:jc w:val="both"/>
                        <w:rPr>
                          <w:lang w:eastAsia="lt-LT"/>
                        </w:rPr>
                      </w:pPr>
                      <w:r>
                        <w:rPr>
                          <w:lang w:eastAsia="lt-LT"/>
                        </w:rPr>
                        <w:t>jei pastate atskiriems plotams „x“ vėsinti naudojami skirtingi vėsinimo įrenginiai,</w:t>
                      </w:r>
                    </w:p>
                    <w:p>
                      <w:pPr>
                        <w:tabs>
                          <w:tab w:val="left" w:pos="567"/>
                          <w:tab w:val="left" w:pos="851"/>
                        </w:tabs>
                        <w:suppressAutoHyphens/>
                        <w:ind w:left="1650" w:hanging="1083"/>
                        <w:jc w:val="both"/>
                        <w:rPr>
                          <w:lang w:eastAsia="lt-LT"/>
                        </w:rPr>
                      </w:pPr>
                    </w:p>
                    <w:tbl>
                      <w:tblPr>
                        <w:tblW w:w="5000" w:type="pct"/>
                        <w:tblLook w:val="04A0" w:firstRow="1" w:lastRow="0" w:firstColumn="1" w:lastColumn="0" w:noHBand="0" w:noVBand="1"/>
                      </w:tblPr>
                      <w:tblGrid>
                        <w:gridCol w:w="8606"/>
                        <w:gridCol w:w="1248"/>
                      </w:tblGrid>
                      <w:tr>
                        <w:tc>
                          <w:tcPr>
                            <w:tcW w:w="4367" w:type="pct"/>
                            <w:vAlign w:val="center"/>
                          </w:tcPr>
                          <w:p>
                            <w:pPr>
                              <w:tabs>
                                <w:tab w:val="left" w:pos="567"/>
                              </w:tabs>
                              <w:suppressAutoHyphens/>
                              <w:jc w:val="center"/>
                              <w:rPr>
                                <w:rFonts w:eastAsia="Calibri"/>
                                <w:lang w:eastAsia="lt-LT"/>
                              </w:rPr>
                            </w:pPr>
                            <w:r>
                              <w:rPr>
                                <w:rFonts w:eastAsia="Calibri"/>
                                <w:lang w:eastAsia="lt-LT"/>
                              </w:rPr>
                              <w:object w:dxaOrig="3940" w:dyaOrig="740">
                                <v:shape id="_x0000_i1699" type="#_x0000_t75" style="width:196.6pt;height:36.4pt" o:ole="">
                                  <v:imagedata r:id="rId1750" o:title=""/>
                                </v:shape>
                                <o:OLEObject Type="Embed" ProgID="Equation.3" ShapeID="_x0000_i1699" DrawAspect="Content" ObjectID="_0000000001" r:id="rId1751"/>
                              </w:object>
                              <w:t>;</w:t>
                            </w:r>
                          </w:p>
                        </w:tc>
                        <w:tc>
                          <w:tcPr>
                            <w:tcW w:w="633" w:type="pct"/>
                            <w:vAlign w:val="center"/>
                          </w:tcPr>
                          <w:p>
                            <w:pPr>
                              <w:tabs>
                                <w:tab w:val="left" w:pos="567"/>
                              </w:tabs>
                              <w:suppressAutoHyphens/>
                              <w:jc w:val="right"/>
                              <w:rPr>
                                <w:bCs/>
                                <w:szCs w:val="24"/>
                                <w:lang w:eastAsia="lt-LT"/>
                              </w:rPr>
                            </w:pPr>
                            <w:r>
                              <w:rPr>
                                <w:bCs/>
                                <w:szCs w:val="24"/>
                                <w:lang w:eastAsia="lt-LT"/>
                              </w:rPr>
                              <w:t>(2.566-4)</w:t>
                            </w:r>
                          </w:p>
                        </w:tc>
                      </w:tr>
                    </w:tbl>
                    <w:p>
                      <w:pPr>
                        <w:tabs>
                          <w:tab w:val="left" w:pos="567"/>
                          <w:tab w:val="left" w:pos="709"/>
                        </w:tabs>
                        <w:suppressAutoHyphens/>
                        <w:jc w:val="both"/>
                        <w:rPr>
                          <w:bCs/>
                          <w:szCs w:val="24"/>
                          <w:lang w:eastAsia="lt-LT"/>
                        </w:rPr>
                      </w:pPr>
                      <w:r>
                        <w:rPr>
                          <w:bCs/>
                          <w:szCs w:val="24"/>
                          <w:lang w:eastAsia="lt-LT"/>
                        </w:rPr>
                        <w:t xml:space="preserve">čia: </w:t>
                        <w:tab/>
                      </w:r>
                      <w:r>
                        <w:rPr>
                          <w:i/>
                          <w:sz w:val="32"/>
                          <w:szCs w:val="32"/>
                          <w:lang w:eastAsia="lt-LT"/>
                        </w:rPr>
                        <w:t>η</w:t>
                      </w:r>
                      <w:r>
                        <w:rPr>
                          <w:i/>
                          <w:szCs w:val="24"/>
                          <w:vertAlign w:val="subscript"/>
                          <w:lang w:eastAsia="lt-LT"/>
                        </w:rPr>
                        <w:t xml:space="preserve">GPH.C </w:t>
                      </w:r>
                      <w:r>
                        <w:rPr>
                          <w:szCs w:val="24"/>
                          <w:lang w:eastAsia="lt-LT"/>
                        </w:rPr>
                        <w:t xml:space="preserve">– </w:t>
                      </w:r>
                      <w:r>
                        <w:rPr>
                          <w:bCs/>
                          <w:szCs w:val="24"/>
                          <w:lang w:eastAsia="lt-LT"/>
                        </w:rPr>
                        <w:t xml:space="preserve">pagal [3.46], [3.47] reikalavimus prie standartinių bandymo sąlygų nustatyta </w:t>
                      </w:r>
                      <w:r>
                        <w:rPr>
                          <w:szCs w:val="24"/>
                          <w:lang w:eastAsia="lt-LT"/>
                        </w:rPr>
                        <w:t>dujinio katilo su absorbciniu šilumos siurbliu naudingumo koeficiento vertė vėsinimo režimu, vnt.;</w:t>
                      </w:r>
                    </w:p>
                    <w:p>
                      <w:pPr>
                        <w:tabs>
                          <w:tab w:val="left" w:pos="567"/>
                        </w:tabs>
                        <w:suppressAutoHyphens/>
                        <w:ind w:firstLine="720"/>
                        <w:jc w:val="both"/>
                        <w:rPr>
                          <w:bCs/>
                          <w:szCs w:val="24"/>
                          <w:lang w:eastAsia="lt-LT"/>
                        </w:rPr>
                      </w:pPr>
                      <w:r>
                        <w:rPr>
                          <w:bCs/>
                          <w:i/>
                          <w:iCs/>
                          <w:szCs w:val="24"/>
                          <w:lang w:eastAsia="lt-LT"/>
                        </w:rPr>
                        <w:t>P</w:t>
                      </w:r>
                      <w:r>
                        <w:rPr>
                          <w:bCs/>
                          <w:i/>
                          <w:iCs/>
                          <w:szCs w:val="24"/>
                          <w:vertAlign w:val="subscript"/>
                          <w:lang w:eastAsia="lt-LT"/>
                        </w:rPr>
                        <w:t>GHP.C</w:t>
                      </w:r>
                      <w:r>
                        <w:rPr>
                          <w:bCs/>
                          <w:szCs w:val="24"/>
                          <w:lang w:eastAsia="lt-LT"/>
                        </w:rPr>
                        <w:t xml:space="preserve"> – pagal [3.46], [3.47] reikalavimus prie standartinių bandymo sąlygų nustatyta dujinio katilo vėsinimo galia, kW;</w:t>
                      </w:r>
                    </w:p>
                    <w:p>
                      <w:pPr>
                        <w:tabs>
                          <w:tab w:val="left" w:pos="567"/>
                        </w:tabs>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 pagal [3.46], [3.47] reikalavimus prie standartinių bandymo sąlygų nustatyta dujinio katilo naudojamos elektros energijos galia, kW;</w:t>
                      </w:r>
                    </w:p>
                    <w:p>
                      <w:pPr>
                        <w:tabs>
                          <w:tab w:val="left" w:pos="567"/>
                        </w:tabs>
                        <w:suppressAutoHyphens/>
                        <w:ind w:firstLine="567"/>
                        <w:jc w:val="both"/>
                        <w:rPr>
                          <w:bCs/>
                          <w:szCs w:val="24"/>
                          <w:lang w:eastAsia="lt-LT"/>
                        </w:rPr>
                      </w:pPr>
                      <w:r>
                        <w:rPr>
                          <w:rFonts w:eastAsia="Calibri"/>
                          <w:bCs/>
                          <w:szCs w:val="24"/>
                          <w:lang w:eastAsia="lt-LT"/>
                        </w:rPr>
                        <w:t>-</w:t>
                        <w:tab/>
                      </w:r>
                      <w:r>
                        <w:rPr>
                          <w:bCs/>
                          <w:szCs w:val="24"/>
                          <w:lang w:eastAsia="lt-LT"/>
                        </w:rPr>
                        <w:t xml:space="preserve">jei nėra duomenų bent apie vieną iš </w:t>
                      </w:r>
                      <w:r>
                        <w:rPr>
                          <w:bCs/>
                          <w:i/>
                          <w:iCs/>
                          <w:szCs w:val="24"/>
                          <w:lang w:eastAsia="lt-LT"/>
                        </w:rPr>
                        <w:t>P</w:t>
                      </w:r>
                      <w:r>
                        <w:rPr>
                          <w:bCs/>
                          <w:i/>
                          <w:iCs/>
                          <w:szCs w:val="24"/>
                          <w:vertAlign w:val="subscript"/>
                          <w:lang w:eastAsia="lt-LT"/>
                        </w:rPr>
                        <w:t>GHP.C</w:t>
                      </w:r>
                      <w:r>
                        <w:rPr>
                          <w:bCs/>
                          <w:szCs w:val="24"/>
                          <w:lang w:eastAsia="lt-LT"/>
                        </w:rPr>
                        <w:t xml:space="preserve"> , </w:t>
                      </w:r>
                      <w:r>
                        <w:rPr>
                          <w:bCs/>
                          <w:i/>
                          <w:iCs/>
                          <w:szCs w:val="24"/>
                          <w:lang w:eastAsia="lt-LT"/>
                        </w:rPr>
                        <w:t>P</w:t>
                      </w:r>
                      <w:r>
                        <w:rPr>
                          <w:bCs/>
                          <w:i/>
                          <w:iCs/>
                          <w:szCs w:val="24"/>
                          <w:vertAlign w:val="subscript"/>
                          <w:lang w:eastAsia="lt-LT"/>
                        </w:rPr>
                        <w:t>GHP.el</w:t>
                      </w:r>
                      <w:r>
                        <w:rPr>
                          <w:bCs/>
                          <w:szCs w:val="24"/>
                          <w:lang w:eastAsia="lt-LT"/>
                        </w:rPr>
                        <w:t xml:space="preserve"> arba </w:t>
                      </w:r>
                      <w:r>
                        <w:rPr>
                          <w:i/>
                          <w:szCs w:val="24"/>
                          <w:lang w:eastAsia="lt-LT"/>
                        </w:rPr>
                        <w:t>η</w:t>
                      </w:r>
                      <w:r>
                        <w:rPr>
                          <w:i/>
                          <w:szCs w:val="24"/>
                          <w:vertAlign w:val="subscript"/>
                          <w:lang w:eastAsia="lt-LT"/>
                        </w:rPr>
                        <w:t xml:space="preserve">GHP.C </w:t>
                      </w:r>
                      <w:r>
                        <w:rPr>
                          <w:bCs/>
                          <w:szCs w:val="24"/>
                          <w:lang w:eastAsia="lt-LT"/>
                        </w:rPr>
                        <w:t xml:space="preserve">verčių, tada imama </w:t>
                      </w:r>
                      <w:r>
                        <w:rPr>
                          <w:i/>
                          <w:szCs w:val="24"/>
                          <w:lang w:eastAsia="lt-LT"/>
                        </w:rPr>
                        <w:t>η</w:t>
                      </w:r>
                      <w:r>
                        <w:rPr>
                          <w:i/>
                          <w:szCs w:val="24"/>
                          <w:vertAlign w:val="subscript"/>
                          <w:lang w:eastAsia="lt-LT"/>
                        </w:rPr>
                        <w:t xml:space="preserve">GHP.C </w:t>
                      </w:r>
                      <w:r>
                        <w:rPr>
                          <w:iCs/>
                          <w:szCs w:val="24"/>
                          <w:lang w:eastAsia="lt-LT"/>
                        </w:rPr>
                        <w:t>=0,6</w:t>
                      </w:r>
                      <w:r>
                        <w:rPr>
                          <w:i/>
                          <w:szCs w:val="24"/>
                          <w:lang w:eastAsia="lt-LT"/>
                        </w:rPr>
                        <w:t xml:space="preserve"> </w:t>
                      </w:r>
                      <w:r>
                        <w:rPr>
                          <w:bCs/>
                          <w:szCs w:val="24"/>
                          <w:lang w:eastAsia="lt-LT"/>
                        </w:rPr>
                        <w:t xml:space="preserve">ir santykis </w:t>
                      </w:r>
                      <w:r>
                        <w:rPr>
                          <w:bCs/>
                          <w:i/>
                          <w:iCs/>
                          <w:szCs w:val="24"/>
                          <w:lang w:eastAsia="lt-LT"/>
                        </w:rPr>
                        <w:t>P</w:t>
                      </w:r>
                      <w:r>
                        <w:rPr>
                          <w:bCs/>
                          <w:i/>
                          <w:iCs/>
                          <w:szCs w:val="24"/>
                          <w:vertAlign w:val="subscript"/>
                          <w:lang w:eastAsia="lt-LT"/>
                        </w:rPr>
                        <w:t>GHP.el</w:t>
                      </w:r>
                      <w:r>
                        <w:rPr>
                          <w:bCs/>
                          <w:i/>
                          <w:iCs/>
                          <w:szCs w:val="24"/>
                          <w:lang w:eastAsia="lt-LT"/>
                        </w:rPr>
                        <w:t>/</w:t>
                      </w:r>
                      <w:r>
                        <w:rPr>
                          <w:bCs/>
                          <w:i/>
                          <w:iCs/>
                          <w:szCs w:val="24"/>
                          <w:vertAlign w:val="subscript"/>
                          <w:lang w:eastAsia="lt-LT"/>
                        </w:rPr>
                        <w:t xml:space="preserve"> </w:t>
                      </w:r>
                      <w:r>
                        <w:rPr>
                          <w:bCs/>
                          <w:i/>
                          <w:iCs/>
                          <w:szCs w:val="24"/>
                          <w:lang w:eastAsia="lt-LT"/>
                        </w:rPr>
                        <w:t>P</w:t>
                      </w:r>
                      <w:r>
                        <w:rPr>
                          <w:bCs/>
                          <w:i/>
                          <w:iCs/>
                          <w:szCs w:val="24"/>
                          <w:vertAlign w:val="subscript"/>
                          <w:lang w:eastAsia="lt-LT"/>
                        </w:rPr>
                        <w:t>GHP.C</w:t>
                      </w:r>
                      <w:r>
                        <w:rPr>
                          <w:bCs/>
                          <w:szCs w:val="24"/>
                          <w:lang w:eastAsia="lt-LT"/>
                        </w:rPr>
                        <w:t xml:space="preserve"> =0,05;</w:t>
                      </w:r>
                    </w:p>
                  </w:sdtContent>
                </w:sdt>
                <w:sdt>
                  <w:sdtPr>
                    <w:alias w:val="70.8 pp."/>
                    <w:tag w:val="part_5a9c37c851044bcfa87b0f4b5fffb62a"/>
                    <w:lock w:val="sdtLocked"/>
                    <w:richText/>
                  </w:sdtPr>
                  <w:sdtContent>
                    <w:p>
                      <w:pPr>
                        <w:tabs>
                          <w:tab w:val="left" w:pos="567"/>
                        </w:tabs>
                        <w:suppressAutoHyphens/>
                        <w:ind w:firstLine="720"/>
                        <w:jc w:val="both"/>
                        <w:rPr>
                          <w:lang w:eastAsia="lt-LT"/>
                        </w:rPr>
                      </w:pPr>
                      <w:sdt>
                        <w:sdtPr>
                          <w:alias w:val="Numeris"/>
                          <w:tag w:val="nr_5a9c37c851044bcfa87b0f4b5fffb62a"/>
                          <w:lock w:val="sdtLocked"/>
                          <w:richText/>
                        </w:sdtPr>
                        <w:sdtContent>
                          <w:r>
                            <w:rPr>
                              <w:lang w:eastAsia="lt-LT"/>
                            </w:rPr>
                            <w:t>70.8</w:t>
                          </w:r>
                        </w:sdtContent>
                      </w:sdt>
                      <w:r>
                        <w:rPr>
                          <w:lang w:eastAsia="lt-LT"/>
                        </w:rPr>
                        <w:t>. kiekvieno mėnesio „m“ skaičiuojamosios elektros energijos sąnaudos pastatui ar jo daliai vėsinti, jei tam naudojami šiluminiai siurbliai kartu su dujiniais katilais su absorbciniais šilumos siurbliais, apskaičiuojamos taip:</w:t>
                      </w:r>
                    </w:p>
                    <w:p>
                      <w:pPr>
                        <w:tabs>
                          <w:tab w:val="left" w:pos="567"/>
                          <w:tab w:val="left" w:pos="851"/>
                        </w:tabs>
                        <w:suppressAutoHyphens/>
                        <w:ind w:left="1650" w:hanging="1083"/>
                        <w:jc w:val="both"/>
                        <w:rPr>
                          <w:lang w:eastAsia="lt-LT"/>
                        </w:rPr>
                      </w:pPr>
                      <w:r>
                        <w:rPr>
                          <w:lang w:eastAsia="lt-LT"/>
                        </w:rPr>
                        <w:t>-</w:t>
                        <w:tab/>
                        <w:t xml:space="preserve">jei </w:t>
                      </w:r>
                      <w:r>
                        <w:rPr>
                          <w:i/>
                          <w:lang w:eastAsia="lt-LT"/>
                        </w:rPr>
                        <w:t>Q</w:t>
                      </w:r>
                      <w:r>
                        <w:rPr>
                          <w:i/>
                          <w:vertAlign w:val="subscript"/>
                          <w:lang w:eastAsia="lt-LT"/>
                        </w:rPr>
                        <w:t>H,m</w:t>
                      </w:r>
                      <w:r>
                        <w:rPr>
                          <w:lang w:eastAsia="lt-LT"/>
                        </w:rPr>
                        <w:t xml:space="preserve">&gt;0, tada </w:t>
                      </w:r>
                      <w:r>
                        <w:rPr>
                          <w:i/>
                          <w:lang w:eastAsia="lt-LT"/>
                        </w:rPr>
                        <w:t>Q</w:t>
                      </w:r>
                      <w:r>
                        <w:rPr>
                          <w:i/>
                          <w:vertAlign w:val="subscript"/>
                          <w:lang w:eastAsia="lt-LT"/>
                        </w:rPr>
                        <w:t>C.E3,m</w:t>
                      </w:r>
                      <w:r>
                        <w:rPr>
                          <w:lang w:eastAsia="lt-LT"/>
                        </w:rPr>
                        <w:t xml:space="preserve"> =0 ir </w:t>
                      </w:r>
                      <w:r>
                        <w:rPr>
                          <w:i/>
                          <w:lang w:eastAsia="lt-LT"/>
                        </w:rPr>
                        <w:t>Q</w:t>
                      </w:r>
                      <w:r>
                        <w:rPr>
                          <w:i/>
                          <w:vertAlign w:val="subscript"/>
                          <w:lang w:eastAsia="lt-LT"/>
                        </w:rPr>
                        <w:t>C.E4,m</w:t>
                      </w:r>
                      <w:r>
                        <w:rPr>
                          <w:lang w:eastAsia="lt-LT"/>
                        </w:rPr>
                        <w:t xml:space="preserve"> =0;</w:t>
                      </w:r>
                    </w:p>
                    <w:p>
                      <w:pPr>
                        <w:tabs>
                          <w:tab w:val="left" w:pos="567"/>
                          <w:tab w:val="left" w:pos="851"/>
                        </w:tabs>
                        <w:suppressAutoHyphens/>
                        <w:ind w:firstLine="567"/>
                        <w:jc w:val="both"/>
                        <w:rPr>
                          <w:lang w:eastAsia="lt-LT"/>
                        </w:rPr>
                      </w:pPr>
                      <w:r>
                        <w:rPr>
                          <w:lang w:eastAsia="lt-LT"/>
                        </w:rPr>
                        <w:t>-</w:t>
                        <w:tab/>
                        <w:t xml:space="preserve">kitais atvejais šilumos siurblio elektros energijos sąnaudos </w:t>
                      </w:r>
                      <w:r>
                        <w:rPr>
                          <w:i/>
                          <w:lang w:eastAsia="lt-LT"/>
                        </w:rPr>
                        <w:t>Q</w:t>
                      </w:r>
                      <w:r>
                        <w:rPr>
                          <w:i/>
                          <w:vertAlign w:val="subscript"/>
                          <w:lang w:eastAsia="lt-LT"/>
                        </w:rPr>
                        <w:t>C.E3,m</w:t>
                      </w:r>
                      <w:r>
                        <w:rPr>
                          <w:lang w:eastAsia="lt-LT"/>
                        </w:rPr>
                        <w:t xml:space="preserve"> (kWh/(m²·mėn.)) sudarys</w:t>
                      </w:r>
                    </w:p>
                    <w:p>
                      <w:pPr>
                        <w:tabs>
                          <w:tab w:val="left" w:pos="567"/>
                          <w:tab w:val="left" w:pos="851"/>
                        </w:tabs>
                        <w:suppressAutoHyphens/>
                        <w:ind w:firstLine="567"/>
                        <w:jc w:val="both"/>
                        <w:rPr>
                          <w:lang w:eastAsia="lt-LT"/>
                        </w:rPr>
                      </w:pPr>
                    </w:p>
                    <w:tbl>
                      <w:tblPr>
                        <w:tblW w:w="5000" w:type="pct"/>
                        <w:tblLook w:val="04A0" w:firstRow="1" w:lastRow="0" w:firstColumn="1" w:lastColumn="0" w:noHBand="0" w:noVBand="1"/>
                      </w:tblPr>
                      <w:tblGrid>
                        <w:gridCol w:w="8606"/>
                        <w:gridCol w:w="1248"/>
                      </w:tblGrid>
                      <w:tr>
                        <w:tc>
                          <w:tcPr>
                            <w:tcW w:w="4367" w:type="pct"/>
                            <w:vAlign w:val="center"/>
                          </w:tcPr>
                          <w:p>
                            <w:pPr>
                              <w:tabs>
                                <w:tab w:val="left" w:pos="567"/>
                              </w:tabs>
                              <w:suppressAutoHyphens/>
                              <w:jc w:val="center"/>
                              <w:rPr>
                                <w:bCs/>
                                <w:szCs w:val="24"/>
                                <w:lang w:eastAsia="lt-LT"/>
                              </w:rPr>
                            </w:pPr>
                            <w:r>
                              <w:rPr>
                                <w:rFonts w:eastAsia="Calibri"/>
                                <w:position w:val="-30"/>
                                <w:lang w:eastAsia="lt-LT"/>
                              </w:rPr>
                              <w:object w:dxaOrig="1760" w:dyaOrig="700">
                                <v:shape id="_x0000_i1700" type="#_x0000_t75" style="width:86.55pt;height:36.4pt" o:ole="">
                                  <v:imagedata r:id="rId1752" o:title=""/>
                                </v:shape>
                                <o:OLEObject Type="Embed" ProgID="Equation.3" ShapeID="_x0000_i1700" DrawAspect="Content" ObjectID="_0000000001" r:id="rId1753"/>
                              </w:object>
                            </w:r>
                            <w:r>
                              <w:rPr>
                                <w:rFonts w:eastAsia="Calibri"/>
                                <w:lang w:eastAsia="lt-LT"/>
                              </w:rPr>
                              <w:t xml:space="preserve">  ,</w:t>
                            </w:r>
                          </w:p>
                        </w:tc>
                        <w:tc>
                          <w:tcPr>
                            <w:tcW w:w="633" w:type="pct"/>
                            <w:vAlign w:val="center"/>
                          </w:tcPr>
                          <w:p>
                            <w:pPr>
                              <w:tabs>
                                <w:tab w:val="left" w:pos="567"/>
                              </w:tabs>
                              <w:suppressAutoHyphens/>
                              <w:jc w:val="right"/>
                              <w:rPr>
                                <w:bCs/>
                                <w:szCs w:val="24"/>
                                <w:lang w:eastAsia="lt-LT"/>
                              </w:rPr>
                            </w:pPr>
                            <w:r>
                              <w:rPr>
                                <w:bCs/>
                                <w:szCs w:val="24"/>
                                <w:lang w:eastAsia="lt-LT"/>
                              </w:rPr>
                              <w:t>(2.566-5)</w:t>
                            </w:r>
                          </w:p>
                        </w:tc>
                      </w:tr>
                    </w:tbl>
                    <w:p>
                      <w:pPr>
                        <w:tabs>
                          <w:tab w:val="left" w:pos="567"/>
                        </w:tabs>
                        <w:suppressAutoHyphens/>
                        <w:ind w:firstLine="720"/>
                        <w:jc w:val="both"/>
                        <w:rPr>
                          <w:lang w:eastAsia="lt-LT"/>
                        </w:rPr>
                      </w:pPr>
                    </w:p>
                    <w:p>
                      <w:pPr>
                        <w:tabs>
                          <w:tab w:val="left" w:pos="567"/>
                          <w:tab w:val="left" w:pos="851"/>
                        </w:tabs>
                        <w:suppressAutoHyphens/>
                        <w:ind w:firstLine="567"/>
                        <w:jc w:val="both"/>
                        <w:rPr>
                          <w:lang w:eastAsia="lt-LT"/>
                        </w:rPr>
                      </w:pPr>
                      <w:r>
                        <w:rPr>
                          <w:lang w:eastAsia="lt-LT"/>
                        </w:rPr>
                        <w:t xml:space="preserve">o dujinio katilo su absorbciniu šilumos siurbliu elektros energijos sąnaudos </w:t>
                      </w:r>
                      <w:r>
                        <w:rPr>
                          <w:i/>
                          <w:lang w:eastAsia="lt-LT"/>
                        </w:rPr>
                        <w:t>Q</w:t>
                      </w:r>
                      <w:r>
                        <w:rPr>
                          <w:i/>
                          <w:vertAlign w:val="subscript"/>
                          <w:lang w:eastAsia="lt-LT"/>
                        </w:rPr>
                        <w:t>C.E4,m</w:t>
                      </w:r>
                      <w:r>
                        <w:rPr>
                          <w:lang w:eastAsia="lt-LT"/>
                        </w:rPr>
                        <w:t xml:space="preserve"> (kWh/(m²·mėn.)) sudarys</w:t>
                      </w:r>
                    </w:p>
                    <w:tbl>
                      <w:tblPr>
                        <w:tblW w:w="5000" w:type="pct"/>
                        <w:tblLook w:val="04A0" w:firstRow="1" w:lastRow="0" w:firstColumn="1" w:lastColumn="0" w:noHBand="0" w:noVBand="1"/>
                      </w:tblPr>
                      <w:tblGrid>
                        <w:gridCol w:w="8606"/>
                        <w:gridCol w:w="1248"/>
                      </w:tblGrid>
                      <w:tr>
                        <w:tc>
                          <w:tcPr>
                            <w:tcW w:w="4367" w:type="pct"/>
                            <w:vAlign w:val="center"/>
                          </w:tcPr>
                          <w:p>
                            <w:pPr>
                              <w:tabs>
                                <w:tab w:val="left" w:pos="567"/>
                              </w:tabs>
                              <w:suppressAutoHyphens/>
                              <w:jc w:val="center"/>
                              <w:rPr>
                                <w:bCs/>
                                <w:szCs w:val="24"/>
                                <w:lang w:eastAsia="lt-LT"/>
                              </w:rPr>
                            </w:pPr>
                            <w:r>
                              <w:rPr>
                                <w:rFonts w:eastAsia="Calibri"/>
                                <w:position w:val="-30"/>
                                <w:lang w:eastAsia="lt-LT"/>
                              </w:rPr>
                              <w:object w:dxaOrig="2659" w:dyaOrig="700">
                                <v:shape id="_x0000_i1701" type="#_x0000_t75" style="width:133.5pt;height:36.4pt" o:ole="">
                                  <v:imagedata r:id="rId1754" o:title=""/>
                                </v:shape>
                                <o:OLEObject Type="Embed" ProgID="Equation.3" ShapeID="_x0000_i1701" DrawAspect="Content" ObjectID="_0000000001" r:id="rId1755"/>
                              </w:object>
                            </w:r>
                            <w:r>
                              <w:rPr>
                                <w:rFonts w:eastAsia="Calibri"/>
                                <w:lang w:eastAsia="lt-LT"/>
                              </w:rPr>
                              <w:t xml:space="preserve">    </w:t>
                            </w:r>
                          </w:p>
                        </w:tc>
                        <w:tc>
                          <w:tcPr>
                            <w:tcW w:w="633" w:type="pct"/>
                            <w:vAlign w:val="center"/>
                          </w:tcPr>
                          <w:p>
                            <w:pPr>
                              <w:tabs>
                                <w:tab w:val="left" w:pos="567"/>
                              </w:tabs>
                              <w:suppressAutoHyphens/>
                              <w:rPr>
                                <w:bCs/>
                                <w:szCs w:val="24"/>
                                <w:lang w:eastAsia="lt-LT"/>
                              </w:rPr>
                            </w:pPr>
                            <w:r>
                              <w:rPr>
                                <w:bCs/>
                                <w:szCs w:val="24"/>
                                <w:lang w:eastAsia="lt-LT"/>
                              </w:rPr>
                              <w:t>(2.5666)</w:t>
                            </w:r>
                          </w:p>
                        </w:tc>
                      </w:tr>
                    </w:tbl>
                    <w:p>
                      <w:pPr>
                        <w:tabs>
                          <w:tab w:val="left" w:pos="567"/>
                          <w:tab w:val="left" w:pos="851"/>
                          <w:tab w:val="left" w:pos="1134"/>
                          <w:tab w:val="left" w:pos="1418"/>
                        </w:tabs>
                        <w:suppressAutoHyphens/>
                        <w:jc w:val="both"/>
                        <w:rPr>
                          <w:rFonts w:eastAsia="MS Mincho"/>
                          <w:i/>
                          <w:iCs/>
                          <w:sz w:val="20"/>
                        </w:rPr>
                      </w:pPr>
                    </w:p>
                    <w:p>
                      <w:pPr>
                        <w:tabs>
                          <w:tab w:val="left" w:pos="567"/>
                          <w:tab w:val="left" w:pos="851"/>
                          <w:tab w:val="left" w:pos="1134"/>
                          <w:tab w:val="left" w:pos="1418"/>
                        </w:tabs>
                        <w:suppressAutoHyphens/>
                        <w:jc w:val="both"/>
                        <w:rPr>
                          <w:rFonts w:eastAsia="MS Mincho"/>
                          <w:i/>
                          <w:iCs/>
                          <w:sz w:val="20"/>
                        </w:rPr>
                      </w:pPr>
                      <w:r>
                        <w:rPr>
                          <w:rFonts w:eastAsia="MS Mincho"/>
                          <w:i/>
                          <w:iCs/>
                          <w:sz w:val="20"/>
                        </w:rPr>
                        <w:t>Skyriaus pakeitimai:</w:t>
                      </w:r>
                    </w:p>
                    <w:p>
                      <w:pPr>
                        <w:tabs>
                          <w:tab w:val="left" w:pos="567"/>
                          <w:tab w:val="left" w:pos="851"/>
                          <w:tab w:val="left" w:pos="1134"/>
                          <w:tab w:val="left" w:pos="1418"/>
                        </w:tabs>
                        <w:suppressAutoHyphens/>
                        <w:jc w:val="both"/>
                      </w:pPr>
                      <w:r>
                        <w:rPr>
                          <w:rFonts w:eastAsia="MS Mincho"/>
                          <w:i/>
                          <w:iCs/>
                          <w:sz w:val="20"/>
                        </w:rPr>
                        <w:t xml:space="preserve">Nr. </w:t>
                      </w:r>
                      <w:hyperlink r:id="rId1756" w:history="1">
                        <w:r>
                          <w:rPr>
                            <w:rFonts w:eastAsia="MS Mincho"/>
                            <w:i/>
                            <w:iCs/>
                            <w:color w:val="0000FF"/>
                            <w:sz w:val="20"/>
                            <w:u w:val="single"/>
                          </w:rPr>
                          <w:t>D1-576</w:t>
                        </w:r>
                      </w:hyperlink>
                      <w:r>
                        <w:rPr>
                          <w:rFonts w:eastAsia="MS Mincho"/>
                          <w:i/>
                          <w:iCs/>
                          <w:sz w:val="20"/>
                        </w:rPr>
                        <w:t>, 2020-09-28, paskelbta TAR 2020-09-28, i. k. 2020-20131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799ea8d1f8ea4ec0ad414dd286a317da"/>
            <w:lock w:val="sdtLocked"/>
            <w:richText/>
          </w:sdtPr>
          <w:sdtContent>
            <w:p>
              <w:pPr>
                <w:keepNext/>
                <w:keepLines/>
                <w:suppressAutoHyphens/>
                <w:ind w:firstLine="62"/>
                <w:jc w:val="center"/>
                <w:outlineLvl w:val="2"/>
                <w:rPr>
                  <w:b/>
                  <w:bCs/>
                  <w:color w:val="000000"/>
                  <w:szCs w:val="24"/>
                  <w:lang w:eastAsia="lt-LT"/>
                </w:rPr>
              </w:pPr>
              <w:sdt>
                <w:sdtPr>
                  <w:alias w:val="Numeris"/>
                  <w:tag w:val="nr_799ea8d1f8ea4ec0ad414dd286a317da"/>
                  <w:lock w:val="sdtLocked"/>
                  <w:richText/>
                </w:sdtPr>
                <w:sdtContent>
                  <w:r>
                    <w:rPr>
                      <w:b/>
                      <w:bCs/>
                      <w:color w:val="000000"/>
                      <w:szCs w:val="24"/>
                      <w:lang w:eastAsia="lt-LT"/>
                    </w:rPr>
                    <w:t>XXII</w:t>
                  </w:r>
                </w:sdtContent>
              </w:sdt>
              <w:r>
                <w:rPr>
                  <w:b/>
                  <w:bCs/>
                  <w:color w:val="000000"/>
                  <w:szCs w:val="24"/>
                  <w:lang w:eastAsia="lt-LT"/>
                </w:rPr>
                <w:t xml:space="preserve"> SKYRIUS</w:t>
              </w:r>
            </w:p>
            <w:p>
              <w:pPr>
                <w:keepNext/>
                <w:keepLines/>
                <w:suppressAutoHyphens/>
                <w:jc w:val="center"/>
                <w:outlineLvl w:val="2"/>
                <w:rPr>
                  <w:b/>
                  <w:bCs/>
                  <w:color w:val="000000"/>
                  <w:szCs w:val="24"/>
                  <w:lang w:eastAsia="lt-LT"/>
                </w:rPr>
              </w:pPr>
              <w:sdt>
                <w:sdtPr>
                  <w:alias w:val="Pavadinimas"/>
                  <w:tag w:val="title_799ea8d1f8ea4ec0ad414dd286a317da"/>
                  <w:lock w:val="sdtLocked"/>
                  <w:richText/>
                </w:sdtPr>
                <w:sdtContent>
                  <w:r>
                    <w:rPr>
                      <w:b/>
                      <w:bCs/>
                      <w:color w:val="000000"/>
                      <w:szCs w:val="24"/>
                      <w:lang w:eastAsia="lt-LT"/>
                    </w:rPr>
                    <w:t xml:space="preserve">NEATSINAUJINANČIOS PIRMINĖS ENERGIJOS SĄNAUDŲ PASTATUI ŠILDYTI SKAIČIAVIMAS </w:t>
                  </w:r>
                </w:sdtContent>
              </w:sdt>
            </w:p>
            <w:p>
              <w:pPr>
                <w:keepNext/>
                <w:keepLines/>
                <w:suppressAutoHyphens/>
                <w:jc w:val="center"/>
                <w:outlineLvl w:val="2"/>
                <w:rPr>
                  <w:b/>
                  <w:bCs/>
                  <w:color w:val="000000"/>
                  <w:szCs w:val="24"/>
                  <w:lang w:eastAsia="lt-LT"/>
                </w:rPr>
              </w:pPr>
            </w:p>
            <w:sdt>
              <w:sdtPr>
                <w:alias w:val="2 pr. 71 p."/>
                <w:tag w:val="part_e0a81e5961aa45b19a7de78e9731f894"/>
                <w:lock w:val="sdtLocked"/>
                <w:richText/>
              </w:sdtPr>
              <w:sdtContent>
                <w:p>
                  <w:pPr>
                    <w:tabs>
                      <w:tab w:val="left" w:pos="567"/>
                    </w:tabs>
                    <w:suppressAutoHyphens/>
                    <w:ind w:firstLine="570"/>
                    <w:jc w:val="both"/>
                    <w:rPr>
                      <w:color w:val="000000"/>
                      <w:szCs w:val="24"/>
                      <w:lang w:eastAsia="lt-LT"/>
                    </w:rPr>
                  </w:pPr>
                  <w:sdt>
                    <w:sdtPr>
                      <w:alias w:val="Numeris"/>
                      <w:tag w:val="nr_e0a81e5961aa45b19a7de78e9731f894"/>
                      <w:lock w:val="sdtLocked"/>
                      <w:richText/>
                    </w:sdtPr>
                    <w:sdtContent>
                      <w:r>
                        <w:rPr>
                          <w:color w:val="000000"/>
                          <w:szCs w:val="24"/>
                          <w:lang w:eastAsia="lt-LT"/>
                        </w:rPr>
                        <w:t>71</w:t>
                      </w:r>
                    </w:sdtContent>
                  </w:sdt>
                  <w:r>
                    <w:rPr>
                      <w:color w:val="000000"/>
                      <w:szCs w:val="24"/>
                      <w:lang w:eastAsia="lt-LT"/>
                    </w:rPr>
                    <w:t xml:space="preserve">. Kiekvieno mėnesio „m“ norminės </w:t>
                  </w:r>
                  <w:r>
                    <w:rPr>
                      <w:i/>
                      <w:color w:val="000000"/>
                      <w:szCs w:val="24"/>
                      <w:lang w:eastAsia="lt-LT"/>
                    </w:rPr>
                    <w:t>Q</w:t>
                  </w:r>
                  <w:r>
                    <w:rPr>
                      <w:i/>
                      <w:color w:val="000000"/>
                      <w:szCs w:val="24"/>
                      <w:vertAlign w:val="subscript"/>
                      <w:lang w:eastAsia="lt-LT"/>
                    </w:rPr>
                    <w:t>N.PRn.H,m</w:t>
                  </w:r>
                  <w:r>
                    <w:rPr>
                      <w:color w:val="000000"/>
                      <w:szCs w:val="24"/>
                      <w:lang w:eastAsia="lt-LT"/>
                    </w:rPr>
                    <w:t xml:space="preserve"> (kWh/(m²·mėn.)) ir atskaitinės </w:t>
                  </w:r>
                  <w:r>
                    <w:rPr>
                      <w:i/>
                      <w:color w:val="000000"/>
                      <w:szCs w:val="24"/>
                      <w:lang w:eastAsia="lt-LT"/>
                    </w:rPr>
                    <w:t>Q</w:t>
                  </w:r>
                  <w:r>
                    <w:rPr>
                      <w:i/>
                      <w:color w:val="000000"/>
                      <w:szCs w:val="24"/>
                      <w:vertAlign w:val="subscript"/>
                      <w:lang w:eastAsia="lt-LT"/>
                    </w:rPr>
                    <w:t>R.PRn.H,m</w:t>
                  </w:r>
                  <w:r>
                    <w:rPr>
                      <w:color w:val="000000"/>
                      <w:szCs w:val="24"/>
                      <w:lang w:eastAsia="lt-LT"/>
                    </w:rPr>
                    <w:t xml:space="preserve"> (kWh/(m²·mėn.)) neatsinaujinančios pirminės energijos sąnaudos pastatui šildyti apskaičiuojamos taip:</w:t>
                  </w:r>
                </w:p>
                <w:tbl>
                  <w:tblPr>
                    <w:tblW w:w="4947" w:type="pct"/>
                    <w:tblLook w:val="01E0" w:firstRow="1" w:lastRow="1" w:firstColumn="1" w:lastColumn="1" w:noHBand="0" w:noVBand="0"/>
                  </w:tblPr>
                  <w:tblGrid>
                    <w:gridCol w:w="8637"/>
                    <w:gridCol w:w="1113"/>
                  </w:tblGrid>
                  <w:tr>
                    <w:tc>
                      <w:tcPr>
                        <w:tcW w:w="4429" w:type="pct"/>
                        <w:shd w:val="clear" w:color="auto" w:fill="auto"/>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28"/>
                            <w:szCs w:val="24"/>
                            <w:lang w:eastAsia="lt-LT"/>
                          </w:rPr>
                          <w:object w:dxaOrig="2880" w:dyaOrig="660">
                            <v:shape id="_x0000_i1702" type="#_x0000_t75" style="width:2in;height:34pt" o:ole="">
                              <v:imagedata r:id="rId1563" o:title=""/>
                            </v:shape>
                            <o:OLEObject Type="Embed" ProgID="Equation.3" ShapeID="_x0000_i1702" DrawAspect="Content" ObjectID="_0000000001" r:id="rId1564"/>
                          </w:object>
                        </w:r>
                        <w:r>
                          <w:rPr>
                            <w:color w:val="000000"/>
                            <w:szCs w:val="24"/>
                            <w:lang w:eastAsia="lt-LT"/>
                          </w:rPr>
                          <w:t>;</w:t>
                        </w:r>
                      </w:p>
                    </w:tc>
                    <w:tc>
                      <w:tcPr>
                        <w:tcW w:w="571" w:type="pct"/>
                        <w:shd w:val="clear" w:color="auto" w:fill="auto"/>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(2.567)</w:t>
                        </w:r>
                      </w:p>
                    </w:tc>
                  </w:tr>
                </w:tbl>
                <w:p>
                  <w:pPr>
                    <w:tabs>
                      <w:tab w:val="left" w:pos="567"/>
                    </w:tabs>
                    <w:suppressAutoHyphens/>
                    <w:ind w:firstLine="570"/>
                    <w:rPr>
                      <w:rFonts w:eastAsia="Calibri"/>
                      <w:color w:val="000000"/>
                      <w:szCs w:val="24"/>
                      <w:lang w:eastAsia="lt-LT"/>
                    </w:rPr>
                  </w:pP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28"/>
                            <w:szCs w:val="24"/>
                            <w:lang w:eastAsia="lt-LT"/>
                          </w:rPr>
                          <w:object w:dxaOrig="2835" w:dyaOrig="660">
                            <v:shape id="_x0000_i1703" type="#_x0000_t75" style="width:141.55pt;height:34pt" o:ole="">
                              <v:imagedata r:id="rId1565" o:title=""/>
                            </v:shape>
                            <o:OLEObject Type="Embed" ProgID="Equation.3" ShapeID="_x0000_i1703" DrawAspect="Content" ObjectID="_0000000001" r:id="rId1566"/>
                          </w:object>
                        </w:r>
                        <w:r>
                          <w:rPr>
                            <w:color w:val="000000"/>
                            <w:szCs w:val="24"/>
                            <w:lang w:eastAsia="lt-LT"/>
                          </w:rPr>
                          <w:t>;</w:t>
                        </w:r>
                      </w:p>
                    </w:tc>
                    <w:tc>
                      <w:tcPr>
                        <w:tcW w:w="571" w:type="pct"/>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(2.568)</w:t>
                        </w:r>
                      </w:p>
                    </w:tc>
                  </w:tr>
                </w:tbl>
                <w:p>
                  <w:pPr>
                    <w:tabs>
                      <w:tab w:val="left" w:pos="567"/>
                    </w:tabs>
                    <w:suppressAutoHyphens/>
                    <w:rPr>
                      <w:rFonts w:eastAsia="Calibri"/>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N.H,m</w:t>
                  </w:r>
                  <w:r>
                    <w:rPr>
                      <w:color w:val="000000"/>
                      <w:szCs w:val="24"/>
                      <w:lang w:eastAsia="lt-LT"/>
                    </w:rPr>
                    <w:t xml:space="preserve"> – apskaičiuojama pagal (2.167) formulę;</w:t>
                  </w:r>
                </w:p>
                <w:p>
                  <w:pPr>
                    <w:tabs>
                      <w:tab w:val="left" w:pos="567"/>
                    </w:tabs>
                    <w:suppressAutoHyphens/>
                    <w:ind w:left="600"/>
                    <w:jc w:val="both"/>
                    <w:rPr>
                      <w:color w:val="000000"/>
                      <w:szCs w:val="24"/>
                      <w:lang w:eastAsia="lt-LT"/>
                    </w:rPr>
                  </w:pPr>
                  <w:r>
                    <w:rPr>
                      <w:i/>
                      <w:color w:val="000000"/>
                      <w:szCs w:val="24"/>
                      <w:lang w:eastAsia="lt-LT"/>
                    </w:rPr>
                    <w:t>η</w:t>
                  </w:r>
                  <w:r>
                    <w:rPr>
                      <w:i/>
                      <w:color w:val="000000"/>
                      <w:szCs w:val="24"/>
                      <w:vertAlign w:val="subscript"/>
                      <w:lang w:eastAsia="lt-LT"/>
                    </w:rPr>
                    <w:t xml:space="preserve">N.hs </w:t>
                  </w:r>
                  <w:r>
                    <w:rPr>
                      <w:color w:val="000000"/>
                      <w:szCs w:val="24"/>
                      <w:lang w:eastAsia="lt-LT"/>
                    </w:rPr>
                    <w:t xml:space="preserve">– </w:t>
                  </w:r>
                  <w:r>
                    <w:rPr>
                      <w:bCs/>
                      <w:color w:val="000000"/>
                      <w:szCs w:val="24"/>
                      <w:lang w:eastAsia="lt-LT"/>
                    </w:rPr>
                    <w:t xml:space="preserve">norminis </w:t>
                  </w:r>
                  <w:r>
                    <w:rPr>
                      <w:color w:val="000000"/>
                      <w:szCs w:val="24"/>
                      <w:lang w:eastAsia="lt-LT"/>
                    </w:rPr>
                    <w:t>pastato šildymo sistemos naudingumo koeficientas, imamas iš 2.48 lentelės;</w:t>
                  </w:r>
                </w:p>
                <w:p>
                  <w:pPr>
                    <w:tabs>
                      <w:tab w:val="left" w:pos="567"/>
                    </w:tabs>
                    <w:suppressAutoHyphens/>
                    <w:ind w:firstLine="567"/>
                    <w:jc w:val="both"/>
                    <w:rPr>
                      <w:color w:val="000000"/>
                      <w:szCs w:val="24"/>
                      <w:lang w:eastAsia="lt-LT"/>
                    </w:rPr>
                  </w:pPr>
                  <w:r>
                    <w:rPr>
                      <w:i/>
                      <w:color w:val="000000"/>
                      <w:szCs w:val="24"/>
                      <w:lang w:eastAsia="lt-LT"/>
                    </w:rPr>
                    <w:t>f</w:t>
                  </w:r>
                  <w:r>
                    <w:rPr>
                      <w:i/>
                      <w:color w:val="000000"/>
                      <w:szCs w:val="24"/>
                      <w:vertAlign w:val="subscript"/>
                      <w:lang w:eastAsia="lt-LT"/>
                    </w:rPr>
                    <w:t xml:space="preserve">N.PRn.H </w:t>
                  </w:r>
                  <w:r>
                    <w:rPr>
                      <w:color w:val="000000"/>
                      <w:szCs w:val="24"/>
                      <w:lang w:eastAsia="lt-LT"/>
                    </w:rPr>
                    <w:t>– norminė neatsinaujinančios pirminės energijos faktoriaus vertė šildymo sistemos energijos šaltiniui (vnt.). Faktoriaus vertė imama iš 2.18 lentelės 51 eilutės.</w:t>
                  </w:r>
                </w:p>
                <w:p>
                  <w:pPr>
                    <w:tabs>
                      <w:tab w:val="left" w:pos="567"/>
                    </w:tabs>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R.H,m</w:t>
                  </w:r>
                  <w:r>
                    <w:rPr>
                      <w:color w:val="000000"/>
                      <w:szCs w:val="24"/>
                      <w:lang w:eastAsia="lt-LT"/>
                    </w:rPr>
                    <w:t xml:space="preserve">  – apskaičiuojama pagal (2.168) formulę;</w:t>
                  </w:r>
                </w:p>
                <w:p>
                  <w:pPr>
                    <w:tabs>
                      <w:tab w:val="left" w:pos="567"/>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 xml:space="preserve">R.hs </w:t>
                  </w:r>
                  <w:r>
                    <w:rPr>
                      <w:color w:val="000000"/>
                      <w:szCs w:val="24"/>
                      <w:lang w:eastAsia="lt-LT"/>
                    </w:rPr>
                    <w:t xml:space="preserve">– </w:t>
                  </w:r>
                  <w:r>
                    <w:rPr>
                      <w:bCs/>
                      <w:color w:val="000000"/>
                      <w:szCs w:val="24"/>
                      <w:lang w:eastAsia="lt-LT"/>
                    </w:rPr>
                    <w:t xml:space="preserve">atskaitinis </w:t>
                  </w:r>
                  <w:r>
                    <w:rPr>
                      <w:color w:val="000000"/>
                      <w:szCs w:val="24"/>
                      <w:lang w:eastAsia="lt-LT"/>
                    </w:rPr>
                    <w:t>pastato šildymo sistemos naudingumo koeficientas, imamas iš 2.48 lentelės;</w:t>
                  </w:r>
                </w:p>
                <w:p>
                  <w:pPr>
                    <w:tabs>
                      <w:tab w:val="left" w:pos="567"/>
                    </w:tabs>
                    <w:suppressAutoHyphens/>
                    <w:ind w:firstLine="567"/>
                    <w:jc w:val="both"/>
                    <w:rPr>
                      <w:color w:val="000000"/>
                      <w:szCs w:val="24"/>
                      <w:lang w:eastAsia="lt-LT"/>
                    </w:rPr>
                  </w:pPr>
                  <w:r>
                    <w:rPr>
                      <w:i/>
                      <w:color w:val="000000"/>
                      <w:szCs w:val="24"/>
                      <w:lang w:eastAsia="lt-LT"/>
                    </w:rPr>
                    <w:t>f</w:t>
                  </w:r>
                  <w:r>
                    <w:rPr>
                      <w:i/>
                      <w:color w:val="000000"/>
                      <w:szCs w:val="24"/>
                      <w:vertAlign w:val="subscript"/>
                      <w:lang w:eastAsia="lt-LT"/>
                    </w:rPr>
                    <w:t xml:space="preserve">R.PRn.H </w:t>
                  </w:r>
                  <w:r>
                    <w:rPr>
                      <w:color w:val="000000"/>
                      <w:szCs w:val="24"/>
                      <w:lang w:eastAsia="lt-LT"/>
                    </w:rPr>
                    <w:t>– atskaitinė neatsinaujinančios pirminės energijos faktoriaus vertė šildymo sistemos energijos šaltiniui (vnt.), imama iš 2.48 lentelės;</w:t>
                  </w:r>
                </w:p>
                <w:p>
                  <w:pPr>
                    <w:tabs>
                      <w:tab w:val="left" w:pos="567"/>
                    </w:tabs>
                    <w:suppressAutoHyphens/>
                    <w:ind w:firstLine="570"/>
                    <w:jc w:val="both"/>
                    <w:rPr>
                      <w:color w:val="000000"/>
                      <w:szCs w:val="24"/>
                      <w:lang w:eastAsia="lt-LT"/>
                    </w:rPr>
                  </w:pPr>
                  <w:r>
                    <w:rPr>
                      <w:color w:val="000000"/>
                      <w:szCs w:val="24"/>
                      <w:lang w:eastAsia="lt-LT"/>
                    </w:rPr>
                    <w:t xml:space="preserve">Kiekvieno mėnesio „m“ skaičiuojamosios </w:t>
                  </w:r>
                  <w:r>
                    <w:rPr>
                      <w:i/>
                      <w:color w:val="000000"/>
                      <w:szCs w:val="24"/>
                      <w:lang w:eastAsia="lt-LT"/>
                    </w:rPr>
                    <w:t>Q</w:t>
                  </w:r>
                  <w:r>
                    <w:rPr>
                      <w:i/>
                      <w:color w:val="000000"/>
                      <w:szCs w:val="24"/>
                      <w:vertAlign w:val="subscript"/>
                      <w:lang w:eastAsia="lt-LT"/>
                    </w:rPr>
                    <w:t>PRn.H,m</w:t>
                  </w:r>
                  <w:r>
                    <w:rPr>
                      <w:color w:val="000000"/>
                      <w:szCs w:val="24"/>
                      <w:lang w:eastAsia="lt-LT"/>
                    </w:rPr>
                    <w:t xml:space="preserve"> (kWh/(m²·mėn.)) neatsinaujinančios pirminės energijos sąnaudos pastatui šildyti apskaičiuojamos taip:</w:t>
                  </w:r>
                </w:p>
                <w:sdt>
                  <w:sdtPr>
                    <w:alias w:val="71.1 pp."/>
                    <w:tag w:val="part_36f22cee3d554bccbb8db6e57939071d"/>
                    <w:lock w:val="sdtLocked"/>
                    <w:richText/>
                  </w:sdtPr>
                  <w:sdtContent>
                    <w:p>
                      <w:pPr>
                        <w:tabs>
                          <w:tab w:val="left" w:pos="567"/>
                        </w:tabs>
                        <w:suppressAutoHyphens/>
                        <w:ind w:firstLine="570"/>
                        <w:jc w:val="both"/>
                        <w:rPr>
                          <w:color w:val="000000"/>
                          <w:szCs w:val="24"/>
                          <w:lang w:eastAsia="lt-LT"/>
                        </w:rPr>
                      </w:pPr>
                      <w:sdt>
                        <w:sdtPr>
                          <w:alias w:val="Numeris"/>
                          <w:tag w:val="nr_36f22cee3d554bccbb8db6e57939071d"/>
                          <w:lock w:val="sdtLocked"/>
                          <w:richText/>
                        </w:sdtPr>
                        <w:sdtContent>
                          <w:r>
                            <w:rPr>
                              <w:color w:val="000000"/>
                              <w:szCs w:val="24"/>
                              <w:lang w:eastAsia="lt-LT"/>
                            </w:rPr>
                            <w:t>71.1</w:t>
                          </w:r>
                        </w:sdtContent>
                      </w:sdt>
                      <w:r>
                        <w:rPr>
                          <w:color w:val="000000"/>
                          <w:szCs w:val="24"/>
                          <w:lang w:eastAsia="lt-LT"/>
                        </w:rPr>
                        <w:t>. jei pastatui šildyti naudojamas vienas šilumos šaltinis, tačiau ne dujinis katilas su absorbciniu šilumos siurbliu,</w:t>
                      </w:r>
                    </w:p>
                    <w:tbl>
                      <w:tblPr>
                        <w:tblW w:w="5000" w:type="pct"/>
                        <w:tblLook w:val="04A0" w:firstRow="1" w:lastRow="0" w:firstColumn="1" w:lastColumn="0" w:noHBand="0" w:noVBand="1"/>
                      </w:tblPr>
                      <w:tblGrid>
                        <w:gridCol w:w="8431"/>
                        <w:gridCol w:w="1423"/>
                      </w:tblGrid>
                      <w:tr>
                        <w:tc>
                          <w:tcPr>
                            <w:tcW w:w="4278" w:type="pct"/>
                          </w:tcPr>
                          <w:p>
                            <w:pPr>
                              <w:tabs>
                                <w:tab w:val="left" w:pos="567"/>
                                <w:tab w:val="center" w:pos="4107"/>
                                <w:tab w:val="right" w:pos="8214"/>
                              </w:tabs>
                              <w:suppressAutoHyphens/>
                              <w:ind w:firstLine="567"/>
                              <w:rPr>
                                <w:color w:val="000000"/>
                                <w:szCs w:val="24"/>
                              </w:rPr>
                            </w:pPr>
                            <w:r>
                              <w:rPr>
                                <w:color w:val="000000"/>
                                <w:szCs w:val="24"/>
                                <w:lang w:eastAsia="lt-LT"/>
                              </w:rPr>
                              <w:tab/>
                              <w:object w:dxaOrig="6520" w:dyaOrig="3860">
                                <v:shape id="_x0000_i1704" type="#_x0000_t75" style="width:294.45pt;height:175.55pt" o:ole="">
                                  <v:imagedata r:id="rId1757" o:title=""/>
                                </v:shape>
                                <o:OLEObject Type="Embed" ProgID="Equation.3" ShapeID="_x0000_i1704" DrawAspect="Content" ObjectID="_0000000001" r:id="rId1758"/>
                              </w:object>
                              <w:tab/>
                              <w:t>;</w:t>
                            </w:r>
                          </w:p>
                        </w:tc>
                        <w:tc>
                          <w:tcPr>
                            <w:tcW w:w="722" w:type="pct"/>
                            <w:vAlign w:val="center"/>
                          </w:tcPr>
                          <w:p>
                            <w:pPr>
                              <w:tabs>
                                <w:tab w:val="left" w:pos="567"/>
                              </w:tabs>
                              <w:suppressAutoHyphens/>
                              <w:jc w:val="right"/>
                              <w:rPr>
                                <w:color w:val="000000"/>
                                <w:szCs w:val="24"/>
                              </w:rPr>
                            </w:pPr>
                            <w:r>
                              <w:rPr>
                                <w:color w:val="000000"/>
                                <w:szCs w:val="24"/>
                              </w:rPr>
                              <w:t>(2.569)</w:t>
                            </w:r>
                          </w:p>
                        </w:tc>
                      </w:tr>
                    </w:tbl>
                    <w:p>
                      <w:pPr>
                        <w:tabs>
                          <w:tab w:val="left" w:pos="567"/>
                        </w:tabs>
                        <w:suppressAutoHyphens/>
                        <w:jc w:val="both"/>
                        <w:rPr>
                          <w:lang w:eastAsia="lt-LT"/>
                        </w:rPr>
                      </w:pPr>
                      <w:r>
                        <w:rPr>
                          <w:lang w:eastAsia="lt-LT"/>
                        </w:rPr>
                        <w:t xml:space="preserve">čia: </w:t>
                      </w:r>
                      <w:r>
                        <w:rPr>
                          <w:b/>
                          <w:lang w:eastAsia="lt-LT"/>
                        </w:rPr>
                        <w:t>–</w:t>
                      </w:r>
                      <w:r>
                        <w:rPr>
                          <w:lang w:eastAsia="lt-LT"/>
                        </w:rPr>
                        <w:t xml:space="preserve"> </w:t>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284"/>
                        </w:tabs>
                        <w:suppressAutoHyphens/>
                        <w:ind w:firstLine="567"/>
                        <w:jc w:val="both"/>
                        <w:rPr>
                          <w:lang w:eastAsia="lt-LT"/>
                        </w:rPr>
                      </w:pPr>
                      <w:r>
                        <w:rPr>
                          <w:b/>
                          <w:lang w:eastAsia="lt-LT"/>
                        </w:rPr>
                        <w:t>–</w:t>
                      </w:r>
                      <w:r>
                        <w:rPr>
                          <w:lang w:eastAsia="lt-LT"/>
                        </w:rPr>
                        <w:t xml:space="preserve"> jei šilumos šaltinis pastatui šildyti nenaudoja elektros energijos, imama (1-</w:t>
                      </w:r>
                      <w:r>
                        <w:rPr>
                          <w:i/>
                          <w:color w:val="000000"/>
                          <w:szCs w:val="24"/>
                          <w:lang w:eastAsia="lt-LT"/>
                        </w:rPr>
                        <w:t>τ</w:t>
                      </w:r>
                      <w:r>
                        <w:rPr>
                          <w:i/>
                          <w:color w:val="000000"/>
                          <w:szCs w:val="24"/>
                          <w:vertAlign w:val="subscript"/>
                          <w:lang w:eastAsia="lt-LT"/>
                        </w:rPr>
                        <w:t>H,m</w:t>
                      </w:r>
                      <w:r>
                        <w:rPr>
                          <w:color w:val="000000"/>
                          <w:szCs w:val="24"/>
                          <w:lang w:eastAsia="lt-LT"/>
                        </w:rPr>
                        <w:t>)</w:t>
                      </w:r>
                      <w:r>
                        <w:rPr>
                          <w:lang w:eastAsia="lt-LT"/>
                        </w:rPr>
                        <w:t xml:space="preserve">=1 ir </w:t>
                      </w:r>
                      <w:r>
                        <w:rPr>
                          <w:position w:val="-14"/>
                          <w:lang w:eastAsia="lt-LT"/>
                        </w:rPr>
                        <w:object w:dxaOrig="840" w:dyaOrig="380">
                          <v:shape id="_x0000_i1705" type="#_x0000_t75" style="width:43.7pt;height:19.4pt" o:ole="">
                            <v:imagedata r:id="rId1759" o:title=""/>
                          </v:shape>
                          <o:OLEObject Type="Embed" ProgID="Equation.3" ShapeID="_x0000_i1705" DrawAspect="Content" ObjectID="_0000000001" r:id="rId1760"/>
                        </w:object>
                      </w:r>
                      <w:r>
                        <w:rPr>
                          <w:lang w:eastAsia="lt-LT"/>
                        </w:rPr>
                        <w:t>;</w:t>
                      </w:r>
                    </w:p>
                  </w:sdtContent>
                </w:sdt>
                <w:sdt>
                  <w:sdtPr>
                    <w:alias w:val="71.2 pp."/>
                    <w:tag w:val="part_b11b0d751ebe4fdbb0ab44218f7614e7"/>
                    <w:lock w:val="sdtLocked"/>
                    <w:richText/>
                  </w:sdtPr>
                  <w:sdtContent>
                    <w:p>
                      <w:pPr>
                        <w:tabs>
                          <w:tab w:val="left" w:pos="567"/>
                        </w:tabs>
                        <w:suppressAutoHyphens/>
                        <w:ind w:firstLine="570"/>
                        <w:rPr>
                          <w:color w:val="000000"/>
                          <w:szCs w:val="24"/>
                          <w:lang w:eastAsia="lt-LT"/>
                        </w:rPr>
                      </w:pPr>
                      <w:sdt>
                        <w:sdtPr>
                          <w:alias w:val="Numeris"/>
                          <w:tag w:val="nr_b11b0d751ebe4fdbb0ab44218f7614e7"/>
                          <w:lock w:val="sdtLocked"/>
                          <w:richText/>
                        </w:sdtPr>
                        <w:sdtContent>
                          <w:r>
                            <w:rPr>
                              <w:color w:val="000000"/>
                              <w:szCs w:val="24"/>
                              <w:lang w:eastAsia="lt-LT"/>
                            </w:rPr>
                            <w:t>71.2</w:t>
                          </w:r>
                        </w:sdtContent>
                      </w:sdt>
                      <w:r>
                        <w:rPr>
                          <w:color w:val="000000"/>
                          <w:szCs w:val="24"/>
                          <w:lang w:eastAsia="lt-LT"/>
                        </w:rPr>
                        <w:t>. jei pastatui šildyti naudojamas tik dujinis katilas su absorbciniu šilumos siurbliu</w:t>
                      </w:r>
                    </w:p>
                    <w:p>
                      <w:pPr>
                        <w:tabs>
                          <w:tab w:val="left" w:pos="567"/>
                        </w:tabs>
                        <w:suppressAutoHyphens/>
                        <w:jc w:val="both"/>
                        <w:rPr>
                          <w:color w:val="000000"/>
                          <w:szCs w:val="24"/>
                          <w:lang w:eastAsia="lt-LT"/>
                        </w:rPr>
                      </w:pPr>
                    </w:p>
                    <w:tbl>
                      <w:tblPr>
                        <w:tblW w:w="5000" w:type="pct"/>
                        <w:tblLook w:val="04A0" w:firstRow="1" w:lastRow="0" w:firstColumn="1" w:lastColumn="0" w:noHBand="0" w:noVBand="1"/>
                      </w:tblPr>
                      <w:tblGrid>
                        <w:gridCol w:w="8431"/>
                        <w:gridCol w:w="1423"/>
                      </w:tblGrid>
                      <w:tr>
                        <w:tc>
                          <w:tcPr>
                            <w:tcW w:w="4278" w:type="pct"/>
                          </w:tcPr>
                          <w:p>
                            <w:pPr>
                              <w:tabs>
                                <w:tab w:val="left" w:pos="567"/>
                              </w:tabs>
                              <w:suppressAutoHyphens/>
                              <w:jc w:val="center"/>
                              <w:rPr>
                                <w:color w:val="000000"/>
                                <w:szCs w:val="24"/>
                              </w:rPr>
                            </w:pPr>
                            <w:r>
                              <w:rPr>
                                <w:color w:val="000000"/>
                                <w:szCs w:val="24"/>
                                <w:lang w:eastAsia="lt-LT"/>
                              </w:rPr>
                              <w:object w:dxaOrig="7360" w:dyaOrig="3840">
                                <v:shape id="_x0000_i1706" type="#_x0000_t75" style="width:309.85pt;height:162.6pt" o:ole="">
                                  <v:imagedata r:id="rId1761" o:title=""/>
                                </v:shape>
                                <o:OLEObject Type="Embed" ProgID="Equation.3" ShapeID="_x0000_i1706" DrawAspect="Content" ObjectID="_0000000001" r:id="rId1762"/>
                              </w:object>
                              <w:t>;</w:t>
                            </w:r>
                          </w:p>
                        </w:tc>
                        <w:tc>
                          <w:tcPr>
                            <w:tcW w:w="722" w:type="pct"/>
                            <w:vAlign w:val="center"/>
                          </w:tcPr>
                          <w:p>
                            <w:pPr>
                              <w:tabs>
                                <w:tab w:val="left" w:pos="567"/>
                              </w:tabs>
                              <w:suppressAutoHyphens/>
                              <w:jc w:val="right"/>
                              <w:rPr>
                                <w:color w:val="000000"/>
                                <w:szCs w:val="24"/>
                              </w:rPr>
                            </w:pPr>
                            <w:r>
                              <w:rPr>
                                <w:color w:val="000000"/>
                                <w:szCs w:val="24"/>
                              </w:rPr>
                              <w:t>(2.569-1)</w:t>
                            </w:r>
                          </w:p>
                        </w:tc>
                      </w:tr>
                    </w:tbl>
                    <w:p>
                      <w:pPr>
                        <w:tabs>
                          <w:tab w:val="left" w:pos="567"/>
                        </w:tabs>
                        <w:suppressAutoHyphens/>
                        <w:jc w:val="both"/>
                        <w:rPr>
                          <w:color w:val="000000"/>
                          <w:szCs w:val="24"/>
                          <w:lang w:eastAsia="lt-LT"/>
                        </w:rPr>
                      </w:pPr>
                    </w:p>
                    <w:p>
                      <w:pPr>
                        <w:tabs>
                          <w:tab w:val="left" w:pos="567"/>
                        </w:tabs>
                        <w:suppressAutoHyphens/>
                        <w:jc w:val="both"/>
                        <w:rPr>
                          <w:color w:val="000000"/>
                          <w:szCs w:val="24"/>
                          <w:lang w:eastAsia="lt-LT"/>
                        </w:rPr>
                      </w:pPr>
                      <w:r>
                        <w:rPr>
                          <w:color w:val="000000"/>
                          <w:szCs w:val="24"/>
                          <w:lang w:eastAsia="lt-LT"/>
                        </w:rPr>
                        <w:t>čia:</w:t>
                        <w:tab/>
                      </w:r>
                      <w:r>
                        <w:rPr>
                          <w:i/>
                          <w:color w:val="000000"/>
                          <w:szCs w:val="24"/>
                          <w:lang w:eastAsia="lt-LT"/>
                        </w:rPr>
                        <w:t>Q</w:t>
                      </w:r>
                      <w:r>
                        <w:rPr>
                          <w:i/>
                          <w:color w:val="000000"/>
                          <w:szCs w:val="24"/>
                          <w:vertAlign w:val="subscript"/>
                          <w:lang w:eastAsia="lt-LT"/>
                        </w:rPr>
                        <w:t xml:space="preserve">H.E.GHP,m </w:t>
                      </w:r>
                      <w:r>
                        <w:rPr>
                          <w:color w:val="000000"/>
                          <w:szCs w:val="24"/>
                          <w:lang w:eastAsia="lt-LT"/>
                        </w:rPr>
                        <w:t xml:space="preserve">– </w:t>
                      </w:r>
                      <w:r>
                        <w:rPr>
                          <w:bCs/>
                          <w:szCs w:val="24"/>
                          <w:lang w:eastAsia="lt-LT"/>
                        </w:rPr>
                        <w:t xml:space="preserve">dujinio katilo su absorbciniu šilumos siurbliu elektros energijos sąnaudos </w:t>
                      </w:r>
                      <w:r>
                        <w:rPr>
                          <w:color w:val="000000"/>
                          <w:szCs w:val="24"/>
                          <w:lang w:eastAsia="lt-LT"/>
                        </w:rPr>
                        <w:t>(kWh/(m</w:t>
                      </w:r>
                      <w:r>
                        <w:rPr>
                          <w:color w:val="000000"/>
                          <w:szCs w:val="24"/>
                          <w:vertAlign w:val="superscript"/>
                          <w:lang w:eastAsia="lt-LT"/>
                        </w:rPr>
                        <w:t>2</w:t>
                      </w:r>
                      <w:r>
                        <w:rPr>
                          <w:color w:val="000000"/>
                          <w:szCs w:val="24"/>
                          <w:lang w:eastAsia="lt-LT"/>
                        </w:rPr>
                        <w:t>·mėn.))</w:t>
                      </w:r>
                      <w:r>
                        <w:rPr>
                          <w:bCs/>
                          <w:szCs w:val="24"/>
                          <w:lang w:eastAsia="lt-LT"/>
                        </w:rPr>
                        <w:t>, kurios apskaičiuojamos taip</w:t>
                      </w:r>
                      <w:r>
                        <w:rPr>
                          <w:color w:val="000000"/>
                          <w:szCs w:val="24"/>
                          <w:lang w:eastAsia="lt-LT"/>
                        </w:rPr>
                        <w:t>:</w:t>
                      </w:r>
                    </w:p>
                    <w:p>
                      <w:pPr>
                        <w:tabs>
                          <w:tab w:val="left" w:pos="567"/>
                        </w:tabs>
                        <w:suppressAutoHyphens/>
                        <w:jc w:val="both"/>
                        <w:rPr>
                          <w:bCs/>
                          <w:szCs w:val="24"/>
                          <w:lang w:eastAsia="lt-LT"/>
                        </w:rPr>
                      </w:pPr>
                    </w:p>
                    <w:tbl>
                      <w:tblPr>
                        <w:tblW w:w="5000" w:type="pct"/>
                        <w:tblLook w:val="01E0" w:firstRow="1" w:lastRow="1" w:firstColumn="1" w:lastColumn="1" w:noHBand="0" w:noVBand="0"/>
                      </w:tblPr>
                      <w:tblGrid>
                        <w:gridCol w:w="8494"/>
                        <w:gridCol w:w="1360"/>
                      </w:tblGrid>
                      <w:tr>
                        <w:tc>
                          <w:tcPr>
                            <w:tcW w:w="4310" w:type="pct"/>
                            <w:vAlign w:val="center"/>
                            <w:hideMark/>
                          </w:tcPr>
                          <w:p>
                            <w:pPr>
                              <w:tabs>
                                <w:tab w:val="left" w:pos="567"/>
                              </w:tabs>
                              <w:suppressAutoHyphens/>
                              <w:jc w:val="center"/>
                              <w:rPr>
                                <w:rFonts w:eastAsia="Calibri"/>
                                <w:szCs w:val="24"/>
                                <w:lang w:eastAsia="lt-LT"/>
                              </w:rPr>
                            </w:pPr>
                            <w:r>
                              <w:rPr>
                                <w:szCs w:val="24"/>
                                <w:lang w:eastAsia="lt-LT"/>
                              </w:rPr>
                              <w:object w:dxaOrig="7160" w:dyaOrig="720">
                                <v:shape id="_x0000_i1707" type="#_x0000_t75" style="width:365.65pt;height:36.4pt" o:ole="">
                                  <v:imagedata r:id="rId1763" o:title=""/>
                                </v:shape>
                                <o:OLEObject Type="Embed" ProgID="Equation.3" ShapeID="_x0000_i1707" DrawAspect="Content" ObjectID="_0000000001" r:id="rId1764"/>
                              </w:object>
                              <w:t>;</w:t>
                            </w:r>
                          </w:p>
                        </w:tc>
                        <w:tc>
                          <w:tcPr>
                            <w:tcW w:w="690" w:type="pct"/>
                            <w:vAlign w:val="center"/>
                            <w:hideMark/>
                          </w:tcPr>
                          <w:p>
                            <w:pPr>
                              <w:tabs>
                                <w:tab w:val="left" w:pos="567"/>
                              </w:tabs>
                              <w:suppressAutoHyphens/>
                              <w:jc w:val="right"/>
                              <w:rPr>
                                <w:rFonts w:eastAsia="Calibri"/>
                                <w:szCs w:val="24"/>
                                <w:lang w:eastAsia="lt-LT"/>
                              </w:rPr>
                            </w:pPr>
                            <w:r>
                              <w:rPr>
                                <w:szCs w:val="24"/>
                                <w:lang w:eastAsia="lt-LT"/>
                              </w:rPr>
                              <w:t>(2.569-2)</w:t>
                            </w:r>
                          </w:p>
                        </w:tc>
                      </w:tr>
                    </w:tbl>
                    <w:p>
                      <w:pPr>
                        <w:tabs>
                          <w:tab w:val="left" w:pos="567"/>
                        </w:tabs>
                        <w:suppressAutoHyphens/>
                        <w:jc w:val="both"/>
                        <w:rPr>
                          <w:color w:val="000000"/>
                          <w:szCs w:val="24"/>
                          <w:lang w:eastAsia="lt-LT"/>
                        </w:rPr>
                      </w:pPr>
                    </w:p>
                    <w:p>
                      <w:pPr>
                        <w:tabs>
                          <w:tab w:val="left" w:pos="567"/>
                        </w:tabs>
                        <w:suppressAutoHyphens/>
                        <w:jc w:val="both"/>
                        <w:rPr>
                          <w:szCs w:val="24"/>
                          <w:lang w:eastAsia="lt-LT"/>
                        </w:rPr>
                      </w:pPr>
                      <w:r>
                        <w:rPr>
                          <w:color w:val="000000"/>
                          <w:szCs w:val="24"/>
                          <w:lang w:eastAsia="lt-LT"/>
                        </w:rPr>
                        <w:t>čia:</w:t>
                        <w:tab/>
                      </w:r>
                      <w:r>
                        <w:rPr>
                          <w:i/>
                          <w:szCs w:val="24"/>
                          <w:lang w:eastAsia="lt-LT"/>
                        </w:rPr>
                        <w:t>Q</w:t>
                      </w:r>
                      <w:r>
                        <w:rPr>
                          <w:i/>
                          <w:szCs w:val="24"/>
                          <w:vertAlign w:val="subscript"/>
                          <w:lang w:eastAsia="lt-LT"/>
                        </w:rPr>
                        <w:t>H.hwSK.SW,m,x</w:t>
                      </w:r>
                      <w:r>
                        <w:rPr>
                          <w:szCs w:val="24"/>
                          <w:lang w:eastAsia="lt-LT"/>
                        </w:rPr>
                        <w:t xml:space="preserve"> – apskaičiuojama pagal pagal 52 punkto reikalavimus ir pagal (2.199) formulę;</w:t>
                      </w:r>
                    </w:p>
                    <w:p>
                      <w:pPr>
                        <w:tabs>
                          <w:tab w:val="left" w:pos="567"/>
                        </w:tabs>
                        <w:suppressAutoHyphens/>
                        <w:ind w:left="570"/>
                        <w:jc w:val="both"/>
                        <w:rPr>
                          <w:szCs w:val="24"/>
                          <w:lang w:eastAsia="lt-LT"/>
                        </w:rPr>
                      </w:pPr>
                      <w:r>
                        <w:rPr>
                          <w:i/>
                          <w:szCs w:val="24"/>
                          <w:lang w:eastAsia="lt-LT"/>
                        </w:rPr>
                        <w:t>Q</w:t>
                      </w:r>
                      <w:r>
                        <w:rPr>
                          <w:i/>
                          <w:szCs w:val="24"/>
                          <w:vertAlign w:val="superscript"/>
                          <w:lang w:eastAsia="lt-LT"/>
                        </w:rPr>
                        <w:t>I</w:t>
                      </w:r>
                      <w:r>
                        <w:rPr>
                          <w:i/>
                          <w:szCs w:val="24"/>
                          <w:vertAlign w:val="subscript"/>
                          <w:lang w:eastAsia="lt-LT"/>
                        </w:rPr>
                        <w:t>H.hwSK.SW,m,x</w:t>
                      </w:r>
                      <w:r>
                        <w:rPr>
                          <w:szCs w:val="24"/>
                          <w:lang w:eastAsia="lt-LT"/>
                        </w:rPr>
                        <w:t xml:space="preserve"> – apskaičiuojama pagal 53 punkto reikalavimus ir pagal (2.219) formulę;</w:t>
                      </w:r>
                    </w:p>
                    <w:p>
                      <w:pPr>
                        <w:tabs>
                          <w:tab w:val="left" w:pos="567"/>
                        </w:tabs>
                        <w:suppressAutoHyphens/>
                        <w:ind w:firstLine="567"/>
                        <w:jc w:val="both"/>
                        <w:rPr>
                          <w:rFonts w:eastAsia="Calibri"/>
                          <w:color w:val="000000"/>
                          <w:szCs w:val="24"/>
                          <w:lang w:eastAsia="lt-LT"/>
                        </w:rPr>
                      </w:pPr>
                      <w:r>
                        <w:rPr>
                          <w:i/>
                          <w:color w:val="000000"/>
                          <w:szCs w:val="24"/>
                          <w:lang w:eastAsia="lt-LT"/>
                        </w:rPr>
                        <w:t>η</w:t>
                      </w:r>
                      <w:r>
                        <w:rPr>
                          <w:i/>
                          <w:color w:val="000000"/>
                          <w:szCs w:val="24"/>
                          <w:vertAlign w:val="subscript"/>
                          <w:lang w:eastAsia="lt-LT"/>
                        </w:rPr>
                        <w:t>2(hs1.E)</w:t>
                      </w:r>
                      <w:r>
                        <w:rPr>
                          <w:color w:val="000000"/>
                          <w:szCs w:val="24"/>
                          <w:lang w:eastAsia="lt-LT"/>
                        </w:rPr>
                        <w:t xml:space="preserve"> – pastato šildymo sistemos šilumos šaltinio, kuris naudoja elektros energiją, skaičiuojamasis naudingumo koeficientas, (vnt.). </w:t>
                      </w:r>
                      <w:r>
                        <w:rPr>
                          <w:i/>
                          <w:color w:val="000000"/>
                          <w:szCs w:val="24"/>
                          <w:lang w:eastAsia="lt-LT"/>
                        </w:rPr>
                        <w:t>η</w:t>
                      </w:r>
                      <w:r>
                        <w:rPr>
                          <w:i/>
                          <w:color w:val="000000"/>
                          <w:szCs w:val="24"/>
                          <w:vertAlign w:val="subscript"/>
                          <w:lang w:eastAsia="lt-LT"/>
                        </w:rPr>
                        <w:t>2(hs1.E)</w:t>
                      </w:r>
                      <w:r>
                        <w:rPr>
                          <w:color w:val="000000"/>
                          <w:szCs w:val="24"/>
                          <w:lang w:eastAsia="lt-LT"/>
                        </w:rPr>
                        <w:t xml:space="preserve"> vertė nustatoma pagal Reglamento 1 priedo reikalavimus, jei nėra duomenų, imama iš 2.45 lentelės. Jei šilumos šaltinis elektros energijos nevartoja, imama </w:t>
                      </w:r>
                      <w:r>
                        <w:rPr>
                          <w:i/>
                          <w:color w:val="000000"/>
                          <w:szCs w:val="24"/>
                          <w:lang w:eastAsia="lt-LT"/>
                        </w:rPr>
                        <w:t>η</w:t>
                      </w:r>
                      <w:r>
                        <w:rPr>
                          <w:i/>
                          <w:color w:val="000000"/>
                          <w:szCs w:val="24"/>
                          <w:vertAlign w:val="subscript"/>
                          <w:lang w:eastAsia="lt-LT"/>
                        </w:rPr>
                        <w:t>2(hs1.E)</w:t>
                      </w:r>
                      <w:r>
                        <w:rPr>
                          <w:color w:val="000000"/>
                          <w:szCs w:val="24"/>
                          <w:lang w:eastAsia="lt-LT"/>
                        </w:rPr>
                        <w:t>=0;</w:t>
                      </w:r>
                    </w:p>
                    <w:p>
                      <w:pPr>
                        <w:tabs>
                          <w:tab w:val="left" w:pos="567"/>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mvH.E.air</w:t>
                      </w:r>
                      <w:r>
                        <w:rPr>
                          <w:color w:val="000000"/>
                          <w:szCs w:val="24"/>
                          <w:lang w:eastAsia="lt-LT"/>
                        </w:rPr>
                        <w:t xml:space="preserve">, </w:t>
                      </w:r>
                      <w:r>
                        <w:rPr>
                          <w:i/>
                          <w:color w:val="000000"/>
                          <w:szCs w:val="24"/>
                          <w:lang w:eastAsia="lt-LT"/>
                        </w:rPr>
                        <w:t>η</w:t>
                      </w:r>
                      <w:r>
                        <w:rPr>
                          <w:i/>
                          <w:color w:val="000000"/>
                          <w:szCs w:val="24"/>
                          <w:vertAlign w:val="subscript"/>
                          <w:lang w:eastAsia="lt-LT"/>
                        </w:rPr>
                        <w:t>reH.E.air</w:t>
                      </w:r>
                      <w:r>
                        <w:rPr>
                          <w:color w:val="000000"/>
                          <w:szCs w:val="24"/>
                          <w:lang w:eastAsia="lt-LT"/>
                        </w:rPr>
                        <w:t xml:space="preserve"> – pastato mechaninių vėdinimo sistemų, kurios orui pašildyti naudoja elektros energiją, oro pašildymo įrenginių skaičiuojamieji naudingumo koeficientai (vnt.). Koeficientų vertės nustatomos pagal Reglamento 1 priedo reikalavimus, jei nėra duomenų, imamos iš 2.16 lentelės. Jei oro pašildymo įrenginiai elektros energijos nevartoja, koeficiento vertė imama =0;</w:t>
                      </w:r>
                    </w:p>
                    <w:p>
                      <w:pPr>
                        <w:tabs>
                          <w:tab w:val="left" w:pos="567"/>
                        </w:tabs>
                        <w:suppressAutoHyphens/>
                        <w:ind w:firstLine="567"/>
                        <w:jc w:val="both"/>
                        <w:rPr>
                          <w:color w:val="000000"/>
                          <w:szCs w:val="24"/>
                          <w:lang w:eastAsia="lt-LT"/>
                        </w:rPr>
                      </w:pPr>
                      <w:r>
                        <w:rPr>
                          <w:i/>
                          <w:color w:val="000000"/>
                          <w:szCs w:val="24"/>
                          <w:lang w:eastAsia="lt-LT"/>
                        </w:rPr>
                        <w:t>τ</w:t>
                      </w:r>
                      <w:r>
                        <w:rPr>
                          <w:i/>
                          <w:color w:val="000000"/>
                          <w:szCs w:val="24"/>
                          <w:vertAlign w:val="subscript"/>
                          <w:lang w:eastAsia="lt-LT"/>
                        </w:rPr>
                        <w:t>H,m</w:t>
                      </w:r>
                      <w:r>
                        <w:rPr>
                          <w:color w:val="000000"/>
                          <w:szCs w:val="24"/>
                          <w:lang w:eastAsia="lt-LT"/>
                        </w:rPr>
                        <w:t xml:space="preserve"> – atitinkamą metų mėnesį iš pastato šildymo sistemos tiekiamos šiluminės energijos poreikio dalis nuo bendro pastato poreikio pastatui šildyti (vnt.). Apskaičiuojama taip:</w:t>
                      </w:r>
                    </w:p>
                    <w:p>
                      <w:pPr>
                        <w:tabs>
                          <w:tab w:val="left" w:pos="567"/>
                        </w:tabs>
                        <w:suppressAutoHyphens/>
                        <w:ind w:left="600" w:hanging="600"/>
                        <w:rPr>
                          <w:rFonts w:eastAsia="Calibri"/>
                          <w:color w:val="000000"/>
                          <w:szCs w:val="24"/>
                          <w:lang w:eastAsia="lt-LT"/>
                        </w:rPr>
                      </w:pPr>
                    </w:p>
                    <w:p>
                      <w:pPr>
                        <w:tabs>
                          <w:tab w:val="left" w:pos="567"/>
                        </w:tabs>
                        <w:suppressAutoHyphens/>
                        <w:ind w:left="600"/>
                        <w:rPr>
                          <w:color w:val="000000"/>
                          <w:szCs w:val="24"/>
                          <w:lang w:eastAsia="lt-LT"/>
                        </w:rPr>
                      </w:pPr>
                    </w:p>
                    <w:tbl>
                      <w:tblPr>
                        <w:tblW w:w="0" w:type="auto"/>
                        <w:tblLayout w:type="fixed"/>
                        <w:tblLook w:val="01E0" w:firstRow="1" w:lastRow="1" w:firstColumn="1" w:lastColumn="1" w:noHBand="0" w:noVBand="0"/>
                      </w:tblPr>
                      <w:tblGrid>
                        <w:gridCol w:w="8268"/>
                        <w:gridCol w:w="1186"/>
                      </w:tblGrid>
                      <w:tr>
                        <w:tc>
                          <w:tcPr>
                            <w:tcW w:w="8268" w:type="dxa"/>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32"/>
                                <w:szCs w:val="24"/>
                                <w:lang w:eastAsia="lt-LT"/>
                              </w:rPr>
                              <w:object w:dxaOrig="6360" w:dyaOrig="720">
                                <v:shape id="_x0000_i1708" type="#_x0000_t75" style="width:308.2pt;height:34.8pt" o:ole="">
                                  <v:imagedata r:id="rId1765" o:title=""/>
                                </v:shape>
                                <o:OLEObject Type="Embed" ProgID="Equation.3" ShapeID="_x0000_i1708" DrawAspect="Content" ObjectID="_0000000001" r:id="rId1766"/>
                              </w:object>
                            </w:r>
                            <w:r>
                              <w:rPr>
                                <w:color w:val="000000"/>
                                <w:szCs w:val="24"/>
                                <w:lang w:eastAsia="lt-LT"/>
                              </w:rPr>
                              <w:t>;</w:t>
                            </w:r>
                          </w:p>
                        </w:tc>
                        <w:tc>
                          <w:tcPr>
                            <w:tcW w:w="1186" w:type="dxa"/>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(2.570)</w:t>
                            </w:r>
                          </w:p>
                        </w:tc>
                      </w:tr>
                    </w:tbl>
                    <w:p>
                      <w:pPr>
                        <w:tabs>
                          <w:tab w:val="left" w:pos="567"/>
                        </w:tabs>
                        <w:suppressAutoHyphens/>
                        <w:ind w:left="600"/>
                        <w:rPr>
                          <w:color w:val="000000"/>
                          <w:szCs w:val="24"/>
                          <w:lang w:eastAsia="lt-LT"/>
                        </w:rPr>
                      </w:pPr>
                    </w:p>
                  </w:sdtContent>
                </w:sdt>
                <w:sdt>
                  <w:sdtPr>
                    <w:alias w:val="71.3 pp."/>
                    <w:tag w:val="part_7c5475a88e9a494cb5429008ff38167f"/>
                    <w:lock w:val="sdtLocked"/>
                    <w:richText/>
                  </w:sdtPr>
                  <w:sdtContent>
                    <w:p>
                      <w:pPr>
                        <w:tabs>
                          <w:tab w:val="left" w:pos="567"/>
                        </w:tabs>
                        <w:suppressAutoHyphens/>
                        <w:ind w:firstLine="567"/>
                        <w:jc w:val="both"/>
                        <w:rPr>
                          <w:color w:val="000000"/>
                          <w:szCs w:val="24"/>
                          <w:lang w:eastAsia="lt-LT"/>
                        </w:rPr>
                      </w:pPr>
                      <w:sdt>
                        <w:sdtPr>
                          <w:alias w:val="Numeris"/>
                          <w:tag w:val="nr_7c5475a88e9a494cb5429008ff38167f"/>
                          <w:lock w:val="sdtLocked"/>
                          <w:richText/>
                        </w:sdtPr>
                        <w:sdtContent>
                          <w:r>
                            <w:rPr>
                              <w:color w:val="000000"/>
                              <w:szCs w:val="24"/>
                              <w:lang w:eastAsia="lt-LT"/>
                            </w:rPr>
                            <w:t>71.3</w:t>
                          </w:r>
                        </w:sdtContent>
                      </w:sdt>
                      <w:r>
                        <w:rPr>
                          <w:color w:val="000000"/>
                          <w:szCs w:val="24"/>
                          <w:lang w:eastAsia="lt-LT"/>
                        </w:rPr>
                        <w:t>. jei pastatui šildyti naudojami du šilumos šaltiniai, tačiau nenaudojamas dujinis katilas su absorbciniu šilumos siurbliu,</w:t>
                      </w:r>
                    </w:p>
                    <w:p>
                      <w:pPr>
                        <w:tabs>
                          <w:tab w:val="left" w:pos="567"/>
                        </w:tabs>
                        <w:suppressAutoHyphens/>
                        <w:ind w:firstLine="567"/>
                        <w:jc w:val="both"/>
                        <w:rPr>
                          <w:color w:val="000000"/>
                          <w:szCs w:val="24"/>
                          <w:lang w:eastAsia="lt-LT"/>
                        </w:rPr>
                      </w:pPr>
                    </w:p>
                    <w:tbl>
                      <w:tblPr>
                        <w:tblW w:w="5000" w:type="pct"/>
                        <w:tblLook w:val="01E0" w:firstRow="1" w:lastRow="1" w:firstColumn="1" w:lastColumn="1" w:noHBand="0" w:noVBand="0"/>
                      </w:tblPr>
                      <w:tblGrid>
                        <w:gridCol w:w="8869"/>
                        <w:gridCol w:w="985"/>
                      </w:tblGrid>
                      <w:tr>
                        <w:tc>
                          <w:tcPr>
                            <w:tcW w:w="4500" w:type="pct"/>
                            <w:shd w:val="clear" w:color="auto" w:fill="auto"/>
                            <w:hideMark/>
                          </w:tcPr>
                          <w:p>
                            <w:pPr>
                              <w:tabs>
                                <w:tab w:val="left" w:pos="567"/>
                              </w:tabs>
                              <w:suppressAutoHyphens/>
                              <w:jc w:val="center"/>
                              <w:rPr>
                                <w:rFonts w:eastAsia="Calibri"/>
                                <w:bCs/>
                                <w:color w:val="000000"/>
                                <w:lang w:eastAsia="lt-LT"/>
                              </w:rPr>
                            </w:pPr>
                            <w:r>
                              <w:rPr>
                                <w:color w:val="000000"/>
                                <w:lang w:eastAsia="lt-LT"/>
                              </w:rPr>
                              <w:object w:dxaOrig="6480" w:dyaOrig="5240">
                                <v:shape id="_x0000_i1709" type="#_x0000_t75" style="width:263.75pt;height:211.95pt" o:ole="">
                                  <v:imagedata r:id="rId1767" o:title=""/>
                                </v:shape>
                                <o:OLEObject Type="Embed" ProgID="Equation.3" ShapeID="_x0000_i1709" DrawAspect="Content" ObjectID="_0000000001" r:id="rId1768"/>
                              </w:object>
                              <w:t>;</w:t>
                            </w:r>
                          </w:p>
                        </w:tc>
                        <w:tc>
                          <w:tcPr>
                            <w:tcW w:w="500" w:type="pct"/>
                            <w:shd w:val="clear" w:color="auto" w:fill="auto"/>
                            <w:vAlign w:val="center"/>
                          </w:tcPr>
                          <w:p>
                            <w:pPr>
                              <w:tabs>
                                <w:tab w:val="left" w:pos="567"/>
                              </w:tabs>
                              <w:suppressAutoHyphens/>
                              <w:rPr>
                                <w:rFonts w:eastAsia="Calibri"/>
                                <w:color w:val="000000"/>
                                <w:lang w:eastAsia="lt-LT"/>
                              </w:rPr>
                            </w:pPr>
                          </w:p>
                          <w:p>
                            <w:pPr>
                              <w:tabs>
                                <w:tab w:val="left" w:pos="567"/>
                              </w:tabs>
                              <w:suppressAutoHyphens/>
                              <w:jc w:val="both"/>
                              <w:rPr>
                                <w:rFonts w:eastAsia="Calibri"/>
                                <w:bCs/>
                                <w:color w:val="000000"/>
                                <w:lang w:eastAsia="lt-LT"/>
                              </w:rPr>
                            </w:pPr>
                            <w:r>
                              <w:rPr>
                                <w:color w:val="000000"/>
                                <w:lang w:eastAsia="lt-LT"/>
                              </w:rPr>
                              <w:t>(2.571)</w:t>
                            </w:r>
                          </w:p>
                        </w:tc>
                      </w:tr>
                    </w:tbl>
                    <w:p>
                      <w:pPr>
                        <w:tabs>
                          <w:tab w:val="left" w:pos="567"/>
                        </w:tabs>
                        <w:suppressAutoHyphens/>
                        <w:ind w:firstLine="600"/>
                        <w:jc w:val="both"/>
                        <w:rPr>
                          <w:color w:val="000000"/>
                          <w:szCs w:val="24"/>
                          <w:lang w:eastAsia="lt-LT"/>
                        </w:rPr>
                      </w:pPr>
                    </w:p>
                    <w:p>
                      <w:pPr>
                        <w:tabs>
                          <w:tab w:val="left" w:pos="567"/>
                        </w:tabs>
                        <w:suppressAutoHyphens/>
                        <w:ind w:left="600" w:hanging="600"/>
                        <w:rPr>
                          <w:b/>
                          <w:szCs w:val="24"/>
                          <w:lang w:eastAsia="lt-LT"/>
                        </w:rPr>
                      </w:pPr>
                      <w:r>
                        <w:rPr>
                          <w:color w:val="000000"/>
                          <w:szCs w:val="24"/>
                          <w:lang w:eastAsia="lt-LT"/>
                        </w:rPr>
                        <w:t xml:space="preserve">čia: </w:t>
                        <w:tab/>
                      </w:r>
                      <w:r>
                        <w:rPr>
                          <w:szCs w:val="24"/>
                          <w:lang w:eastAsia="lt-LT"/>
                        </w:rPr>
                        <w:t xml:space="preserve">jei </w:t>
                      </w:r>
                      <w:r>
                        <w:rPr>
                          <w:position w:val="-14"/>
                          <w:szCs w:val="24"/>
                          <w:lang w:eastAsia="lt-LT"/>
                        </w:rPr>
                        <w:object w:dxaOrig="2490" w:dyaOrig="315">
                          <v:shape id="_x0000_i1710" type="#_x0000_t75" style="width:125.4pt;height:14.55pt" o:ole="">
                            <v:imagedata r:id="rId1769" o:title=""/>
                          </v:shape>
                          <o:OLEObject Type="Embed" ProgID="Equation.3" ShapeID="_x0000_i1710" DrawAspect="Content" ObjectID="_0000000001" r:id="rId1770"/>
                        </w:object>
                      </w:r>
                      <w:r>
                        <w:rPr>
                          <w:szCs w:val="24"/>
                          <w:lang w:eastAsia="lt-LT"/>
                        </w:rPr>
                        <w:t>, tai</w:t>
                      </w:r>
                      <w:r>
                        <w:rPr>
                          <w:position w:val="-14"/>
                          <w:szCs w:val="24"/>
                          <w:lang w:eastAsia="lt-LT"/>
                        </w:rPr>
                        <w:object w:dxaOrig="2490" w:dyaOrig="315">
                          <v:shape id="_x0000_i1711" type="#_x0000_t75" style="width:125.4pt;height:14.55pt" o:ole="">
                            <v:imagedata r:id="rId1771" o:title=""/>
                          </v:shape>
                          <o:OLEObject Type="Embed" ProgID="Equation.3" ShapeID="_x0000_i1711" DrawAspect="Content" ObjectID="_0000000001" r:id="rId1772"/>
                        </w:object>
                      </w:r>
                      <w:r>
                        <w:rPr>
                          <w:b/>
                          <w:szCs w:val="24"/>
                          <w:lang w:eastAsia="lt-LT"/>
                        </w:rPr>
                        <w:t xml:space="preserve">; </w:t>
                      </w:r>
                    </w:p>
                    <w:p>
                      <w:pPr>
                        <w:tabs>
                          <w:tab w:val="left" w:pos="567"/>
                        </w:tabs>
                        <w:suppressAutoHyphens/>
                        <w:ind w:firstLine="567"/>
                        <w:jc w:val="both"/>
                        <w:rPr>
                          <w:rFonts w:eastAsia="Calibri"/>
                          <w:color w:val="000000"/>
                          <w:szCs w:val="24"/>
                          <w:lang w:eastAsia="lt-LT"/>
                        </w:rPr>
                      </w:pPr>
                      <w:r>
                        <w:rPr>
                          <w:i/>
                          <w:color w:val="000000"/>
                          <w:szCs w:val="24"/>
                          <w:lang w:eastAsia="lt-LT"/>
                        </w:rPr>
                        <w:t>Q</w:t>
                      </w:r>
                      <w:r>
                        <w:rPr>
                          <w:i/>
                          <w:color w:val="000000"/>
                          <w:szCs w:val="24"/>
                          <w:vertAlign w:val="subscript"/>
                          <w:lang w:eastAsia="lt-LT"/>
                        </w:rPr>
                        <w:t>HSW.1,m</w:t>
                      </w:r>
                      <w:r>
                        <w:rPr>
                          <w:i/>
                          <w:color w:val="000000"/>
                          <w:szCs w:val="24"/>
                          <w:lang w:eastAsia="lt-LT"/>
                        </w:rPr>
                        <w:t>, Q</w:t>
                      </w:r>
                      <w:r>
                        <w:rPr>
                          <w:i/>
                          <w:color w:val="000000"/>
                          <w:szCs w:val="24"/>
                          <w:vertAlign w:val="subscript"/>
                          <w:lang w:eastAsia="lt-LT"/>
                        </w:rPr>
                        <w:t>HSW.2,m</w:t>
                      </w:r>
                      <w:r>
                        <w:rPr>
                          <w:color w:val="000000"/>
                          <w:szCs w:val="24"/>
                          <w:lang w:eastAsia="lt-LT"/>
                        </w:rPr>
                        <w:t xml:space="preserve"> – mėnesiniai šilumos nuostoliai prie pirmojo ir antrojo šilumos šaltinio prijungtose akumuliacinėse talpose (kWh/(m</w:t>
                      </w:r>
                      <w:r>
                        <w:rPr>
                          <w:color w:val="000000"/>
                          <w:szCs w:val="24"/>
                          <w:vertAlign w:val="superscript"/>
                          <w:lang w:eastAsia="lt-LT"/>
                        </w:rPr>
                        <w:t>2</w:t>
                      </w:r>
                      <w:r>
                        <w:rPr>
                          <w:color w:val="000000"/>
                          <w:szCs w:val="24"/>
                          <w:lang w:eastAsia="lt-LT"/>
                        </w:rPr>
                        <w:t>·mėn.));</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H,m</w:t>
                      </w:r>
                      <w:r>
                        <w:rPr>
                          <w:color w:val="000000"/>
                          <w:szCs w:val="24"/>
                          <w:lang w:eastAsia="lt-LT"/>
                        </w:rPr>
                        <w:t xml:space="preserve"> – apskaičiuojama pagal (2.169) formulę;</w:t>
                      </w:r>
                    </w:p>
                    <w:p>
                      <w:pPr>
                        <w:tabs>
                          <w:tab w:val="left" w:pos="567"/>
                        </w:tabs>
                        <w:suppressAutoHyphens/>
                        <w:ind w:firstLine="600"/>
                        <w:jc w:val="both"/>
                        <w:rPr>
                          <w:color w:val="000000"/>
                          <w:szCs w:val="24"/>
                          <w:lang w:eastAsia="lt-LT"/>
                        </w:rPr>
                      </w:pPr>
                      <w:r>
                        <w:rPr>
                          <w:i/>
                          <w:color w:val="000000"/>
                          <w:szCs w:val="24"/>
                          <w:lang w:eastAsia="lt-LT"/>
                        </w:rPr>
                        <w:t>Q</w:t>
                      </w:r>
                      <w:r>
                        <w:rPr>
                          <w:i/>
                          <w:color w:val="000000"/>
                          <w:szCs w:val="24"/>
                          <w:vertAlign w:val="subscript"/>
                          <w:lang w:eastAsia="lt-LT"/>
                        </w:rPr>
                        <w:t>HSW,m</w:t>
                      </w:r>
                      <w:r>
                        <w:rPr>
                          <w:color w:val="000000"/>
                          <w:szCs w:val="24"/>
                          <w:lang w:eastAsia="lt-LT"/>
                        </w:rPr>
                        <w:t xml:space="preserve"> – šilumos nuostoliai šildymo sistemos akumuliacinėse talpose (kWh/(m²·mėn.)). Apskaičiuojamapagal (2.151) formulę, kurioje vietoje skaičiaus 50 turi būti naudojamas skaičius 70. Skaičius 70 nusako vidutinę vandens temperatūrą (°C) šildymo sistemos akumuliacinėse talpose. Šie šilumos nuostoliai turi būti skaičiuojami tik tais mėnesiais, kai reikia pastatą šildyti, t. y. kai </w:t>
                      </w:r>
                      <w:r>
                        <w:rPr>
                          <w:i/>
                          <w:color w:val="000000"/>
                          <w:szCs w:val="24"/>
                          <w:lang w:eastAsia="lt-LT"/>
                        </w:rPr>
                        <w:t>Q</w:t>
                      </w:r>
                      <w:r>
                        <w:rPr>
                          <w:i/>
                          <w:color w:val="000000"/>
                          <w:szCs w:val="24"/>
                          <w:vertAlign w:val="subscript"/>
                          <w:lang w:eastAsia="lt-LT"/>
                        </w:rPr>
                        <w:t>H,m</w:t>
                      </w:r>
                      <w:r>
                        <w:rPr>
                          <w:color w:val="000000"/>
                          <w:szCs w:val="24"/>
                          <w:lang w:eastAsia="lt-LT"/>
                        </w:rPr>
                        <w:t>&gt;0;</w:t>
                      </w:r>
                    </w:p>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H2.vent.mvH,m</w:t>
                      </w:r>
                      <w:r>
                        <w:rPr>
                          <w:color w:val="000000"/>
                          <w:szCs w:val="24"/>
                          <w:lang w:eastAsia="lt-LT"/>
                        </w:rPr>
                        <w:t xml:space="preserve"> – apskaičiuojama pagal (2.113) formulę;</w:t>
                      </w:r>
                    </w:p>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H2.vent.reH,m</w:t>
                      </w:r>
                      <w:r>
                        <w:rPr>
                          <w:color w:val="000000"/>
                          <w:szCs w:val="24"/>
                          <w:lang w:eastAsia="lt-LT"/>
                        </w:rPr>
                        <w:t xml:space="preserve"> – apskaičiuojama pagal (2.115) formulę;</w:t>
                      </w:r>
                    </w:p>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H.SK+WE+HE,m</w:t>
                      </w:r>
                      <w:r>
                        <w:rPr>
                          <w:color w:val="000000"/>
                          <w:szCs w:val="24"/>
                          <w:lang w:eastAsia="lt-LT"/>
                        </w:rPr>
                        <w:t xml:space="preserve"> – apskaičiuojama pagal (2.560) formulę;</w:t>
                      </w:r>
                    </w:p>
                    <w:p>
                      <w:pPr>
                        <w:tabs>
                          <w:tab w:val="left" w:pos="567"/>
                        </w:tabs>
                        <w:suppressAutoHyphens/>
                        <w:ind w:firstLine="600"/>
                        <w:rPr>
                          <w:color w:val="000000"/>
                          <w:szCs w:val="24"/>
                          <w:lang w:eastAsia="lt-LT"/>
                        </w:rPr>
                      </w:pPr>
                      <w:r>
                        <w:rPr>
                          <w:i/>
                          <w:color w:val="000000"/>
                          <w:szCs w:val="24"/>
                          <w:lang w:eastAsia="lt-LT"/>
                        </w:rPr>
                        <w:t>Q</w:t>
                      </w:r>
                      <w:r>
                        <w:rPr>
                          <w:i/>
                          <w:color w:val="000000"/>
                          <w:szCs w:val="24"/>
                          <w:vertAlign w:val="subscript"/>
                          <w:lang w:eastAsia="lt-LT"/>
                        </w:rPr>
                        <w:t>H.PRn.SK+WE+HE,m</w:t>
                      </w:r>
                      <w:r>
                        <w:rPr>
                          <w:color w:val="000000"/>
                          <w:szCs w:val="24"/>
                          <w:lang w:eastAsia="lt-LT"/>
                        </w:rPr>
                        <w:t xml:space="preserve"> – apskaičiuojama pagal (2.561) formulę;</w:t>
                      </w:r>
                    </w:p>
                    <w:p>
                      <w:pPr>
                        <w:tabs>
                          <w:tab w:val="left" w:pos="567"/>
                        </w:tabs>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PRn.hs </w:t>
                      </w:r>
                      <w:r>
                        <w:rPr>
                          <w:color w:val="000000"/>
                          <w:szCs w:val="24"/>
                          <w:lang w:eastAsia="lt-LT"/>
                        </w:rPr>
                        <w:t>– skaičiuojamoji neatsinaujinančios pirminės energijos faktoriaus vertė pastato šildymo sistemos energijos šaltiniui, kai pastatui šildyti naudojamas vienas šilumos šaltinis (vnt.). Imama iš 2.18 lentelės;</w:t>
                      </w:r>
                    </w:p>
                    <w:p>
                      <w:pPr>
                        <w:tabs>
                          <w:tab w:val="left" w:pos="567"/>
                        </w:tabs>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PRn.mvH </w:t>
                      </w:r>
                      <w:r>
                        <w:rPr>
                          <w:color w:val="000000"/>
                          <w:szCs w:val="24"/>
                          <w:lang w:eastAsia="lt-LT"/>
                        </w:rPr>
                        <w:t>– skaičiuojamoji neatsinaujinančios pirminės energijos faktoriaus vertė pastato mechaninio vėdinimo be rekuperacijos sistemos, kurioje yra oro pašildymas, oro pašildymui naudojamam energijos šaltiniui (vnt.). Imama iš 2.18 lentelės;</w:t>
                      </w:r>
                    </w:p>
                    <w:p>
                      <w:pPr>
                        <w:tabs>
                          <w:tab w:val="left" w:pos="567"/>
                        </w:tabs>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PRn.reH </w:t>
                      </w:r>
                      <w:r>
                        <w:rPr>
                          <w:color w:val="000000"/>
                          <w:szCs w:val="24"/>
                          <w:lang w:eastAsia="lt-LT"/>
                        </w:rPr>
                        <w:t>– skaičiuojamoji neatsinaujinančios pirminės energijos faktoriaus vertė pastato mechaninio vėdinimo su rekuperacija sistemos, kurioje yra oro pašildymas, oro pašildymui naudojamam energijos šaltiniui (vnt.). Imama iš 2.18 lentelės;</w:t>
                      </w:r>
                    </w:p>
                    <w:p>
                      <w:pPr>
                        <w:tabs>
                          <w:tab w:val="left" w:pos="567"/>
                        </w:tabs>
                        <w:suppressAutoHyphens/>
                        <w:ind w:firstLine="600"/>
                        <w:jc w:val="both"/>
                        <w:rPr>
                          <w:color w:val="000000"/>
                          <w:szCs w:val="24"/>
                          <w:lang w:eastAsia="lt-LT"/>
                        </w:rPr>
                      </w:pPr>
                      <w:r>
                        <w:rPr>
                          <w:i/>
                          <w:color w:val="000000"/>
                          <w:szCs w:val="24"/>
                          <w:lang w:eastAsia="lt-LT"/>
                        </w:rPr>
                        <w:t>k</w:t>
                      </w:r>
                      <w:r>
                        <w:rPr>
                          <w:i/>
                          <w:color w:val="000000"/>
                          <w:szCs w:val="24"/>
                          <w:vertAlign w:val="subscript"/>
                          <w:lang w:eastAsia="lt-LT"/>
                        </w:rPr>
                        <w:t>hs1</w:t>
                      </w:r>
                      <w:r>
                        <w:rPr>
                          <w:color w:val="000000"/>
                          <w:szCs w:val="24"/>
                          <w:lang w:eastAsia="lt-LT"/>
                        </w:rPr>
                        <w:t xml:space="preserve">, </w:t>
                      </w:r>
                      <w:r>
                        <w:rPr>
                          <w:i/>
                          <w:color w:val="000000"/>
                          <w:szCs w:val="24"/>
                          <w:lang w:eastAsia="lt-LT"/>
                        </w:rPr>
                        <w:t>k</w:t>
                      </w:r>
                      <w:r>
                        <w:rPr>
                          <w:i/>
                          <w:color w:val="000000"/>
                          <w:szCs w:val="24"/>
                          <w:vertAlign w:val="subscript"/>
                          <w:lang w:eastAsia="lt-LT"/>
                        </w:rPr>
                        <w:t xml:space="preserve">hs2 </w:t>
                      </w:r>
                      <w:r>
                        <w:rPr>
                          <w:color w:val="000000"/>
                          <w:szCs w:val="24"/>
                          <w:lang w:eastAsia="lt-LT"/>
                        </w:rPr>
                        <w:t xml:space="preserve"> – koeficientai, įvertinantys elektros energijos iš atsinaujinančių išteklių panaudojimą pirmajam ir antrajam šilumos šaltiniui, kai pastatui šildyti naudojami du šilumos šaltiniai. Jei antrasis šilumos šaltinis, kurio naudingumo koeficientas </w:t>
                      </w:r>
                      <w:r>
                        <w:rPr>
                          <w:i/>
                          <w:color w:val="000000"/>
                          <w:szCs w:val="24"/>
                          <w:lang w:eastAsia="lt-LT"/>
                        </w:rPr>
                        <w:t>η</w:t>
                      </w:r>
                      <w:r>
                        <w:rPr>
                          <w:i/>
                          <w:color w:val="000000"/>
                          <w:szCs w:val="24"/>
                          <w:vertAlign w:val="subscript"/>
                          <w:lang w:eastAsia="lt-LT"/>
                        </w:rPr>
                        <w:t>2(hs2)</w:t>
                      </w:r>
                      <w:r>
                        <w:rPr>
                          <w:color w:val="000000"/>
                          <w:szCs w:val="24"/>
                          <w:lang w:eastAsia="lt-LT"/>
                        </w:rPr>
                        <w:t xml:space="preserve">, elektros energijos nevartoja, tada </w:t>
                      </w:r>
                      <w:r>
                        <w:rPr>
                          <w:i/>
                          <w:color w:val="000000"/>
                          <w:szCs w:val="24"/>
                          <w:lang w:eastAsia="lt-LT"/>
                        </w:rPr>
                        <w:t>k</w:t>
                      </w:r>
                      <w:r>
                        <w:rPr>
                          <w:i/>
                          <w:color w:val="000000"/>
                          <w:szCs w:val="24"/>
                          <w:vertAlign w:val="subscript"/>
                          <w:lang w:eastAsia="lt-LT"/>
                        </w:rPr>
                        <w:t>E2,m</w:t>
                      </w:r>
                      <w:r>
                        <w:rPr>
                          <w:color w:val="000000"/>
                          <w:szCs w:val="24"/>
                          <w:lang w:eastAsia="lt-LT"/>
                        </w:rPr>
                        <w:t xml:space="preserve">=0 ir </w:t>
                      </w:r>
                      <w:r>
                        <w:rPr>
                          <w:i/>
                          <w:color w:val="000000"/>
                          <w:szCs w:val="24"/>
                          <w:lang w:eastAsia="lt-LT"/>
                        </w:rPr>
                        <w:t>k</w:t>
                      </w:r>
                      <w:r>
                        <w:rPr>
                          <w:i/>
                          <w:color w:val="000000"/>
                          <w:szCs w:val="24"/>
                          <w:vertAlign w:val="subscript"/>
                          <w:lang w:eastAsia="lt-LT"/>
                        </w:rPr>
                        <w:t>hs1</w:t>
                      </w:r>
                      <w:r>
                        <w:rPr>
                          <w:color w:val="000000"/>
                          <w:szCs w:val="24"/>
                          <w:lang w:eastAsia="lt-LT"/>
                        </w:rPr>
                        <w:t>=</w:t>
                      </w:r>
                      <w:r>
                        <w:rPr>
                          <w:i/>
                          <w:color w:val="000000"/>
                          <w:szCs w:val="24"/>
                          <w:lang w:eastAsia="lt-LT"/>
                        </w:rPr>
                        <w:t xml:space="preserve"> τ</w:t>
                      </w:r>
                      <w:r>
                        <w:rPr>
                          <w:i/>
                          <w:color w:val="000000"/>
                          <w:szCs w:val="24"/>
                          <w:vertAlign w:val="subscript"/>
                          <w:lang w:eastAsia="lt-LT"/>
                        </w:rPr>
                        <w:t>1,m</w:t>
                      </w:r>
                      <w:r>
                        <w:rPr>
                          <w:color w:val="000000"/>
                          <w:szCs w:val="24"/>
                          <w:lang w:eastAsia="lt-LT"/>
                        </w:rPr>
                        <w:t xml:space="preserve">, kitu atveju </w:t>
                      </w:r>
                      <w:r>
                        <w:rPr>
                          <w:i/>
                          <w:color w:val="000000"/>
                          <w:szCs w:val="24"/>
                          <w:lang w:eastAsia="lt-LT"/>
                        </w:rPr>
                        <w:t>k</w:t>
                      </w:r>
                      <w:r>
                        <w:rPr>
                          <w:i/>
                          <w:color w:val="000000"/>
                          <w:szCs w:val="24"/>
                          <w:vertAlign w:val="subscript"/>
                          <w:lang w:eastAsia="lt-LT"/>
                        </w:rPr>
                        <w:t>E2,m</w:t>
                      </w:r>
                      <w:r>
                        <w:rPr>
                          <w:color w:val="000000"/>
                          <w:szCs w:val="24"/>
                          <w:lang w:eastAsia="lt-LT"/>
                        </w:rPr>
                        <w:t xml:space="preserve">=1 ir </w:t>
                      </w:r>
                      <w:r>
                        <w:rPr>
                          <w:i/>
                          <w:color w:val="000000"/>
                          <w:szCs w:val="24"/>
                          <w:lang w:eastAsia="lt-LT"/>
                        </w:rPr>
                        <w:t>k</w:t>
                      </w:r>
                      <w:r>
                        <w:rPr>
                          <w:i/>
                          <w:color w:val="000000"/>
                          <w:szCs w:val="24"/>
                          <w:vertAlign w:val="subscript"/>
                          <w:lang w:eastAsia="lt-LT"/>
                        </w:rPr>
                        <w:t>hs1</w:t>
                      </w:r>
                      <w:r>
                        <w:rPr>
                          <w:color w:val="000000"/>
                          <w:szCs w:val="24"/>
                          <w:lang w:eastAsia="lt-LT"/>
                        </w:rPr>
                        <w:t xml:space="preserve">=1. Jei pirmasis šilumos šaltinis, kurio naudingumo koeficientas </w:t>
                      </w:r>
                      <w:r>
                        <w:rPr>
                          <w:i/>
                          <w:color w:val="000000"/>
                          <w:szCs w:val="24"/>
                          <w:lang w:eastAsia="lt-LT"/>
                        </w:rPr>
                        <w:t>η</w:t>
                      </w:r>
                      <w:r>
                        <w:rPr>
                          <w:i/>
                          <w:color w:val="000000"/>
                          <w:szCs w:val="24"/>
                          <w:vertAlign w:val="subscript"/>
                          <w:lang w:eastAsia="lt-LT"/>
                        </w:rPr>
                        <w:t>2(hs1)</w:t>
                      </w:r>
                      <w:r>
                        <w:rPr>
                          <w:color w:val="000000"/>
                          <w:szCs w:val="24"/>
                          <w:lang w:eastAsia="lt-LT"/>
                        </w:rPr>
                        <w:t xml:space="preserve">, elektros energijos nevartoja </w:t>
                      </w:r>
                      <w:r>
                        <w:rPr>
                          <w:i/>
                          <w:color w:val="000000"/>
                          <w:szCs w:val="24"/>
                          <w:lang w:eastAsia="lt-LT"/>
                        </w:rPr>
                        <w:t>η</w:t>
                      </w:r>
                      <w:r>
                        <w:rPr>
                          <w:i/>
                          <w:color w:val="000000"/>
                          <w:szCs w:val="24"/>
                          <w:vertAlign w:val="subscript"/>
                          <w:lang w:eastAsia="lt-LT"/>
                        </w:rPr>
                        <w:t>2(hs1)</w:t>
                      </w:r>
                      <w:r>
                        <w:rPr>
                          <w:color w:val="000000"/>
                          <w:szCs w:val="24"/>
                          <w:lang w:eastAsia="lt-LT"/>
                        </w:rPr>
                        <w:t xml:space="preserve">, tada </w:t>
                      </w:r>
                      <w:r>
                        <w:rPr>
                          <w:i/>
                          <w:color w:val="000000"/>
                          <w:szCs w:val="24"/>
                          <w:lang w:eastAsia="lt-LT"/>
                        </w:rPr>
                        <w:t>k</w:t>
                      </w:r>
                      <w:r>
                        <w:rPr>
                          <w:i/>
                          <w:color w:val="000000"/>
                          <w:szCs w:val="24"/>
                          <w:vertAlign w:val="subscript"/>
                          <w:lang w:eastAsia="lt-LT"/>
                        </w:rPr>
                        <w:t>E1,m</w:t>
                      </w:r>
                      <w:r>
                        <w:rPr>
                          <w:color w:val="000000"/>
                          <w:szCs w:val="24"/>
                          <w:lang w:eastAsia="lt-LT"/>
                        </w:rPr>
                        <w:t xml:space="preserve">=0 ir  </w:t>
                      </w:r>
                      <w:r>
                        <w:rPr>
                          <w:i/>
                          <w:color w:val="000000"/>
                          <w:szCs w:val="24"/>
                          <w:lang w:eastAsia="lt-LT"/>
                        </w:rPr>
                        <w:t>k</w:t>
                      </w:r>
                      <w:r>
                        <w:rPr>
                          <w:i/>
                          <w:color w:val="000000"/>
                          <w:szCs w:val="24"/>
                          <w:vertAlign w:val="subscript"/>
                          <w:lang w:eastAsia="lt-LT"/>
                        </w:rPr>
                        <w:t>hs2</w:t>
                      </w:r>
                      <w:r>
                        <w:rPr>
                          <w:color w:val="000000"/>
                          <w:szCs w:val="24"/>
                          <w:lang w:eastAsia="lt-LT"/>
                        </w:rPr>
                        <w:t>=</w:t>
                      </w:r>
                      <w:r>
                        <w:rPr>
                          <w:i/>
                          <w:color w:val="000000"/>
                          <w:szCs w:val="24"/>
                          <w:lang w:eastAsia="lt-LT"/>
                        </w:rPr>
                        <w:t xml:space="preserve"> τ</w:t>
                      </w:r>
                      <w:r>
                        <w:rPr>
                          <w:i/>
                          <w:color w:val="000000"/>
                          <w:szCs w:val="24"/>
                          <w:vertAlign w:val="subscript"/>
                          <w:lang w:eastAsia="lt-LT"/>
                        </w:rPr>
                        <w:t>2,m</w:t>
                      </w:r>
                      <w:r>
                        <w:rPr>
                          <w:color w:val="000000"/>
                          <w:szCs w:val="24"/>
                          <w:lang w:eastAsia="lt-LT"/>
                        </w:rPr>
                        <w:t xml:space="preserve">, kitu atveju </w:t>
                      </w:r>
                      <w:r>
                        <w:rPr>
                          <w:i/>
                          <w:color w:val="000000"/>
                          <w:szCs w:val="24"/>
                          <w:lang w:eastAsia="lt-LT"/>
                        </w:rPr>
                        <w:t>k</w:t>
                      </w:r>
                      <w:r>
                        <w:rPr>
                          <w:i/>
                          <w:color w:val="000000"/>
                          <w:szCs w:val="24"/>
                          <w:vertAlign w:val="subscript"/>
                          <w:lang w:eastAsia="lt-LT"/>
                        </w:rPr>
                        <w:t>E1,m</w:t>
                      </w:r>
                      <w:r>
                        <w:rPr>
                          <w:color w:val="000000"/>
                          <w:szCs w:val="24"/>
                          <w:lang w:eastAsia="lt-LT"/>
                        </w:rPr>
                        <w:t xml:space="preserve">=1 ir </w:t>
                      </w:r>
                      <w:r>
                        <w:rPr>
                          <w:i/>
                          <w:color w:val="000000"/>
                          <w:szCs w:val="24"/>
                          <w:lang w:eastAsia="lt-LT"/>
                        </w:rPr>
                        <w:t>k</w:t>
                      </w:r>
                      <w:r>
                        <w:rPr>
                          <w:i/>
                          <w:color w:val="000000"/>
                          <w:szCs w:val="24"/>
                          <w:vertAlign w:val="subscript"/>
                          <w:lang w:eastAsia="lt-LT"/>
                        </w:rPr>
                        <w:t>hs2</w:t>
                      </w:r>
                      <w:r>
                        <w:rPr>
                          <w:color w:val="000000"/>
                          <w:szCs w:val="24"/>
                          <w:lang w:eastAsia="lt-LT"/>
                        </w:rPr>
                        <w:t>=1;</w:t>
                      </w:r>
                    </w:p>
                    <w:p>
                      <w:pPr>
                        <w:tabs>
                          <w:tab w:val="left" w:pos="567"/>
                        </w:tabs>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hs</w:t>
                      </w:r>
                      <w:r>
                        <w:rPr>
                          <w:color w:val="000000"/>
                          <w:szCs w:val="24"/>
                          <w:lang w:eastAsia="lt-LT"/>
                        </w:rPr>
                        <w:t xml:space="preserve"> – </w:t>
                      </w:r>
                      <w:r>
                        <w:rPr>
                          <w:bCs/>
                          <w:color w:val="000000"/>
                          <w:szCs w:val="24"/>
                          <w:lang w:eastAsia="lt-LT"/>
                        </w:rPr>
                        <w:t xml:space="preserve">skaičiuojamasis  </w:t>
                      </w:r>
                      <w:r>
                        <w:rPr>
                          <w:color w:val="000000"/>
                          <w:szCs w:val="24"/>
                          <w:lang w:eastAsia="lt-LT"/>
                        </w:rPr>
                        <w:t>pastato šildymo sistemos naudingumo koeficientas, kai pastatui šildyti naudojamas vienas šilumos šaltinis (vnt.). Apskaičiuojamas pagal (2.573) formulę;</w:t>
                      </w:r>
                    </w:p>
                    <w:p>
                      <w:pPr>
                        <w:tabs>
                          <w:tab w:val="left" w:pos="567"/>
                        </w:tabs>
                        <w:suppressAutoHyphens/>
                        <w:ind w:firstLine="600"/>
                        <w:jc w:val="both"/>
                        <w:rPr>
                          <w:color w:val="000000"/>
                          <w:szCs w:val="24"/>
                          <w:lang w:eastAsia="lt-LT"/>
                        </w:rPr>
                      </w:pPr>
                      <w:r>
                        <w:rPr>
                          <w:i/>
                          <w:color w:val="000000"/>
                          <w:szCs w:val="24"/>
                          <w:lang w:eastAsia="lt-LT"/>
                        </w:rPr>
                        <w:t>τ</w:t>
                      </w:r>
                      <w:r>
                        <w:rPr>
                          <w:i/>
                          <w:color w:val="000000"/>
                          <w:szCs w:val="24"/>
                          <w:vertAlign w:val="subscript"/>
                          <w:lang w:eastAsia="lt-LT"/>
                        </w:rPr>
                        <w:t>1,m</w:t>
                      </w:r>
                      <w:r>
                        <w:rPr>
                          <w:i/>
                          <w:color w:val="000000"/>
                          <w:szCs w:val="24"/>
                          <w:lang w:eastAsia="lt-LT"/>
                        </w:rPr>
                        <w:t xml:space="preserve"> , τ</w:t>
                      </w:r>
                      <w:r>
                        <w:rPr>
                          <w:i/>
                          <w:color w:val="000000"/>
                          <w:szCs w:val="24"/>
                          <w:vertAlign w:val="subscript"/>
                          <w:lang w:eastAsia="lt-LT"/>
                        </w:rPr>
                        <w:t xml:space="preserve">2,m </w:t>
                      </w:r>
                      <w:r>
                        <w:rPr>
                          <w:color w:val="000000"/>
                          <w:szCs w:val="24"/>
                          <w:lang w:eastAsia="lt-LT"/>
                        </w:rPr>
                        <w:t>– kiekvieno mėnesio „m“ darbo laiko koeficientai atitinkamai pirmajam ir antrajam šilumos šaltiniui, kai pastatui šildyti naudojami du šilumos šaltiniai (vnt.). Imama iš 2.47 lentelės, kai šios lentelės 1–4, 20–23, 25–28 eilutėse išvardintų šilumos šaltinių šiluminė galia pastatui šildyti žinoma, jų darbo laiko koeficientus galima apskaičiuoti pagal Reglamento 15 priedo reikalavimus;</w:t>
                      </w:r>
                    </w:p>
                    <w:p>
                      <w:pPr>
                        <w:tabs>
                          <w:tab w:val="left" w:pos="567"/>
                        </w:tabs>
                        <w:suppressAutoHyphens/>
                        <w:ind w:firstLine="600"/>
                        <w:jc w:val="both"/>
                        <w:rPr>
                          <w:color w:val="000000"/>
                          <w:szCs w:val="24"/>
                          <w:lang w:eastAsia="lt-LT"/>
                        </w:rPr>
                      </w:pPr>
                      <w:r>
                        <w:rPr>
                          <w:i/>
                          <w:color w:val="000000"/>
                          <w:szCs w:val="24"/>
                          <w:lang w:eastAsia="lt-LT"/>
                        </w:rPr>
                        <w:t>η</w:t>
                      </w:r>
                      <w:r>
                        <w:rPr>
                          <w:i/>
                          <w:color w:val="000000"/>
                          <w:szCs w:val="24"/>
                          <w:vertAlign w:val="subscript"/>
                          <w:lang w:eastAsia="lt-LT"/>
                        </w:rPr>
                        <w:t>hs.1</w:t>
                      </w:r>
                      <w:r>
                        <w:rPr>
                          <w:color w:val="000000"/>
                          <w:szCs w:val="24"/>
                          <w:lang w:eastAsia="lt-LT"/>
                        </w:rPr>
                        <w:t xml:space="preserve">, </w:t>
                      </w:r>
                      <w:r>
                        <w:rPr>
                          <w:i/>
                          <w:color w:val="000000"/>
                          <w:szCs w:val="24"/>
                          <w:lang w:eastAsia="lt-LT"/>
                        </w:rPr>
                        <w:t>η</w:t>
                      </w:r>
                      <w:r>
                        <w:rPr>
                          <w:i/>
                          <w:color w:val="000000"/>
                          <w:szCs w:val="24"/>
                          <w:vertAlign w:val="subscript"/>
                          <w:lang w:eastAsia="lt-LT"/>
                        </w:rPr>
                        <w:t>hs.2</w:t>
                      </w:r>
                      <w:r>
                        <w:rPr>
                          <w:color w:val="000000"/>
                          <w:szCs w:val="24"/>
                          <w:lang w:eastAsia="lt-LT"/>
                        </w:rPr>
                        <w:t xml:space="preserve"> – pastato šildymo sistemos su atitinkamai pirmuoju ir antruoju šilumos šaltiniu </w:t>
                      </w:r>
                      <w:r>
                        <w:rPr>
                          <w:bCs/>
                          <w:color w:val="000000"/>
                          <w:szCs w:val="24"/>
                          <w:lang w:eastAsia="lt-LT"/>
                        </w:rPr>
                        <w:t xml:space="preserve">skaičiuojamieji </w:t>
                      </w:r>
                      <w:r>
                        <w:rPr>
                          <w:color w:val="000000"/>
                          <w:szCs w:val="24"/>
                          <w:lang w:eastAsia="lt-LT"/>
                        </w:rPr>
                        <w:t>šildymo sistemos naudingumo koeficientai. Kiekviena šių koeficientų vertė apskaičiuojama atskirai pagal (2.573) formulę, įvertinus kiekvieno šilumos šaltinio naudingumo koeficientą ir šildymo sistemos reguliavimo įtaisų naudingumo koeficientą;</w:t>
                      </w:r>
                    </w:p>
                    <w:p>
                      <w:pPr>
                        <w:tabs>
                          <w:tab w:val="left" w:pos="567"/>
                        </w:tabs>
                        <w:suppressAutoHyphens/>
                        <w:ind w:firstLine="600"/>
                        <w:jc w:val="both"/>
                        <w:rPr>
                          <w:color w:val="000000"/>
                          <w:szCs w:val="24"/>
                          <w:lang w:eastAsia="lt-LT"/>
                        </w:rPr>
                      </w:pPr>
                      <w:r>
                        <w:rPr>
                          <w:i/>
                          <w:color w:val="000000"/>
                          <w:szCs w:val="24"/>
                          <w:lang w:eastAsia="lt-LT"/>
                        </w:rPr>
                        <w:t>f</w:t>
                      </w:r>
                      <w:r>
                        <w:rPr>
                          <w:i/>
                          <w:color w:val="000000"/>
                          <w:szCs w:val="24"/>
                          <w:vertAlign w:val="subscript"/>
                          <w:lang w:eastAsia="lt-LT"/>
                        </w:rPr>
                        <w:t xml:space="preserve">PRn.hs.1 </w:t>
                      </w:r>
                      <w:r>
                        <w:rPr>
                          <w:color w:val="000000"/>
                          <w:szCs w:val="24"/>
                          <w:lang w:eastAsia="lt-LT"/>
                        </w:rPr>
                        <w:t xml:space="preserve">ir </w:t>
                      </w:r>
                      <w:r>
                        <w:rPr>
                          <w:i/>
                          <w:color w:val="000000"/>
                          <w:szCs w:val="24"/>
                          <w:lang w:eastAsia="lt-LT"/>
                        </w:rPr>
                        <w:t>f</w:t>
                      </w:r>
                      <w:r>
                        <w:rPr>
                          <w:i/>
                          <w:color w:val="000000"/>
                          <w:szCs w:val="24"/>
                          <w:vertAlign w:val="subscript"/>
                          <w:lang w:eastAsia="lt-LT"/>
                        </w:rPr>
                        <w:t>PRn.hs.2</w:t>
                      </w:r>
                      <w:r>
                        <w:rPr>
                          <w:color w:val="000000"/>
                          <w:szCs w:val="24"/>
                          <w:lang w:eastAsia="lt-LT"/>
                        </w:rPr>
                        <w:t xml:space="preserve"> – atitinkamai pirmajam ir antrajam šilumos šaltiniui naudojamo energijos šaltinio skaičiuojamoji neatsinaujinančios pirminės energijos faktoriaus vertė (vnt.). Imama iš 2.18 lentelės;</w:t>
                      </w:r>
                    </w:p>
                  </w:sdtContent>
                </w:sdt>
                <w:sdt>
                  <w:sdtPr>
                    <w:alias w:val="71.4 pp."/>
                    <w:tag w:val="part_2170bbd11a7e43a69dd41b0555712682"/>
                    <w:lock w:val="sdtLocked"/>
                    <w:richText/>
                  </w:sdtPr>
                  <w:sdtContent>
                    <w:p>
                      <w:pPr>
                        <w:tabs>
                          <w:tab w:val="left" w:pos="567"/>
                        </w:tabs>
                        <w:suppressAutoHyphens/>
                        <w:ind w:firstLine="567"/>
                        <w:jc w:val="both"/>
                        <w:rPr>
                          <w:color w:val="000000"/>
                          <w:szCs w:val="24"/>
                          <w:lang w:eastAsia="lt-LT"/>
                        </w:rPr>
                      </w:pPr>
                      <w:sdt>
                        <w:sdtPr>
                          <w:alias w:val="Numeris"/>
                          <w:tag w:val="nr_2170bbd11a7e43a69dd41b0555712682"/>
                          <w:lock w:val="sdtLocked"/>
                          <w:richText/>
                        </w:sdtPr>
                        <w:sdtContent>
                          <w:r>
                            <w:rPr>
                              <w:color w:val="000000"/>
                              <w:szCs w:val="24"/>
                              <w:lang w:eastAsia="lt-LT"/>
                            </w:rPr>
                            <w:t>71.4</w:t>
                          </w:r>
                        </w:sdtContent>
                      </w:sdt>
                      <w:r>
                        <w:rPr>
                          <w:color w:val="000000"/>
                          <w:szCs w:val="24"/>
                          <w:lang w:eastAsia="lt-LT"/>
                        </w:rPr>
                        <w:t>. jei pastatui šildyti naudojami du šilumos šaltiniai ir vienas iš šių šaltinių, t. y. „</w:t>
                      </w:r>
                      <w:r>
                        <w:rPr>
                          <w:i/>
                          <w:iCs/>
                          <w:color w:val="000000"/>
                          <w:szCs w:val="24"/>
                          <w:lang w:eastAsia="lt-LT"/>
                        </w:rPr>
                        <w:t>hs1“</w:t>
                      </w:r>
                      <w:r>
                        <w:rPr>
                          <w:color w:val="000000"/>
                          <w:szCs w:val="24"/>
                          <w:lang w:eastAsia="lt-LT"/>
                        </w:rPr>
                        <w:t>, yra dujinis katilas su absorbciniu šilumos siurbliu,</w:t>
                      </w:r>
                    </w:p>
                    <w:tbl>
                      <w:tblPr>
                        <w:tblW w:w="5000" w:type="pct"/>
                        <w:tblLook w:val="01E0" w:firstRow="1" w:lastRow="1" w:firstColumn="1" w:lastColumn="1" w:noHBand="0" w:noVBand="0"/>
                      </w:tblPr>
                      <w:tblGrid>
                        <w:gridCol w:w="8498"/>
                        <w:gridCol w:w="1356"/>
                      </w:tblGrid>
                      <w:tr>
                        <w:tc>
                          <w:tcPr>
                            <w:tcW w:w="4312" w:type="pct"/>
                            <w:hideMark/>
                          </w:tcPr>
                          <w:p>
                            <w:pPr>
                              <w:tabs>
                                <w:tab w:val="left" w:pos="567"/>
                              </w:tabs>
                              <w:suppressAutoHyphens/>
                              <w:jc w:val="center"/>
                              <w:rPr>
                                <w:rFonts w:eastAsia="Calibri"/>
                                <w:bCs/>
                                <w:color w:val="000000"/>
                                <w:lang w:eastAsia="lt-LT"/>
                              </w:rPr>
                            </w:pPr>
                            <w:r>
                              <w:rPr>
                                <w:color w:val="000000"/>
                                <w:lang w:eastAsia="lt-LT"/>
                              </w:rPr>
                              <w:object w:dxaOrig="7180" w:dyaOrig="4599">
                                <v:shape id="_x0000_i1712" type="#_x0000_t75" style="width:291.25pt;height:186.05pt" o:ole="">
                                  <v:imagedata r:id="rId1773" o:title=""/>
                                </v:shape>
                                <o:OLEObject Type="Embed" ProgID="Equation.3" ShapeID="_x0000_i1712" DrawAspect="Content" ObjectID="_0000000001" r:id="rId1774"/>
                              </w:object>
                              <w:t>;</w:t>
                            </w:r>
                          </w:p>
                        </w:tc>
                        <w:tc>
                          <w:tcPr>
                            <w:tcW w:w="688" w:type="pct"/>
                            <w:vAlign w:val="center"/>
                          </w:tcPr>
                          <w:p>
                            <w:pPr>
                              <w:tabs>
                                <w:tab w:val="left" w:pos="567"/>
                              </w:tabs>
                              <w:suppressAutoHyphens/>
                              <w:jc w:val="right"/>
                              <w:rPr>
                                <w:rFonts w:eastAsia="Calibri"/>
                                <w:color w:val="000000"/>
                                <w:lang w:eastAsia="lt-LT"/>
                              </w:rPr>
                            </w:pPr>
                          </w:p>
                          <w:p>
                            <w:pPr>
                              <w:tabs>
                                <w:tab w:val="left" w:pos="567"/>
                              </w:tabs>
                              <w:suppressAutoHyphens/>
                              <w:jc w:val="right"/>
                              <w:rPr>
                                <w:rFonts w:eastAsia="Calibri"/>
                                <w:bCs/>
                                <w:color w:val="000000"/>
                                <w:lang w:eastAsia="lt-LT"/>
                              </w:rPr>
                            </w:pPr>
                            <w:r>
                              <w:rPr>
                                <w:color w:val="000000"/>
                                <w:lang w:eastAsia="lt-LT"/>
                              </w:rPr>
                              <w:t>(2.571-1)</w:t>
                            </w:r>
                          </w:p>
                        </w:tc>
                      </w:tr>
                    </w:tbl>
                    <w:p>
                      <w:pPr>
                        <w:tabs>
                          <w:tab w:val="left" w:pos="567"/>
                        </w:tabs>
                        <w:suppressAutoHyphens/>
                        <w:jc w:val="both"/>
                        <w:rPr>
                          <w:color w:val="000000"/>
                          <w:szCs w:val="24"/>
                          <w:lang w:eastAsia="lt-LT"/>
                        </w:rPr>
                      </w:pPr>
                      <w:r>
                        <w:rPr>
                          <w:color w:val="000000"/>
                          <w:szCs w:val="24"/>
                          <w:lang w:eastAsia="lt-LT"/>
                        </w:rPr>
                        <w:t>čia:</w:t>
                        <w:tab/>
                      </w:r>
                      <w:r>
                        <w:rPr>
                          <w:b/>
                          <w:lang w:eastAsia="lt-LT"/>
                        </w:rPr>
                        <w:t>–</w:t>
                      </w:r>
                      <w:r>
                        <w:rPr>
                          <w:color w:val="000000"/>
                          <w:szCs w:val="24"/>
                          <w:lang w:eastAsia="lt-LT"/>
                        </w:rPr>
                        <w:t xml:space="preserve"> jei antrasis šilumos šaltinis, kurio naudingumo koeficientas </w:t>
                      </w:r>
                      <w:r>
                        <w:rPr>
                          <w:i/>
                          <w:color w:val="000000"/>
                          <w:szCs w:val="24"/>
                          <w:lang w:eastAsia="lt-LT"/>
                        </w:rPr>
                        <w:t>η</w:t>
                      </w:r>
                      <w:r>
                        <w:rPr>
                          <w:i/>
                          <w:color w:val="000000"/>
                          <w:szCs w:val="24"/>
                          <w:vertAlign w:val="subscript"/>
                          <w:lang w:eastAsia="lt-LT"/>
                        </w:rPr>
                        <w:t>2(hs2)</w:t>
                      </w:r>
                      <w:r>
                        <w:rPr>
                          <w:color w:val="000000"/>
                          <w:szCs w:val="24"/>
                          <w:lang w:eastAsia="lt-LT"/>
                        </w:rPr>
                        <w:t xml:space="preserve">, elektros energijos nevartoja, tada </w:t>
                      </w:r>
                      <w:r>
                        <w:rPr>
                          <w:i/>
                          <w:color w:val="000000"/>
                          <w:szCs w:val="24"/>
                          <w:lang w:eastAsia="lt-LT"/>
                        </w:rPr>
                        <w:t>k</w:t>
                      </w:r>
                      <w:r>
                        <w:rPr>
                          <w:i/>
                          <w:color w:val="000000"/>
                          <w:szCs w:val="24"/>
                          <w:vertAlign w:val="subscript"/>
                          <w:lang w:eastAsia="lt-LT"/>
                        </w:rPr>
                        <w:t>E2,m</w:t>
                      </w:r>
                      <w:r>
                        <w:rPr>
                          <w:color w:val="000000"/>
                          <w:szCs w:val="24"/>
                          <w:lang w:eastAsia="lt-LT"/>
                        </w:rPr>
                        <w:t xml:space="preserve">=0, kitu atveju </w:t>
                      </w:r>
                      <w:r>
                        <w:rPr>
                          <w:i/>
                          <w:color w:val="000000"/>
                          <w:szCs w:val="24"/>
                          <w:lang w:eastAsia="lt-LT"/>
                        </w:rPr>
                        <w:t>k</w:t>
                      </w:r>
                      <w:r>
                        <w:rPr>
                          <w:i/>
                          <w:color w:val="000000"/>
                          <w:szCs w:val="24"/>
                          <w:vertAlign w:val="subscript"/>
                          <w:lang w:eastAsia="lt-LT"/>
                        </w:rPr>
                        <w:t>E2,m</w:t>
                      </w:r>
                      <w:r>
                        <w:rPr>
                          <w:color w:val="000000"/>
                          <w:szCs w:val="24"/>
                          <w:lang w:eastAsia="lt-LT"/>
                        </w:rPr>
                        <w:t xml:space="preserve">=1. </w:t>
                      </w:r>
                    </w:p>
                    <w:p>
                      <w:pPr>
                        <w:tabs>
                          <w:tab w:val="left" w:pos="142"/>
                        </w:tabs>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 xml:space="preserve">H.E.GHP,m </w:t>
                      </w:r>
                      <w:r>
                        <w:rPr>
                          <w:color w:val="000000"/>
                          <w:szCs w:val="24"/>
                          <w:lang w:eastAsia="lt-LT"/>
                        </w:rPr>
                        <w:t xml:space="preserve">– </w:t>
                      </w:r>
                      <w:r>
                        <w:rPr>
                          <w:bCs/>
                          <w:szCs w:val="24"/>
                          <w:lang w:eastAsia="lt-LT"/>
                        </w:rPr>
                        <w:t xml:space="preserve">dujinio katilo su absorbciniu šilumos siurbliu elektros energijos sąnaudos </w:t>
                      </w:r>
                      <w:r>
                        <w:rPr>
                          <w:color w:val="000000"/>
                          <w:szCs w:val="24"/>
                          <w:lang w:eastAsia="lt-LT"/>
                        </w:rPr>
                        <w:t>(kWh/(m</w:t>
                      </w:r>
                      <w:r>
                        <w:rPr>
                          <w:color w:val="000000"/>
                          <w:szCs w:val="24"/>
                          <w:vertAlign w:val="superscript"/>
                          <w:lang w:eastAsia="lt-LT"/>
                        </w:rPr>
                        <w:t>2</w:t>
                      </w:r>
                      <w:r>
                        <w:rPr>
                          <w:color w:val="000000"/>
                          <w:szCs w:val="24"/>
                          <w:lang w:eastAsia="lt-LT"/>
                        </w:rPr>
                        <w:t>·mėn.))</w:t>
                      </w:r>
                      <w:r>
                        <w:rPr>
                          <w:bCs/>
                          <w:szCs w:val="24"/>
                          <w:lang w:eastAsia="lt-LT"/>
                        </w:rPr>
                        <w:t>, kurios apskaičiuojamos taip</w:t>
                      </w:r>
                      <w:r>
                        <w:rPr>
                          <w:color w:val="000000"/>
                          <w:szCs w:val="24"/>
                          <w:lang w:eastAsia="lt-LT"/>
                        </w:rPr>
                        <w:t>:</w:t>
                      </w:r>
                    </w:p>
                    <w:p>
                      <w:pPr>
                        <w:tabs>
                          <w:tab w:val="left" w:pos="567"/>
                        </w:tabs>
                        <w:suppressAutoHyphens/>
                        <w:jc w:val="both"/>
                        <w:rPr>
                          <w:bCs/>
                          <w:szCs w:val="24"/>
                          <w:lang w:eastAsia="lt-LT"/>
                        </w:rPr>
                      </w:pPr>
                    </w:p>
                    <w:tbl>
                      <w:tblPr>
                        <w:tblW w:w="5000" w:type="pct"/>
                        <w:tblLook w:val="01E0" w:firstRow="1" w:lastRow="1" w:firstColumn="1" w:lastColumn="1" w:noHBand="0" w:noVBand="0"/>
                      </w:tblPr>
                      <w:tblGrid>
                        <w:gridCol w:w="8494"/>
                        <w:gridCol w:w="1360"/>
                      </w:tblGrid>
                      <w:tr>
                        <w:tc>
                          <w:tcPr>
                            <w:tcW w:w="4310" w:type="pct"/>
                            <w:vAlign w:val="center"/>
                            <w:hideMark/>
                          </w:tcPr>
                          <w:p>
                            <w:pPr>
                              <w:tabs>
                                <w:tab w:val="left" w:pos="567"/>
                              </w:tabs>
                              <w:suppressAutoHyphens/>
                              <w:jc w:val="center"/>
                              <w:rPr>
                                <w:rFonts w:eastAsia="Calibri"/>
                                <w:szCs w:val="24"/>
                                <w:lang w:eastAsia="lt-LT"/>
                              </w:rPr>
                            </w:pPr>
                            <w:r>
                              <w:rPr>
                                <w:szCs w:val="24"/>
                                <w:lang w:eastAsia="lt-LT"/>
                              </w:rPr>
                              <w:object w:dxaOrig="7240" w:dyaOrig="740">
                                <v:shape id="_x0000_i1713" type="#_x0000_t75" style="width:376.2pt;height:37.2pt" o:ole="">
                                  <v:imagedata r:id="rId1775" o:title=""/>
                                </v:shape>
                                <o:OLEObject Type="Embed" ProgID="Equation.3" ShapeID="_x0000_i1713" DrawAspect="Content" ObjectID="_0000000001" r:id="rId1776"/>
                              </w:object>
                              <w:t>,</w:t>
                            </w:r>
                          </w:p>
                        </w:tc>
                        <w:tc>
                          <w:tcPr>
                            <w:tcW w:w="690" w:type="pct"/>
                            <w:vAlign w:val="center"/>
                            <w:hideMark/>
                          </w:tcPr>
                          <w:p>
                            <w:pPr>
                              <w:tabs>
                                <w:tab w:val="left" w:pos="567"/>
                              </w:tabs>
                              <w:suppressAutoHyphens/>
                              <w:jc w:val="right"/>
                              <w:rPr>
                                <w:rFonts w:eastAsia="Calibri"/>
                                <w:szCs w:val="24"/>
                                <w:lang w:eastAsia="lt-LT"/>
                              </w:rPr>
                            </w:pPr>
                            <w:r>
                              <w:rPr>
                                <w:szCs w:val="24"/>
                                <w:lang w:eastAsia="lt-LT"/>
                              </w:rPr>
                              <w:t>(2.571-2)</w:t>
                            </w:r>
                          </w:p>
                        </w:tc>
                      </w:tr>
                    </w:tbl>
                    <w:p>
                      <w:pPr>
                        <w:tabs>
                          <w:tab w:val="left" w:pos="567"/>
                        </w:tabs>
                        <w:suppressAutoHyphens/>
                        <w:ind w:firstLine="600"/>
                        <w:jc w:val="both"/>
                        <w:rPr>
                          <w:color w:val="000000"/>
                          <w:szCs w:val="24"/>
                          <w:lang w:eastAsia="lt-LT"/>
                        </w:rPr>
                      </w:pPr>
                    </w:p>
                  </w:sdtContent>
                </w:sdt>
                <w:sdt>
                  <w:sdtPr>
                    <w:alias w:val="71.5 pp."/>
                    <w:tag w:val="part_facad0c6ed3c480b8fd9c7cd3c404fd9"/>
                    <w:lock w:val="sdtLocked"/>
                    <w:richText/>
                  </w:sdtPr>
                  <w:sdtContent>
                    <w:p>
                      <w:pPr>
                        <w:tabs>
                          <w:tab w:val="left" w:pos="567"/>
                        </w:tabs>
                        <w:suppressAutoHyphens/>
                        <w:ind w:firstLine="567"/>
                        <w:jc w:val="both"/>
                        <w:rPr>
                          <w:color w:val="000000"/>
                          <w:szCs w:val="24"/>
                          <w:lang w:eastAsia="lt-LT"/>
                        </w:rPr>
                      </w:pPr>
                      <w:sdt>
                        <w:sdtPr>
                          <w:alias w:val="Numeris"/>
                          <w:tag w:val="nr_facad0c6ed3c480b8fd9c7cd3c404fd9"/>
                          <w:lock w:val="sdtLocked"/>
                          <w:richText/>
                        </w:sdtPr>
                        <w:sdtContent>
                          <w:r>
                            <w:rPr>
                              <w:color w:val="000000"/>
                              <w:szCs w:val="24"/>
                              <w:lang w:eastAsia="lt-LT"/>
                            </w:rPr>
                            <w:t>71.5</w:t>
                          </w:r>
                        </w:sdtContent>
                      </w:sdt>
                      <w:r>
                        <w:rPr>
                          <w:color w:val="000000"/>
                          <w:szCs w:val="24"/>
                          <w:lang w:eastAsia="lt-LT"/>
                        </w:rPr>
                        <w:t xml:space="preserve">. jei atskirose pastato zonose įrengtos skirtingos šildymo sistemos arba atskiroms pastato zonoms šildyti naudojami skirtingi šilumos šaltiniai arba skirtingas kiekis energijos iš Saulės kolektorių ir vėjo elektrinių, kiekvieno mėnesio „m“ skaičiuojamosios neatsinaujinančios pirminės energijos sąnaudos pastatui šildyti turi būti skaičiuojamos ne pastato šildomo ploto </w:t>
                      </w:r>
                      <w:r>
                        <w:rPr>
                          <w:i/>
                          <w:color w:val="000000"/>
                          <w:szCs w:val="24"/>
                          <w:lang w:eastAsia="lt-LT"/>
                        </w:rPr>
                        <w:t>A</w:t>
                      </w:r>
                      <w:r>
                        <w:rPr>
                          <w:i/>
                          <w:color w:val="000000"/>
                          <w:szCs w:val="24"/>
                          <w:vertAlign w:val="subscript"/>
                          <w:lang w:eastAsia="lt-LT"/>
                        </w:rPr>
                        <w:t>p</w:t>
                      </w:r>
                      <w:r>
                        <w:rPr>
                          <w:color w:val="000000"/>
                          <w:szCs w:val="24"/>
                          <w:lang w:eastAsia="lt-LT"/>
                        </w:rPr>
                        <w:t xml:space="preserve"> (m²) vienetui, bet kiekvienos zonos „z“ ploto </w:t>
                      </w:r>
                      <w:r>
                        <w:rPr>
                          <w:i/>
                          <w:color w:val="000000"/>
                          <w:szCs w:val="24"/>
                          <w:lang w:eastAsia="lt-LT"/>
                        </w:rPr>
                        <w:t>A</w:t>
                      </w:r>
                      <w:r>
                        <w:rPr>
                          <w:i/>
                          <w:color w:val="000000"/>
                          <w:szCs w:val="24"/>
                          <w:vertAlign w:val="subscript"/>
                          <w:lang w:eastAsia="lt-LT"/>
                        </w:rPr>
                        <w:t>H,z</w:t>
                      </w:r>
                      <w:r>
                        <w:rPr>
                          <w:color w:val="000000"/>
                          <w:szCs w:val="24"/>
                          <w:lang w:eastAsia="lt-LT"/>
                        </w:rPr>
                        <w:t xml:space="preserve"> (m²) vienetui. Kiekvienoje pastato zonoje „z“ turi būti apskaičiuotos kiekvieno mėnesio „m“ skaičiuojamosios neatsinaujinančios pirminės energijos sąnaudos pastatui šildyti </w:t>
                      </w:r>
                      <w:r>
                        <w:rPr>
                          <w:i/>
                          <w:color w:val="000000"/>
                          <w:szCs w:val="24"/>
                          <w:lang w:eastAsia="lt-LT"/>
                        </w:rPr>
                        <w:t>Q</w:t>
                      </w:r>
                      <w:r>
                        <w:rPr>
                          <w:i/>
                          <w:color w:val="000000"/>
                          <w:szCs w:val="24"/>
                          <w:vertAlign w:val="subscript"/>
                          <w:lang w:eastAsia="lt-LT"/>
                        </w:rPr>
                        <w:t>PRn.H,m,z</w:t>
                      </w:r>
                      <w:r>
                        <w:rPr>
                          <w:color w:val="000000"/>
                          <w:szCs w:val="24"/>
                          <w:lang w:eastAsia="lt-LT"/>
                        </w:rPr>
                        <w:t xml:space="preserve"> (kWh/(m²·mėn.)); viso pastato skaičiuojamosios neatsinaujinančios pirminės energijos sąnaudos pastatui šildyti </w:t>
                      </w:r>
                      <w:r>
                        <w:rPr>
                          <w:i/>
                          <w:color w:val="000000"/>
                          <w:szCs w:val="24"/>
                          <w:lang w:eastAsia="lt-LT"/>
                        </w:rPr>
                        <w:t>Q</w:t>
                      </w:r>
                      <w:r>
                        <w:rPr>
                          <w:i/>
                          <w:color w:val="000000"/>
                          <w:szCs w:val="24"/>
                          <w:vertAlign w:val="subscript"/>
                          <w:lang w:eastAsia="lt-LT"/>
                        </w:rPr>
                        <w:t>PRn.H,m</w:t>
                      </w:r>
                      <w:r>
                        <w:rPr>
                          <w:color w:val="000000"/>
                          <w:szCs w:val="24"/>
                          <w:lang w:eastAsia="lt-LT"/>
                        </w:rPr>
                        <w:t xml:space="preserve"> (kWh/(m²·mėn.)) apskaičiuojamos taip:</w:t>
                      </w: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32"/>
                                <w:szCs w:val="24"/>
                                <w:lang w:eastAsia="lt-LT"/>
                              </w:rPr>
                              <w:object w:dxaOrig="3390" w:dyaOrig="675">
                                <v:shape id="_x0000_i1714" type="#_x0000_t75" style="width:170.7pt;height:34pt" o:ole="">
                                  <v:imagedata r:id="rId1777" o:title=""/>
                                </v:shape>
                                <o:OLEObject Type="Embed" ProgID="Equation.3" ShapeID="_x0000_i1714" DrawAspect="Content" ObjectID="_0000000001" r:id="rId1778"/>
                              </w:object>
                            </w:r>
                            <w:r>
                              <w:rPr>
                                <w:color w:val="000000"/>
                                <w:szCs w:val="24"/>
                                <w:lang w:eastAsia="lt-LT"/>
                              </w:rPr>
                              <w:t>;</w:t>
                            </w:r>
                          </w:p>
                        </w:tc>
                        <w:tc>
                          <w:tcPr>
                            <w:tcW w:w="1002" w:type="dxa"/>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(2.572)</w:t>
                            </w:r>
                          </w:p>
                        </w:tc>
                      </w:tr>
                    </w:tbl>
                    <w:p>
                      <w:pPr>
                        <w:tabs>
                          <w:tab w:val="left" w:pos="567"/>
                        </w:tabs>
                        <w:suppressAutoHyphens/>
                        <w:ind w:firstLine="600"/>
                        <w:jc w:val="both"/>
                        <w:rPr>
                          <w:color w:val="000000"/>
                          <w:szCs w:val="24"/>
                          <w:lang w:eastAsia="lt-LT"/>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14"/>
                                <w:szCs w:val="24"/>
                                <w:lang w:eastAsia="lt-LT"/>
                              </w:rPr>
                              <w:object w:dxaOrig="1785" w:dyaOrig="375">
                                <v:shape id="_x0000_i1715" type="#_x0000_t75" style="width:89.8pt;height:19.4pt" o:ole="">
                                  <v:imagedata r:id="rId1779" o:title=""/>
                                </v:shape>
                                <o:OLEObject Type="Embed" ProgID="Equation.3" ShapeID="_x0000_i1715" DrawAspect="Content" ObjectID="_0000000001" r:id="rId1780"/>
                              </w:object>
                            </w:r>
                            <w:r>
                              <w:rPr>
                                <w:color w:val="000000"/>
                                <w:szCs w:val="24"/>
                                <w:lang w:eastAsia="lt-LT"/>
                              </w:rPr>
                              <w:t>;</w:t>
                            </w:r>
                          </w:p>
                        </w:tc>
                        <w:tc>
                          <w:tcPr>
                            <w:tcW w:w="1002" w:type="dxa"/>
                            <w:vAlign w:val="center"/>
                            <w:hideMark/>
                          </w:tcPr>
                          <w:p>
                            <w:pPr>
                              <w:tabs>
                                <w:tab w:val="left" w:pos="567"/>
                              </w:tabs>
                              <w:suppressAutoHyphens/>
                              <w:spacing w:line="276" w:lineRule="auto"/>
                              <w:jc w:val="right"/>
                              <w:rPr>
                                <w:rFonts w:eastAsia="Calibri"/>
                                <w:bCs/>
                                <w:color w:val="000000"/>
                                <w:szCs w:val="24"/>
                                <w:lang w:eastAsia="lt-LT"/>
                              </w:rPr>
                            </w:pPr>
                            <w:r>
                              <w:rPr>
                                <w:bCs/>
                                <w:color w:val="000000"/>
                                <w:szCs w:val="24"/>
                                <w:lang w:eastAsia="lt-LT"/>
                              </w:rPr>
                              <w:t>(2.573)</w:t>
                            </w:r>
                          </w:p>
                        </w:tc>
                      </w:tr>
                    </w:tbl>
                    <w:p>
                      <w:pPr>
                        <w:tabs>
                          <w:tab w:val="left" w:pos="567"/>
                        </w:tabs>
                        <w:suppressAutoHyphens/>
                        <w:jc w:val="both"/>
                        <w:rPr>
                          <w:color w:val="000000"/>
                          <w:szCs w:val="24"/>
                          <w:lang w:eastAsia="lt-LT"/>
                        </w:rPr>
                      </w:pPr>
                    </w:p>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η</w:t>
                      </w:r>
                      <w:r>
                        <w:rPr>
                          <w:i/>
                          <w:color w:val="000000"/>
                          <w:szCs w:val="24"/>
                          <w:vertAlign w:val="subscript"/>
                          <w:lang w:eastAsia="lt-LT"/>
                        </w:rPr>
                        <w:t>1</w:t>
                      </w:r>
                      <w:r>
                        <w:rPr>
                          <w:color w:val="000000"/>
                          <w:szCs w:val="24"/>
                          <w:lang w:eastAsia="lt-LT"/>
                        </w:rPr>
                        <w:t xml:space="preserve"> – pastato šildymo sistemos reguliavimo įtaisų skaičiuojamasis naudingumo koeficientas (vnt.). Imamas iš 2.44 lentelės;</w:t>
                      </w:r>
                    </w:p>
                    <w:p>
                      <w:pPr>
                        <w:tabs>
                          <w:tab w:val="left" w:pos="567"/>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2</w:t>
                      </w:r>
                      <w:r>
                        <w:rPr>
                          <w:color w:val="000000"/>
                          <w:szCs w:val="24"/>
                          <w:lang w:eastAsia="lt-LT"/>
                        </w:rPr>
                        <w:t xml:space="preserve"> – pastato šildymo sistemos šilumos šaltinio skaičiuojamasis naudingumo koeficientas, (vnt.). Imamas iš 2.45 lentelės arba iš gamintojo deklaracijoje nurodytų duomenų; </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2.reg</w:t>
                      </w:r>
                      <w:r>
                        <w:rPr>
                          <w:color w:val="000000"/>
                          <w:szCs w:val="24"/>
                          <w:lang w:eastAsia="lt-LT"/>
                        </w:rPr>
                        <w:t xml:space="preserve"> – pataisos koeficientas (vnt.) šilumos šaltinio skaičiuojamajam naudingumo koeficientui. Kada šilumos šaltinis reguliuojamas rankiniu būdu ir skaičiavimuose naudojama gamintojo deklaruojama naudingumo koeficiento </w:t>
                      </w:r>
                      <w:r>
                        <w:rPr>
                          <w:i/>
                          <w:color w:val="000000"/>
                          <w:szCs w:val="24"/>
                          <w:lang w:eastAsia="lt-LT"/>
                        </w:rPr>
                        <w:t>η</w:t>
                      </w:r>
                      <w:r>
                        <w:rPr>
                          <w:i/>
                          <w:color w:val="000000"/>
                          <w:szCs w:val="24"/>
                          <w:vertAlign w:val="subscript"/>
                          <w:lang w:eastAsia="lt-LT"/>
                        </w:rPr>
                        <w:t xml:space="preserve">2 </w:t>
                      </w:r>
                      <w:r>
                        <w:rPr>
                          <w:color w:val="000000"/>
                          <w:szCs w:val="24"/>
                          <w:lang w:eastAsia="lt-LT"/>
                        </w:rPr>
                        <w:t>vertė,</w:t>
                      </w:r>
                      <w:r>
                        <w:rPr>
                          <w:i/>
                          <w:color w:val="000000"/>
                          <w:szCs w:val="24"/>
                          <w:vertAlign w:val="subscript"/>
                          <w:lang w:eastAsia="lt-LT"/>
                        </w:rPr>
                        <w:t xml:space="preserve"> </w:t>
                      </w:r>
                      <w:r>
                        <w:rPr>
                          <w:color w:val="000000"/>
                          <w:szCs w:val="24"/>
                          <w:lang w:eastAsia="lt-LT"/>
                        </w:rPr>
                        <w:t xml:space="preserve">tada pataisos koeficientas </w:t>
                      </w:r>
                      <w:r>
                        <w:rPr>
                          <w:i/>
                          <w:color w:val="000000"/>
                          <w:szCs w:val="24"/>
                          <w:lang w:eastAsia="lt-LT"/>
                        </w:rPr>
                        <w:t>k</w:t>
                      </w:r>
                      <w:r>
                        <w:rPr>
                          <w:i/>
                          <w:color w:val="000000"/>
                          <w:szCs w:val="24"/>
                          <w:vertAlign w:val="subscript"/>
                          <w:lang w:eastAsia="lt-LT"/>
                        </w:rPr>
                        <w:t xml:space="preserve">2.reg </w:t>
                      </w:r>
                      <w:r>
                        <w:rPr>
                          <w:color w:val="000000"/>
                          <w:szCs w:val="24"/>
                          <w:lang w:eastAsia="lt-LT"/>
                        </w:rPr>
                        <w:t xml:space="preserve">imamas iš 2.46 lentelės, lentelėje nenurodytais atvejais </w:t>
                      </w:r>
                      <w:r>
                        <w:rPr>
                          <w:i/>
                          <w:color w:val="000000"/>
                          <w:szCs w:val="24"/>
                          <w:lang w:eastAsia="lt-LT"/>
                        </w:rPr>
                        <w:t>k</w:t>
                      </w:r>
                      <w:r>
                        <w:rPr>
                          <w:i/>
                          <w:color w:val="000000"/>
                          <w:szCs w:val="24"/>
                          <w:vertAlign w:val="subscript"/>
                          <w:lang w:eastAsia="lt-LT"/>
                        </w:rPr>
                        <w:t>2.reg</w:t>
                      </w:r>
                      <w:r>
                        <w:rPr>
                          <w:color w:val="000000"/>
                          <w:szCs w:val="24"/>
                          <w:lang w:eastAsia="lt-LT"/>
                        </w:rPr>
                        <w:t xml:space="preserve">=1. </w:t>
                      </w:r>
                    </w:p>
                    <w:p>
                      <w:pPr>
                        <w:tabs>
                          <w:tab w:val="left" w:pos="567"/>
                        </w:tabs>
                        <w:suppressAutoHyphens/>
                        <w:ind w:firstLine="567"/>
                        <w:jc w:val="both"/>
                        <w:rPr>
                          <w:b/>
                          <w:color w:val="000000"/>
                          <w:szCs w:val="24"/>
                          <w:lang w:eastAsia="lt-LT"/>
                        </w:rPr>
                      </w:pPr>
                    </w:p>
                    <w:p>
                      <w:pPr>
                        <w:tabs>
                          <w:tab w:val="left" w:pos="567"/>
                        </w:tabs>
                        <w:suppressAutoHyphens/>
                        <w:jc w:val="center"/>
                        <w:rPr>
                          <w:b/>
                          <w:bCs/>
                          <w:szCs w:val="24"/>
                          <w:lang w:eastAsia="lt-LT"/>
                        </w:rPr>
                      </w:pPr>
                      <w:r>
                        <w:rPr>
                          <w:b/>
                          <w:bCs/>
                          <w:szCs w:val="24"/>
                          <w:lang w:eastAsia="lt-LT"/>
                        </w:rPr>
                        <w:t xml:space="preserve">Šildymo sistemos reguliavimo įtaisų skaičiuojamojo naudingumo koeficiento </w:t>
                      </w:r>
                      <w:r>
                        <w:rPr>
                          <w:b/>
                          <w:bCs/>
                          <w:i/>
                          <w:szCs w:val="24"/>
                          <w:lang w:eastAsia="lt-LT"/>
                        </w:rPr>
                        <w:t>η</w:t>
                      </w:r>
                      <w:r>
                        <w:rPr>
                          <w:b/>
                          <w:bCs/>
                          <w:i/>
                          <w:szCs w:val="24"/>
                          <w:vertAlign w:val="subscript"/>
                          <w:lang w:eastAsia="lt-LT"/>
                        </w:rPr>
                        <w:t>1</w:t>
                      </w:r>
                      <w:r>
                        <w:rPr>
                          <w:b/>
                          <w:bCs/>
                          <w:szCs w:val="24"/>
                          <w:lang w:eastAsia="lt-LT"/>
                        </w:rPr>
                        <w:t xml:space="preserve"> vertės</w:t>
                      </w:r>
                    </w:p>
                    <w:p>
                      <w:pPr>
                        <w:tabs>
                          <w:tab w:val="left" w:pos="567"/>
                        </w:tabs>
                        <w:suppressAutoHyphens/>
                        <w:ind w:left="720"/>
                        <w:jc w:val="right"/>
                        <w:rPr>
                          <w:szCs w:val="24"/>
                          <w:lang w:eastAsia="lt-LT"/>
                        </w:rPr>
                      </w:pPr>
                      <w:r>
                        <w:rPr>
                          <w:szCs w:val="24"/>
                          <w:lang w:eastAsia="lt-LT"/>
                        </w:rPr>
                        <w:t>2.44 lentelė</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935"/>
                        <w:gridCol w:w="1137"/>
                      </w:tblGrid>
                      <w:tr>
                        <w:trPr>
                          <w:trHeight w:val="448"/>
                        </w:trPr>
                        <w:tc>
                          <w:tcPr>
                            <w:tcW w:w="294" w:type="pct"/>
                            <w:tcBorders>
                              <w:top w:val="single" w:sz="4" w:space="0" w:color="auto"/>
                              <w:left w:val="single" w:sz="4" w:space="0" w:color="auto"/>
                              <w:bottom w:val="single" w:sz="4" w:space="0" w:color="auto"/>
                              <w:right w:val="single" w:sz="4" w:space="0" w:color="auto"/>
                            </w:tcBorders>
                            <w:shd w:val="clear" w:color="auto" w:fill="FFFFFF"/>
                            <w:hideMark/>
                          </w:tcPr>
                          <w:p>
                            <w:pPr>
                              <w:tabs>
                                <w:tab w:val="left" w:pos="567"/>
                              </w:tabs>
                              <w:suppressAutoHyphens/>
                              <w:spacing w:line="276" w:lineRule="auto"/>
                              <w:jc w:val="center"/>
                              <w:rPr>
                                <w:szCs w:val="24"/>
                                <w:lang w:eastAsia="lt-LT"/>
                              </w:rPr>
                            </w:pPr>
                            <w:r>
                              <w:rPr>
                                <w:szCs w:val="24"/>
                                <w:lang w:eastAsia="lt-LT"/>
                              </w:rPr>
                              <w:t>Eil. Nr.</w:t>
                            </w:r>
                          </w:p>
                        </w:tc>
                        <w:tc>
                          <w:tcPr>
                            <w:tcW w:w="4116" w:type="pct"/>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567"/>
                              </w:tabs>
                              <w:suppressAutoHyphens/>
                              <w:spacing w:line="276" w:lineRule="auto"/>
                              <w:jc w:val="center"/>
                              <w:rPr>
                                <w:rFonts w:eastAsia="Calibri"/>
                                <w:szCs w:val="24"/>
                                <w:lang w:eastAsia="lt-LT"/>
                              </w:rPr>
                            </w:pPr>
                            <w:r>
                              <w:rPr>
                                <w:szCs w:val="24"/>
                                <w:lang w:eastAsia="lt-LT"/>
                              </w:rPr>
                              <w:t>Reguliavimo įtaisų apibūdinimas</w:t>
                            </w:r>
                          </w:p>
                        </w:tc>
                        <w:tc>
                          <w:tcPr>
                            <w:tcW w:w="590" w:type="pct"/>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567"/>
                              </w:tabs>
                              <w:suppressAutoHyphens/>
                              <w:spacing w:line="276" w:lineRule="auto"/>
                              <w:jc w:val="center"/>
                              <w:rPr>
                                <w:rFonts w:eastAsia="Calibri"/>
                                <w:i/>
                                <w:szCs w:val="24"/>
                                <w:lang w:eastAsia="lt-LT"/>
                              </w:rPr>
                            </w:pPr>
                            <w:r>
                              <w:rPr>
                                <w:i/>
                                <w:szCs w:val="24"/>
                                <w:lang w:eastAsia="lt-LT"/>
                              </w:rPr>
                              <w:t>η</w:t>
                            </w:r>
                            <w:r>
                              <w:rPr>
                                <w:i/>
                                <w:szCs w:val="24"/>
                                <w:vertAlign w:val="subscript"/>
                                <w:lang w:eastAsia="lt-LT"/>
                              </w:rPr>
                              <w:t>1</w:t>
                            </w:r>
                          </w:p>
                        </w:tc>
                      </w:tr>
                      <w:t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1.</w:t>
                            </w:r>
                          </w:p>
                        </w:tc>
                        <w:tc>
                          <w:tcPr>
                            <w:tcW w:w="4116"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 xml:space="preserve">Nėra šildymo sistemos reguliavimo įtaisų </w:t>
                            </w:r>
                          </w:p>
                        </w:tc>
                        <w:tc>
                          <w:tcPr>
                            <w:tcW w:w="59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0,88</w:t>
                            </w:r>
                          </w:p>
                        </w:tc>
                      </w:tr>
                      <w:t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2.</w:t>
                            </w:r>
                          </w:p>
                        </w:tc>
                        <w:tc>
                          <w:tcPr>
                            <w:tcW w:w="4116"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 xml:space="preserve">Reguliavimo įtaisai įrengti taip, kad reguliuoja viso pastato patalpų šildymą, tačiau yra tik termostatiniai šildymo prietaisų ventiliai arba tik patalpų arba išorės termostatas </w:t>
                            </w:r>
                          </w:p>
                        </w:tc>
                        <w:tc>
                          <w:tcPr>
                            <w:tcW w:w="59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0,93</w:t>
                            </w:r>
                          </w:p>
                        </w:tc>
                      </w:tr>
                      <w:t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3.</w:t>
                            </w:r>
                          </w:p>
                        </w:tc>
                        <w:tc>
                          <w:tcPr>
                            <w:tcW w:w="4116"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Reguliavimo įtaisai įrengti taip, kad reguliuoja viso pastato patalpų šildymą. Yra termostatiniai šildymo prietaisų ventiliai ir patalpų arba išorės termostatas</w:t>
                            </w:r>
                          </w:p>
                        </w:tc>
                        <w:tc>
                          <w:tcPr>
                            <w:tcW w:w="59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0,98</w:t>
                            </w:r>
                          </w:p>
                        </w:tc>
                      </w:tr>
                      <w:t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4.</w:t>
                            </w:r>
                          </w:p>
                        </w:tc>
                        <w:tc>
                          <w:tcPr>
                            <w:tcW w:w="4116"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szCs w:val="24"/>
                                <w:lang w:eastAsia="lt-LT"/>
                              </w:rPr>
                            </w:pPr>
                            <w:r>
                              <w:rPr>
                                <w:szCs w:val="24"/>
                                <w:lang w:eastAsia="lt-LT"/>
                              </w:rPr>
                              <w:t>Reguliavimo įtaisai įrengti taip, kad neapima viso pastato patalpų šildymo reguliavimo</w:t>
                            </w:r>
                          </w:p>
                        </w:tc>
                        <w:tc>
                          <w:tcPr>
                            <w:tcW w:w="59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0,90</w:t>
                            </w:r>
                          </w:p>
                        </w:tc>
                      </w:tr>
                    </w:tbl>
                    <w:p>
                      <w:pPr>
                        <w:tabs>
                          <w:tab w:val="left" w:pos="567"/>
                        </w:tabs>
                        <w:suppressAutoHyphens/>
                        <w:rPr>
                          <w:rFonts w:eastAsia="Calibri"/>
                          <w:szCs w:val="24"/>
                          <w:lang w:eastAsia="lt-LT"/>
                        </w:rPr>
                      </w:pPr>
                    </w:p>
                    <w:p>
                      <w:pPr>
                        <w:tabs>
                          <w:tab w:val="left" w:pos="567"/>
                        </w:tabs>
                        <w:suppressAutoHyphens/>
                        <w:jc w:val="center"/>
                        <w:rPr>
                          <w:b/>
                          <w:bCs/>
                          <w:color w:val="000000"/>
                          <w:szCs w:val="24"/>
                          <w:lang w:eastAsia="lt-LT"/>
                        </w:rPr>
                      </w:pPr>
                      <w:r>
                        <w:rPr>
                          <w:b/>
                          <w:bCs/>
                          <w:color w:val="000000"/>
                          <w:szCs w:val="24"/>
                          <w:lang w:eastAsia="lt-LT"/>
                        </w:rPr>
                        <w:t xml:space="preserve">Šilumos šaltinio skaičiuojamojo naudingumo koeficiento </w:t>
                      </w:r>
                      <w:r>
                        <w:rPr>
                          <w:b/>
                          <w:bCs/>
                          <w:i/>
                          <w:color w:val="000000"/>
                          <w:szCs w:val="24"/>
                          <w:lang w:eastAsia="lt-LT"/>
                        </w:rPr>
                        <w:t>η</w:t>
                      </w:r>
                      <w:r>
                        <w:rPr>
                          <w:b/>
                          <w:bCs/>
                          <w:i/>
                          <w:color w:val="000000"/>
                          <w:szCs w:val="24"/>
                          <w:vertAlign w:val="subscript"/>
                          <w:lang w:eastAsia="lt-LT"/>
                        </w:rPr>
                        <w:t>2</w:t>
                      </w:r>
                      <w:r>
                        <w:rPr>
                          <w:b/>
                          <w:bCs/>
                          <w:color w:val="000000"/>
                          <w:szCs w:val="24"/>
                          <w:lang w:eastAsia="lt-LT"/>
                        </w:rPr>
                        <w:t xml:space="preserve"> vertės</w:t>
                      </w:r>
                    </w:p>
                    <w:p>
                      <w:pPr>
                        <w:tabs>
                          <w:tab w:val="left" w:pos="567"/>
                        </w:tabs>
                        <w:suppressAutoHyphens/>
                        <w:ind w:left="720"/>
                        <w:jc w:val="right"/>
                        <w:rPr>
                          <w:color w:val="000000"/>
                          <w:szCs w:val="24"/>
                          <w:lang w:eastAsia="lt-LT"/>
                        </w:rPr>
                      </w:pPr>
                      <w:r>
                        <w:rPr>
                          <w:color w:val="000000"/>
                          <w:szCs w:val="24"/>
                          <w:lang w:eastAsia="lt-LT"/>
                        </w:rPr>
                        <w:t>2.45 lentelė</w:t>
                      </w:r>
                    </w:p>
                    <w:tbl>
                      <w:tblPr>
                        <w:tblW w:w="4891" w:type="pct"/>
                        <w:tblInd w:w="108" w:type="dxa"/>
                        <w:tblLook w:val="04A0" w:firstRow="1" w:lastRow="0" w:firstColumn="1" w:lastColumn="0" w:noHBand="0" w:noVBand="1"/>
                      </w:tblPr>
                      <w:tblGrid>
                        <w:gridCol w:w="566"/>
                        <w:gridCol w:w="7941"/>
                        <w:gridCol w:w="1132"/>
                      </w:tblGrid>
                      <w:tr>
                        <w:trPr>
                          <w:trHeight w:val="479"/>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bCs/>
                                <w:color w:val="000000"/>
                                <w:szCs w:val="24"/>
                                <w:lang w:eastAsia="lt-LT"/>
                              </w:rPr>
                            </w:pPr>
                            <w:r>
                              <w:rPr>
                                <w:bCs/>
                                <w:color w:val="000000"/>
                                <w:szCs w:val="24"/>
                                <w:lang w:eastAsia="lt-LT"/>
                              </w:rPr>
                              <w:t>Eil. Nr.</w:t>
                            </w:r>
                          </w:p>
                        </w:tc>
                        <w:tc>
                          <w:tcPr>
                            <w:tcW w:w="4119"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b/>
                                <w:bCs/>
                                <w:color w:val="000000"/>
                                <w:szCs w:val="24"/>
                                <w:lang w:eastAsia="lt-LT"/>
                              </w:rPr>
                            </w:pPr>
                            <w:r>
                              <w:rPr>
                                <w:bCs/>
                                <w:color w:val="000000"/>
                                <w:szCs w:val="24"/>
                                <w:lang w:eastAsia="lt-LT"/>
                              </w:rPr>
                              <w:t>Šilumos šaltinio apibūdinimas</w:t>
                            </w:r>
                            <w:r>
                              <w:rPr>
                                <w:b/>
                                <w:bCs/>
                                <w:color w:val="000000"/>
                                <w:szCs w:val="24"/>
                                <w:lang w:eastAsia="lt-LT"/>
                              </w:rPr>
                              <w:t xml:space="preserve"> </w:t>
                            </w:r>
                          </w:p>
                        </w:tc>
                        <w:tc>
                          <w:tcPr>
                            <w:tcW w:w="587" w:type="pct"/>
                            <w:tcBorders>
                              <w:top w:val="single" w:sz="4" w:space="0" w:color="auto"/>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color w:val="000000"/>
                                <w:szCs w:val="24"/>
                                <w:lang w:eastAsia="lt-LT"/>
                              </w:rPr>
                            </w:pPr>
                            <w:r>
                              <w:rPr>
                                <w:bCs/>
                                <w:i/>
                                <w:iCs/>
                                <w:color w:val="000000"/>
                                <w:szCs w:val="24"/>
                                <w:lang w:eastAsia="lt-LT"/>
                              </w:rPr>
                              <w:t>η</w:t>
                            </w:r>
                            <w:r>
                              <w:rPr>
                                <w:bCs/>
                                <w:i/>
                                <w:iCs/>
                                <w:color w:val="000000"/>
                                <w:szCs w:val="24"/>
                                <w:vertAlign w:val="subscript"/>
                                <w:lang w:eastAsia="lt-LT"/>
                              </w:rPr>
                              <w:t>2</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1.</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Šilumos tinklai, rankinis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0,9</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2.</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Šilumos tinklai, automatinis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1</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3.</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Dujinis katilas, rankinis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0,8</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4.</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Dujinis katilas, automatinis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0,94</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5.</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 xml:space="preserve">Dujiniai spindulinio šildymo prietaisai </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1</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color w:val="000000"/>
                                <w:szCs w:val="24"/>
                                <w:lang w:eastAsia="lt-LT"/>
                              </w:rPr>
                            </w:pPr>
                            <w:r>
                              <w:rPr>
                                <w:color w:val="000000"/>
                                <w:szCs w:val="24"/>
                                <w:lang w:eastAsia="lt-LT"/>
                              </w:rPr>
                              <w:t>6.</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Skystojo kuro katilas, rankinis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0,75</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7.</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Skystojo kuro katilas, automatinis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0,87</w:t>
                            </w:r>
                          </w:p>
                        </w:tc>
                      </w:tr>
                      <w:tr>
                        <w:trPr>
                          <w:trHeight w:val="315"/>
                        </w:trPr>
                        <w:tc>
                          <w:tcPr>
                            <w:tcW w:w="294"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8.</w:t>
                            </w:r>
                          </w:p>
                        </w:tc>
                        <w:tc>
                          <w:tcPr>
                            <w:tcW w:w="4119"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Kietojo kuro katilas, rankinis reguliavimas</w:t>
                            </w:r>
                          </w:p>
                        </w:tc>
                        <w:tc>
                          <w:tcPr>
                            <w:tcW w:w="587"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0,7</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9.</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Kietojo kuro katilas, automatinis reguliavimas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0,85</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10.</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Šildymas elektra, rankinis reguliavimas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0,9</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11.</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Šildymas elektra, automatinis reguliavimas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1</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12.</w:t>
                            </w:r>
                          </w:p>
                        </w:tc>
                        <w:tc>
                          <w:tcPr>
                            <w:tcW w:w="4119"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Šiluminis siurblys</w:t>
                            </w:r>
                          </w:p>
                        </w:tc>
                        <w:tc>
                          <w:tcPr>
                            <w:tcW w:w="587" w:type="pct"/>
                            <w:tcBorders>
                              <w:top w:val="single" w:sz="4" w:space="0" w:color="auto"/>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b/>
                                <w:color w:val="000000"/>
                                <w:szCs w:val="24"/>
                                <w:vertAlign w:val="superscript"/>
                                <w:lang w:eastAsia="lt-LT"/>
                              </w:rPr>
                            </w:pPr>
                            <w:r>
                              <w:rPr>
                                <w:i/>
                                <w:color w:val="000000"/>
                                <w:szCs w:val="24"/>
                                <w:lang w:eastAsia="lt-LT"/>
                              </w:rPr>
                              <w:t>η</w:t>
                            </w:r>
                            <w:r>
                              <w:rPr>
                                <w:i/>
                                <w:color w:val="000000"/>
                                <w:szCs w:val="24"/>
                                <w:vertAlign w:val="subscript"/>
                                <w:lang w:eastAsia="lt-LT"/>
                              </w:rPr>
                              <w:t>SPF</w:t>
                            </w:r>
                            <w:r>
                              <w:rPr>
                                <w:strike/>
                                <w:color w:val="000000"/>
                                <w:szCs w:val="24"/>
                                <w:lang w:eastAsia="lt-LT"/>
                              </w:rPr>
                              <w:t xml:space="preserve">* </w:t>
                            </w:r>
                            <w:r>
                              <w:rPr>
                                <w:b/>
                                <w:color w:val="000000"/>
                                <w:szCs w:val="24"/>
                                <w:vertAlign w:val="superscript"/>
                                <w:lang w:eastAsia="lt-LT"/>
                              </w:rPr>
                              <w:t>1)</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13.</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Krosnys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0,5</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14.</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Atviro tipo židiniai</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0,2</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15.</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Židiniai su kapsule, kai degimo procesui naudojamas šiltas patalpų oras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0,3</w:t>
                            </w:r>
                          </w:p>
                        </w:tc>
                      </w:tr>
                      <w:tr>
                        <w:trPr>
                          <w:trHeight w:val="315"/>
                        </w:trPr>
                        <w:tc>
                          <w:tcPr>
                            <w:tcW w:w="29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color w:val="000000"/>
                                <w:szCs w:val="24"/>
                                <w:lang w:eastAsia="lt-LT"/>
                              </w:rPr>
                            </w:pPr>
                            <w:r>
                              <w:rPr>
                                <w:color w:val="000000"/>
                                <w:szCs w:val="24"/>
                                <w:lang w:eastAsia="lt-LT"/>
                              </w:rPr>
                              <w:t>16.</w:t>
                            </w:r>
                          </w:p>
                        </w:tc>
                        <w:tc>
                          <w:tcPr>
                            <w:tcW w:w="4119" w:type="pct"/>
                            <w:tcBorders>
                              <w:top w:val="single" w:sz="4" w:space="0" w:color="auto"/>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color w:val="000000"/>
                                <w:szCs w:val="24"/>
                                <w:lang w:eastAsia="lt-LT"/>
                              </w:rPr>
                            </w:pPr>
                            <w:r>
                              <w:rPr>
                                <w:color w:val="000000"/>
                                <w:szCs w:val="24"/>
                                <w:lang w:eastAsia="lt-LT"/>
                              </w:rPr>
                              <w:t>Židiniai su kapsule, kai degimo procesui naudojamas išorės oras</w:t>
                            </w:r>
                          </w:p>
                        </w:tc>
                        <w:tc>
                          <w:tcPr>
                            <w:tcW w:w="587" w:type="pct"/>
                            <w:tcBorders>
                              <w:top w:val="single" w:sz="4" w:space="0" w:color="auto"/>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t>0,5</w:t>
                            </w:r>
                          </w:p>
                        </w:tc>
                      </w:tr>
                      <w:tr>
                        <w:trPr>
                          <w:trHeight w:val="315"/>
                        </w:trPr>
                        <w:tc>
                          <w:tcPr>
                            <w:tcW w:w="294" w:type="pc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jc w:val="both"/>
                              <w:rPr>
                                <w:color w:val="000000"/>
                                <w:szCs w:val="24"/>
                                <w:lang w:eastAsia="lt-LT"/>
                              </w:rPr>
                            </w:pPr>
                            <w:r>
                              <w:rPr>
                                <w:color w:val="000000"/>
                                <w:szCs w:val="24"/>
                                <w:lang w:eastAsia="lt-LT"/>
                              </w:rPr>
                              <w:t>17.</w:t>
                            </w:r>
                          </w:p>
                        </w:tc>
                        <w:tc>
                          <w:tcPr>
                            <w:tcW w:w="4119" w:type="pct"/>
                            <w:tcBorders>
                              <w:top w:val="single" w:sz="4" w:space="0" w:color="auto"/>
                              <w:left w:val="single" w:sz="4" w:space="0" w:color="auto"/>
                              <w:bottom w:val="single" w:sz="4" w:space="0" w:color="auto"/>
                              <w:right w:val="single" w:sz="4" w:space="0" w:color="auto"/>
                            </w:tcBorders>
                            <w:noWrap/>
                            <w:vAlign w:val="bottom"/>
                          </w:tcPr>
                          <w:p>
                            <w:pPr>
                              <w:tabs>
                                <w:tab w:val="left" w:pos="567"/>
                              </w:tabs>
                              <w:suppressAutoHyphens/>
                              <w:spacing w:line="276" w:lineRule="auto"/>
                              <w:jc w:val="both"/>
                              <w:rPr>
                                <w:color w:val="000000"/>
                                <w:szCs w:val="24"/>
                                <w:lang w:eastAsia="lt-LT"/>
                              </w:rPr>
                            </w:pPr>
                            <w:r>
                              <w:rPr>
                                <w:szCs w:val="24"/>
                                <w:lang w:eastAsia="lt-LT"/>
                              </w:rPr>
                              <w:t>Dujinis katilas su absorbciniu šilumos siurbliu</w:t>
                            </w:r>
                          </w:p>
                        </w:tc>
                        <w:tc>
                          <w:tcPr>
                            <w:tcW w:w="587" w:type="pct"/>
                            <w:tcBorders>
                              <w:top w:val="single" w:sz="4" w:space="0" w:color="auto"/>
                              <w:left w:val="nil"/>
                              <w:bottom w:val="single" w:sz="4" w:space="0" w:color="auto"/>
                              <w:right w:val="single" w:sz="4" w:space="0" w:color="auto"/>
                            </w:tcBorders>
                            <w:noWrap/>
                            <w:vAlign w:val="bottom"/>
                          </w:tcPr>
                          <w:p>
                            <w:pPr>
                              <w:tabs>
                                <w:tab w:val="left" w:pos="567"/>
                              </w:tabs>
                              <w:suppressAutoHyphens/>
                              <w:spacing w:line="276" w:lineRule="auto"/>
                              <w:jc w:val="center"/>
                              <w:rPr>
                                <w:color w:val="000000"/>
                                <w:szCs w:val="24"/>
                                <w:lang w:eastAsia="lt-LT"/>
                              </w:rPr>
                            </w:pPr>
                            <w:r>
                              <w:rPr>
                                <w:i/>
                                <w:szCs w:val="24"/>
                                <w:lang w:eastAsia="lt-LT"/>
                              </w:rPr>
                              <w:t>η</w:t>
                            </w:r>
                            <w:r>
                              <w:rPr>
                                <w:i/>
                                <w:szCs w:val="24"/>
                                <w:vertAlign w:val="subscript"/>
                                <w:lang w:eastAsia="lt-LT"/>
                              </w:rPr>
                              <w:t>GHP.H</w:t>
                            </w:r>
                            <w:r>
                              <w:rPr>
                                <w:szCs w:val="24"/>
                                <w:vertAlign w:val="superscript"/>
                                <w:lang w:eastAsia="lt-LT"/>
                              </w:rPr>
                              <w:t xml:space="preserve"> 2)</w:t>
                            </w:r>
                          </w:p>
                        </w:tc>
                      </w:tr>
                    </w:tbl>
                    <w:p/>
                    <w:p>
                      <w:pPr>
                        <w:tabs>
                          <w:tab w:val="left" w:pos="567"/>
                        </w:tabs>
                        <w:suppressAutoHyphens/>
                        <w:jc w:val="both"/>
                        <w:rPr>
                          <w:lang w:eastAsia="lt-LT"/>
                        </w:rPr>
                      </w:pPr>
                      <w:r>
                        <w:rPr>
                          <w:szCs w:val="24"/>
                          <w:vertAlign w:val="superscript"/>
                          <w:lang w:eastAsia="lt-LT"/>
                        </w:rPr>
                        <w:t>1)</w:t>
                      </w:r>
                      <w:r>
                        <w:rPr>
                          <w:color w:val="FF0000"/>
                          <w:lang w:eastAsia="lt-LT"/>
                        </w:rPr>
                        <w:t xml:space="preserve"> </w:t>
                      </w:r>
                      <w:r>
                        <w:rPr>
                          <w:lang w:eastAsia="lt-LT"/>
                        </w:rPr>
                        <w:t>η</w:t>
                      </w:r>
                      <w:r>
                        <w:rPr>
                          <w:vertAlign w:val="subscript"/>
                          <w:lang w:eastAsia="lt-LT"/>
                        </w:rPr>
                        <w:t>SPF</w:t>
                      </w:r>
                      <w:r>
                        <w:rPr>
                          <w:color w:val="FF0000"/>
                          <w:lang w:eastAsia="lt-LT"/>
                        </w:rPr>
                        <w:t xml:space="preserve"> </w:t>
                      </w:r>
                      <w:r>
                        <w:rPr>
                          <w:lang w:eastAsia="lt-LT"/>
                        </w:rPr>
                        <w:t>–</w:t>
                      </w:r>
                      <w:r>
                        <w:rPr>
                          <w:color w:val="FF0000"/>
                          <w:lang w:eastAsia="lt-LT"/>
                        </w:rPr>
                        <w:t xml:space="preserve"> </w:t>
                      </w:r>
                      <w:r>
                        <w:rPr>
                          <w:szCs w:val="24"/>
                          <w:lang w:eastAsia="lt-LT"/>
                        </w:rPr>
                        <w:t xml:space="preserve">sezoninis naudingumo koeficientas (SPF). Apskaičiuojamas dauginant </w:t>
                      </w:r>
                      <w:r>
                        <w:rPr>
                          <w:lang w:eastAsia="lt-LT"/>
                        </w:rPr>
                        <w:t xml:space="preserve">COP, nustatytą pagal [3.35] arba [3.44] bandymų metodus prie standartinių bandymo sąlygų, iš 0,9. COP vertė prie standartinių bandymo sąlygų imama iš siurblio techninės dokumentacijos. </w:t>
                      </w:r>
                      <w:r>
                        <w:rPr>
                          <w:color w:val="000000"/>
                          <w:szCs w:val="24"/>
                          <w:lang w:eastAsia="lt-LT"/>
                        </w:rPr>
                        <w:t>Jei nėra</w:t>
                      </w:r>
                      <w:r>
                        <w:rPr>
                          <w:lang w:eastAsia="lt-LT"/>
                        </w:rPr>
                        <w:t xml:space="preserve"> duomenų, </w:t>
                      </w:r>
                      <w:r>
                        <w:rPr>
                          <w:bCs/>
                          <w:i/>
                          <w:lang w:eastAsia="lt-LT"/>
                        </w:rPr>
                        <w:t>η</w:t>
                      </w:r>
                      <w:r>
                        <w:rPr>
                          <w:bCs/>
                          <w:i/>
                          <w:vertAlign w:val="subscript"/>
                          <w:lang w:eastAsia="lt-LT"/>
                        </w:rPr>
                        <w:t>SPF</w:t>
                      </w:r>
                      <w:r>
                        <w:rPr>
                          <w:bCs/>
                          <w:lang w:eastAsia="lt-LT"/>
                        </w:rPr>
                        <w:t xml:space="preserve"> </w:t>
                      </w:r>
                      <w:r>
                        <w:rPr>
                          <w:lang w:eastAsia="lt-LT"/>
                        </w:rPr>
                        <w:t>imamas iš 2.17 lentelės;</w:t>
                      </w:r>
                    </w:p>
                    <w:p>
                      <w:pPr>
                        <w:tabs>
                          <w:tab w:val="left" w:pos="567"/>
                        </w:tabs>
                        <w:suppressAutoHyphens/>
                        <w:ind w:firstLine="62"/>
                        <w:rPr>
                          <w:bCs/>
                          <w:szCs w:val="24"/>
                          <w:lang w:eastAsia="lt-LT"/>
                        </w:rPr>
                      </w:pPr>
                      <w:r>
                        <w:rPr>
                          <w:vertAlign w:val="superscript"/>
                          <w:lang w:eastAsia="lt-LT"/>
                        </w:rPr>
                        <w:t>2)</w:t>
                      </w:r>
                      <w:r>
                        <w:rPr>
                          <w:lang w:eastAsia="lt-LT"/>
                        </w:rPr>
                        <w:t xml:space="preserve"> </w:t>
                      </w:r>
                      <w:r>
                        <w:rPr>
                          <w:i/>
                          <w:szCs w:val="24"/>
                          <w:lang w:eastAsia="lt-LT"/>
                        </w:rPr>
                        <w:t>η</w:t>
                      </w:r>
                      <w:r>
                        <w:rPr>
                          <w:i/>
                          <w:szCs w:val="24"/>
                          <w:vertAlign w:val="subscript"/>
                          <w:lang w:eastAsia="lt-LT"/>
                        </w:rPr>
                        <w:t xml:space="preserve">GHP.H </w:t>
                      </w:r>
                      <w:r>
                        <w:rPr>
                          <w:szCs w:val="24"/>
                          <w:lang w:eastAsia="lt-LT"/>
                        </w:rPr>
                        <w:t xml:space="preserve">– </w:t>
                      </w:r>
                      <w:r>
                        <w:rPr>
                          <w:bCs/>
                          <w:szCs w:val="24"/>
                          <w:lang w:eastAsia="lt-LT"/>
                        </w:rPr>
                        <w:t>pagal [3.46], [3.47] reikalavimus prie standartinių bandymo sąlygų nustatyta dujinio katilo su absorbciniu šilumos siurbliu</w:t>
                      </w:r>
                      <w:r>
                        <w:rPr>
                          <w:szCs w:val="24"/>
                          <w:lang w:eastAsia="lt-LT"/>
                        </w:rPr>
                        <w:t xml:space="preserve"> naudingumo koeficiento vertė šildymo režimu, vnt. Jei </w:t>
                      </w:r>
                      <w:r>
                        <w:rPr>
                          <w:i/>
                          <w:szCs w:val="24"/>
                          <w:lang w:eastAsia="lt-LT"/>
                        </w:rPr>
                        <w:t>η</w:t>
                      </w:r>
                      <w:r>
                        <w:rPr>
                          <w:i/>
                          <w:szCs w:val="24"/>
                          <w:vertAlign w:val="subscript"/>
                          <w:lang w:eastAsia="lt-LT"/>
                        </w:rPr>
                        <w:t>GHP.H</w:t>
                      </w:r>
                      <w:r>
                        <w:rPr>
                          <w:szCs w:val="24"/>
                          <w:lang w:eastAsia="lt-LT"/>
                        </w:rPr>
                        <w:t xml:space="preserve"> vertė nežinoma, ji imama iš 2.16 lentelės.</w:t>
                      </w:r>
                    </w:p>
                    <w:p>
                      <w:pPr>
                        <w:tabs>
                          <w:tab w:val="left" w:pos="567"/>
                        </w:tabs>
                        <w:suppressAutoHyphens/>
                        <w:rPr>
                          <w:rFonts w:eastAsia="Calibri"/>
                          <w:szCs w:val="24"/>
                          <w:lang w:eastAsia="lt-LT"/>
                        </w:rPr>
                      </w:pPr>
                    </w:p>
                    <w:p>
                      <w:pPr>
                        <w:tabs>
                          <w:tab w:val="left" w:pos="567"/>
                        </w:tabs>
                        <w:suppressAutoHyphens/>
                        <w:jc w:val="center"/>
                        <w:rPr>
                          <w:b/>
                          <w:bCs/>
                          <w:szCs w:val="24"/>
                          <w:lang w:eastAsia="lt-LT"/>
                        </w:rPr>
                      </w:pPr>
                      <w:r>
                        <w:rPr>
                          <w:b/>
                          <w:bCs/>
                          <w:szCs w:val="24"/>
                          <w:lang w:eastAsia="lt-LT"/>
                        </w:rPr>
                        <w:t xml:space="preserve">Pataisos koeficientai </w:t>
                      </w:r>
                      <w:r>
                        <w:rPr>
                          <w:b/>
                          <w:bCs/>
                          <w:i/>
                          <w:szCs w:val="24"/>
                          <w:lang w:eastAsia="lt-LT"/>
                        </w:rPr>
                        <w:t>k</w:t>
                      </w:r>
                      <w:r>
                        <w:rPr>
                          <w:b/>
                          <w:bCs/>
                          <w:i/>
                          <w:szCs w:val="24"/>
                          <w:vertAlign w:val="subscript"/>
                          <w:lang w:eastAsia="lt-LT"/>
                        </w:rPr>
                        <w:t>2.reg</w:t>
                      </w:r>
                      <w:r>
                        <w:rPr>
                          <w:b/>
                          <w:bCs/>
                          <w:szCs w:val="24"/>
                          <w:lang w:eastAsia="lt-LT"/>
                        </w:rPr>
                        <w:t xml:space="preserve"> šilumos šaltinio naudingumo koeficientui, kai šilumos šaltinis reguliuojamas rankiniu būdu, o skaičiuojant naudojamos šilumos šaltinio gamintojo deklaruojama naudingumo koeficiento vertė</w:t>
                      </w:r>
                    </w:p>
                    <w:p>
                      <w:pPr>
                        <w:tabs>
                          <w:tab w:val="left" w:pos="567"/>
                        </w:tabs>
                        <w:suppressAutoHyphens/>
                        <w:ind w:left="720"/>
                        <w:jc w:val="right"/>
                        <w:rPr>
                          <w:szCs w:val="24"/>
                          <w:lang w:eastAsia="lt-LT"/>
                        </w:rPr>
                      </w:pPr>
                      <w:r>
                        <w:rPr>
                          <w:szCs w:val="24"/>
                          <w:lang w:eastAsia="lt-LT"/>
                        </w:rPr>
                        <w:t>2.46 lentelė</w:t>
                      </w:r>
                    </w:p>
                    <w:tbl>
                      <w:tblPr>
                        <w:tblW w:w="4891" w:type="pct"/>
                        <w:tblInd w:w="108" w:type="dxa"/>
                        <w:tblLook w:val="04A0" w:firstRow="1" w:lastRow="0" w:firstColumn="1" w:lastColumn="0" w:noHBand="0" w:noVBand="1"/>
                      </w:tblPr>
                      <w:tblGrid>
                        <w:gridCol w:w="568"/>
                        <w:gridCol w:w="7966"/>
                        <w:gridCol w:w="1105"/>
                      </w:tblGrid>
                      <w:tr>
                        <w:trPr>
                          <w:trHeight w:val="479"/>
                        </w:trPr>
                        <w:tc>
                          <w:tcPr>
                            <w:tcW w:w="295"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bCs/>
                                <w:szCs w:val="24"/>
                                <w:lang w:eastAsia="lt-LT"/>
                              </w:rPr>
                            </w:pPr>
                            <w:r>
                              <w:rPr>
                                <w:bCs/>
                                <w:szCs w:val="24"/>
                                <w:lang w:eastAsia="lt-LT"/>
                              </w:rPr>
                              <w:t>Eil. Nr.</w:t>
                            </w:r>
                          </w:p>
                        </w:tc>
                        <w:tc>
                          <w:tcPr>
                            <w:tcW w:w="4132"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bCs/>
                                <w:szCs w:val="24"/>
                                <w:lang w:eastAsia="lt-LT"/>
                              </w:rPr>
                            </w:pPr>
                            <w:r>
                              <w:rPr>
                                <w:bCs/>
                                <w:szCs w:val="24"/>
                                <w:lang w:eastAsia="lt-LT"/>
                              </w:rPr>
                              <w:t>Šilumos šaltinio apibūdinimas</w:t>
                            </w:r>
                          </w:p>
                        </w:tc>
                        <w:tc>
                          <w:tcPr>
                            <w:tcW w:w="573" w:type="pct"/>
                            <w:tcBorders>
                              <w:top w:val="single" w:sz="4" w:space="0" w:color="auto"/>
                              <w:left w:val="nil"/>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szCs w:val="24"/>
                                <w:lang w:eastAsia="lt-LT"/>
                              </w:rPr>
                            </w:pPr>
                            <w:r>
                              <w:rPr>
                                <w:b/>
                                <w:i/>
                                <w:szCs w:val="24"/>
                                <w:lang w:eastAsia="lt-LT"/>
                              </w:rPr>
                              <w:t>k</w:t>
                            </w:r>
                            <w:r>
                              <w:rPr>
                                <w:b/>
                                <w:i/>
                                <w:szCs w:val="24"/>
                                <w:vertAlign w:val="subscript"/>
                                <w:lang w:eastAsia="lt-LT"/>
                              </w:rPr>
                              <w:t>2.re</w:t>
                            </w:r>
                          </w:p>
                        </w:tc>
                      </w:tr>
                      <w:tr>
                        <w:trPr>
                          <w:trHeight w:val="315"/>
                        </w:trPr>
                        <w:tc>
                          <w:tcPr>
                            <w:tcW w:w="295"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1.</w:t>
                            </w:r>
                          </w:p>
                        </w:tc>
                        <w:tc>
                          <w:tcPr>
                            <w:tcW w:w="4132"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4"/>
                                <w:lang w:eastAsia="lt-LT"/>
                              </w:rPr>
                            </w:pPr>
                            <w:r>
                              <w:rPr>
                                <w:szCs w:val="24"/>
                                <w:lang w:eastAsia="lt-LT"/>
                              </w:rPr>
                              <w:t>Dujinis katilas</w:t>
                            </w:r>
                          </w:p>
                        </w:tc>
                        <w:tc>
                          <w:tcPr>
                            <w:tcW w:w="573"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4"/>
                                <w:lang w:eastAsia="lt-LT"/>
                              </w:rPr>
                            </w:pPr>
                            <w:r>
                              <w:rPr>
                                <w:szCs w:val="24"/>
                                <w:lang w:eastAsia="lt-LT"/>
                              </w:rPr>
                              <w:t>0,85</w:t>
                            </w:r>
                          </w:p>
                        </w:tc>
                      </w:tr>
                      <w:tr>
                        <w:trPr>
                          <w:trHeight w:val="315"/>
                        </w:trPr>
                        <w:tc>
                          <w:tcPr>
                            <w:tcW w:w="295"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2.</w:t>
                            </w:r>
                          </w:p>
                        </w:tc>
                        <w:tc>
                          <w:tcPr>
                            <w:tcW w:w="4132"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4"/>
                                <w:lang w:eastAsia="lt-LT"/>
                              </w:rPr>
                            </w:pPr>
                            <w:r>
                              <w:rPr>
                                <w:szCs w:val="24"/>
                                <w:lang w:eastAsia="lt-LT"/>
                              </w:rPr>
                              <w:t>Skystojo kuro katilas</w:t>
                            </w:r>
                          </w:p>
                        </w:tc>
                        <w:tc>
                          <w:tcPr>
                            <w:tcW w:w="573"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4"/>
                                <w:lang w:eastAsia="lt-LT"/>
                              </w:rPr>
                            </w:pPr>
                            <w:r>
                              <w:rPr>
                                <w:szCs w:val="24"/>
                                <w:lang w:eastAsia="lt-LT"/>
                              </w:rPr>
                              <w:t>0,86</w:t>
                            </w:r>
                          </w:p>
                        </w:tc>
                      </w:tr>
                      <w:tr>
                        <w:trPr>
                          <w:trHeight w:val="315"/>
                        </w:trPr>
                        <w:tc>
                          <w:tcPr>
                            <w:tcW w:w="295" w:type="pct"/>
                            <w:tcBorders>
                              <w:top w:val="nil"/>
                              <w:left w:val="single" w:sz="4" w:space="0" w:color="auto"/>
                              <w:bottom w:val="single" w:sz="4" w:space="0" w:color="auto"/>
                              <w:right w:val="single" w:sz="4" w:space="0" w:color="auto"/>
                            </w:tcBorders>
                            <w:hideMark/>
                          </w:tcPr>
                          <w:p>
                            <w:pPr>
                              <w:tabs>
                                <w:tab w:val="left" w:pos="567"/>
                              </w:tabs>
                              <w:suppressAutoHyphens/>
                              <w:spacing w:line="276" w:lineRule="auto"/>
                              <w:jc w:val="center"/>
                              <w:rPr>
                                <w:szCs w:val="24"/>
                                <w:lang w:eastAsia="lt-LT"/>
                              </w:rPr>
                            </w:pPr>
                            <w:r>
                              <w:rPr>
                                <w:szCs w:val="24"/>
                                <w:lang w:eastAsia="lt-LT"/>
                              </w:rPr>
                              <w:t>3.</w:t>
                            </w:r>
                          </w:p>
                        </w:tc>
                        <w:tc>
                          <w:tcPr>
                            <w:tcW w:w="4132" w:type="pct"/>
                            <w:tcBorders>
                              <w:top w:val="nil"/>
                              <w:left w:val="single" w:sz="4" w:space="0" w:color="auto"/>
                              <w:bottom w:val="single" w:sz="4" w:space="0" w:color="auto"/>
                              <w:right w:val="single" w:sz="4" w:space="0" w:color="auto"/>
                            </w:tcBorders>
                            <w:noWrap/>
                            <w:vAlign w:val="bottom"/>
                            <w:hideMark/>
                          </w:tcPr>
                          <w:p>
                            <w:pPr>
                              <w:tabs>
                                <w:tab w:val="left" w:pos="567"/>
                              </w:tabs>
                              <w:suppressAutoHyphens/>
                              <w:spacing w:line="276" w:lineRule="auto"/>
                              <w:jc w:val="both"/>
                              <w:rPr>
                                <w:rFonts w:eastAsia="Calibri"/>
                                <w:szCs w:val="24"/>
                                <w:lang w:eastAsia="lt-LT"/>
                              </w:rPr>
                            </w:pPr>
                            <w:r>
                              <w:rPr>
                                <w:szCs w:val="24"/>
                                <w:lang w:eastAsia="lt-LT"/>
                              </w:rPr>
                              <w:t>Kietojo kuro katilas</w:t>
                            </w:r>
                          </w:p>
                        </w:tc>
                        <w:tc>
                          <w:tcPr>
                            <w:tcW w:w="573" w:type="pct"/>
                            <w:tcBorders>
                              <w:top w:val="nil"/>
                              <w:left w:val="nil"/>
                              <w:bottom w:val="single" w:sz="4" w:space="0" w:color="auto"/>
                              <w:right w:val="single" w:sz="4" w:space="0" w:color="auto"/>
                            </w:tcBorders>
                            <w:noWrap/>
                            <w:vAlign w:val="bottom"/>
                            <w:hideMark/>
                          </w:tcPr>
                          <w:p>
                            <w:pPr>
                              <w:tabs>
                                <w:tab w:val="left" w:pos="567"/>
                              </w:tabs>
                              <w:suppressAutoHyphens/>
                              <w:spacing w:line="276" w:lineRule="auto"/>
                              <w:jc w:val="center"/>
                              <w:rPr>
                                <w:rFonts w:eastAsia="Calibri"/>
                                <w:szCs w:val="24"/>
                                <w:lang w:eastAsia="lt-LT"/>
                              </w:rPr>
                            </w:pPr>
                            <w:r>
                              <w:rPr>
                                <w:szCs w:val="24"/>
                                <w:lang w:eastAsia="lt-LT"/>
                              </w:rPr>
                              <w:t>0,82</w:t>
                            </w:r>
                          </w:p>
                        </w:tc>
                      </w:tr>
                    </w:tbl>
                    <w:p>
                      <w:pPr>
                        <w:tabs>
                          <w:tab w:val="left" w:pos="567"/>
                        </w:tabs>
                        <w:suppressAutoHyphens/>
                        <w:jc w:val="center"/>
                        <w:rPr>
                          <w:color w:val="000000"/>
                          <w:szCs w:val="24"/>
                          <w:lang w:eastAsia="lt-LT"/>
                        </w:rPr>
                      </w:pPr>
                    </w:p>
                    <w:p>
                      <w:pPr>
                        <w:tabs>
                          <w:tab w:val="left" w:pos="567"/>
                        </w:tabs>
                        <w:suppressAutoHyphens/>
                        <w:jc w:val="center"/>
                        <w:rPr>
                          <w:b/>
                          <w:bCs/>
                          <w:color w:val="000000"/>
                          <w:szCs w:val="24"/>
                          <w:lang w:eastAsia="lt-LT"/>
                        </w:rPr>
                      </w:pPr>
                      <w:r>
                        <w:rPr>
                          <w:b/>
                          <w:bCs/>
                          <w:color w:val="000000"/>
                          <w:szCs w:val="24"/>
                          <w:lang w:eastAsia="lt-LT"/>
                        </w:rPr>
                        <w:t xml:space="preserve">Darbo laiko koeficientai pirmajam </w:t>
                      </w:r>
                      <w:r>
                        <w:rPr>
                          <w:b/>
                          <w:bCs/>
                          <w:i/>
                          <w:color w:val="000000"/>
                          <w:szCs w:val="24"/>
                          <w:lang w:eastAsia="lt-LT"/>
                        </w:rPr>
                        <w:t>τ</w:t>
                      </w:r>
                      <w:r>
                        <w:rPr>
                          <w:b/>
                          <w:bCs/>
                          <w:i/>
                          <w:color w:val="000000"/>
                          <w:szCs w:val="24"/>
                          <w:vertAlign w:val="subscript"/>
                          <w:lang w:eastAsia="lt-LT"/>
                        </w:rPr>
                        <w:t>1,m</w:t>
                      </w:r>
                      <w:r>
                        <w:rPr>
                          <w:b/>
                          <w:bCs/>
                          <w:color w:val="000000"/>
                          <w:szCs w:val="24"/>
                          <w:lang w:eastAsia="lt-LT"/>
                        </w:rPr>
                        <w:t xml:space="preserve"> (vnt.) ir antrajam </w:t>
                      </w:r>
                      <w:r>
                        <w:rPr>
                          <w:b/>
                          <w:bCs/>
                          <w:i/>
                          <w:color w:val="000000"/>
                          <w:szCs w:val="24"/>
                          <w:lang w:eastAsia="lt-LT"/>
                        </w:rPr>
                        <w:t>τ</w:t>
                      </w:r>
                      <w:r>
                        <w:rPr>
                          <w:b/>
                          <w:bCs/>
                          <w:i/>
                          <w:color w:val="000000"/>
                          <w:szCs w:val="24"/>
                          <w:vertAlign w:val="subscript"/>
                          <w:lang w:eastAsia="lt-LT"/>
                        </w:rPr>
                        <w:t>2,m</w:t>
                      </w:r>
                      <w:r>
                        <w:rPr>
                          <w:b/>
                          <w:bCs/>
                          <w:color w:val="000000"/>
                          <w:szCs w:val="24"/>
                          <w:lang w:eastAsia="lt-LT"/>
                        </w:rPr>
                        <w:t xml:space="preserve"> (vnt.) šilumos šaltiniui</w:t>
                      </w:r>
                    </w:p>
                    <w:p>
                      <w:pPr>
                        <w:tabs>
                          <w:tab w:val="left" w:pos="567"/>
                        </w:tabs>
                        <w:suppressAutoHyphens/>
                        <w:ind w:firstLine="62"/>
                        <w:jc w:val="right"/>
                        <w:rPr>
                          <w:color w:val="000000"/>
                          <w:szCs w:val="24"/>
                          <w:lang w:eastAsia="lt-LT"/>
                        </w:rPr>
                      </w:pPr>
                      <w:r>
                        <w:rPr>
                          <w:color w:val="000000"/>
                          <w:szCs w:val="24"/>
                          <w:lang w:eastAsia="lt-LT"/>
                        </w:rPr>
                        <w:t>2.47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2448"/>
                        <w:gridCol w:w="2869"/>
                        <w:gridCol w:w="2733"/>
                        <w:gridCol w:w="1243"/>
                      </w:tblGrid>
                      <w:tr>
                        <w:tc>
                          <w:tcPr>
                            <w:tcW w:w="285"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Eil.</w:t>
                            </w:r>
                          </w:p>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Nr</w:t>
                            </w:r>
                          </w:p>
                        </w:tc>
                        <w:tc>
                          <w:tcPr>
                            <w:tcW w:w="127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1-ojo šilumos šaltinio apibūdinimas</w:t>
                            </w:r>
                          </w:p>
                        </w:tc>
                        <w:tc>
                          <w:tcPr>
                            <w:tcW w:w="1474"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2-ojo šilumos šaltinio apibūdinimas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vertAlign w:val="subscript"/>
                                <w:lang w:eastAsia="lt-LT"/>
                              </w:rPr>
                            </w:pPr>
                            <w:r>
                              <w:rPr>
                                <w:color w:val="000000"/>
                                <w:sz w:val="22"/>
                                <w:szCs w:val="22"/>
                                <w:lang w:eastAsia="lt-LT"/>
                              </w:rPr>
                              <w:t>τ</w:t>
                            </w:r>
                            <w:r>
                              <w:rPr>
                                <w:color w:val="000000"/>
                                <w:sz w:val="22"/>
                                <w:szCs w:val="22"/>
                                <w:vertAlign w:val="subscript"/>
                                <w:lang w:eastAsia="lt-LT"/>
                              </w:rPr>
                              <w:t>1,m</w:t>
                            </w:r>
                          </w:p>
                          <w:p>
                            <w:pPr>
                              <w:tabs>
                                <w:tab w:val="left" w:pos="567"/>
                              </w:tabs>
                              <w:suppressAutoHyphens/>
                              <w:spacing w:line="276" w:lineRule="auto"/>
                              <w:jc w:val="center"/>
                              <w:rPr>
                                <w:rFonts w:eastAsia="Calibri"/>
                                <w:color w:val="000000"/>
                                <w:sz w:val="22"/>
                                <w:szCs w:val="22"/>
                                <w:vertAlign w:val="subscript"/>
                                <w:lang w:eastAsia="lt-LT"/>
                              </w:rPr>
                            </w:pPr>
                            <w:r>
                              <w:rPr>
                                <w:color w:val="000000"/>
                                <w:sz w:val="22"/>
                                <w:szCs w:val="22"/>
                                <w:lang w:eastAsia="lt-LT"/>
                              </w:rPr>
                              <w:t>(1-ojo šilumos šaltinio)</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vertAlign w:val="subscript"/>
                                <w:lang w:eastAsia="lt-LT"/>
                              </w:rPr>
                            </w:pPr>
                            <w:r>
                              <w:rPr>
                                <w:color w:val="000000"/>
                                <w:sz w:val="22"/>
                                <w:szCs w:val="22"/>
                                <w:lang w:eastAsia="lt-LT"/>
                              </w:rPr>
                              <w:t>τ</w:t>
                            </w:r>
                            <w:r>
                              <w:rPr>
                                <w:color w:val="000000"/>
                                <w:sz w:val="22"/>
                                <w:szCs w:val="22"/>
                                <w:vertAlign w:val="subscript"/>
                                <w:lang w:eastAsia="lt-LT"/>
                              </w:rPr>
                              <w:t>2,m</w:t>
                            </w:r>
                          </w:p>
                          <w:p>
                            <w:pPr>
                              <w:tabs>
                                <w:tab w:val="left" w:pos="567"/>
                              </w:tabs>
                              <w:suppressAutoHyphens/>
                              <w:spacing w:line="276" w:lineRule="auto"/>
                              <w:jc w:val="center"/>
                              <w:rPr>
                                <w:rFonts w:eastAsia="Calibri"/>
                                <w:color w:val="000000"/>
                                <w:sz w:val="22"/>
                                <w:szCs w:val="22"/>
                                <w:vertAlign w:val="subscript"/>
                                <w:lang w:eastAsia="lt-LT"/>
                              </w:rPr>
                            </w:pPr>
                            <w:r>
                              <w:rPr>
                                <w:color w:val="000000"/>
                                <w:sz w:val="22"/>
                                <w:szCs w:val="22"/>
                                <w:lang w:eastAsia="lt-LT"/>
                              </w:rPr>
                              <w:t>(2-ojo šilumos šaltinio)</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Šilumos tinklai</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vertAlign w:val="superscript"/>
                                <w:lang w:eastAsia="lt-LT"/>
                              </w:rPr>
                            </w:pPr>
                            <w:r>
                              <w:rPr>
                                <w:color w:val="000000"/>
                                <w:sz w:val="22"/>
                                <w:szCs w:val="22"/>
                                <w:lang w:eastAsia="lt-LT"/>
                              </w:rPr>
                              <w:t>Šiluminis siurblys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r>
                              <w:rPr>
                                <w:color w:val="000000"/>
                                <w:sz w:val="22"/>
                                <w:szCs w:val="22"/>
                                <w:vertAlign w:val="superscript"/>
                                <w:lang w:eastAsia="lt-LT"/>
                              </w:rPr>
                              <w:t>1)</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r>
                              <w:rPr>
                                <w:color w:val="000000"/>
                                <w:sz w:val="22"/>
                                <w:szCs w:val="22"/>
                                <w:vertAlign w:val="superscript"/>
                                <w:lang w:eastAsia="lt-LT"/>
                              </w:rPr>
                              <w:t>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Šilumos tinklai</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vertAlign w:val="superscript"/>
                                <w:lang w:eastAsia="lt-LT"/>
                              </w:rPr>
                            </w:pPr>
                            <w:r>
                              <w:rPr>
                                <w:color w:val="000000"/>
                                <w:sz w:val="22"/>
                                <w:szCs w:val="22"/>
                                <w:lang w:eastAsia="lt-LT"/>
                              </w:rPr>
                              <w:t>Šiluminis siurblys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0,25</w:t>
                            </w:r>
                            <w:r>
                              <w:rPr>
                                <w:color w:val="000000"/>
                                <w:sz w:val="22"/>
                                <w:szCs w:val="22"/>
                                <w:vertAlign w:val="superscript"/>
                                <w:lang w:eastAsia="lt-LT"/>
                              </w:rPr>
                              <w:t>2)</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0,75</w:t>
                            </w:r>
                            <w:r>
                              <w:rPr>
                                <w:color w:val="000000"/>
                                <w:sz w:val="22"/>
                                <w:szCs w:val="22"/>
                                <w:vertAlign w:val="superscript"/>
                                <w:lang w:eastAsia="lt-LT"/>
                              </w:rPr>
                              <w:t xml:space="preserve"> 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3.</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Šilumos tinklai</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vertAlign w:val="superscript"/>
                                <w:lang w:eastAsia="lt-LT"/>
                              </w:rPr>
                            </w:pPr>
                            <w:r>
                              <w:rPr>
                                <w:color w:val="000000"/>
                                <w:sz w:val="22"/>
                                <w:szCs w:val="22"/>
                                <w:lang w:eastAsia="lt-LT"/>
                              </w:rPr>
                              <w:t>Šiluminis siurblys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0,3</w:t>
                            </w:r>
                            <w:r>
                              <w:rPr>
                                <w:color w:val="000000"/>
                                <w:sz w:val="22"/>
                                <w:szCs w:val="22"/>
                                <w:vertAlign w:val="superscript"/>
                                <w:lang w:eastAsia="lt-LT"/>
                              </w:rPr>
                              <w:t>3)</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w:t>
                            </w:r>
                            <w:r>
                              <w:rPr>
                                <w:color w:val="000000"/>
                                <w:sz w:val="22"/>
                                <w:szCs w:val="22"/>
                                <w:vertAlign w:val="superscript"/>
                                <w:lang w:eastAsia="lt-LT"/>
                              </w:rPr>
                              <w:t>3)</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4.</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Šilumos tinklai</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vertAlign w:val="superscript"/>
                                <w:lang w:eastAsia="lt-LT"/>
                              </w:rPr>
                            </w:pPr>
                            <w:r>
                              <w:rPr>
                                <w:color w:val="000000"/>
                                <w:sz w:val="22"/>
                                <w:szCs w:val="22"/>
                                <w:lang w:eastAsia="lt-LT"/>
                              </w:rPr>
                              <w:t>Šiluminis siurblys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r>
                              <w:rPr>
                                <w:color w:val="000000"/>
                                <w:sz w:val="22"/>
                                <w:szCs w:val="22"/>
                                <w:vertAlign w:val="superscript"/>
                                <w:lang w:eastAsia="lt-LT"/>
                              </w:rPr>
                              <w:t>4)</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r>
                              <w:rPr>
                                <w:color w:val="000000"/>
                                <w:sz w:val="22"/>
                                <w:szCs w:val="22"/>
                                <w:vertAlign w:val="superscript"/>
                                <w:lang w:eastAsia="lt-LT"/>
                              </w:rPr>
                              <w:t>4)</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5.</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Šilumos tinklai</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 skystojo kuro katilas arba dujinis katilas (taip pat dujinis su absorbciniu šilumos siurbliu)</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6.</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katilas (taip pat dujinis su absorbciniu šilumos siurbliu)</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Skystojo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0,6</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0,4</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7.</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katilas (taip pat dujinis su absorbciniu šilumos siurbliu)</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0,4</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0,6</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8.</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katilas (taip pat dujinis su absorbciniu šilumos siurbliu)</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9.</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katilas (taip pat dujinis su absorbciniu šilumos siurbliu)</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10.</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katilas (taip pat dujinis su absorbciniu šilumos siurbliu)</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11.</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Skystojo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0,3</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12.</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Skystojo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13.</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Skystojo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14.</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Skystojo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15.</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16.</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17.</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18.</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19.</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20.</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(taip pat dujinis su absorbciniu šilumos siurbliu) arba skystojo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r>
                              <w:rPr>
                                <w:color w:val="000000"/>
                                <w:sz w:val="22"/>
                                <w:szCs w:val="22"/>
                                <w:vertAlign w:val="superscript"/>
                                <w:lang w:eastAsia="lt-LT"/>
                              </w:rPr>
                              <w:t>1)</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r>
                              <w:rPr>
                                <w:color w:val="000000"/>
                                <w:sz w:val="22"/>
                                <w:szCs w:val="22"/>
                                <w:vertAlign w:val="superscript"/>
                                <w:lang w:eastAsia="lt-LT"/>
                              </w:rPr>
                              <w:t>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21.</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(taip pat dujinis su absorbciniu šilumos siurbliu) arba skystojo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0,75</w:t>
                            </w:r>
                            <w:r>
                              <w:rPr>
                                <w:color w:val="000000"/>
                                <w:sz w:val="22"/>
                                <w:szCs w:val="22"/>
                                <w:vertAlign w:val="superscript"/>
                                <w:lang w:eastAsia="lt-LT"/>
                              </w:rPr>
                              <w:t>2)</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0,25</w:t>
                            </w:r>
                            <w:r>
                              <w:rPr>
                                <w:color w:val="000000"/>
                                <w:sz w:val="22"/>
                                <w:szCs w:val="22"/>
                                <w:vertAlign w:val="superscript"/>
                                <w:lang w:eastAsia="lt-LT"/>
                              </w:rPr>
                              <w:t xml:space="preserve"> 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22.</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(taip pat dujinis su absorbciniu šilumos siurbliu) arba skystojo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w:t>
                            </w:r>
                            <w:r>
                              <w:rPr>
                                <w:color w:val="000000"/>
                                <w:sz w:val="22"/>
                                <w:szCs w:val="22"/>
                                <w:vertAlign w:val="superscript"/>
                                <w:lang w:eastAsia="lt-LT"/>
                              </w:rPr>
                              <w:t>3)</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0,3</w:t>
                            </w:r>
                            <w:r>
                              <w:rPr>
                                <w:color w:val="000000"/>
                                <w:sz w:val="22"/>
                                <w:szCs w:val="22"/>
                                <w:vertAlign w:val="superscript"/>
                                <w:lang w:eastAsia="lt-LT"/>
                              </w:rPr>
                              <w:t>3)</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23.</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Dujinis (taip pat dujinis su absorbciniu šilumos siurbliu) arba skystojo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0,6</w:t>
                            </w:r>
                            <w:r>
                              <w:rPr>
                                <w:color w:val="000000"/>
                                <w:sz w:val="22"/>
                                <w:szCs w:val="22"/>
                                <w:vertAlign w:val="superscript"/>
                                <w:lang w:eastAsia="lt-LT"/>
                              </w:rPr>
                              <w:t>4)</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0,4</w:t>
                            </w:r>
                            <w:r>
                              <w:rPr>
                                <w:color w:val="000000"/>
                                <w:sz w:val="22"/>
                                <w:szCs w:val="22"/>
                                <w:vertAlign w:val="superscript"/>
                                <w:lang w:eastAsia="lt-LT"/>
                              </w:rPr>
                              <w:t>4)</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24.</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Kietojo kuro katilas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0,5</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25.</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0,85</w:t>
                            </w:r>
                            <w:r>
                              <w:rPr>
                                <w:color w:val="000000"/>
                                <w:sz w:val="22"/>
                                <w:szCs w:val="22"/>
                                <w:vertAlign w:val="superscript"/>
                                <w:lang w:eastAsia="lt-LT"/>
                              </w:rPr>
                              <w:t xml:space="preserve"> 1)</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0,15</w:t>
                            </w:r>
                            <w:r>
                              <w:rPr>
                                <w:color w:val="000000"/>
                                <w:sz w:val="22"/>
                                <w:szCs w:val="22"/>
                                <w:vertAlign w:val="superscript"/>
                                <w:lang w:eastAsia="lt-LT"/>
                              </w:rPr>
                              <w:t>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26.</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r>
                              <w:rPr>
                                <w:color w:val="000000"/>
                                <w:sz w:val="22"/>
                                <w:szCs w:val="22"/>
                                <w:vertAlign w:val="superscript"/>
                                <w:lang w:eastAsia="lt-LT"/>
                              </w:rPr>
                              <w:t>2)</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r>
                              <w:rPr>
                                <w:color w:val="000000"/>
                                <w:sz w:val="22"/>
                                <w:szCs w:val="22"/>
                                <w:vertAlign w:val="superscript"/>
                                <w:lang w:eastAsia="lt-LT"/>
                              </w:rPr>
                              <w:t xml:space="preserve"> 2)</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27.</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0,75</w:t>
                            </w:r>
                            <w:r>
                              <w:rPr>
                                <w:color w:val="000000"/>
                                <w:sz w:val="22"/>
                                <w:szCs w:val="22"/>
                                <w:vertAlign w:val="superscript"/>
                                <w:lang w:eastAsia="lt-LT"/>
                              </w:rPr>
                              <w:t>3)</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0,25</w:t>
                            </w:r>
                            <w:r>
                              <w:rPr>
                                <w:color w:val="000000"/>
                                <w:sz w:val="22"/>
                                <w:szCs w:val="22"/>
                                <w:vertAlign w:val="superscript"/>
                                <w:lang w:eastAsia="lt-LT"/>
                              </w:rPr>
                              <w:t>3)</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28.</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Šildymas elektra</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0,7</w:t>
                            </w:r>
                            <w:r>
                              <w:rPr>
                                <w:color w:val="000000"/>
                                <w:sz w:val="22"/>
                                <w:szCs w:val="22"/>
                                <w:vertAlign w:val="superscript"/>
                                <w:lang w:eastAsia="lt-LT"/>
                              </w:rPr>
                              <w:t>4)</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0,3</w:t>
                            </w:r>
                            <w:r>
                              <w:rPr>
                                <w:color w:val="000000"/>
                                <w:sz w:val="22"/>
                                <w:szCs w:val="22"/>
                                <w:vertAlign w:val="superscript"/>
                                <w:lang w:eastAsia="lt-LT"/>
                              </w:rPr>
                              <w:t>4)</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29.</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30.</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Šiluminis siurblys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0,9</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0,1</w:t>
                            </w:r>
                          </w:p>
                        </w:tc>
                      </w:tr>
                      <w:tr>
                        <w:tc>
                          <w:tcPr>
                            <w:tcW w:w="285" w:type="pct"/>
                            <w:tcBorders>
                              <w:top w:val="single" w:sz="4" w:space="0" w:color="auto"/>
                              <w:left w:val="single" w:sz="4" w:space="0" w:color="auto"/>
                              <w:bottom w:val="single" w:sz="4" w:space="0" w:color="auto"/>
                              <w:right w:val="single" w:sz="4" w:space="0" w:color="auto"/>
                            </w:tcBorders>
                            <w:hideMark/>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31.</w:t>
                            </w:r>
                          </w:p>
                        </w:tc>
                        <w:tc>
                          <w:tcPr>
                            <w:tcW w:w="1279"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Krosnis</w:t>
                            </w:r>
                          </w:p>
                        </w:tc>
                        <w:tc>
                          <w:tcPr>
                            <w:tcW w:w="1474"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jc w:val="both"/>
                              <w:rPr>
                                <w:rFonts w:eastAsia="Calibri"/>
                                <w:color w:val="000000"/>
                                <w:sz w:val="22"/>
                                <w:szCs w:val="22"/>
                                <w:lang w:eastAsia="lt-LT"/>
                              </w:rPr>
                            </w:pPr>
                            <w:r>
                              <w:rPr>
                                <w:color w:val="000000"/>
                                <w:sz w:val="22"/>
                                <w:szCs w:val="22"/>
                                <w:lang w:eastAsia="lt-LT"/>
                              </w:rPr>
                              <w:t>Židinys</w:t>
                            </w:r>
                          </w:p>
                        </w:tc>
                        <w:tc>
                          <w:tcPr>
                            <w:tcW w:w="140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0,8</w:t>
                            </w:r>
                          </w:p>
                        </w:tc>
                        <w:tc>
                          <w:tcPr>
                            <w:tcW w:w="557"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color w:val="000000"/>
                                <w:sz w:val="22"/>
                                <w:szCs w:val="22"/>
                                <w:lang w:eastAsia="lt-LT"/>
                              </w:rPr>
                            </w:pPr>
                            <w:r>
                              <w:rPr>
                                <w:color w:val="000000"/>
                                <w:sz w:val="22"/>
                                <w:szCs w:val="22"/>
                                <w:lang w:eastAsia="lt-LT"/>
                              </w:rPr>
                              <w:t>0,2</w:t>
                            </w:r>
                          </w:p>
                        </w:tc>
                      </w:tr>
                      <w:tr>
                        <w:tc>
                          <w:tcPr>
                            <w:tcW w:w="285" w:type="pct"/>
                            <w:tcBorders>
                              <w:top w:val="single" w:sz="4" w:space="0" w:color="auto"/>
                              <w:left w:val="single" w:sz="4" w:space="0" w:color="auto"/>
                              <w:bottom w:val="single" w:sz="4" w:space="0" w:color="auto"/>
                              <w:right w:val="single" w:sz="4" w:space="0" w:color="auto"/>
                            </w:tcBorders>
                          </w:tcPr>
                          <w:p>
                            <w:pPr>
                              <w:tabs>
                                <w:tab w:val="left" w:pos="567"/>
                                <w:tab w:val="left" w:pos="720"/>
                              </w:tabs>
                              <w:suppressAutoHyphens/>
                              <w:spacing w:line="276" w:lineRule="auto"/>
                              <w:jc w:val="center"/>
                              <w:rPr>
                                <w:rFonts w:eastAsia="Calibri"/>
                                <w:color w:val="000000"/>
                                <w:sz w:val="22"/>
                                <w:szCs w:val="22"/>
                                <w:lang w:eastAsia="lt-LT"/>
                              </w:rPr>
                            </w:pPr>
                            <w:r>
                              <w:rPr>
                                <w:rFonts w:eastAsia="Calibri"/>
                                <w:color w:val="000000"/>
                                <w:sz w:val="22"/>
                                <w:szCs w:val="22"/>
                                <w:lang w:eastAsia="lt-LT"/>
                              </w:rPr>
                              <w:t>31</w:t>
                            </w:r>
                            <w:r>
                              <w:rPr>
                                <w:rFonts w:eastAsia="Calibri"/>
                                <w:color w:val="000000"/>
                                <w:sz w:val="22"/>
                                <w:szCs w:val="22"/>
                                <w:vertAlign w:val="superscript"/>
                                <w:lang w:eastAsia="lt-LT"/>
                              </w:rPr>
                              <w:t>1</w:t>
                            </w:r>
                            <w:r>
                              <w:rPr>
                                <w:rFonts w:eastAsia="Calibri"/>
                                <w:color w:val="000000"/>
                                <w:sz w:val="22"/>
                                <w:szCs w:val="22"/>
                                <w:lang w:eastAsia="lt-LT"/>
                              </w:rPr>
                              <w:t>.</w:t>
                            </w:r>
                          </w:p>
                        </w:tc>
                        <w:tc>
                          <w:tcPr>
                            <w:tcW w:w="1279" w:type="pc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rPr>
                                <w:color w:val="000000"/>
                                <w:sz w:val="22"/>
                                <w:szCs w:val="22"/>
                                <w:lang w:eastAsia="lt-LT"/>
                              </w:rPr>
                            </w:pPr>
                            <w:r>
                              <w:rPr>
                                <w:color w:val="000000"/>
                                <w:sz w:val="22"/>
                                <w:szCs w:val="22"/>
                                <w:lang w:eastAsia="lt-LT"/>
                              </w:rPr>
                              <w:t>Dujinis katilas su absorbciniu šilumos siurbliu</w:t>
                            </w:r>
                          </w:p>
                        </w:tc>
                        <w:tc>
                          <w:tcPr>
                            <w:tcW w:w="1474" w:type="pc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jc w:val="both"/>
                              <w:rPr>
                                <w:color w:val="000000"/>
                                <w:sz w:val="22"/>
                                <w:szCs w:val="22"/>
                                <w:lang w:eastAsia="lt-LT"/>
                              </w:rPr>
                            </w:pPr>
                            <w:r>
                              <w:rPr>
                                <w:color w:val="000000"/>
                                <w:sz w:val="22"/>
                                <w:szCs w:val="22"/>
                                <w:lang w:eastAsia="lt-LT"/>
                              </w:rPr>
                              <w:t>Dujinis katilas</w:t>
                            </w:r>
                          </w:p>
                        </w:tc>
                        <w:tc>
                          <w:tcPr>
                            <w:tcW w:w="1405"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spacing w:line="276" w:lineRule="auto"/>
                              <w:jc w:val="center"/>
                              <w:rPr>
                                <w:color w:val="000000"/>
                                <w:sz w:val="22"/>
                                <w:szCs w:val="22"/>
                                <w:lang w:eastAsia="lt-LT"/>
                              </w:rPr>
                            </w:pPr>
                            <w:r>
                              <w:rPr>
                                <w:color w:val="000000"/>
                                <w:sz w:val="22"/>
                                <w:szCs w:val="22"/>
                                <w:lang w:eastAsia="lt-LT"/>
                              </w:rPr>
                              <w:t>Darbo laiko koeficientai turi būti apskaičiuoti pagal 15 priedo reikalavimus suteikiant analogišką prioritetą dujinio katilo su absorbciniu šilumos siurbliu darbui, kaip ir šilumos siurbliui. T. y. skaičiuojant pagal 15 priedo formules dujinių katilų su absorbciniu šilumos siurbliu galia turi būti nurodyta kaip galia P</w:t>
                            </w:r>
                            <w:r>
                              <w:rPr>
                                <w:color w:val="000000"/>
                                <w:sz w:val="22"/>
                                <w:szCs w:val="22"/>
                                <w:vertAlign w:val="subscript"/>
                                <w:lang w:eastAsia="lt-LT"/>
                              </w:rPr>
                              <w:t>2</w:t>
                            </w:r>
                            <w:r>
                              <w:rPr>
                                <w:color w:val="000000"/>
                                <w:sz w:val="22"/>
                                <w:szCs w:val="22"/>
                                <w:lang w:eastAsia="lt-LT"/>
                              </w:rPr>
                              <w:t>, o dujinių katilų – kaip galia P</w:t>
                            </w:r>
                            <w:r>
                              <w:rPr>
                                <w:color w:val="000000"/>
                                <w:sz w:val="22"/>
                                <w:szCs w:val="22"/>
                                <w:vertAlign w:val="subscript"/>
                                <w:lang w:eastAsia="lt-LT"/>
                              </w:rPr>
                              <w:t>1</w:t>
                            </w:r>
                            <w:r>
                              <w:rPr>
                                <w:color w:val="000000"/>
                                <w:sz w:val="22"/>
                                <w:szCs w:val="22"/>
                                <w:lang w:eastAsia="lt-LT"/>
                              </w:rPr>
                              <w:t>.</w:t>
                            </w:r>
                          </w:p>
                        </w:tc>
                        <w:tc>
                          <w:tcPr>
                            <w:tcW w:w="557" w:type="pct"/>
                            <w:tcBorders>
                              <w:top w:val="single" w:sz="4" w:space="0" w:color="auto"/>
                              <w:left w:val="single" w:sz="4" w:space="0" w:color="auto"/>
                              <w:bottom w:val="single" w:sz="4" w:space="0" w:color="auto"/>
                              <w:right w:val="single" w:sz="4" w:space="0" w:color="auto"/>
                            </w:tcBorders>
                          </w:tcPr>
                          <w:p>
                            <w:pPr>
                              <w:tabs>
                                <w:tab w:val="left" w:pos="567"/>
                              </w:tabs>
                              <w:suppressAutoHyphens/>
                              <w:spacing w:line="276" w:lineRule="auto"/>
                              <w:rPr>
                                <w:color w:val="000000"/>
                                <w:sz w:val="22"/>
                                <w:szCs w:val="22"/>
                                <w:lang w:eastAsia="lt-LT"/>
                              </w:rPr>
                            </w:pPr>
                            <w:r>
                              <w:rPr>
                                <w:color w:val="000000"/>
                                <w:sz w:val="22"/>
                                <w:szCs w:val="22"/>
                                <w:lang w:eastAsia="lt-LT"/>
                              </w:rPr>
                              <w:t>Dujinis katilas su absorbciniu šilumos siurbliu</w:t>
                            </w:r>
                          </w:p>
                        </w:tc>
                      </w:tr>
                      <w:tr>
                        <w:trPr>
                          <w:trHeight w:val="2575"/>
                        </w:trPr>
                        <w:tc>
                          <w:tcPr>
                            <w:tcW w:w="285" w:type="pct"/>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rPr>
                                <w:color w:val="000000"/>
                                <w:sz w:val="22"/>
                                <w:szCs w:val="22"/>
                                <w:lang w:eastAsia="lt-LT"/>
                              </w:rPr>
                            </w:pPr>
                            <w:r>
                              <w:rPr>
                                <w:color w:val="000000"/>
                                <w:sz w:val="22"/>
                                <w:szCs w:val="22"/>
                                <w:lang w:eastAsia="lt-LT"/>
                              </w:rPr>
                              <w:t>32.</w:t>
                            </w:r>
                          </w:p>
                        </w:tc>
                        <w:tc>
                          <w:tcPr>
                            <w:tcW w:w="4715" w:type="pct"/>
                            <w:gridSpan w:val="4"/>
                            <w:tcBorders>
                              <w:top w:val="single" w:sz="4" w:space="0" w:color="auto"/>
                              <w:left w:val="single" w:sz="4" w:space="0" w:color="auto"/>
                              <w:bottom w:val="single" w:sz="4" w:space="0" w:color="auto"/>
                              <w:right w:val="single" w:sz="4" w:space="0" w:color="auto"/>
                            </w:tcBorders>
                            <w:hideMark/>
                          </w:tcPr>
                          <w:p>
                            <w:pPr>
                              <w:tabs>
                                <w:tab w:val="left" w:pos="567"/>
                              </w:tabs>
                              <w:suppressAutoHyphens/>
                              <w:spacing w:line="276" w:lineRule="auto"/>
                              <w:rPr>
                                <w:rFonts w:eastAsia="Calibri"/>
                                <w:i/>
                                <w:color w:val="000000"/>
                                <w:sz w:val="22"/>
                                <w:szCs w:val="22"/>
                                <w:lang w:eastAsia="lt-LT"/>
                              </w:rPr>
                            </w:pPr>
                            <w:r>
                              <w:rPr>
                                <w:i/>
                                <w:color w:val="000000"/>
                                <w:sz w:val="22"/>
                                <w:szCs w:val="22"/>
                                <w:lang w:eastAsia="lt-LT"/>
                              </w:rPr>
                              <w:t>Paaiškinimai:</w:t>
                            </w:r>
                          </w:p>
                          <w:p>
                            <w:pPr>
                              <w:tabs>
                                <w:tab w:val="left" w:pos="567"/>
                              </w:tabs>
                              <w:suppressAutoHyphens/>
                              <w:spacing w:line="276" w:lineRule="auto"/>
                              <w:jc w:val="both"/>
                              <w:rPr>
                                <w:color w:val="000000"/>
                                <w:sz w:val="22"/>
                                <w:szCs w:val="22"/>
                                <w:lang w:eastAsia="lt-LT"/>
                              </w:rPr>
                            </w:pPr>
                            <w:r>
                              <w:rPr>
                                <w:color w:val="000000"/>
                                <w:sz w:val="22"/>
                                <w:szCs w:val="22"/>
                                <w:vertAlign w:val="superscript"/>
                                <w:lang w:eastAsia="lt-LT"/>
                              </w:rPr>
                              <w:t>1)</w:t>
                            </w:r>
                            <w:r>
                              <w:rPr>
                                <w:color w:val="000000"/>
                                <w:sz w:val="22"/>
                                <w:szCs w:val="22"/>
                                <w:lang w:eastAsia="lt-LT"/>
                              </w:rPr>
                              <w:t xml:space="preserve"> kai pastato skaičiuojamieji savitieji šilumos nuostoliai ir pastato sandarumas atitinka reikalavimus A++ energinio naudingumo klasės pastatams;</w:t>
                            </w:r>
                          </w:p>
                          <w:p>
                            <w:pPr>
                              <w:tabs>
                                <w:tab w:val="left" w:pos="567"/>
                              </w:tabs>
                              <w:suppressAutoHyphens/>
                              <w:spacing w:line="276" w:lineRule="auto"/>
                              <w:jc w:val="both"/>
                              <w:rPr>
                                <w:color w:val="000000"/>
                                <w:sz w:val="22"/>
                                <w:szCs w:val="22"/>
                                <w:lang w:eastAsia="lt-LT"/>
                              </w:rPr>
                            </w:pPr>
                            <w:r>
                              <w:rPr>
                                <w:color w:val="000000"/>
                                <w:sz w:val="22"/>
                                <w:szCs w:val="22"/>
                                <w:vertAlign w:val="superscript"/>
                                <w:lang w:eastAsia="lt-LT"/>
                              </w:rPr>
                              <w:t>2)</w:t>
                            </w:r>
                            <w:r>
                              <w:rPr>
                                <w:color w:val="000000"/>
                                <w:sz w:val="22"/>
                                <w:szCs w:val="22"/>
                                <w:lang w:eastAsia="lt-LT"/>
                              </w:rPr>
                              <w:t xml:space="preserve"> kai pastato skaičiuojamieji savitieji šilumos nuostoliai ir pastato sandarumas atitinka reikalavimus A+ energinio naudingumo klasės pastatams;</w:t>
                            </w:r>
                          </w:p>
                          <w:p>
                            <w:pPr>
                              <w:tabs>
                                <w:tab w:val="left" w:pos="567"/>
                              </w:tabs>
                              <w:suppressAutoHyphens/>
                              <w:spacing w:line="276" w:lineRule="auto"/>
                              <w:jc w:val="both"/>
                              <w:rPr>
                                <w:color w:val="000000"/>
                                <w:sz w:val="22"/>
                                <w:szCs w:val="22"/>
                                <w:lang w:eastAsia="lt-LT"/>
                              </w:rPr>
                            </w:pPr>
                            <w:r>
                              <w:rPr>
                                <w:color w:val="000000"/>
                                <w:sz w:val="22"/>
                                <w:szCs w:val="22"/>
                                <w:vertAlign w:val="superscript"/>
                                <w:lang w:eastAsia="lt-LT"/>
                              </w:rPr>
                              <w:t>3)</w:t>
                            </w:r>
                            <w:r>
                              <w:rPr>
                                <w:color w:val="000000"/>
                                <w:sz w:val="22"/>
                                <w:szCs w:val="22"/>
                                <w:lang w:eastAsia="lt-LT"/>
                              </w:rPr>
                              <w:t xml:space="preserve"> kai pastato skaičiuojamieji savitieji šilumos nuostoliai ir pastato sandarumas atitinka reikalavimus A energinio naudingumo klasės pastatams;</w:t>
                            </w:r>
                          </w:p>
                          <w:p>
                            <w:pPr>
                              <w:tabs>
                                <w:tab w:val="left" w:pos="567"/>
                              </w:tabs>
                              <w:suppressAutoHyphens/>
                              <w:spacing w:line="276" w:lineRule="auto"/>
                              <w:jc w:val="both"/>
                              <w:rPr>
                                <w:rFonts w:eastAsia="Calibri"/>
                                <w:color w:val="000000"/>
                                <w:sz w:val="22"/>
                                <w:szCs w:val="22"/>
                                <w:lang w:eastAsia="lt-LT"/>
                              </w:rPr>
                            </w:pPr>
                            <w:r>
                              <w:rPr>
                                <w:color w:val="000000"/>
                                <w:sz w:val="22"/>
                                <w:szCs w:val="22"/>
                                <w:vertAlign w:val="superscript"/>
                                <w:lang w:eastAsia="lt-LT"/>
                              </w:rPr>
                              <w:t>4)</w:t>
                            </w:r>
                            <w:r>
                              <w:rPr>
                                <w:color w:val="000000"/>
                                <w:sz w:val="22"/>
                                <w:szCs w:val="22"/>
                                <w:lang w:eastAsia="lt-LT"/>
                              </w:rPr>
                              <w:t xml:space="preserve"> kai pastato skaičiuojamieji savitieji šilumos nuostoliai ir (arba) pastato sandarumas neatitinka reikalavimų A, A+ arba A++ energinio naudingumo klasės pastatams.</w:t>
                            </w:r>
                          </w:p>
                        </w:tc>
                      </w:tr>
                    </w:tbl>
                    <w:p>
                      <w:pPr>
                        <w:tabs>
                          <w:tab w:val="left" w:pos="567"/>
                        </w:tabs>
                        <w:suppressAutoHyphens/>
                        <w:jc w:val="center"/>
                        <w:rPr>
                          <w:b/>
                          <w:szCs w:val="24"/>
                          <w:lang w:eastAsia="lt-LT"/>
                        </w:rPr>
                      </w:pPr>
                    </w:p>
                    <w:p>
                      <w:pPr>
                        <w:tabs>
                          <w:tab w:val="left" w:pos="567"/>
                        </w:tabs>
                        <w:suppressAutoHyphens/>
                        <w:jc w:val="center"/>
                        <w:rPr>
                          <w:b/>
                          <w:bCs/>
                          <w:szCs w:val="24"/>
                          <w:lang w:eastAsia="lt-LT"/>
                        </w:rPr>
                      </w:pPr>
                      <w:r>
                        <w:rPr>
                          <w:b/>
                          <w:bCs/>
                          <w:szCs w:val="24"/>
                          <w:lang w:eastAsia="lt-LT"/>
                        </w:rPr>
                        <w:t xml:space="preserve">Įvairios paskirties pastatų norminių </w:t>
                      </w:r>
                      <w:r>
                        <w:rPr>
                          <w:b/>
                          <w:bCs/>
                          <w:i/>
                          <w:szCs w:val="24"/>
                          <w:lang w:eastAsia="lt-LT"/>
                        </w:rPr>
                        <w:t>η</w:t>
                      </w:r>
                      <w:r>
                        <w:rPr>
                          <w:b/>
                          <w:bCs/>
                          <w:i/>
                          <w:szCs w:val="24"/>
                          <w:vertAlign w:val="subscript"/>
                          <w:lang w:eastAsia="lt-LT"/>
                        </w:rPr>
                        <w:t xml:space="preserve">N.hs </w:t>
                      </w:r>
                      <w:r>
                        <w:rPr>
                          <w:b/>
                          <w:bCs/>
                          <w:szCs w:val="24"/>
                          <w:lang w:eastAsia="lt-LT"/>
                        </w:rPr>
                        <w:t xml:space="preserve">(vnt.), atskaitinių </w:t>
                      </w:r>
                      <w:r>
                        <w:rPr>
                          <w:b/>
                          <w:bCs/>
                          <w:i/>
                          <w:szCs w:val="24"/>
                          <w:lang w:eastAsia="lt-LT"/>
                        </w:rPr>
                        <w:t>η</w:t>
                      </w:r>
                      <w:r>
                        <w:rPr>
                          <w:b/>
                          <w:bCs/>
                          <w:i/>
                          <w:szCs w:val="24"/>
                          <w:vertAlign w:val="subscript"/>
                          <w:lang w:eastAsia="lt-LT"/>
                        </w:rPr>
                        <w:t>R.hs</w:t>
                      </w:r>
                      <w:r>
                        <w:rPr>
                          <w:b/>
                          <w:bCs/>
                          <w:szCs w:val="24"/>
                          <w:lang w:eastAsia="lt-LT"/>
                        </w:rPr>
                        <w:t xml:space="preserve"> (vnt.) šildymo sistemos naudingumo koeficientų ir atskaitinio neatsinaujinančios pirminės energijos faktoriaus pastato šildymo sistemos energijos šaltiniui </w:t>
                      </w:r>
                      <w:r>
                        <w:rPr>
                          <w:b/>
                          <w:bCs/>
                          <w:i/>
                          <w:szCs w:val="24"/>
                          <w:lang w:eastAsia="lt-LT"/>
                        </w:rPr>
                        <w:t>f</w:t>
                      </w:r>
                      <w:r>
                        <w:rPr>
                          <w:b/>
                          <w:bCs/>
                          <w:i/>
                          <w:szCs w:val="24"/>
                          <w:vertAlign w:val="subscript"/>
                          <w:lang w:eastAsia="lt-LT"/>
                        </w:rPr>
                        <w:t>R.PRn</w:t>
                      </w:r>
                      <w:r>
                        <w:rPr>
                          <w:b/>
                          <w:bCs/>
                          <w:szCs w:val="24"/>
                          <w:lang w:eastAsia="lt-LT"/>
                        </w:rPr>
                        <w:t xml:space="preserve"> (vnt.) vertės pastatų energinio naudingumo skaičiavimams </w:t>
                      </w:r>
                    </w:p>
                    <w:p>
                      <w:pPr>
                        <w:tabs>
                          <w:tab w:val="left" w:pos="567"/>
                        </w:tabs>
                        <w:suppressAutoHyphens/>
                        <w:jc w:val="right"/>
                        <w:rPr>
                          <w:szCs w:val="24"/>
                          <w:lang w:eastAsia="lt-LT"/>
                        </w:rPr>
                      </w:pPr>
                      <w:r>
                        <w:rPr>
                          <w:szCs w:val="24"/>
                          <w:lang w:eastAsia="lt-LT"/>
                        </w:rPr>
                        <w:t>2.48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6125"/>
                        <w:gridCol w:w="905"/>
                        <w:gridCol w:w="907"/>
                        <w:gridCol w:w="903"/>
                      </w:tblGrid>
                      <w:tr>
                        <w:trPr>
                          <w:trHeight w:val="128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s>
                              <w:suppressAutoHyphens/>
                              <w:spacing w:line="276" w:lineRule="auto"/>
                              <w:jc w:val="center"/>
                              <w:rPr>
                                <w:rFonts w:eastAsia="Calibri"/>
                                <w:szCs w:val="24"/>
                                <w:lang w:eastAsia="lt-LT"/>
                              </w:rPr>
                            </w:pPr>
                            <w:r>
                              <w:rPr>
                                <w:szCs w:val="24"/>
                                <w:lang w:eastAsia="lt-LT"/>
                              </w:rPr>
                              <w:t xml:space="preserve">Eil. </w:t>
                            </w:r>
                          </w:p>
                          <w:p>
                            <w:pPr>
                              <w:tabs>
                                <w:tab w:val="left" w:pos="567"/>
                              </w:tabs>
                              <w:suppressAutoHyphens/>
                              <w:spacing w:line="276" w:lineRule="auto"/>
                              <w:jc w:val="center"/>
                              <w:rPr>
                                <w:rFonts w:eastAsia="Calibri"/>
                                <w:szCs w:val="24"/>
                                <w:lang w:eastAsia="lt-LT"/>
                              </w:rPr>
                            </w:pPr>
                            <w:r>
                              <w:rPr>
                                <w:szCs w:val="24"/>
                                <w:lang w:eastAsia="lt-LT"/>
                              </w:rPr>
                              <w:t>Nr. </w:t>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Pastato paskirtis [3.6] </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57" w:right="-57"/>
                              <w:jc w:val="center"/>
                              <w:rPr>
                                <w:rFonts w:eastAsia="Calibri"/>
                                <w:szCs w:val="24"/>
                                <w:lang w:eastAsia="lt-LT"/>
                              </w:rPr>
                            </w:pPr>
                            <w:r>
                              <w:rPr>
                                <w:i/>
                                <w:szCs w:val="24"/>
                                <w:lang w:eastAsia="lt-LT"/>
                              </w:rPr>
                              <w:t>η</w:t>
                            </w:r>
                            <w:r>
                              <w:rPr>
                                <w:i/>
                                <w:szCs w:val="24"/>
                                <w:vertAlign w:val="subscript"/>
                                <w:lang w:eastAsia="lt-LT"/>
                              </w:rPr>
                              <w:t>N.hs</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57" w:right="-57"/>
                              <w:jc w:val="center"/>
                              <w:rPr>
                                <w:rFonts w:eastAsia="Calibri"/>
                                <w:i/>
                                <w:szCs w:val="24"/>
                                <w:lang w:eastAsia="lt-LT"/>
                              </w:rPr>
                            </w:pPr>
                            <w:r>
                              <w:rPr>
                                <w:i/>
                                <w:szCs w:val="24"/>
                                <w:lang w:eastAsia="lt-LT"/>
                              </w:rPr>
                              <w:t>η</w:t>
                            </w:r>
                            <w:r>
                              <w:rPr>
                                <w:i/>
                                <w:szCs w:val="24"/>
                                <w:vertAlign w:val="subscript"/>
                                <w:lang w:eastAsia="lt-LT"/>
                              </w:rPr>
                              <w:t>R.hs</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57" w:right="-57"/>
                              <w:jc w:val="center"/>
                              <w:rPr>
                                <w:rFonts w:eastAsia="Calibri"/>
                                <w:i/>
                                <w:szCs w:val="24"/>
                                <w:lang w:eastAsia="lt-LT"/>
                              </w:rPr>
                            </w:pPr>
                            <w:r>
                              <w:rPr>
                                <w:i/>
                                <w:szCs w:val="24"/>
                                <w:lang w:eastAsia="lt-LT"/>
                              </w:rPr>
                              <w:t>f</w:t>
                            </w:r>
                            <w:r>
                              <w:rPr>
                                <w:i/>
                                <w:szCs w:val="24"/>
                                <w:vertAlign w:val="subscript"/>
                                <w:lang w:eastAsia="lt-LT"/>
                              </w:rPr>
                              <w:t>R.PRn.H</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Gyvenamosios paskirties vieno ir dviejų butų namai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ind w:left="-57" w:right="-57"/>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0,80</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1,2</w:t>
                            </w:r>
                          </w:p>
                        </w:tc>
                      </w:tr>
                      <w:tr>
                        <w:trPr>
                          <w:trHeight w:val="143"/>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2.</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Kiti gyvenamieji pastatai (daugiabučiai namai)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0,88</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3.</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Administracinės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0,86</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148"/>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4.</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Mokslo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227"/>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5.</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Gydymo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0,88</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128"/>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6.</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Maitinimo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1,37</w:t>
                            </w:r>
                          </w:p>
                        </w:tc>
                      </w:tr>
                      <w:tr>
                        <w:trPr>
                          <w:trHeight w:val="221"/>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7.</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Prekybos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193"/>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8.</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Sporto paskirties pastatai, išskyrus baseinus</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212"/>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9.</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Baseinai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0,89</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28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10.</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Kultūros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337"/>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11.</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Garažų, gamybos ir pramonės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1,37</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12.</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Sandėliavimo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1,2</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13.</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Viešbučių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14.</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Paslaugų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15.</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Transporto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16.</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Poilsio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0,90</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r>
                        <w:trPr>
                          <w:trHeight w:val="315"/>
                        </w:trPr>
                        <w:tc>
                          <w:tcPr>
                            <w:tcW w:w="515" w:type="pct"/>
                            <w:tcBorders>
                              <w:top w:val="single" w:sz="4" w:space="0" w:color="auto"/>
                              <w:left w:val="single" w:sz="4" w:space="0" w:color="auto"/>
                              <w:bottom w:val="single" w:sz="4" w:space="0" w:color="auto"/>
                              <w:right w:val="single" w:sz="4" w:space="0" w:color="auto"/>
                            </w:tcBorders>
                            <w:noWrap/>
                            <w:vAlign w:val="center"/>
                            <w:hideMark/>
                          </w:tcPr>
                          <w:p>
                            <w:pPr>
                              <w:tabs>
                                <w:tab w:val="left" w:pos="567"/>
                                <w:tab w:val="left" w:pos="720"/>
                              </w:tabs>
                              <w:suppressAutoHyphens/>
                              <w:spacing w:line="276" w:lineRule="auto"/>
                              <w:ind w:left="175" w:hanging="141"/>
                              <w:jc w:val="center"/>
                              <w:rPr>
                                <w:rFonts w:eastAsia="Calibri"/>
                                <w:szCs w:val="24"/>
                                <w:lang w:eastAsia="lt-LT"/>
                              </w:rPr>
                            </w:pPr>
                            <w:r>
                              <w:rPr>
                                <w:rFonts w:eastAsia="Calibri"/>
                                <w:szCs w:val="24"/>
                                <w:lang w:eastAsia="lt-LT"/>
                              </w:rPr>
                              <w:t>17.</w:t>
                              <w:tab/>
                            </w:r>
                          </w:p>
                        </w:tc>
                        <w:tc>
                          <w:tcPr>
                            <w:tcW w:w="3108"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both"/>
                              <w:rPr>
                                <w:rFonts w:eastAsia="Calibri"/>
                                <w:szCs w:val="24"/>
                                <w:lang w:eastAsia="lt-LT"/>
                              </w:rPr>
                            </w:pPr>
                            <w:r>
                              <w:rPr>
                                <w:szCs w:val="24"/>
                                <w:lang w:eastAsia="lt-LT"/>
                              </w:rPr>
                              <w:t>Specialiosios paskirties pastatai</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0,9</w:t>
                            </w:r>
                          </w:p>
                        </w:tc>
                        <w:tc>
                          <w:tcPr>
                            <w:tcW w:w="460"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0,87</w:t>
                            </w:r>
                          </w:p>
                        </w:tc>
                        <w:tc>
                          <w:tcPr>
                            <w:tcW w:w="459"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spacing w:line="276" w:lineRule="auto"/>
                              <w:jc w:val="center"/>
                              <w:rPr>
                                <w:rFonts w:eastAsia="Calibri"/>
                                <w:szCs w:val="24"/>
                                <w:lang w:eastAsia="lt-LT"/>
                              </w:rPr>
                            </w:pPr>
                            <w:r>
                              <w:rPr>
                                <w:szCs w:val="24"/>
                                <w:lang w:eastAsia="lt-LT"/>
                              </w:rPr>
                              <w:t>1,31</w:t>
                            </w:r>
                          </w:p>
                        </w:tc>
                      </w:tr>
                    </w:tbl>
                    <w:p/>
                    <w:p>
                      <w:pPr>
                        <w:tabs>
                          <w:tab w:val="left" w:pos="567"/>
                        </w:tabs>
                        <w:suppressAutoHyphens/>
                        <w:ind w:firstLine="570"/>
                        <w:rPr>
                          <w:szCs w:val="24"/>
                          <w:lang w:eastAsia="lt-LT"/>
                        </w:rPr>
                      </w:pPr>
                      <w:r>
                        <w:rPr>
                          <w:szCs w:val="24"/>
                          <w:lang w:eastAsia="lt-LT"/>
                        </w:rPr>
                        <w:t xml:space="preserve">Metinės norminės </w:t>
                      </w:r>
                      <w:r>
                        <w:rPr>
                          <w:i/>
                          <w:szCs w:val="24"/>
                          <w:lang w:eastAsia="lt-LT"/>
                        </w:rPr>
                        <w:t>Q</w:t>
                      </w:r>
                      <w:r>
                        <w:rPr>
                          <w:i/>
                          <w:szCs w:val="24"/>
                          <w:vertAlign w:val="subscript"/>
                          <w:lang w:eastAsia="lt-LT"/>
                        </w:rPr>
                        <w:t>N.PRn.H</w:t>
                      </w:r>
                      <w:r>
                        <w:rPr>
                          <w:szCs w:val="24"/>
                          <w:lang w:eastAsia="lt-LT"/>
                        </w:rPr>
                        <w:t xml:space="preserve"> (kWh/(m²·mėn.)) ir skaičiuojamosios </w:t>
                      </w:r>
                      <w:r>
                        <w:rPr>
                          <w:i/>
                          <w:szCs w:val="24"/>
                          <w:lang w:eastAsia="lt-LT"/>
                        </w:rPr>
                        <w:t>Q</w:t>
                      </w:r>
                      <w:r>
                        <w:rPr>
                          <w:i/>
                          <w:szCs w:val="24"/>
                          <w:vertAlign w:val="subscript"/>
                          <w:lang w:eastAsia="lt-LT"/>
                        </w:rPr>
                        <w:t>PRn.H</w:t>
                      </w:r>
                      <w:r>
                        <w:rPr>
                          <w:szCs w:val="24"/>
                          <w:lang w:eastAsia="lt-LT"/>
                        </w:rPr>
                        <w:t xml:space="preserve"> (kWh/(m²·mėn.)) neatsinaujinančios pirminės energijos sąnaudos pastatui šildyti apskaičiuojamos taip:</w:t>
                      </w: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spacing w:line="276" w:lineRule="auto"/>
                              <w:jc w:val="center"/>
                              <w:rPr>
                                <w:rFonts w:eastAsia="Calibri"/>
                                <w:bCs/>
                                <w:szCs w:val="24"/>
                                <w:lang w:eastAsia="lt-LT"/>
                              </w:rPr>
                            </w:pPr>
                            <w:r>
                              <w:rPr>
                                <w:rFonts w:eastAsia="Calibri"/>
                                <w:position w:val="-24"/>
                                <w:szCs w:val="24"/>
                                <w:lang w:eastAsia="lt-LT"/>
                              </w:rPr>
                              <w:object w:dxaOrig="2445" w:dyaOrig="615">
                                <v:shape id="_x0000_i1716" type="#_x0000_t75" style="width:121.35pt;height:28.3pt" o:ole="">
                                  <v:imagedata r:id="rId1781" o:title=""/>
                                </v:shape>
                                <o:OLEObject Type="Embed" ProgID="Equation.3" ShapeID="_x0000_i1716" DrawAspect="Content" ObjectID="_0000000001" r:id="rId1782"/>
                              </w:object>
                            </w:r>
                            <w:r>
                              <w:rPr>
                                <w:szCs w:val="24"/>
                                <w:lang w:eastAsia="lt-LT"/>
                              </w:rPr>
                              <w:t>;</w:t>
                            </w:r>
                          </w:p>
                        </w:tc>
                        <w:tc>
                          <w:tcPr>
                            <w:tcW w:w="571" w:type="pct"/>
                            <w:vAlign w:val="center"/>
                            <w:hideMark/>
                          </w:tcPr>
                          <w:p>
                            <w:pPr>
                              <w:tabs>
                                <w:tab w:val="left" w:pos="567"/>
                              </w:tabs>
                              <w:suppressAutoHyphens/>
                              <w:spacing w:line="276" w:lineRule="auto"/>
                              <w:jc w:val="right"/>
                              <w:rPr>
                                <w:rFonts w:eastAsia="Calibri"/>
                                <w:bCs/>
                                <w:szCs w:val="24"/>
                                <w:lang w:eastAsia="lt-LT"/>
                              </w:rPr>
                            </w:pPr>
                            <w:r>
                              <w:rPr>
                                <w:szCs w:val="24"/>
                                <w:lang w:eastAsia="lt-LT"/>
                              </w:rPr>
                              <w:t>(2.574)</w:t>
                            </w:r>
                          </w:p>
                        </w:tc>
                      </w:tr>
                      <w:tr>
                        <w:tc>
                          <w:tcPr>
                            <w:tcW w:w="4429" w:type="pct"/>
                            <w:hideMark/>
                          </w:tcPr>
                          <w:p>
                            <w:pPr>
                              <w:tabs>
                                <w:tab w:val="left" w:pos="567"/>
                              </w:tabs>
                              <w:suppressAutoHyphens/>
                              <w:spacing w:line="276" w:lineRule="auto"/>
                              <w:jc w:val="center"/>
                              <w:rPr>
                                <w:rFonts w:eastAsia="Calibri"/>
                                <w:bCs/>
                                <w:szCs w:val="24"/>
                                <w:lang w:eastAsia="lt-LT"/>
                              </w:rPr>
                            </w:pPr>
                            <w:r>
                              <w:rPr>
                                <w:rFonts w:eastAsia="Calibri"/>
                                <w:position w:val="-24"/>
                                <w:szCs w:val="24"/>
                                <w:lang w:eastAsia="lt-LT"/>
                              </w:rPr>
                              <w:object w:dxaOrig="2100" w:dyaOrig="615">
                                <v:shape id="_x0000_i1717" type="#_x0000_t75" style="width:106.8pt;height:28.3pt" o:ole="">
                                  <v:imagedata r:id="rId1783" o:title=""/>
                                </v:shape>
                                <o:OLEObject Type="Embed" ProgID="Equation.3" ShapeID="_x0000_i1717" DrawAspect="Content" ObjectID="_0000000001" r:id="rId1784"/>
                              </w:object>
                            </w:r>
                          </w:p>
                        </w:tc>
                        <w:tc>
                          <w:tcPr>
                            <w:tcW w:w="571" w:type="pct"/>
                            <w:vAlign w:val="center"/>
                            <w:hideMark/>
                          </w:tcPr>
                          <w:p>
                            <w:pPr>
                              <w:tabs>
                                <w:tab w:val="left" w:pos="567"/>
                              </w:tabs>
                              <w:suppressAutoHyphens/>
                              <w:spacing w:line="276" w:lineRule="auto"/>
                              <w:jc w:val="right"/>
                              <w:rPr>
                                <w:rFonts w:eastAsia="Calibri"/>
                                <w:bCs/>
                                <w:szCs w:val="24"/>
                                <w:lang w:eastAsia="lt-LT"/>
                              </w:rPr>
                            </w:pPr>
                            <w:r>
                              <w:rPr>
                                <w:szCs w:val="24"/>
                                <w:lang w:eastAsia="lt-LT"/>
                              </w:rPr>
                              <w:t>(2.575)</w:t>
                            </w:r>
                          </w:p>
                        </w:tc>
                      </w:tr>
                    </w:tbl>
                    <w:p/>
                    <w:p>
                      <w:r>
                        <w:rPr>
                          <w:rFonts w:eastAsia="MS Mincho"/>
                          <w:i/>
                          <w:iCs/>
                          <w:sz w:val="20"/>
                        </w:rPr>
                        <w:t>Skyriaus pakeitimai:</w:t>
                      </w:r>
                    </w:p>
                    <w:p>
                      <w:pPr>
                        <w:rPr>
                          <w:rFonts w:eastAsia="MS Mincho"/>
                          <w:i/>
                          <w:iCs/>
                          <w:sz w:val="20"/>
                        </w:rPr>
                      </w:pPr>
                      <w:r>
                        <w:rPr>
                          <w:rFonts w:eastAsia="MS Mincho"/>
                          <w:i/>
                          <w:iCs/>
                          <w:sz w:val="20"/>
                        </w:rPr>
                        <w:t xml:space="preserve">Nr. </w:t>
                      </w:r>
                      <w:hyperlink r:id="rId1785" w:history="1">
                        <w:r>
                          <w:rPr>
                            <w:rFonts w:eastAsia="MS Mincho"/>
                            <w:i/>
                            <w:iCs/>
                            <w:color w:val="0000FF"/>
                            <w:sz w:val="20"/>
                            <w:u w:val="single"/>
                          </w:rPr>
                          <w:t>D1-23</w:t>
                        </w:r>
                      </w:hyperlink>
                      <w:r>
                        <w:rPr>
                          <w:rFonts w:eastAsia="MS Mincho"/>
                          <w:i/>
                          <w:iCs/>
                          <w:sz w:val="20"/>
                        </w:rPr>
                        <w:t>, 2019-01-11, paskelbta TAR 2019-01-14, i. k. 2019-00444</w:t>
                      </w:r>
                    </w:p>
                    <w:p>
                      <w:r>
                        <w:rPr>
                          <w:rFonts w:eastAsia="MS Mincho"/>
                          <w:i/>
                          <w:iCs/>
                          <w:sz w:val="20"/>
                        </w:rPr>
                        <w:t xml:space="preserve">Nr. </w:t>
                      </w:r>
                      <w:hyperlink r:id="rId1786" w:history="1">
                        <w:r>
                          <w:rPr>
                            <w:rFonts w:eastAsia="MS Mincho"/>
                            <w:i/>
                            <w:iCs/>
                            <w:color w:val="0000FF"/>
                            <w:sz w:val="20"/>
                            <w:u w:val="single"/>
                          </w:rPr>
                          <w:t>D1-576</w:t>
                        </w:r>
                      </w:hyperlink>
                      <w:r>
                        <w:rPr>
                          <w:rFonts w:eastAsia="MS Mincho"/>
                          <w:i/>
                          <w:iCs/>
                          <w:sz w:val="20"/>
                        </w:rPr>
                        <w:t>, 2020-09-28, paskelbta TAR 2020-09-28, i. k. 2020-20131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8347177b9b844780bf11073a4f53d03f"/>
            <w:lock w:val="sdtLocked"/>
            <w:richText/>
          </w:sdtPr>
          <w:sdtContent>
            <w:p>
              <w:pPr>
                <w:keepNext/>
                <w:keepLines/>
                <w:suppressAutoHyphens/>
                <w:jc w:val="center"/>
                <w:outlineLvl w:val="2"/>
                <w:rPr>
                  <w:b/>
                  <w:bCs/>
                  <w:szCs w:val="24"/>
                  <w:lang w:eastAsia="lt-LT"/>
                </w:rPr>
              </w:pPr>
              <w:sdt>
                <w:sdtPr>
                  <w:alias w:val="Numeris"/>
                  <w:tag w:val="nr_8347177b9b844780bf11073a4f53d03f"/>
                  <w:lock w:val="sdtLocked"/>
                  <w:richText/>
                </w:sdtPr>
                <w:sdtContent>
                  <w:r>
                    <w:rPr>
                      <w:b/>
                      <w:bCs/>
                      <w:szCs w:val="24"/>
                      <w:lang w:eastAsia="lt-LT"/>
                    </w:rPr>
                    <w:t>XXIII</w:t>
                  </w:r>
                </w:sdtContent>
              </w:sdt>
              <w:r>
                <w:rPr>
                  <w:b/>
                  <w:bCs/>
                  <w:szCs w:val="24"/>
                  <w:lang w:eastAsia="lt-LT"/>
                </w:rPr>
                <w:t xml:space="preserve"> SKYRIUS</w:t>
              </w:r>
            </w:p>
            <w:p>
              <w:pPr>
                <w:keepNext/>
                <w:keepLines/>
                <w:suppressAutoHyphens/>
                <w:jc w:val="center"/>
                <w:outlineLvl w:val="2"/>
                <w:rPr>
                  <w:b/>
                  <w:bCs/>
                  <w:szCs w:val="24"/>
                  <w:lang w:eastAsia="lt-LT"/>
                </w:rPr>
              </w:pPr>
              <w:sdt>
                <w:sdtPr>
                  <w:alias w:val="Pavadinimas"/>
                  <w:tag w:val="title_8347177b9b844780bf11073a4f53d03f"/>
                  <w:lock w:val="sdtLocked"/>
                  <w:richText/>
                </w:sdtPr>
                <w:sdtContent>
                  <w:r>
                    <w:rPr>
                      <w:b/>
                      <w:bCs/>
                      <w:szCs w:val="24"/>
                      <w:lang w:eastAsia="lt-LT"/>
                    </w:rPr>
                    <w:t>PASTATO METINIŲ ŠILUMINĖS ENERGIJOS IR ELEKTROS ENERGIJOS SĄNAUDŲ SKAIČIAVIMAS</w:t>
                  </w:r>
                </w:sdtContent>
              </w:sdt>
            </w:p>
            <w:p>
              <w:pPr>
                <w:keepNext/>
                <w:keepLines/>
                <w:suppressAutoHyphens/>
                <w:jc w:val="center"/>
                <w:outlineLvl w:val="2"/>
                <w:rPr>
                  <w:b/>
                  <w:bCs/>
                  <w:szCs w:val="24"/>
                  <w:lang w:eastAsia="lt-LT"/>
                </w:rPr>
              </w:pPr>
            </w:p>
            <w:sdt>
              <w:sdtPr>
                <w:alias w:val="2 pr. 72 p."/>
                <w:tag w:val="part_5b5d0e9c2eee44fabc0348683a7e8b23"/>
                <w:lock w:val="sdtLocked"/>
                <w:richText/>
              </w:sdtPr>
              <w:sdtContent>
                <w:p>
                  <w:pPr>
                    <w:tabs>
                      <w:tab w:val="left" w:pos="567"/>
                    </w:tabs>
                    <w:suppressAutoHyphens/>
                    <w:ind w:firstLine="567"/>
                    <w:jc w:val="both"/>
                    <w:rPr>
                      <w:color w:val="000000"/>
                      <w:szCs w:val="24"/>
                      <w:lang w:eastAsia="lt-LT"/>
                    </w:rPr>
                  </w:pPr>
                  <w:sdt>
                    <w:sdtPr>
                      <w:alias w:val="Numeris"/>
                      <w:tag w:val="nr_5b5d0e9c2eee44fabc0348683a7e8b23"/>
                      <w:lock w:val="sdtLocked"/>
                      <w:richText/>
                    </w:sdtPr>
                    <w:sdtContent>
                      <w:r>
                        <w:rPr>
                          <w:color w:val="000000"/>
                          <w:szCs w:val="24"/>
                          <w:lang w:eastAsia="lt-LT"/>
                        </w:rPr>
                        <w:t>72</w:t>
                      </w:r>
                    </w:sdtContent>
                  </w:sdt>
                  <w:r>
                    <w:rPr>
                      <w:color w:val="000000"/>
                      <w:szCs w:val="24"/>
                      <w:lang w:eastAsia="lt-LT"/>
                    </w:rPr>
                    <w:t xml:space="preserve">. Metinės norminės </w:t>
                  </w:r>
                  <w:r>
                    <w:rPr>
                      <w:bCs/>
                      <w:i/>
                      <w:color w:val="000000"/>
                      <w:szCs w:val="24"/>
                      <w:lang w:eastAsia="lt-LT"/>
                    </w:rPr>
                    <w:t>Q</w:t>
                  </w:r>
                  <w:r>
                    <w:rPr>
                      <w:bCs/>
                      <w:i/>
                      <w:color w:val="000000"/>
                      <w:szCs w:val="24"/>
                      <w:vertAlign w:val="subscript"/>
                      <w:lang w:eastAsia="lt-LT"/>
                    </w:rPr>
                    <w:t>N.hw.sum</w:t>
                  </w:r>
                  <w:r>
                    <w:rPr>
                      <w:color w:val="000000"/>
                      <w:szCs w:val="24"/>
                      <w:lang w:eastAsia="lt-LT"/>
                    </w:rPr>
                    <w:t xml:space="preserve"> (kWh/(m</w:t>
                  </w:r>
                  <w:r>
                    <w:rPr>
                      <w:color w:val="000000"/>
                      <w:szCs w:val="24"/>
                      <w:vertAlign w:val="superscript"/>
                      <w:lang w:eastAsia="lt-LT"/>
                    </w:rPr>
                    <w:t>2</w:t>
                  </w:r>
                  <w:r>
                    <w:rPr>
                      <w:color w:val="000000"/>
                      <w:szCs w:val="24"/>
                      <w:lang w:eastAsia="lt-LT"/>
                    </w:rPr>
                    <w:t xml:space="preserve">·metai)), atskaitinės </w:t>
                  </w:r>
                  <w:r>
                    <w:rPr>
                      <w:bCs/>
                      <w:i/>
                      <w:color w:val="000000"/>
                      <w:szCs w:val="24"/>
                      <w:lang w:eastAsia="lt-LT"/>
                    </w:rPr>
                    <w:t>Q</w:t>
                  </w:r>
                  <w:r>
                    <w:rPr>
                      <w:bCs/>
                      <w:i/>
                      <w:color w:val="000000"/>
                      <w:szCs w:val="24"/>
                      <w:vertAlign w:val="subscript"/>
                      <w:lang w:eastAsia="lt-LT"/>
                    </w:rPr>
                    <w:t>R.hw.sum</w:t>
                  </w:r>
                  <w:r>
                    <w:rPr>
                      <w:bCs/>
                      <w:color w:val="000000"/>
                      <w:szCs w:val="24"/>
                      <w:lang w:eastAsia="lt-LT"/>
                    </w:rPr>
                    <w:t xml:space="preserve"> </w:t>
                  </w:r>
                  <w:r>
                    <w:rPr>
                      <w:color w:val="000000"/>
                      <w:szCs w:val="24"/>
                      <w:lang w:eastAsia="lt-LT"/>
                    </w:rPr>
                    <w:t>(kWh/(m</w:t>
                  </w:r>
                  <w:r>
                    <w:rPr>
                      <w:color w:val="000000"/>
                      <w:szCs w:val="24"/>
                      <w:vertAlign w:val="superscript"/>
                      <w:lang w:eastAsia="lt-LT"/>
                    </w:rPr>
                    <w:t>2</w:t>
                  </w:r>
                  <w:r>
                    <w:rPr>
                      <w:color w:val="000000"/>
                      <w:szCs w:val="24"/>
                      <w:lang w:eastAsia="lt-LT"/>
                    </w:rPr>
                    <w:t xml:space="preserve">·metai)) ir skaičiuojamosios </w:t>
                  </w:r>
                  <w:r>
                    <w:rPr>
                      <w:bCs/>
                      <w:i/>
                      <w:color w:val="000000"/>
                      <w:szCs w:val="24"/>
                      <w:lang w:eastAsia="lt-LT"/>
                    </w:rPr>
                    <w:t>Q</w:t>
                  </w:r>
                  <w:r>
                    <w:rPr>
                      <w:bCs/>
                      <w:i/>
                      <w:color w:val="000000"/>
                      <w:szCs w:val="24"/>
                      <w:vertAlign w:val="subscript"/>
                      <w:lang w:eastAsia="lt-LT"/>
                    </w:rPr>
                    <w:t>hw.sum</w:t>
                  </w:r>
                  <w:r>
                    <w:rPr>
                      <w:color w:val="000000"/>
                      <w:szCs w:val="24"/>
                      <w:lang w:eastAsia="lt-LT"/>
                    </w:rPr>
                    <w:t xml:space="preserve"> (kWh/(m</w:t>
                  </w:r>
                  <w:r>
                    <w:rPr>
                      <w:color w:val="000000"/>
                      <w:szCs w:val="24"/>
                      <w:vertAlign w:val="superscript"/>
                      <w:lang w:eastAsia="lt-LT"/>
                    </w:rPr>
                    <w:t>2</w:t>
                  </w:r>
                  <w:r>
                    <w:rPr>
                      <w:color w:val="000000"/>
                      <w:szCs w:val="24"/>
                      <w:lang w:eastAsia="lt-LT"/>
                    </w:rPr>
                    <w:t>·metai)) šiluminės energijos sąnaudos karštam vandeniui ruošti apskaičiuojamos taip:</w:t>
                  </w:r>
                </w:p>
                <w:tbl>
                  <w:tblPr>
                    <w:tblW w:w="5000" w:type="pct"/>
                    <w:tblLook w:val="01E0" w:firstRow="1" w:lastRow="1" w:firstColumn="1" w:lastColumn="1" w:noHBand="0" w:noVBand="0"/>
                  </w:tblPr>
                  <w:tblGrid>
                    <w:gridCol w:w="8553"/>
                    <w:gridCol w:w="1301"/>
                  </w:tblGrid>
                  <w:tr>
                    <w:tc>
                      <w:tcPr>
                        <w:tcW w:w="4340" w:type="pct"/>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840" w:dyaOrig="740">
                            <v:shape id="_x0000_i1718" type="#_x0000_t75" style="width:291.25pt;height:36.4pt" o:ole="">
                              <v:imagedata r:id="rId1567" o:title=""/>
                            </v:shape>
                            <o:OLEObject Type="Embed" ProgID="Equation.3" ShapeID="_x0000_i1718" DrawAspect="Content" ObjectID="_0000000001" r:id="rId1568"/>
                          </w:object>
                          <w:t>;</w:t>
                        </w:r>
                      </w:p>
                    </w:tc>
                    <w:tc>
                      <w:tcPr>
                        <w:tcW w:w="660" w:type="pct"/>
                        <w:vAlign w:val="center"/>
                        <w:hideMark/>
                      </w:tcPr>
                      <w:p>
                        <w:pPr>
                          <w:tabs>
                            <w:tab w:val="left" w:pos="567"/>
                          </w:tabs>
                          <w:suppressAutoHyphens/>
                          <w:spacing w:line="276" w:lineRule="auto"/>
                          <w:jc w:val="right"/>
                          <w:rPr>
                            <w:bCs/>
                            <w:color w:val="000000"/>
                            <w:szCs w:val="24"/>
                            <w:lang w:eastAsia="lt-LT"/>
                          </w:rPr>
                        </w:pPr>
                        <w:r>
                          <w:rPr>
                            <w:bCs/>
                            <w:color w:val="000000"/>
                            <w:szCs w:val="24"/>
                            <w:lang w:eastAsia="lt-LT"/>
                          </w:rPr>
                          <w:t>(2.576)</w:t>
                        </w:r>
                      </w:p>
                    </w:tc>
                  </w:tr>
                </w:tbl>
                <w:p>
                  <w:pPr>
                    <w:tabs>
                      <w:tab w:val="left" w:pos="567"/>
                    </w:tabs>
                    <w:suppressAutoHyphens/>
                    <w:ind w:firstLine="570"/>
                    <w:rPr>
                      <w:rFonts w:eastAsia="Calibri"/>
                      <w:strike/>
                      <w:color w:val="000000"/>
                      <w:szCs w:val="24"/>
                      <w:lang w:eastAsia="lt-LT"/>
                    </w:rPr>
                  </w:pPr>
                </w:p>
                <w:tbl>
                  <w:tblPr>
                    <w:tblW w:w="5000" w:type="pct"/>
                    <w:tblLook w:val="01E0" w:firstRow="1" w:lastRow="1" w:firstColumn="1" w:lastColumn="1" w:noHBand="0" w:noVBand="0"/>
                  </w:tblPr>
                  <w:tblGrid>
                    <w:gridCol w:w="8553"/>
                    <w:gridCol w:w="1301"/>
                  </w:tblGrid>
                  <w:tr>
                    <w:tc>
                      <w:tcPr>
                        <w:tcW w:w="4340" w:type="pct"/>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5740" w:dyaOrig="740">
                            <v:shape id="_x0000_i1719" type="#_x0000_t75" style="width:288.8pt;height:37.2pt" o:ole="">
                              <v:imagedata r:id="rId1569" o:title=""/>
                            </v:shape>
                            <o:OLEObject Type="Embed" ProgID="Equation.3" ShapeID="_x0000_i1719" DrawAspect="Content" ObjectID="_0000000001" r:id="rId1570"/>
                          </w:object>
                          <w:t>;</w:t>
                        </w:r>
                      </w:p>
                    </w:tc>
                    <w:tc>
                      <w:tcPr>
                        <w:tcW w:w="660" w:type="pct"/>
                        <w:vAlign w:val="center"/>
                        <w:hideMark/>
                      </w:tcPr>
                      <w:p>
                        <w:pPr>
                          <w:tabs>
                            <w:tab w:val="left" w:pos="567"/>
                          </w:tabs>
                          <w:suppressAutoHyphens/>
                          <w:spacing w:line="276" w:lineRule="auto"/>
                          <w:jc w:val="right"/>
                          <w:rPr>
                            <w:bCs/>
                            <w:color w:val="000000"/>
                            <w:szCs w:val="24"/>
                            <w:lang w:eastAsia="lt-LT"/>
                          </w:rPr>
                        </w:pPr>
                        <w:r>
                          <w:rPr>
                            <w:bCs/>
                            <w:color w:val="000000"/>
                            <w:szCs w:val="24"/>
                            <w:lang w:eastAsia="lt-LT"/>
                          </w:rPr>
                          <w:t>(2.577)</w:t>
                        </w:r>
                      </w:p>
                    </w:tc>
                  </w:tr>
                </w:tbl>
                <w:p>
                  <w:pPr>
                    <w:tabs>
                      <w:tab w:val="left" w:pos="567"/>
                    </w:tabs>
                    <w:suppressAutoHyphens/>
                    <w:ind w:firstLine="570"/>
                    <w:rPr>
                      <w:rFonts w:eastAsia="Calibri"/>
                      <w:color w:val="000000"/>
                      <w:szCs w:val="24"/>
                      <w:lang w:eastAsia="lt-LT"/>
                    </w:rPr>
                  </w:pPr>
                </w:p>
                <w:tbl>
                  <w:tblPr>
                    <w:tblW w:w="5000" w:type="pct"/>
                    <w:tblLook w:val="01E0" w:firstRow="1" w:lastRow="1" w:firstColumn="1" w:lastColumn="1" w:noHBand="0" w:noVBand="0"/>
                  </w:tblPr>
                  <w:tblGrid>
                    <w:gridCol w:w="8553"/>
                    <w:gridCol w:w="1301"/>
                  </w:tblGrid>
                  <w:tr>
                    <w:tc>
                      <w:tcPr>
                        <w:tcW w:w="4340" w:type="pct"/>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1780" w:dyaOrig="680">
                            <v:shape id="_x0000_i1720" type="#_x0000_t75" style="width:88.2pt;height:34pt" o:ole="">
                              <v:imagedata r:id="rId1571" o:title=""/>
                            </v:shape>
                            <o:OLEObject Type="Embed" ProgID="Equation.3" ShapeID="_x0000_i1720" DrawAspect="Content" ObjectID="_0000000001" r:id="rId1572"/>
                          </w:object>
                        </w:r>
                      </w:p>
                    </w:tc>
                    <w:tc>
                      <w:tcPr>
                        <w:tcW w:w="660" w:type="pct"/>
                        <w:vAlign w:val="center"/>
                        <w:hideMark/>
                      </w:tcPr>
                      <w:p>
                        <w:pPr>
                          <w:tabs>
                            <w:tab w:val="left" w:pos="567"/>
                          </w:tabs>
                          <w:suppressAutoHyphens/>
                          <w:spacing w:line="276" w:lineRule="auto"/>
                          <w:jc w:val="right"/>
                          <w:rPr>
                            <w:bCs/>
                            <w:color w:val="000000"/>
                            <w:szCs w:val="24"/>
                            <w:lang w:eastAsia="lt-LT"/>
                          </w:rPr>
                        </w:pPr>
                        <w:r>
                          <w:rPr>
                            <w:bCs/>
                            <w:color w:val="000000"/>
                            <w:szCs w:val="24"/>
                            <w:lang w:eastAsia="lt-LT"/>
                          </w:rPr>
                          <w:t>(2.578)</w:t>
                        </w:r>
                      </w:p>
                    </w:tc>
                  </w:tr>
                </w:tbl>
                <w:p>
                  <w:pPr>
                    <w:tabs>
                      <w:tab w:val="left" w:pos="567"/>
                    </w:tabs>
                    <w:suppressAutoHyphens/>
                    <w:ind w:firstLine="567"/>
                    <w:jc w:val="both"/>
                    <w:rPr>
                      <w:rFonts w:eastAsia="Calibri"/>
                      <w:color w:val="000000"/>
                      <w:szCs w:val="24"/>
                      <w:lang w:eastAsia="lt-LT"/>
                    </w:rPr>
                  </w:pPr>
                  <w:r>
                    <w:rPr>
                      <w:color w:val="000000"/>
                      <w:szCs w:val="24"/>
                      <w:lang w:eastAsia="lt-LT"/>
                    </w:rPr>
                    <w:t xml:space="preserve">Kiekvieno mėnesio šiluminės energijos sąnaudos karštam vandeniui ruošti </w:t>
                  </w:r>
                  <w:r>
                    <w:rPr>
                      <w:bCs/>
                      <w:i/>
                      <w:color w:val="000000"/>
                      <w:szCs w:val="24"/>
                      <w:lang w:eastAsia="lt-LT"/>
                    </w:rPr>
                    <w:t>Q</w:t>
                  </w:r>
                  <w:r>
                    <w:rPr>
                      <w:bCs/>
                      <w:i/>
                      <w:color w:val="000000"/>
                      <w:szCs w:val="24"/>
                      <w:vertAlign w:val="subscript"/>
                      <w:lang w:eastAsia="lt-LT"/>
                    </w:rPr>
                    <w:t>hw</w:t>
                  </w:r>
                  <w:r>
                    <w:rPr>
                      <w:b/>
                      <w:i/>
                      <w:color w:val="000000"/>
                      <w:szCs w:val="24"/>
                      <w:vertAlign w:val="subscript"/>
                      <w:lang w:eastAsia="lt-LT"/>
                    </w:rPr>
                    <w:t>,m.sum</w:t>
                  </w:r>
                  <w:r>
                    <w:rPr>
                      <w:color w:val="000000"/>
                      <w:szCs w:val="24"/>
                      <w:lang w:eastAsia="lt-LT"/>
                    </w:rPr>
                    <w:t xml:space="preserve"> (kWh/(m</w:t>
                  </w:r>
                  <w:r>
                    <w:rPr>
                      <w:color w:val="000000"/>
                      <w:szCs w:val="24"/>
                      <w:vertAlign w:val="superscript"/>
                      <w:lang w:eastAsia="lt-LT"/>
                    </w:rPr>
                    <w:t>2</w:t>
                  </w:r>
                  <w:r>
                    <w:rPr>
                      <w:color w:val="000000"/>
                      <w:szCs w:val="24"/>
                      <w:lang w:eastAsia="lt-LT"/>
                    </w:rPr>
                    <w:t>·mėn.)) apskaičiuojamos taip:</w:t>
                  </w:r>
                </w:p>
                <w:p>
                  <w:pPr>
                    <w:tabs>
                      <w:tab w:val="left" w:pos="567"/>
                      <w:tab w:val="left" w:pos="927"/>
                    </w:tabs>
                    <w:suppressAutoHyphens/>
                    <w:ind w:left="927" w:hanging="360"/>
                    <w:jc w:val="both"/>
                    <w:rPr>
                      <w:color w:val="000000"/>
                      <w:szCs w:val="24"/>
                      <w:lang w:eastAsia="lt-LT"/>
                    </w:rPr>
                  </w:pPr>
                  <w:r>
                    <w:rPr>
                      <w:color w:val="000000"/>
                      <w:szCs w:val="24"/>
                      <w:lang w:eastAsia="lt-LT"/>
                    </w:rPr>
                    <w:t>-</w:t>
                    <w:tab/>
                    <w:t>jei karštam vandeniui ruošti nenaudojama elektros energija,</w:t>
                  </w:r>
                </w:p>
                <w:tbl>
                  <w:tblPr>
                    <w:tblW w:w="5000" w:type="pct"/>
                    <w:tblLook w:val="01E0" w:firstRow="1" w:lastRow="1" w:firstColumn="1" w:lastColumn="1" w:noHBand="0" w:noVBand="0"/>
                  </w:tblPr>
                  <w:tblGrid>
                    <w:gridCol w:w="8553"/>
                    <w:gridCol w:w="1301"/>
                  </w:tblGrid>
                  <w:tr>
                    <w:trPr>
                      <w:trHeight w:val="1252"/>
                    </w:trPr>
                    <w:tc>
                      <w:tcPr>
                        <w:tcW w:w="4340" w:type="pct"/>
                        <w:hideMark/>
                      </w:tcPr>
                      <w:p>
                        <w:pPr>
                          <w:tabs>
                            <w:tab w:val="left" w:pos="567"/>
                          </w:tabs>
                          <w:suppressAutoHyphens/>
                          <w:spacing w:line="276" w:lineRule="auto"/>
                          <w:jc w:val="center"/>
                          <w:rPr>
                            <w:szCs w:val="24"/>
                            <w:lang w:eastAsia="lt-LT"/>
                          </w:rPr>
                        </w:pPr>
                        <w:r>
                          <w:rPr>
                            <w:szCs w:val="24"/>
                            <w:lang w:eastAsia="lt-LT"/>
                          </w:rPr>
                          <w:object w:dxaOrig="3739" w:dyaOrig="760">
                            <v:shape id="_x0000_i1721" type="#_x0000_t75" style="width:207.9pt;height:38.85pt" o:ole="">
                              <v:imagedata r:id="rId1573" o:title=""/>
                            </v:shape>
                            <o:OLEObject Type="Embed" ProgID="Equation.3" ShapeID="_x0000_i1721" DrawAspect="Content" ObjectID="_0000000001" r:id="rId1574"/>
                          </w:object>
                          <w:t>;</w:t>
                        </w:r>
                      </w:p>
                    </w:tc>
                    <w:tc>
                      <w:tcPr>
                        <w:tcW w:w="660" w:type="pct"/>
                        <w:vAlign w:val="center"/>
                        <w:hideMark/>
                      </w:tcPr>
                      <w:p>
                        <w:pPr>
                          <w:tabs>
                            <w:tab w:val="left" w:pos="567"/>
                          </w:tabs>
                          <w:suppressAutoHyphens/>
                          <w:spacing w:line="276" w:lineRule="auto"/>
                          <w:ind w:firstLine="124"/>
                          <w:rPr>
                            <w:bCs/>
                            <w:color w:val="000000"/>
                            <w:szCs w:val="24"/>
                            <w:lang w:eastAsia="lt-LT"/>
                          </w:rPr>
                        </w:pPr>
                        <w:r>
                          <w:rPr>
                            <w:bCs/>
                            <w:color w:val="000000"/>
                            <w:szCs w:val="24"/>
                            <w:lang w:eastAsia="lt-LT"/>
                          </w:rPr>
                          <w:t>(2.578-1)</w:t>
                        </w:r>
                      </w:p>
                    </w:tc>
                  </w:tr>
                </w:tbl>
                <w:p>
                  <w:pPr>
                    <w:tabs>
                      <w:tab w:val="left" w:pos="567"/>
                      <w:tab w:val="left" w:pos="927"/>
                    </w:tabs>
                    <w:suppressAutoHyphens/>
                    <w:ind w:left="927" w:hanging="360"/>
                    <w:jc w:val="both"/>
                    <w:rPr>
                      <w:rFonts w:eastAsia="Calibri"/>
                      <w:color w:val="000000"/>
                      <w:szCs w:val="24"/>
                      <w:lang w:eastAsia="lt-LT"/>
                    </w:rPr>
                  </w:pPr>
                  <w:r>
                    <w:rPr>
                      <w:rFonts w:eastAsia="Calibri"/>
                      <w:color w:val="000000"/>
                      <w:szCs w:val="24"/>
                      <w:lang w:eastAsia="lt-LT"/>
                    </w:rPr>
                    <w:t>-</w:t>
                    <w:tab/>
                  </w:r>
                  <w:r>
                    <w:rPr>
                      <w:color w:val="000000"/>
                      <w:szCs w:val="24"/>
                      <w:lang w:eastAsia="lt-LT"/>
                    </w:rPr>
                    <w:t>jei karštam vandeniui ruošti naudojama tiktai elektros energija,</w:t>
                  </w:r>
                </w:p>
                <w:p>
                  <w:pPr>
                    <w:tabs>
                      <w:tab w:val="left" w:pos="567"/>
                      <w:tab w:val="left" w:pos="927"/>
                    </w:tabs>
                    <w:suppressAutoHyphens/>
                    <w:ind w:left="927" w:firstLine="927"/>
                    <w:jc w:val="both"/>
                    <w:rPr>
                      <w:color w:val="000000"/>
                      <w:szCs w:val="24"/>
                      <w:lang w:eastAsia="lt-LT"/>
                    </w:rPr>
                  </w:pPr>
                </w:p>
                <w:tbl>
                  <w:tblPr>
                    <w:tblW w:w="5000" w:type="pct"/>
                    <w:tblLook w:val="01E0" w:firstRow="1" w:lastRow="1" w:firstColumn="1" w:lastColumn="1" w:noHBand="0" w:noVBand="0"/>
                  </w:tblPr>
                  <w:tblGrid>
                    <w:gridCol w:w="8303"/>
                    <w:gridCol w:w="1551"/>
                  </w:tblGrid>
                  <w:tr>
                    <w:tc>
                      <w:tcPr>
                        <w:tcW w:w="4213" w:type="pct"/>
                        <w:vAlign w:val="center"/>
                        <w:hideMark/>
                      </w:tcPr>
                      <w:p>
                        <w:pPr>
                          <w:tabs>
                            <w:tab w:val="left" w:pos="567"/>
                          </w:tabs>
                          <w:suppressAutoHyphens/>
                          <w:jc w:val="center"/>
                          <w:rPr>
                            <w:szCs w:val="24"/>
                            <w:lang w:eastAsia="lt-LT"/>
                          </w:rPr>
                        </w:pPr>
                        <w:r>
                          <w:rPr>
                            <w:szCs w:val="24"/>
                            <w:lang w:eastAsia="lt-LT"/>
                          </w:rPr>
                          <w:object w:dxaOrig="8320" w:dyaOrig="760">
                            <v:shape id="_x0000_i1722" type="#_x0000_t75" style="width:394.8pt;height:38.85pt" o:ole="">
                              <v:imagedata r:id="rId1575" o:title=""/>
                            </v:shape>
                            <o:OLEObject Type="Embed" ProgID="Equation.3" ShapeID="_x0000_i1722" DrawAspect="Content" ObjectID="_0000000001" r:id="rId1576"/>
                          </w:object>
                        </w:r>
                      </w:p>
                    </w:tc>
                    <w:tc>
                      <w:tcPr>
                        <w:tcW w:w="787" w:type="pct"/>
                        <w:vAlign w:val="center"/>
                        <w:hideMark/>
                      </w:tcPr>
                      <w:p>
                        <w:pPr>
                          <w:tabs>
                            <w:tab w:val="left" w:pos="567"/>
                          </w:tabs>
                          <w:suppressAutoHyphens/>
                          <w:jc w:val="right"/>
                          <w:rPr>
                            <w:bCs/>
                            <w:szCs w:val="24"/>
                            <w:lang w:eastAsia="lt-LT"/>
                          </w:rPr>
                        </w:pPr>
                        <w:r>
                          <w:rPr>
                            <w:bCs/>
                            <w:szCs w:val="24"/>
                            <w:lang w:eastAsia="lt-LT"/>
                          </w:rPr>
                          <w:t>(2.578-2)</w:t>
                        </w:r>
                      </w:p>
                    </w:tc>
                  </w:tr>
                </w:tbl>
                <w:p>
                  <w:pPr>
                    <w:tabs>
                      <w:tab w:val="left" w:pos="567"/>
                      <w:tab w:val="left" w:pos="927"/>
                    </w:tabs>
                    <w:suppressAutoHyphens/>
                    <w:ind w:left="927" w:hanging="360"/>
                    <w:jc w:val="both"/>
                    <w:rPr>
                      <w:rFonts w:eastAsia="Calibri"/>
                      <w:color w:val="000000"/>
                      <w:szCs w:val="24"/>
                      <w:lang w:eastAsia="lt-LT"/>
                    </w:rPr>
                  </w:pPr>
                </w:p>
                <w:p>
                  <w:pPr>
                    <w:tabs>
                      <w:tab w:val="left" w:pos="567"/>
                      <w:tab w:val="left" w:pos="927"/>
                    </w:tabs>
                    <w:suppressAutoHyphens/>
                    <w:ind w:left="927" w:hanging="360"/>
                    <w:jc w:val="both"/>
                    <w:rPr>
                      <w:rFonts w:eastAsia="Calibri"/>
                      <w:color w:val="000000"/>
                      <w:szCs w:val="24"/>
                      <w:lang w:eastAsia="lt-LT"/>
                    </w:rPr>
                  </w:pPr>
                  <w:r>
                    <w:rPr>
                      <w:rFonts w:eastAsia="Calibri"/>
                      <w:color w:val="000000"/>
                      <w:szCs w:val="24"/>
                      <w:lang w:eastAsia="lt-LT"/>
                    </w:rPr>
                    <w:t>-</w:t>
                    <w:tab/>
                  </w:r>
                  <w:r>
                    <w:rPr>
                      <w:color w:val="000000"/>
                      <w:szCs w:val="24"/>
                      <w:lang w:eastAsia="lt-LT"/>
                    </w:rPr>
                    <w:t xml:space="preserve">jei karštam vandeniui ruošti naudojama </w:t>
                  </w:r>
                  <w:r>
                    <w:rPr>
                      <w:bCs/>
                      <w:color w:val="000000"/>
                      <w:szCs w:val="24"/>
                      <w:lang w:eastAsia="lt-LT"/>
                    </w:rPr>
                    <w:t>elektros energiją vartojanti ir nevartojanti įranga</w:t>
                  </w:r>
                  <w:r>
                    <w:rPr>
                      <w:color w:val="000000"/>
                      <w:szCs w:val="24"/>
                      <w:lang w:eastAsia="lt-LT"/>
                    </w:rPr>
                    <w:t>,</w:t>
                  </w:r>
                </w:p>
                <w:tbl>
                  <w:tblPr>
                    <w:tblW w:w="5000" w:type="pct"/>
                    <w:tblLook w:val="01E0" w:firstRow="1" w:lastRow="1" w:firstColumn="1" w:lastColumn="1" w:noHBand="0" w:noVBand="0"/>
                  </w:tblPr>
                  <w:tblGrid>
                    <w:gridCol w:w="8427"/>
                    <w:gridCol w:w="1427"/>
                  </w:tblGrid>
                  <w:tr>
                    <w:tc>
                      <w:tcPr>
                        <w:tcW w:w="4276" w:type="pct"/>
                        <w:vAlign w:val="center"/>
                      </w:tcPr>
                      <w:p>
                        <w:pPr>
                          <w:tabs>
                            <w:tab w:val="left" w:pos="567"/>
                          </w:tabs>
                          <w:suppressAutoHyphens/>
                          <w:spacing w:line="276" w:lineRule="auto"/>
                          <w:ind w:left="284"/>
                          <w:jc w:val="center"/>
                          <w:rPr>
                            <w:strike/>
                            <w:szCs w:val="24"/>
                            <w:lang w:eastAsia="lt-LT"/>
                          </w:rPr>
                        </w:pPr>
                      </w:p>
                    </w:tc>
                    <w:tc>
                      <w:tcPr>
                        <w:tcW w:w="724" w:type="pct"/>
                        <w:vAlign w:val="center"/>
                      </w:tcPr>
                      <w:p>
                        <w:pPr>
                          <w:tabs>
                            <w:tab w:val="left" w:pos="567"/>
                          </w:tabs>
                          <w:suppressAutoHyphens/>
                          <w:spacing w:line="276" w:lineRule="auto"/>
                          <w:jc w:val="right"/>
                          <w:rPr>
                            <w:bCs/>
                            <w:strike/>
                            <w:szCs w:val="24"/>
                            <w:lang w:eastAsia="lt-LT"/>
                          </w:rPr>
                        </w:pPr>
                      </w:p>
                    </w:tc>
                  </w:tr>
                  <w:tr>
                    <w:tc>
                      <w:tcPr>
                        <w:tcW w:w="4276" w:type="pct"/>
                        <w:vAlign w:val="center"/>
                        <w:hideMark/>
                      </w:tcPr>
                      <w:p>
                        <w:pPr>
                          <w:tabs>
                            <w:tab w:val="left" w:pos="567"/>
                          </w:tabs>
                          <w:suppressAutoHyphens/>
                          <w:spacing w:line="276" w:lineRule="auto"/>
                          <w:ind w:left="284"/>
                          <w:jc w:val="center"/>
                          <w:rPr>
                            <w:szCs w:val="24"/>
                            <w:lang w:eastAsia="lt-LT"/>
                          </w:rPr>
                        </w:pPr>
                      </w:p>
                      <w:p>
                        <w:pPr>
                          <w:tabs>
                            <w:tab w:val="left" w:pos="567"/>
                          </w:tabs>
                          <w:suppressAutoHyphens/>
                          <w:spacing w:line="276" w:lineRule="auto"/>
                          <w:ind w:left="284"/>
                          <w:jc w:val="center"/>
                          <w:rPr>
                            <w:szCs w:val="24"/>
                            <w:lang w:eastAsia="lt-LT"/>
                          </w:rPr>
                        </w:pPr>
                        <m:oMathPara>
                          <m:oMath>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w,m.sum</m:t>
                                </m:r>
                              </m:sub>
                            </m:sSub>
                            <m:r>
                              <w:rPr>
                                <w:rFonts w:asci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w.eq1</m:t>
                                    </m:r>
                                  </m:sub>
                                </m:sSub>
                              </m:num>
                              <m:den>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w.eq1</m:t>
                                    </m:r>
                                  </m:sub>
                                </m:sSub>
                                <m:r>
                                  <w:rPr>
                                    <w:rFonts w:ascii="Cambria Math"/>
                                    <w:szCs w:val="24"/>
                                  </w:rPr>
                                  <m:t>+</m:t>
                                </m:r>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w.eq2</m:t>
                                    </m:r>
                                  </m:sub>
                                </m:sSub>
                              </m:den>
                            </m:f>
                            <m:r>
                              <w:rPr>
                                <w:rFonts w:ascii="Cambria Math" w:hAnsi="Cambria Math" w:cs="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m:t>
                                    </m:r>
                                  </m:sub>
                                </m:sSub>
                                <m:r>
                                  <w:rPr>
                                    <w:rFonts w:ascii="Cambria Math"/>
                                    <w:szCs w:val="24"/>
                                  </w:rPr>
                                  <m:t>-</m:t>
                                </m:r>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Sub>
                                <m:r>
                                  <w:rPr>
                                    <w:rFonts w:ascii="Cambria Math"/>
                                    <w:szCs w:val="24"/>
                                  </w:rPr>
                                  <m:t>-</m:t>
                                </m:r>
                                <m:sSubSup>
                                  <m:sSubSupPr>
                                    <m:ctrlPr>
                                      <w:rPr>
                                        <w:rFonts w:ascii="Cambria Math" w:hAnsi="Cambria Math"/>
                                        <w:i/>
                                        <w:szCs w:val="24"/>
                                      </w:rPr>
                                    </m:ctrlPr>
                                  </m:sSubSup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up>
                                    <m:r>
                                      <w:rPr>
                                        <w:rFonts w:ascii="Cambria Math"/>
                                        <w:szCs w:val="24"/>
                                      </w:rPr>
                                      <m:t>I</m:t>
                                    </m:r>
                                  </m:sup>
                                </m:sSubSup>
                              </m:num>
                              <m:den>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w.eq1</m:t>
                                    </m:r>
                                  </m:sub>
                                </m:sSub>
                              </m:den>
                            </m:f>
                            <m:r>
                              <w:rPr>
                                <w:rFonts w:ascii="Cambria Math"/>
                                <w:szCs w:val="24"/>
                              </w:rPr>
                              <m:t>+</m:t>
                            </m:r>
                            <m:r>
                              <m:rPr>
                                <m:sty m:val="p"/>
                              </m:rPr>
                              <w:rPr>
                                <w:rFonts w:ascii="Cambria Math"/>
                                <w:szCs w:val="24"/>
                              </w:rPr>
                              <w:br/>
                            </m:r>
                          </m:oMath>
                        </m:oMathPara>
                        <m:oMath>
                          <m:r>
                            <w:rPr>
                              <w:rFonts w:ascii="Cambria Math"/>
                              <w:szCs w:val="24"/>
                            </w:rPr>
                            <m:t>+(1</m:t>
                          </m:r>
                          <m:r>
                            <w:rPr>
                              <w:rFonts w:asci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w.eq1</m:t>
                                  </m:r>
                                </m:sub>
                              </m:sSub>
                            </m:num>
                            <m:den>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w.eq1</m:t>
                                  </m:r>
                                </m:sub>
                              </m:sSub>
                              <m:r>
                                <w:rPr>
                                  <w:rFonts w:ascii="Cambria Math"/>
                                  <w:szCs w:val="24"/>
                                </w:rPr>
                                <m:t>+</m:t>
                              </m:r>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w.eq2</m:t>
                                  </m:r>
                                </m:sub>
                              </m:sSub>
                            </m:den>
                          </m:f>
                          <m:r>
                            <w:rPr>
                              <w:rFonts w:ascii="Cambria Math"/>
                              <w:szCs w:val="24"/>
                            </w:rPr>
                            <m:t>)</m:t>
                          </m:r>
                          <m:r>
                            <w:rPr>
                              <w:rFonts w:ascii="Cambria Math" w:hAnsi="Cambria Math" w:cs="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m:t>
                                  </m:r>
                                </m:sub>
                              </m:sSub>
                              <m:r>
                                <w:rPr>
                                  <w:rFonts w:ascii="Cambria Math"/>
                                  <w:szCs w:val="24"/>
                                </w:rPr>
                                <m:t>-</m:t>
                              </m:r>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Sub>
                              <m:r>
                                <w:rPr>
                                  <w:rFonts w:ascii="Cambria Math"/>
                                  <w:szCs w:val="24"/>
                                </w:rPr>
                                <m:t>-</m:t>
                              </m:r>
                              <m:sSubSup>
                                <m:sSubSupPr>
                                  <m:ctrlPr>
                                    <w:rPr>
                                      <w:rFonts w:ascii="Cambria Math" w:hAnsi="Cambria Math"/>
                                      <w:i/>
                                      <w:szCs w:val="24"/>
                                    </w:rPr>
                                  </m:ctrlPr>
                                </m:sSubSup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up>
                                  <m:r>
                                    <w:rPr>
                                      <w:rFonts w:ascii="Cambria Math"/>
                                      <w:szCs w:val="24"/>
                                    </w:rPr>
                                    <m:t>I</m:t>
                                  </m:r>
                                </m:sup>
                              </m:sSubSup>
                              <m:r>
                                <w:rPr>
                                  <w:rFonts w:ascii="Cambria Math"/>
                                  <w:szCs w:val="24"/>
                                </w:rPr>
                                <m:t>-</m:t>
                              </m:r>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w.eq2</m:t>
                                  </m:r>
                                </m:sub>
                              </m:sSub>
                              <m:r>
                                <w:rPr>
                                  <w:rFonts w:ascii="Cambria Math" w:hAnsi="Cambria Math" w:cs="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w.SK+WE+HE,m</m:t>
                                      </m:r>
                                    </m:sub>
                                  </m:sSub>
                                  <m:r>
                                    <w:rPr>
                                      <w:rFonts w:ascii="Cambria Math"/>
                                      <w:szCs w:val="24"/>
                                    </w:rPr>
                                    <m:t>-</m:t>
                                  </m:r>
                                  <m:sSub>
                                    <m:sSubPr>
                                      <m:ctrlPr>
                                        <w:rPr>
                                          <w:rFonts w:ascii="Cambria Math" w:hAnsi="Cambria Math"/>
                                          <w:i/>
                                          <w:szCs w:val="24"/>
                                        </w:rPr>
                                      </m:ctrlPr>
                                    </m:sSub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Sub>
                                  <m:r>
                                    <w:rPr>
                                      <w:rFonts w:ascii="Cambria Math"/>
                                      <w:szCs w:val="24"/>
                                    </w:rPr>
                                    <m:t>-</m:t>
                                  </m:r>
                                  <m:sSubSup>
                                    <m:sSubSupPr>
                                      <m:ctrlPr>
                                        <w:rPr>
                                          <w:rFonts w:ascii="Cambria Math" w:hAnsi="Cambria Math"/>
                                          <w:i/>
                                          <w:szCs w:val="24"/>
                                        </w:rPr>
                                      </m:ctrlPr>
                                    </m:sSubSupPr>
                                    <m:e>
                                      <m:r>
                                        <w:rPr>
                                          <w:rFonts w:ascii="Cambria Math"/>
                                          <w:szCs w:val="24"/>
                                        </w:rPr>
                                        <m:t>Q</m:t>
                                      </m:r>
                                    </m:e>
                                    <m:sub>
                                      <m:r>
                                        <w:rPr>
                                          <w:rFonts w:ascii="Cambria Math"/>
                                          <w:szCs w:val="24"/>
                                        </w:rPr>
                                        <m:t>h</m:t>
                                      </m:r>
                                      <m:r>
                                        <w:rPr>
                                          <w:rFonts w:ascii="Cambria Math"/>
                                          <w:szCs w:val="24"/>
                                        </w:rPr>
                                        <m:t>w.</m:t>
                                      </m:r>
                                      <m:r>
                                        <w:rPr>
                                          <w:rFonts w:ascii="Cambria Math"/>
                                          <w:szCs w:val="24"/>
                                        </w:rPr>
                                        <m:t>h</m:t>
                                      </m:r>
                                      <m:r>
                                        <w:rPr>
                                          <w:rFonts w:ascii="Cambria Math"/>
                                          <w:szCs w:val="24"/>
                                        </w:rPr>
                                        <m:t>wSK,m</m:t>
                                      </m:r>
                                    </m:sub>
                                    <m:sup>
                                      <m:r>
                                        <w:rPr>
                                          <w:rFonts w:ascii="Cambria Math"/>
                                          <w:szCs w:val="24"/>
                                        </w:rPr>
                                        <m:t>I</m:t>
                                      </m:r>
                                    </m:sup>
                                  </m:sSubSup>
                                </m:e>
                              </m:d>
                            </m:num>
                            <m:den>
                              <m:sSub>
                                <m:sSubPr>
                                  <m:ctrlPr>
                                    <w:rPr>
                                      <w:rFonts w:ascii="Cambria Math" w:hAnsi="Cambria Math"/>
                                      <w:i/>
                                      <w:szCs w:val="24"/>
                                    </w:rPr>
                                  </m:ctrlPr>
                                </m:sSubPr>
                                <m:e>
                                  <m:r>
                                    <w:rPr>
                                      <w:rFonts w:ascii="Cambria Math"/>
                                      <w:szCs w:val="24"/>
                                    </w:rPr>
                                    <m:t>η</m:t>
                                  </m:r>
                                </m:e>
                                <m:sub>
                                  <m:r>
                                    <w:rPr>
                                      <w:rFonts w:ascii="Cambria Math"/>
                                      <w:szCs w:val="24"/>
                                    </w:rPr>
                                    <m:t>h</m:t>
                                  </m:r>
                                  <m:r>
                                    <w:rPr>
                                      <w:rFonts w:ascii="Cambria Math"/>
                                      <w:szCs w:val="24"/>
                                    </w:rPr>
                                    <m:t>w.eq2</m:t>
                                  </m:r>
                                </m:sub>
                              </m:sSub>
                            </m:den>
                          </m:f>
                        </m:oMath>
                        <w:r>
                          <w:rPr>
                            <w:szCs w:val="24"/>
                            <w:lang w:eastAsia="lt-LT"/>
                          </w:rPr>
                          <w:t>;</w:t>
                        </w:r>
                      </w:p>
                    </w:tc>
                    <w:tc>
                      <w:tcPr>
                        <w:tcW w:w="724" w:type="pct"/>
                        <w:vAlign w:val="center"/>
                        <w:hideMark/>
                      </w:tcPr>
                      <w:p>
                        <w:pPr>
                          <w:tabs>
                            <w:tab w:val="left" w:pos="567"/>
                          </w:tabs>
                          <w:suppressAutoHyphens/>
                          <w:spacing w:line="276" w:lineRule="auto"/>
                          <w:jc w:val="right"/>
                          <w:rPr>
                            <w:bCs/>
                            <w:szCs w:val="24"/>
                            <w:lang w:eastAsia="lt-LT"/>
                          </w:rPr>
                        </w:pPr>
                      </w:p>
                      <w:p>
                        <w:pPr>
                          <w:tabs>
                            <w:tab w:val="left" w:pos="567"/>
                          </w:tabs>
                          <w:suppressAutoHyphens/>
                          <w:spacing w:line="276" w:lineRule="auto"/>
                          <w:jc w:val="right"/>
                          <w:rPr>
                            <w:bCs/>
                            <w:szCs w:val="24"/>
                            <w:lang w:eastAsia="lt-LT"/>
                          </w:rPr>
                        </w:pPr>
                      </w:p>
                      <w:p>
                        <w:pPr>
                          <w:tabs>
                            <w:tab w:val="left" w:pos="567"/>
                          </w:tabs>
                          <w:suppressAutoHyphens/>
                          <w:spacing w:line="276" w:lineRule="auto"/>
                          <w:jc w:val="right"/>
                          <w:rPr>
                            <w:bCs/>
                            <w:szCs w:val="24"/>
                            <w:lang w:eastAsia="lt-LT"/>
                          </w:rPr>
                        </w:pPr>
                      </w:p>
                      <w:p>
                        <w:pPr>
                          <w:tabs>
                            <w:tab w:val="left" w:pos="567"/>
                          </w:tabs>
                          <w:suppressAutoHyphens/>
                          <w:spacing w:line="276" w:lineRule="auto"/>
                          <w:jc w:val="right"/>
                          <w:rPr>
                            <w:bCs/>
                            <w:szCs w:val="24"/>
                            <w:lang w:eastAsia="lt-LT"/>
                          </w:rPr>
                        </w:pPr>
                        <w:r>
                          <w:rPr>
                            <w:bCs/>
                            <w:szCs w:val="24"/>
                            <w:lang w:eastAsia="lt-LT"/>
                          </w:rPr>
                          <w:t>(2.578-3)</w:t>
                        </w:r>
                      </w:p>
                    </w:tc>
                  </w:tr>
                </w:tbl>
                <w:p>
                  <w:pPr>
                    <w:tabs>
                      <w:tab w:val="left" w:pos="567"/>
                    </w:tabs>
                    <w:suppressAutoHyphens/>
                    <w:ind w:left="720" w:hanging="720"/>
                    <w:rPr>
                      <w:lang w:eastAsia="lt-LT"/>
                    </w:rPr>
                  </w:pPr>
                  <w:r>
                    <w:rPr>
                      <w:color w:val="000000"/>
                      <w:szCs w:val="24"/>
                      <w:lang w:eastAsia="lt-LT"/>
                    </w:rPr>
                    <w:t>čia:</w:t>
                  </w:r>
                  <w:r>
                    <w:rPr>
                      <w:i/>
                      <w:color w:val="000000"/>
                      <w:szCs w:val="24"/>
                      <w:lang w:eastAsia="lt-LT"/>
                    </w:rPr>
                    <w:tab/>
                  </w:r>
                  <w:r>
                    <w:rPr>
                      <w:iCs/>
                      <w:color w:val="000000"/>
                      <w:szCs w:val="24"/>
                      <w:lang w:eastAsia="lt-LT"/>
                    </w:rPr>
                    <w:t xml:space="preserve">jei </w:t>
                  </w:r>
                  <w:r>
                    <w:rPr>
                      <w:position w:val="-14"/>
                      <w:lang w:eastAsia="lt-LT"/>
                    </w:rPr>
                    <w:object w:dxaOrig="2659" w:dyaOrig="400">
                      <v:shape id="_x0000_i1723" type="#_x0000_t75" style="width:131.85pt;height:20.2pt" o:ole="">
                        <v:imagedata r:id="rId1577" o:title=""/>
                      </v:shape>
                      <o:OLEObject Type="Embed" ProgID="Equation.3" ShapeID="_x0000_i1723" DrawAspect="Content" ObjectID="_0000000001" r:id="rId1578"/>
                    </w:object>
                  </w:r>
                  <w:r>
                    <w:rPr>
                      <w:lang w:eastAsia="lt-LT"/>
                    </w:rPr>
                    <w:t xml:space="preserve">&lt;0, tada </w:t>
                  </w:r>
                  <w:r>
                    <w:rPr>
                      <w:iCs/>
                      <w:color w:val="000000"/>
                      <w:szCs w:val="24"/>
                      <w:lang w:eastAsia="lt-LT"/>
                    </w:rPr>
                    <w:t xml:space="preserve"> </w:t>
                  </w:r>
                  <w:r>
                    <w:rPr>
                      <w:position w:val="-14"/>
                      <w:lang w:eastAsia="lt-LT"/>
                    </w:rPr>
                    <w:object w:dxaOrig="7540" w:dyaOrig="400">
                      <v:shape id="_x0000_i1724" type="#_x0000_t75" style="width:375.35pt;height:20.2pt" o:ole="">
                        <v:imagedata r:id="rId1579" o:title=""/>
                      </v:shape>
                      <o:OLEObject Type="Embed" ProgID="Equation.3" ShapeID="_x0000_i1724" DrawAspect="Content" ObjectID="_0000000001" r:id="rId1580"/>
                    </w:object>
                  </w:r>
                  <w:r>
                    <w:rPr>
                      <w:lang w:eastAsia="lt-LT"/>
                    </w:rPr>
                    <w:t>;</w:t>
                  </w:r>
                </w:p>
                <w:p>
                  <w:pPr>
                    <w:tabs>
                      <w:tab w:val="left" w:pos="567"/>
                    </w:tabs>
                    <w:suppressAutoHyphens/>
                    <w:ind w:left="720" w:hanging="11"/>
                    <w:rPr>
                      <w:lang w:eastAsia="lt-LT"/>
                    </w:rPr>
                  </w:pPr>
                  <w:r>
                    <w:rPr>
                      <w:lang w:eastAsia="lt-LT"/>
                    </w:rPr>
                    <w:t xml:space="preserve">jei </w:t>
                  </w:r>
                  <w:r>
                    <w:rPr>
                      <w:position w:val="-14"/>
                      <w:lang w:eastAsia="lt-LT"/>
                    </w:rPr>
                    <w:object w:dxaOrig="3860" w:dyaOrig="400">
                      <v:shape id="_x0000_i1725" type="#_x0000_t75" style="width:193.35pt;height:20.2pt" o:ole="">
                        <v:imagedata r:id="rId1581" o:title=""/>
                      </v:shape>
                      <o:OLEObject Type="Embed" ProgID="Equation.3" ShapeID="_x0000_i1725" DrawAspect="Content" ObjectID="_0000000001" r:id="rId1582"/>
                    </w:object>
                  </w:r>
                  <w:r>
                    <w:rPr>
                      <w:lang w:eastAsia="lt-LT"/>
                    </w:rPr>
                    <w:t xml:space="preserve">, tada </w:t>
                  </w:r>
                  <w:r>
                    <w:rPr>
                      <w:position w:val="-14"/>
                      <w:lang w:eastAsia="lt-LT"/>
                    </w:rPr>
                    <w:object w:dxaOrig="3860" w:dyaOrig="400">
                      <v:shape id="_x0000_i1726" type="#_x0000_t75" style="width:193.35pt;height:20.2pt" o:ole="">
                        <v:imagedata r:id="rId1583" o:title=""/>
                      </v:shape>
                      <o:OLEObject Type="Embed" ProgID="Equation.3" ShapeID="_x0000_i1726" DrawAspect="Content" ObjectID="_0000000001" r:id="rId1584"/>
                    </w:object>
                  </w:r>
                  <w:r>
                    <w:rPr>
                      <w:lang w:eastAsia="lt-LT"/>
                    </w:rPr>
                    <w:t>;</w:t>
                  </w:r>
                </w:p>
                <w:p>
                  <w:pPr>
                    <w:tabs>
                      <w:tab w:val="left" w:pos="567"/>
                    </w:tabs>
                    <w:suppressAutoHyphens/>
                    <w:ind w:left="720" w:hanging="11"/>
                    <w:rPr>
                      <w:rFonts w:eastAsia="Calibri"/>
                      <w:color w:val="000000"/>
                      <w:szCs w:val="24"/>
                      <w:lang w:eastAsia="lt-LT"/>
                    </w:rPr>
                  </w:pPr>
                  <w:r>
                    <w:rPr>
                      <w:color w:val="000000"/>
                      <w:szCs w:val="24"/>
                      <w:lang w:eastAsia="lt-LT"/>
                    </w:rPr>
                    <w:t xml:space="preserve">jei </w:t>
                  </w:r>
                  <w:r>
                    <w:rPr>
                      <w:i/>
                      <w:color w:val="000000"/>
                      <w:szCs w:val="24"/>
                      <w:lang w:eastAsia="lt-LT"/>
                    </w:rPr>
                    <w:t>Q</w:t>
                  </w:r>
                  <w:r>
                    <w:rPr>
                      <w:i/>
                      <w:color w:val="000000"/>
                      <w:szCs w:val="24"/>
                      <w:vertAlign w:val="subscript"/>
                      <w:lang w:eastAsia="lt-LT"/>
                    </w:rPr>
                    <w:t>hw,m.sum</w:t>
                  </w:r>
                  <w:r>
                    <w:rPr>
                      <w:color w:val="000000"/>
                      <w:szCs w:val="24"/>
                      <w:lang w:eastAsia="lt-LT"/>
                    </w:rPr>
                    <w:t xml:space="preserve">&lt;0, tai imama </w:t>
                  </w:r>
                  <w:r>
                    <w:rPr>
                      <w:i/>
                      <w:color w:val="000000"/>
                      <w:szCs w:val="24"/>
                      <w:lang w:eastAsia="lt-LT"/>
                    </w:rPr>
                    <w:t>Q</w:t>
                  </w:r>
                  <w:r>
                    <w:rPr>
                      <w:i/>
                      <w:color w:val="000000"/>
                      <w:szCs w:val="24"/>
                      <w:vertAlign w:val="subscript"/>
                      <w:lang w:eastAsia="lt-LT"/>
                    </w:rPr>
                    <w:t>hw,m.sum</w:t>
                  </w:r>
                  <w:r>
                    <w:rPr>
                      <w:color w:val="000000"/>
                      <w:szCs w:val="24"/>
                      <w:lang w:eastAsia="lt-LT"/>
                    </w:rPr>
                    <w:t xml:space="preserve"> =0; </w:t>
                  </w:r>
                </w:p>
                <w:p>
                  <w:pPr>
                    <w:tabs>
                      <w:tab w:val="left" w:pos="567"/>
                    </w:tabs>
                    <w:suppressAutoHyphens/>
                    <w:ind w:firstLine="709"/>
                    <w:rPr>
                      <w:color w:val="000000"/>
                      <w:szCs w:val="24"/>
                      <w:lang w:eastAsia="lt-LT"/>
                    </w:rPr>
                  </w:pPr>
                  <w:r>
                    <w:rPr>
                      <w:color w:val="000000"/>
                      <w:szCs w:val="24"/>
                      <w:lang w:eastAsia="lt-LT"/>
                    </w:rPr>
                    <w:t>formulės paaiškinimus žiūrėti po (2.136) formule.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73 p."/>
                <w:tag w:val="part_c9d1e92597e84f2c8a90c622e771533b"/>
                <w:lock w:val="sdtLocked"/>
                <w:richText/>
              </w:sdtPr>
              <w:sdtContent>
                <w:p>
                  <w:pPr>
                    <w:tabs>
                      <w:tab w:val="left" w:pos="567"/>
                    </w:tabs>
                    <w:suppressAutoHyphens/>
                    <w:ind w:firstLine="567"/>
                    <w:rPr>
                      <w:color w:val="000000"/>
                      <w:szCs w:val="24"/>
                      <w:lang w:eastAsia="lt-LT"/>
                    </w:rPr>
                  </w:pPr>
                  <w:sdt>
                    <w:sdtPr>
                      <w:alias w:val="Numeris"/>
                      <w:tag w:val="nr_c9d1e92597e84f2c8a90c622e771533b"/>
                      <w:lock w:val="sdtLocked"/>
                      <w:richText/>
                    </w:sdtPr>
                    <w:sdtContent>
                      <w:r>
                        <w:rPr>
                          <w:color w:val="000000"/>
                          <w:szCs w:val="24"/>
                          <w:lang w:eastAsia="lt-LT"/>
                        </w:rPr>
                        <w:t>73</w:t>
                      </w:r>
                    </w:sdtContent>
                  </w:sdt>
                  <w:r>
                    <w:rPr>
                      <w:color w:val="000000"/>
                      <w:szCs w:val="24"/>
                      <w:lang w:eastAsia="lt-LT"/>
                    </w:rPr>
                    <w:t xml:space="preserve">. Metinės norminės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N.H</w:t>
                  </w:r>
                  <w:r>
                    <w:rPr>
                      <w:color w:val="000000"/>
                      <w:szCs w:val="24"/>
                      <w:lang w:eastAsia="lt-LT"/>
                    </w:rPr>
                    <w:t xml:space="preserve"> (kWh/(m</w:t>
                  </w:r>
                  <w:r>
                    <w:rPr>
                      <w:color w:val="000000"/>
                      <w:szCs w:val="24"/>
                      <w:vertAlign w:val="superscript"/>
                      <w:lang w:eastAsia="lt-LT"/>
                    </w:rPr>
                    <w:t>2</w:t>
                  </w:r>
                  <w:r>
                    <w:rPr>
                      <w:color w:val="000000"/>
                      <w:szCs w:val="24"/>
                      <w:lang w:eastAsia="lt-LT"/>
                    </w:rPr>
                    <w:t xml:space="preserve">·metai)) ir atskaitinės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R.H</w:t>
                  </w:r>
                  <w:r>
                    <w:rPr>
                      <w:color w:val="000000"/>
                      <w:szCs w:val="24"/>
                      <w:lang w:eastAsia="lt-LT"/>
                    </w:rPr>
                    <w:t xml:space="preserve"> (kWh/(m</w:t>
                  </w:r>
                  <w:r>
                    <w:rPr>
                      <w:color w:val="000000"/>
                      <w:szCs w:val="24"/>
                      <w:vertAlign w:val="superscript"/>
                      <w:lang w:eastAsia="lt-LT"/>
                    </w:rPr>
                    <w:t>2</w:t>
                  </w:r>
                  <w:r>
                    <w:rPr>
                      <w:color w:val="000000"/>
                      <w:szCs w:val="24"/>
                      <w:lang w:eastAsia="lt-LT"/>
                    </w:rPr>
                    <w:t>·metai)) šiluminės energijos sąnaudos pastatui šildyti apskaičiuojamos taip:</w:t>
                  </w:r>
                </w:p>
                <w:p>
                  <w:pPr>
                    <w:tabs>
                      <w:tab w:val="left" w:pos="567"/>
                    </w:tabs>
                    <w:suppressAutoHyphens/>
                    <w:ind w:firstLine="600"/>
                    <w:rPr>
                      <w:color w:val="000000"/>
                      <w:szCs w:val="24"/>
                      <w:lang w:eastAsia="lt-LT"/>
                    </w:rPr>
                  </w:pP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spacing w:line="276" w:lineRule="auto"/>
                          <w:jc w:val="center"/>
                          <w:rPr>
                            <w:rFonts w:eastAsia="Calibri"/>
                            <w:bCs/>
                            <w:color w:val="000000"/>
                            <w:szCs w:val="24"/>
                            <w:lang w:eastAsia="lt-LT"/>
                          </w:rPr>
                        </w:pPr>
                        <w:r>
                          <w:rPr>
                            <w:rFonts w:eastAsia="Calibri"/>
                            <w:color w:val="000000"/>
                            <w:szCs w:val="24"/>
                            <w:lang w:eastAsia="lt-LT"/>
                          </w:rPr>
                          <w:object w:dxaOrig="1860" w:dyaOrig="660">
                            <v:shape id="_x0000_i1727" type="#_x0000_t75" style="width:93.85pt;height:34pt" o:ole="">
                              <v:imagedata r:id="rId1585" o:title=""/>
                            </v:shape>
                            <o:OLEObject Type="Embed" ProgID="Equation.3" ShapeID="_x0000_i1727" DrawAspect="Content" ObjectID="_0000000001" r:id="rId1586"/>
                          </w:object>
                        </w:r>
                        <w:r>
                          <w:rPr>
                            <w:color w:val="000000"/>
                            <w:szCs w:val="24"/>
                            <w:lang w:eastAsia="lt-LT"/>
                          </w:rPr>
                          <w:t>;</w:t>
                        </w:r>
                      </w:p>
                    </w:tc>
                    <w:tc>
                      <w:tcPr>
                        <w:tcW w:w="571" w:type="pct"/>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(2.579)</w:t>
                        </w:r>
                      </w:p>
                    </w:tc>
                  </w:tr>
                </w:tbl>
                <w:p>
                  <w:pPr>
                    <w:tabs>
                      <w:tab w:val="left" w:pos="567"/>
                    </w:tabs>
                    <w:suppressAutoHyphens/>
                    <w:ind w:firstLine="570"/>
                    <w:rPr>
                      <w:rFonts w:eastAsia="Calibri"/>
                      <w:color w:val="000000"/>
                      <w:szCs w:val="24"/>
                      <w:lang w:eastAsia="lt-LT"/>
                    </w:rPr>
                  </w:pP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spacing w:line="276" w:lineRule="auto"/>
                          <w:jc w:val="center"/>
                          <w:rPr>
                            <w:rFonts w:eastAsia="Calibri"/>
                            <w:bCs/>
                            <w:color w:val="000000"/>
                            <w:szCs w:val="24"/>
                            <w:lang w:eastAsia="lt-LT"/>
                          </w:rPr>
                        </w:pPr>
                        <w:r>
                          <w:rPr>
                            <w:color w:val="000000"/>
                            <w:szCs w:val="24"/>
                            <w:lang w:eastAsia="lt-LT"/>
                          </w:rPr>
                          <w:object w:dxaOrig="1830" w:dyaOrig="660">
                            <v:shape id="_x0000_i1728" type="#_x0000_t75" style="width:91.4pt;height:34pt" o:ole="">
                              <v:imagedata r:id="rId1587" o:title=""/>
                            </v:shape>
                            <o:OLEObject Type="Embed" ProgID="Equation.3" ShapeID="_x0000_i1728" DrawAspect="Content" ObjectID="_0000000001" r:id="rId1588"/>
                          </w:object>
                          <w:t>;</w:t>
                        </w:r>
                      </w:p>
                    </w:tc>
                    <w:tc>
                      <w:tcPr>
                        <w:tcW w:w="571" w:type="pct"/>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(2.580)</w:t>
                        </w:r>
                      </w:p>
                    </w:tc>
                  </w:tr>
                </w:tbl>
                <w:p>
                  <w:pPr>
                    <w:tabs>
                      <w:tab w:val="left" w:pos="-2040"/>
                      <w:tab w:val="left" w:pos="567"/>
                    </w:tabs>
                    <w:suppressAutoHyphens/>
                    <w:rPr>
                      <w:color w:val="000000"/>
                      <w:szCs w:val="24"/>
                      <w:lang w:eastAsia="lt-LT"/>
                    </w:rPr>
                  </w:pPr>
                </w:p>
                <w:p>
                  <w:pPr>
                    <w:tabs>
                      <w:tab w:val="left" w:pos="-2040"/>
                      <w:tab w:val="left" w:pos="567"/>
                    </w:tabs>
                    <w:suppressAutoHyphens/>
                    <w:rPr>
                      <w:rFonts w:eastAsia="Calibri"/>
                      <w:color w:val="000000"/>
                      <w:szCs w:val="24"/>
                      <w:lang w:eastAsia="lt-LT"/>
                    </w:rPr>
                  </w:pPr>
                  <w:r>
                    <w:rPr>
                      <w:color w:val="000000"/>
                      <w:szCs w:val="24"/>
                      <w:lang w:eastAsia="lt-LT"/>
                    </w:rPr>
                    <w:t>čia:</w:t>
                    <w:tab/>
                    <w:t xml:space="preserve">formulės paaiškinimus ir skaičiavimo tvarką žiūrėti   Reglamento XXII skyriuje.</w:t>
                  </w:r>
                </w:p>
                <w:p>
                  <w:pPr>
                    <w:tabs>
                      <w:tab w:val="left" w:pos="567"/>
                    </w:tabs>
                    <w:suppressAutoHyphens/>
                    <w:ind w:firstLine="600"/>
                    <w:jc w:val="both"/>
                    <w:rPr>
                      <w:color w:val="000000"/>
                      <w:szCs w:val="24"/>
                      <w:lang w:eastAsia="lt-LT"/>
                    </w:rPr>
                  </w:pPr>
                  <w:r>
                    <w:rPr>
                      <w:color w:val="000000"/>
                      <w:szCs w:val="24"/>
                      <w:lang w:eastAsia="lt-LT"/>
                    </w:rPr>
                    <w:t xml:space="preserve">Metinės skaičiuojamosios šiluminės energijos sąnaudos pastatui šildyti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w:t>
                  </w:r>
                  <w:r>
                    <w:rPr>
                      <w:color w:val="000000"/>
                      <w:szCs w:val="24"/>
                      <w:lang w:eastAsia="lt-LT"/>
                    </w:rPr>
                    <w:t xml:space="preserve"> (kWh/(m</w:t>
                  </w:r>
                  <w:r>
                    <w:rPr>
                      <w:color w:val="000000"/>
                      <w:szCs w:val="24"/>
                      <w:vertAlign w:val="superscript"/>
                      <w:lang w:eastAsia="lt-LT"/>
                    </w:rPr>
                    <w:t>2</w:t>
                  </w:r>
                  <w:r>
                    <w:rPr>
                      <w:color w:val="000000"/>
                      <w:szCs w:val="24"/>
                      <w:lang w:eastAsia="lt-LT"/>
                    </w:rPr>
                    <w:t>·metai)) apskaičiuojamos taip:</w:t>
                  </w:r>
                </w:p>
                <w:tbl>
                  <w:tblPr>
                    <w:tblW w:w="5000" w:type="pct"/>
                    <w:tblLook w:val="01E0" w:firstRow="1" w:lastRow="1" w:firstColumn="1" w:lastColumn="1" w:noHBand="0" w:noVBand="0"/>
                  </w:tblPr>
                  <w:tblGrid>
                    <w:gridCol w:w="8514"/>
                    <w:gridCol w:w="1340"/>
                  </w:tblGrid>
                  <w:tr>
                    <w:tc>
                      <w:tcPr>
                        <w:tcW w:w="4320" w:type="pct"/>
                        <w:hideMark/>
                      </w:tcPr>
                      <w:p>
                        <w:pPr>
                          <w:tabs>
                            <w:tab w:val="left" w:pos="567"/>
                          </w:tabs>
                          <w:suppressAutoHyphens/>
                          <w:spacing w:line="276" w:lineRule="auto"/>
                          <w:jc w:val="center"/>
                          <w:rPr>
                            <w:rFonts w:eastAsia="Calibri"/>
                            <w:color w:val="000000"/>
                            <w:szCs w:val="24"/>
                            <w:lang w:eastAsia="lt-LT"/>
                          </w:rPr>
                        </w:pPr>
                        <w:r>
                          <w:rPr>
                            <w:color w:val="000000"/>
                            <w:szCs w:val="24"/>
                            <w:lang w:eastAsia="lt-LT"/>
                          </w:rPr>
                          <w:object w:dxaOrig="1335" w:dyaOrig="675">
                            <v:shape id="_x0000_i1729" type="#_x0000_t75" style="width:66.35pt;height:34pt" o:ole="">
                              <v:imagedata r:id="rId1589" o:title=""/>
                            </v:shape>
                            <o:OLEObject Type="Embed" ProgID="Equation.3" ShapeID="_x0000_i1729" DrawAspect="Content" ObjectID="_0000000001" r:id="rId1590"/>
                          </w:object>
                          <w:t>,</w:t>
                        </w:r>
                      </w:p>
                    </w:tc>
                    <w:tc>
                      <w:tcPr>
                        <w:tcW w:w="680" w:type="pct"/>
                        <w:vAlign w:val="center"/>
                        <w:hideMark/>
                      </w:tcPr>
                      <w:p>
                        <w:pPr>
                          <w:tabs>
                            <w:tab w:val="left" w:pos="567"/>
                          </w:tabs>
                          <w:suppressAutoHyphens/>
                          <w:spacing w:line="276" w:lineRule="auto"/>
                          <w:ind w:firstLine="8"/>
                          <w:jc w:val="right"/>
                          <w:rPr>
                            <w:rFonts w:eastAsia="Calibri"/>
                            <w:bCs/>
                            <w:color w:val="000000"/>
                            <w:szCs w:val="24"/>
                            <w:lang w:eastAsia="lt-LT"/>
                          </w:rPr>
                        </w:pPr>
                        <w:r>
                          <w:rPr>
                            <w:color w:val="000000"/>
                            <w:szCs w:val="24"/>
                            <w:lang w:eastAsia="lt-LT"/>
                          </w:rPr>
                          <w:t>(2.581)</w:t>
                        </w:r>
                      </w:p>
                    </w:tc>
                  </w:tr>
                </w:tbl>
                <w:p>
                  <w:pPr>
                    <w:tabs>
                      <w:tab w:val="left" w:pos="567"/>
                    </w:tabs>
                    <w:suppressAutoHyphens/>
                    <w:ind w:left="720" w:hanging="153"/>
                    <w:rPr>
                      <w:rFonts w:eastAsia="Calibri"/>
                      <w:color w:val="000000"/>
                      <w:szCs w:val="24"/>
                      <w:lang w:eastAsia="lt-LT"/>
                    </w:rPr>
                  </w:pPr>
                  <w:r>
                    <w:rPr>
                      <w:color w:val="000000"/>
                      <w:szCs w:val="24"/>
                      <w:lang w:eastAsia="lt-LT"/>
                    </w:rPr>
                    <w:t>- jei pastatui šildyti naudojamas vienas šilumos šaltinis,</w:t>
                  </w:r>
                </w:p>
                <w:tbl>
                  <w:tblPr>
                    <w:tblW w:w="5000" w:type="pct"/>
                    <w:tblLook w:val="01E0" w:firstRow="1" w:lastRow="1" w:firstColumn="1" w:lastColumn="1" w:noHBand="0" w:noVBand="0"/>
                  </w:tblPr>
                  <w:tblGrid>
                    <w:gridCol w:w="8849"/>
                    <w:gridCol w:w="1005"/>
                  </w:tblGrid>
                  <w:tr>
                    <w:tc>
                      <w:tcPr>
                        <w:tcW w:w="4490" w:type="pct"/>
                      </w:tcPr>
                      <w:p>
                        <w:pPr>
                          <w:tabs>
                            <w:tab w:val="left" w:pos="567"/>
                          </w:tabs>
                          <w:suppressAutoHyphens/>
                          <w:spacing w:line="276" w:lineRule="auto"/>
                          <w:jc w:val="center"/>
                          <w:rPr>
                            <w:rFonts w:eastAsia="Calibri"/>
                            <w:strike/>
                            <w:color w:val="000000"/>
                            <w:szCs w:val="24"/>
                            <w:lang w:eastAsia="lt-LT"/>
                          </w:rPr>
                        </w:pPr>
                      </w:p>
                    </w:tc>
                    <w:tc>
                      <w:tcPr>
                        <w:tcW w:w="510" w:type="pct"/>
                        <w:vAlign w:val="center"/>
                      </w:tcPr>
                      <w:p>
                        <w:pPr>
                          <w:tabs>
                            <w:tab w:val="left" w:pos="567"/>
                          </w:tabs>
                          <w:suppressAutoHyphens/>
                          <w:spacing w:line="276" w:lineRule="auto"/>
                          <w:ind w:firstLine="8"/>
                          <w:jc w:val="right"/>
                          <w:rPr>
                            <w:rFonts w:eastAsia="Calibri"/>
                            <w:bCs/>
                            <w:strike/>
                            <w:color w:val="000000"/>
                            <w:szCs w:val="24"/>
                            <w:lang w:eastAsia="lt-LT"/>
                          </w:rPr>
                        </w:pPr>
                      </w:p>
                    </w:tc>
                  </w:tr>
                  <w:tr>
                    <w:tc>
                      <w:tcPr>
                        <w:tcW w:w="4490" w:type="pct"/>
                        <w:hideMark/>
                      </w:tcPr>
                      <w:p>
                        <w:pPr>
                          <w:tabs>
                            <w:tab w:val="left" w:pos="567"/>
                          </w:tabs>
                          <w:suppressAutoHyphens/>
                          <w:jc w:val="center"/>
                          <w:rPr>
                            <w:color w:val="000000"/>
                            <w:lang w:eastAsia="lt-LT"/>
                          </w:rPr>
                        </w:pPr>
                        <w:r>
                          <w:rPr>
                            <w:color w:val="000000"/>
                            <w:lang w:eastAsia="lt-LT"/>
                          </w:rPr>
                          <w:object w:dxaOrig="9240" w:dyaOrig="2640">
                            <v:shape id="_x0000_i1730" type="#_x0000_t75" style="width:401.25pt;height:114.05pt" o:ole="">
                              <v:imagedata r:id="rId1591" o:title=""/>
                            </v:shape>
                            <o:OLEObject Type="Embed" ProgID="Equation.3" ShapeID="_x0000_i1730" DrawAspect="Content" ObjectID="_0000000001" r:id="rId1592"/>
                          </w:object>
                          <w:t>;</w:t>
                        </w:r>
                      </w:p>
                    </w:tc>
                    <w:tc>
                      <w:tcPr>
                        <w:tcW w:w="510" w:type="pct"/>
                        <w:vAlign w:val="center"/>
                        <w:hideMark/>
                      </w:tcPr>
                      <w:p>
                        <w:pPr>
                          <w:tabs>
                            <w:tab w:val="left" w:pos="567"/>
                          </w:tabs>
                          <w:suppressAutoHyphens/>
                          <w:ind w:firstLine="8"/>
                          <w:jc w:val="center"/>
                          <w:rPr>
                            <w:rFonts w:eastAsia="Calibri"/>
                            <w:bCs/>
                            <w:color w:val="000000"/>
                            <w:lang w:eastAsia="lt-LT"/>
                          </w:rPr>
                        </w:pPr>
                        <w:r>
                          <w:rPr>
                            <w:color w:val="000000"/>
                            <w:lang w:eastAsia="lt-LT"/>
                          </w:rPr>
                          <w:t>(2.582)</w:t>
                        </w:r>
                      </w:p>
                    </w:tc>
                  </w:tr>
                </w:tbl>
                <w:p>
                  <w:pPr>
                    <w:tabs>
                      <w:tab w:val="left" w:pos="567"/>
                    </w:tabs>
                    <w:suppressAutoHyphens/>
                    <w:rPr>
                      <w:color w:val="000000"/>
                      <w:szCs w:val="24"/>
                      <w:lang w:eastAsia="lt-LT"/>
                    </w:rPr>
                  </w:pPr>
                </w:p>
                <w:p>
                  <w:pPr>
                    <w:tabs>
                      <w:tab w:val="left" w:pos="567"/>
                    </w:tabs>
                    <w:suppressAutoHyphens/>
                    <w:ind w:left="600" w:firstLine="720"/>
                    <w:rPr>
                      <w:color w:val="000000"/>
                      <w:szCs w:val="24"/>
                      <w:lang w:eastAsia="lt-LT"/>
                    </w:rPr>
                  </w:pPr>
                </w:p>
                <w:p>
                  <w:pPr>
                    <w:tabs>
                      <w:tab w:val="left" w:pos="567"/>
                    </w:tabs>
                    <w:suppressAutoHyphens/>
                    <w:ind w:firstLine="567"/>
                    <w:jc w:val="both"/>
                    <w:rPr>
                      <w:lang w:eastAsia="lt-LT"/>
                    </w:rPr>
                  </w:pPr>
                  <w:r>
                    <w:rPr>
                      <w:lang w:eastAsia="lt-LT"/>
                    </w:rPr>
                    <w:t xml:space="preserve">čia: </w:t>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ind w:firstLine="567"/>
                    <w:jc w:val="both"/>
                  </w:pPr>
                  <w:r>
                    <w:rPr>
                      <w:b/>
                    </w:rPr>
                    <w:t>–</w:t>
                  </w:r>
                  <w:r>
                    <w:t xml:space="preserve"> jei šilumos šaltinis pastatui šildyti nenaudoja elektros energijos, tada imama (1-</w:t>
                  </w:r>
                  <w:r>
                    <w:rPr>
                      <w:i/>
                      <w:color w:val="000000"/>
                      <w:szCs w:val="24"/>
                      <w:lang w:eastAsia="lt-LT"/>
                    </w:rPr>
                    <w:t>τ</w:t>
                  </w:r>
                  <w:r>
                    <w:rPr>
                      <w:i/>
                      <w:color w:val="000000"/>
                      <w:szCs w:val="24"/>
                      <w:vertAlign w:val="subscript"/>
                      <w:lang w:eastAsia="lt-LT"/>
                    </w:rPr>
                    <w:t>H,m</w:t>
                  </w:r>
                  <w:r>
                    <w:rPr>
                      <w:color w:val="000000"/>
                      <w:szCs w:val="24"/>
                      <w:lang w:eastAsia="lt-LT"/>
                    </w:rPr>
                    <w:t>)</w:t>
                  </w:r>
                  <w:r>
                    <w:t xml:space="preserve">=1 ir </w:t>
                  </w:r>
                  <w:r>
                    <w:rPr>
                      <w:position w:val="-14"/>
                    </w:rPr>
                    <w:object w:dxaOrig="840" w:dyaOrig="380">
                      <v:shape id="_x0000_i1731" type="#_x0000_t75" style="width:43.7pt;height:19.4pt" o:ole="">
                        <v:imagedata r:id="rId1593" o:title=""/>
                      </v:shape>
                      <o:OLEObject Type="Embed" ProgID="Equation.3" ShapeID="_x0000_i1731" DrawAspect="Content" ObjectID="_0000000001" r:id="rId1594"/>
                    </w:object>
                  </w:r>
                  <w:r>
                    <w:t>;</w:t>
                  </w:r>
                </w:p>
                <w:p>
                  <w:pPr>
                    <w:tabs>
                      <w:tab w:val="left" w:pos="567"/>
                    </w:tabs>
                    <w:suppressAutoHyphens/>
                    <w:ind w:left="600"/>
                    <w:rPr>
                      <w:color w:val="000000"/>
                      <w:szCs w:val="24"/>
                      <w:lang w:eastAsia="lt-LT"/>
                    </w:rPr>
                  </w:pPr>
                </w:p>
                <w:p>
                  <w:pPr>
                    <w:tabs>
                      <w:tab w:val="left" w:pos="567"/>
                    </w:tabs>
                    <w:suppressAutoHyphens/>
                    <w:ind w:left="600"/>
                    <w:rPr>
                      <w:rFonts w:eastAsia="Calibri"/>
                      <w:color w:val="000000"/>
                      <w:szCs w:val="24"/>
                      <w:lang w:eastAsia="lt-LT"/>
                    </w:rPr>
                  </w:pPr>
                  <w:r>
                    <w:rPr>
                      <w:b/>
                      <w:lang w:eastAsia="lt-LT"/>
                    </w:rPr>
                    <w:t>–</w:t>
                  </w:r>
                  <w:r>
                    <w:rPr>
                      <w:color w:val="000000"/>
                      <w:szCs w:val="24"/>
                      <w:lang w:eastAsia="lt-LT"/>
                    </w:rPr>
                    <w:t xml:space="preserve"> jei pastatui šildyti naudojami du šilumos šaltiniai,</w:t>
                  </w:r>
                </w:p>
                <w:tbl>
                  <w:tblPr>
                    <w:tblW w:w="5000" w:type="pct"/>
                    <w:tblLook w:val="01E0" w:firstRow="1" w:lastRow="1" w:firstColumn="1" w:lastColumn="1" w:noHBand="0" w:noVBand="0"/>
                  </w:tblPr>
                  <w:tblGrid>
                    <w:gridCol w:w="8910"/>
                    <w:gridCol w:w="944"/>
                  </w:tblGrid>
                  <w:tr>
                    <w:tc>
                      <w:tcPr>
                        <w:tcW w:w="4521" w:type="pct"/>
                        <w:vAlign w:val="center"/>
                      </w:tcPr>
                      <w:p>
                        <w:pPr>
                          <w:tabs>
                            <w:tab w:val="left" w:pos="567"/>
                          </w:tabs>
                          <w:suppressAutoHyphens/>
                          <w:jc w:val="center"/>
                          <w:rPr>
                            <w:rFonts w:eastAsia="Calibri"/>
                            <w:bCs/>
                            <w:strike/>
                            <w:szCs w:val="24"/>
                            <w:lang w:eastAsia="lt-LT"/>
                          </w:rPr>
                        </w:pPr>
                      </w:p>
                    </w:tc>
                    <w:tc>
                      <w:tcPr>
                        <w:tcW w:w="479" w:type="pct"/>
                        <w:vAlign w:val="center"/>
                      </w:tcPr>
                      <w:p>
                        <w:pPr>
                          <w:tabs>
                            <w:tab w:val="left" w:pos="567"/>
                          </w:tabs>
                          <w:suppressAutoHyphens/>
                          <w:jc w:val="center"/>
                          <w:rPr>
                            <w:rFonts w:eastAsia="Calibri"/>
                            <w:bCs/>
                            <w:strike/>
                            <w:szCs w:val="24"/>
                            <w:lang w:eastAsia="lt-LT"/>
                          </w:rPr>
                        </w:pPr>
                      </w:p>
                    </w:tc>
                  </w:tr>
                </w:tbl>
                <w:p>
                  <w:pPr>
                    <w:tabs>
                      <w:tab w:val="left" w:pos="567"/>
                    </w:tabs>
                    <w:suppressAutoHyphens/>
                    <w:jc w:val="both"/>
                    <w:rPr>
                      <w:color w:val="000000"/>
                      <w:szCs w:val="24"/>
                      <w:lang w:eastAsia="lt-LT"/>
                    </w:rPr>
                  </w:pPr>
                </w:p>
                <w:tbl>
                  <w:tblPr>
                    <w:tblW w:w="5000" w:type="pct"/>
                    <w:tblLook w:val="01E0" w:firstRow="1" w:lastRow="1" w:firstColumn="1" w:lastColumn="1" w:noHBand="0" w:noVBand="0"/>
                  </w:tblPr>
                  <w:tblGrid>
                    <w:gridCol w:w="8910"/>
                    <w:gridCol w:w="944"/>
                  </w:tblGrid>
                  <w:tr>
                    <w:tc>
                      <w:tcPr>
                        <w:tcW w:w="4521" w:type="pct"/>
                        <w:vAlign w:val="center"/>
                        <w:hideMark/>
                      </w:tcPr>
                      <w:p>
                        <w:pPr>
                          <w:tabs>
                            <w:tab w:val="left" w:pos="567"/>
                          </w:tabs>
                          <w:suppressAutoHyphens/>
                          <w:jc w:val="center"/>
                          <w:rPr>
                            <w:rFonts w:eastAsia="Calibri"/>
                            <w:bCs/>
                            <w:color w:val="000000"/>
                            <w:lang w:eastAsia="lt-LT"/>
                          </w:rPr>
                        </w:pPr>
                        <w:r>
                          <w:rPr>
                            <w:color w:val="000000"/>
                            <w:lang w:eastAsia="lt-LT"/>
                          </w:rPr>
                          <w:object w:dxaOrig="9139" w:dyaOrig="3840">
                            <v:shape id="_x0000_i1732" type="#_x0000_t75" style="width:404.5pt;height:169.1pt" o:ole="">
                              <v:imagedata r:id="rId1595" o:title=""/>
                            </v:shape>
                            <o:OLEObject Type="Embed" ProgID="Equation.3" ShapeID="_x0000_i1732" DrawAspect="Content" ObjectID="_0000000001" r:id="rId1596"/>
                          </w:object>
                          <w:t>;</w:t>
                        </w:r>
                      </w:p>
                    </w:tc>
                    <w:tc>
                      <w:tcPr>
                        <w:tcW w:w="479" w:type="pct"/>
                        <w:vAlign w:val="center"/>
                        <w:hideMark/>
                      </w:tcPr>
                      <w:p>
                        <w:pPr>
                          <w:tabs>
                            <w:tab w:val="left" w:pos="567"/>
                          </w:tabs>
                          <w:suppressAutoHyphens/>
                          <w:jc w:val="center"/>
                          <w:rPr>
                            <w:rFonts w:eastAsia="Calibri"/>
                            <w:bCs/>
                            <w:color w:val="000000"/>
                            <w:lang w:eastAsia="lt-LT"/>
                          </w:rPr>
                        </w:pPr>
                        <w:r>
                          <w:rPr>
                            <w:color w:val="000000"/>
                            <w:lang w:eastAsia="lt-LT"/>
                          </w:rPr>
                          <w:t>(2.583)</w:t>
                        </w:r>
                      </w:p>
                    </w:tc>
                  </w:tr>
                </w:tbl>
                <w:p>
                  <w:pPr>
                    <w:tabs>
                      <w:tab w:val="left" w:pos="567"/>
                    </w:tabs>
                    <w:suppressAutoHyphens/>
                    <w:jc w:val="both"/>
                    <w:rPr>
                      <w:color w:val="000000"/>
                      <w:szCs w:val="24"/>
                      <w:lang w:eastAsia="lt-LT"/>
                    </w:rPr>
                  </w:pPr>
                </w:p>
                <w:p>
                  <w:pPr>
                    <w:tabs>
                      <w:tab w:val="left" w:pos="567"/>
                    </w:tabs>
                    <w:suppressAutoHyphens/>
                    <w:jc w:val="both"/>
                    <w:rPr>
                      <w:lang w:eastAsia="lt-LT"/>
                    </w:rPr>
                  </w:pPr>
                  <w:r>
                    <w:rPr>
                      <w:color w:val="000000"/>
                      <w:szCs w:val="24"/>
                      <w:lang w:eastAsia="lt-LT"/>
                    </w:rPr>
                    <w:t>čia:</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suppressAutoHyphens/>
                    <w:ind w:firstLine="567"/>
                    <w:jc w:val="both"/>
                    <w:rPr>
                      <w:rFonts w:eastAsia="Calibri"/>
                      <w:color w:val="000000"/>
                      <w:szCs w:val="24"/>
                      <w:lang w:eastAsia="lt-LT"/>
                    </w:rPr>
                  </w:pPr>
                  <w:r>
                    <w:rPr>
                      <w:rFonts w:ascii="Calibri" w:hAnsi="Calibri" w:cs="Calibri"/>
                      <w:color w:val="000000"/>
                      <w:szCs w:val="24"/>
                      <w:lang w:eastAsia="lt-LT"/>
                    </w:rPr>
                    <w:t>-</w:t>
                    <w:tab/>
                  </w:r>
                  <w:r>
                    <w:rPr>
                      <w:lang w:eastAsia="lt-LT"/>
                    </w:rPr>
                    <w:t>jeigu šilumos šaltinis pastatui šildyti nenaudoja elektros energijos, tada imama (1-</w:t>
                  </w:r>
                  <w:r>
                    <w:rPr>
                      <w:i/>
                      <w:color w:val="000000"/>
                      <w:szCs w:val="24"/>
                      <w:lang w:eastAsia="lt-LT"/>
                    </w:rPr>
                    <w:t>τ</w:t>
                  </w:r>
                  <w:r>
                    <w:rPr>
                      <w:i/>
                      <w:color w:val="000000"/>
                      <w:szCs w:val="24"/>
                      <w:vertAlign w:val="subscript"/>
                      <w:lang w:eastAsia="lt-LT"/>
                    </w:rPr>
                    <w:t>H,m</w:t>
                  </w:r>
                  <w:r>
                    <w:rPr>
                      <w:color w:val="000000"/>
                      <w:szCs w:val="24"/>
                      <w:lang w:eastAsia="lt-LT"/>
                    </w:rPr>
                    <w:t>)</w:t>
                  </w:r>
                  <w:r>
                    <w:rPr>
                      <w:lang w:eastAsia="lt-LT"/>
                    </w:rPr>
                    <w:t xml:space="preserve">=1 ir </w:t>
                  </w:r>
                  <w:r>
                    <w:rPr>
                      <w:position w:val="-14"/>
                      <w:lang w:eastAsia="lt-LT"/>
                    </w:rPr>
                    <w:object w:dxaOrig="840" w:dyaOrig="380">
                      <v:shape id="_x0000_i1733" type="#_x0000_t75" style="width:43.7pt;height:19.4pt" o:ole="">
                        <v:imagedata r:id="rId1597" o:title=""/>
                      </v:shape>
                      <o:OLEObject Type="Embed" ProgID="Equation.3" ShapeID="_x0000_i1733" DrawAspect="Content" ObjectID="_0000000001" r:id="rId1598"/>
                    </w:object>
                  </w:r>
                  <w:r>
                    <w:rPr>
                      <w:lang w:eastAsia="lt-LT"/>
                    </w:rPr>
                    <w:t>;</w:t>
                  </w:r>
                </w:p>
                <w:p>
                  <w:pPr>
                    <w:tabs>
                      <w:tab w:val="left" w:pos="567"/>
                    </w:tabs>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HSW,m</w:t>
                  </w:r>
                  <w:r>
                    <w:rPr>
                      <w:color w:val="000000"/>
                      <w:szCs w:val="24"/>
                      <w:lang w:eastAsia="lt-LT"/>
                    </w:rPr>
                    <w:t xml:space="preserve"> – mėnesiniai šilumos nuostoliai visose prie pirmojo ir antrojo šilumos šaltinių prijungtose akumuliacinėse talpose (kWh/(m</w:t>
                  </w:r>
                  <w:r>
                    <w:rPr>
                      <w:color w:val="000000"/>
                      <w:szCs w:val="24"/>
                      <w:vertAlign w:val="superscript"/>
                      <w:lang w:eastAsia="lt-LT"/>
                    </w:rPr>
                    <w:t>2</w:t>
                  </w:r>
                  <w:r>
                    <w:rPr>
                      <w:color w:val="000000"/>
                      <w:szCs w:val="24"/>
                      <w:lang w:eastAsia="lt-LT"/>
                    </w:rPr>
                    <w:t>·mėn.));</w:t>
                  </w:r>
                </w:p>
                <w:p>
                  <w:pPr>
                    <w:tabs>
                      <w:tab w:val="left" w:pos="567"/>
                    </w:tabs>
                    <w:suppressAutoHyphens/>
                    <w:ind w:left="600" w:hanging="33"/>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bscript"/>
                      <w:lang w:eastAsia="lt-LT"/>
                    </w:rPr>
                    <w:t>H,m</w:t>
                  </w:r>
                  <w:r>
                    <w:rPr>
                      <w:color w:val="000000"/>
                      <w:szCs w:val="24"/>
                      <w:lang w:eastAsia="lt-LT"/>
                    </w:rPr>
                    <w:t xml:space="preserve">&lt;0,1, tai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=0.  </w:t>
                  </w:r>
                  <w:r>
                    <w:rPr>
                      <w:i/>
                      <w:color w:val="000000"/>
                      <w:szCs w:val="24"/>
                      <w:lang w:eastAsia="lt-LT"/>
                    </w:rPr>
                    <w:t>Q</w:t>
                  </w:r>
                  <w:r>
                    <w:rPr>
                      <w:i/>
                      <w:color w:val="000000"/>
                      <w:szCs w:val="24"/>
                      <w:vertAlign w:val="subscript"/>
                      <w:lang w:eastAsia="lt-LT"/>
                    </w:rPr>
                    <w:t>H,m</w:t>
                  </w:r>
                  <w:r>
                    <w:rPr>
                      <w:color w:val="000000"/>
                      <w:szCs w:val="24"/>
                      <w:lang w:eastAsia="lt-LT"/>
                    </w:rPr>
                    <w:t xml:space="preserve"> apskaičiuojamas pagal (2.169) formulę;</w:t>
                  </w:r>
                </w:p>
                <w:p>
                  <w:pPr>
                    <w:tabs>
                      <w:tab w:val="left" w:pos="567"/>
                    </w:tabs>
                    <w:suppressAutoHyphens/>
                    <w:ind w:left="600" w:hanging="33"/>
                    <w:jc w:val="both"/>
                    <w:rPr>
                      <w:color w:val="000000"/>
                      <w:szCs w:val="24"/>
                      <w:lang w:eastAsia="lt-LT"/>
                    </w:rPr>
                  </w:pPr>
                  <w:r>
                    <w:rPr>
                      <w:color w:val="000000"/>
                      <w:szCs w:val="24"/>
                      <w:lang w:eastAsia="lt-LT"/>
                    </w:rPr>
                    <w:t xml:space="preserve">- jei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&lt;0, tai imama </w:t>
                  </w:r>
                  <w:r>
                    <w:rPr>
                      <w:i/>
                      <w:color w:val="000000"/>
                      <w:szCs w:val="24"/>
                      <w:lang w:eastAsia="lt-LT"/>
                    </w:rPr>
                    <w:t>Q</w:t>
                  </w:r>
                  <w:r>
                    <w:rPr>
                      <w:i/>
                      <w:color w:val="000000"/>
                      <w:szCs w:val="24"/>
                      <w:vertAlign w:val="superscript"/>
                      <w:lang w:eastAsia="lt-LT"/>
                    </w:rPr>
                    <w:t>I</w:t>
                  </w:r>
                  <w:r>
                    <w:rPr>
                      <w:i/>
                      <w:color w:val="000000"/>
                      <w:szCs w:val="24"/>
                      <w:vertAlign w:val="subscript"/>
                      <w:lang w:eastAsia="lt-LT"/>
                    </w:rPr>
                    <w:t>H,m</w:t>
                  </w:r>
                  <w:r>
                    <w:rPr>
                      <w:color w:val="000000"/>
                      <w:szCs w:val="24"/>
                      <w:lang w:eastAsia="lt-LT"/>
                    </w:rPr>
                    <w:t xml:space="preserve">=0;  </w:t>
                  </w:r>
                </w:p>
                <w:p>
                  <w:pPr>
                    <w:tabs>
                      <w:tab w:val="left" w:pos="567"/>
                    </w:tabs>
                    <w:suppressAutoHyphens/>
                    <w:ind w:firstLine="567"/>
                    <w:jc w:val="both"/>
                    <w:rPr>
                      <w:color w:val="000000"/>
                      <w:szCs w:val="24"/>
                      <w:lang w:eastAsia="lt-LT"/>
                    </w:rPr>
                  </w:pPr>
                  <w:r>
                    <w:rPr>
                      <w:color w:val="000000"/>
                      <w:szCs w:val="24"/>
                      <w:lang w:eastAsia="lt-LT"/>
                    </w:rPr>
                    <w:t xml:space="preserve">- kitų formulės narių paaiškinimus ir skaičiavimo tvarką žiūrėti  Reglamento XVIII ir XXII skyriuose.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74 p."/>
                <w:tag w:val="part_8d776bc2cdb046fcaa28b4015e9355d3"/>
                <w:lock w:val="sdtLocked"/>
                <w:richText/>
              </w:sdtPr>
              <w:sdtContent>
                <w:p>
                  <w:pPr>
                    <w:suppressAutoHyphens/>
                    <w:ind w:firstLine="567"/>
                    <w:jc w:val="both"/>
                    <w:rPr>
                      <w:szCs w:val="24"/>
                      <w:lang w:eastAsia="lt-LT"/>
                    </w:rPr>
                  </w:pPr>
                  <w:sdt>
                    <w:sdtPr>
                      <w:alias w:val="Numeris"/>
                      <w:tag w:val="nr_8d776bc2cdb046fcaa28b4015e9355d3"/>
                      <w:lock w:val="sdtLocked"/>
                      <w:richText/>
                    </w:sdtPr>
                    <w:sdtContent>
                      <w:r>
                        <w:rPr>
                          <w:szCs w:val="24"/>
                          <w:lang w:eastAsia="lt-LT"/>
                        </w:rPr>
                        <w:t>74</w:t>
                      </w:r>
                    </w:sdtContent>
                  </w:sdt>
                  <w:r>
                    <w:rPr>
                      <w:szCs w:val="24"/>
                      <w:lang w:eastAsia="lt-LT"/>
                    </w:rPr>
                    <w:t xml:space="preserve">. Metinės skaičiuojamosios šiluminės energijos sąnaudos pastatui vėsinti </w:t>
                  </w:r>
                  <w:r>
                    <w:rPr>
                      <w:i/>
                      <w:szCs w:val="24"/>
                      <w:lang w:eastAsia="lt-LT"/>
                    </w:rPr>
                    <w:t>Q</w:t>
                  </w:r>
                  <w:r>
                    <w:rPr>
                      <w:i/>
                      <w:szCs w:val="24"/>
                      <w:vertAlign w:val="superscript"/>
                      <w:lang w:eastAsia="lt-LT"/>
                    </w:rPr>
                    <w:t>I</w:t>
                  </w:r>
                  <w:r>
                    <w:rPr>
                      <w:i/>
                      <w:szCs w:val="24"/>
                      <w:vertAlign w:val="subscript"/>
                      <w:lang w:eastAsia="lt-LT"/>
                    </w:rPr>
                    <w:t>C</w:t>
                  </w:r>
                  <w:r>
                    <w:rPr>
                      <w:szCs w:val="24"/>
                      <w:lang w:eastAsia="lt-LT"/>
                    </w:rPr>
                    <w:t xml:space="preserve"> (kWh/(m</w:t>
                  </w:r>
                  <w:r>
                    <w:rPr>
                      <w:szCs w:val="24"/>
                      <w:vertAlign w:val="superscript"/>
                      <w:lang w:eastAsia="lt-LT"/>
                    </w:rPr>
                    <w:t>2</w:t>
                  </w:r>
                  <w:r>
                    <w:rPr>
                      <w:szCs w:val="24"/>
                      <w:lang w:eastAsia="lt-LT"/>
                    </w:rPr>
                    <w:t>·metai)) apskaičiuojamos taip:</w:t>
                  </w:r>
                </w:p>
                <w:tbl>
                  <w:tblPr>
                    <w:tblW w:w="4947" w:type="pct"/>
                    <w:tblLook w:val="01E0" w:firstRow="1" w:lastRow="1" w:firstColumn="1" w:lastColumn="1" w:noHBand="0" w:noVBand="0"/>
                  </w:tblPr>
                  <w:tblGrid>
                    <w:gridCol w:w="8637"/>
                    <w:gridCol w:w="1113"/>
                  </w:tblGrid>
                  <w:tr>
                    <w:tc>
                      <w:tcPr>
                        <w:tcW w:w="4429" w:type="pct"/>
                        <w:hideMark/>
                      </w:tcPr>
                      <w:p>
                        <w:pPr>
                          <w:suppressAutoHyphens/>
                          <w:spacing w:line="276" w:lineRule="auto"/>
                          <w:jc w:val="center"/>
                          <w:rPr>
                            <w:rFonts w:eastAsia="Calibri"/>
                            <w:bCs/>
                            <w:szCs w:val="24"/>
                          </w:rPr>
                        </w:pPr>
                        <w:r>
                          <w:rPr>
                            <w:rFonts w:eastAsia="Calibri"/>
                            <w:position w:val="-24"/>
                            <w:szCs w:val="24"/>
                          </w:rPr>
                          <w:object w:dxaOrig="1310" w:dyaOrig="600">
                            <v:shape id="_x0000_i1734" type="#_x0000_t75" style="width:65.55pt;height:29.95pt" o:ole="">
                              <v:imagedata r:id="rId1599" o:title=""/>
                            </v:shape>
                            <o:OLEObject Type="Embed" ProgID="Equation.3" ShapeID="_x0000_i1734" DrawAspect="Content" ObjectID="_0000000001" r:id="rId1600"/>
                          </w:object>
                        </w:r>
                        <w:r>
                          <w:rPr>
                            <w:szCs w:val="24"/>
                            <w:lang w:eastAsia="lt-LT"/>
                          </w:rPr>
                          <w:t>;</w:t>
                        </w:r>
                      </w:p>
                    </w:tc>
                    <w:tc>
                      <w:tcPr>
                        <w:tcW w:w="571" w:type="pct"/>
                        <w:vAlign w:val="center"/>
                        <w:hideMark/>
                      </w:tcPr>
                      <w:p>
                        <w:pPr>
                          <w:suppressAutoHyphens/>
                          <w:spacing w:line="276" w:lineRule="auto"/>
                          <w:jc w:val="right"/>
                          <w:rPr>
                            <w:rFonts w:eastAsia="Calibri"/>
                            <w:bCs/>
                            <w:szCs w:val="24"/>
                          </w:rPr>
                        </w:pPr>
                        <w:r>
                          <w:rPr>
                            <w:szCs w:val="24"/>
                            <w:lang w:eastAsia="lt-LT"/>
                          </w:rPr>
                          <w:t>(2.584)</w:t>
                        </w:r>
                      </w:p>
                    </w:tc>
                  </w:tr>
                </w:tbl>
                <w:p>
                  <w:pPr>
                    <w:suppressAutoHyphens/>
                    <w:ind w:left="600" w:hanging="600"/>
                    <w:rPr>
                      <w:szCs w:val="24"/>
                    </w:rPr>
                  </w:pPr>
                </w:p>
                <w:p>
                  <w:pPr>
                    <w:suppressAutoHyphens/>
                    <w:ind w:left="600" w:hanging="600"/>
                    <w:rPr>
                      <w:rFonts w:eastAsia="Calibri"/>
                      <w:szCs w:val="24"/>
                      <w:lang w:eastAsia="lt-LT"/>
                    </w:rPr>
                  </w:pPr>
                  <w:r>
                    <w:rPr>
                      <w:szCs w:val="24"/>
                      <w:lang w:eastAsia="lt-LT"/>
                    </w:rPr>
                    <w:t>čia:</w:t>
                    <w:tab/>
                  </w:r>
                  <w:r>
                    <w:rPr>
                      <w:i/>
                      <w:szCs w:val="24"/>
                      <w:lang w:eastAsia="lt-LT"/>
                    </w:rPr>
                    <w:t>Q</w:t>
                  </w:r>
                  <w:r>
                    <w:rPr>
                      <w:i/>
                      <w:szCs w:val="24"/>
                      <w:vertAlign w:val="subscript"/>
                      <w:lang w:eastAsia="lt-LT"/>
                    </w:rPr>
                    <w:t>C,m</w:t>
                  </w:r>
                  <w:r>
                    <w:rPr>
                      <w:szCs w:val="24"/>
                      <w:lang w:eastAsia="lt-LT"/>
                    </w:rPr>
                    <w:t xml:space="preserve">– apskaičiuojamas pagal (2.176) formulę. </w:t>
                  </w:r>
                </w:p>
              </w:sdtContent>
            </w:sdt>
            <w:sdt>
              <w:sdtPr>
                <w:alias w:val="2 pr. 75 p."/>
                <w:tag w:val="part_4fe8cd98aaec4e83a3d7ee9ff049d580"/>
                <w:lock w:val="sdtLocked"/>
                <w:richText/>
              </w:sdtPr>
              <w:sdtContent>
                <w:p>
                  <w:pPr>
                    <w:tabs>
                      <w:tab w:val="left" w:pos="567"/>
                    </w:tabs>
                    <w:suppressAutoHyphens/>
                    <w:ind w:firstLine="567"/>
                    <w:jc w:val="both"/>
                    <w:rPr>
                      <w:color w:val="000000"/>
                      <w:szCs w:val="24"/>
                      <w:lang w:eastAsia="lt-LT"/>
                    </w:rPr>
                  </w:pPr>
                  <w:sdt>
                    <w:sdtPr>
                      <w:alias w:val="Numeris"/>
                      <w:tag w:val="nr_4fe8cd98aaec4e83a3d7ee9ff049d580"/>
                      <w:lock w:val="sdtLocked"/>
                      <w:richText/>
                    </w:sdtPr>
                    <w:sdtContent>
                      <w:r>
                        <w:rPr>
                          <w:color w:val="000000"/>
                          <w:szCs w:val="24"/>
                          <w:lang w:eastAsia="lt-LT"/>
                        </w:rPr>
                        <w:t>75</w:t>
                      </w:r>
                    </w:sdtContent>
                  </w:sdt>
                  <w:r>
                    <w:rPr>
                      <w:color w:val="000000"/>
                      <w:szCs w:val="24"/>
                      <w:lang w:eastAsia="lt-LT"/>
                    </w:rPr>
                    <w:t xml:space="preserve">. Metinės norminės </w:t>
                  </w:r>
                  <w:r>
                    <w:rPr>
                      <w:i/>
                      <w:color w:val="000000"/>
                      <w:szCs w:val="24"/>
                      <w:lang w:eastAsia="lt-LT"/>
                    </w:rPr>
                    <w:t>Q</w:t>
                  </w:r>
                  <w:r>
                    <w:rPr>
                      <w:i/>
                      <w:color w:val="000000"/>
                      <w:szCs w:val="24"/>
                      <w:vertAlign w:val="subscript"/>
                      <w:lang w:eastAsia="lt-LT"/>
                    </w:rPr>
                    <w:t>N.E</w:t>
                  </w:r>
                  <w:r>
                    <w:rPr>
                      <w:color w:val="000000"/>
                      <w:szCs w:val="24"/>
                      <w:lang w:eastAsia="lt-LT"/>
                    </w:rPr>
                    <w:t xml:space="preserve"> (kWh/(m²·metai)), atskaitinės </w:t>
                  </w:r>
                  <w:r>
                    <w:rPr>
                      <w:i/>
                      <w:color w:val="000000"/>
                      <w:szCs w:val="24"/>
                      <w:lang w:eastAsia="lt-LT"/>
                    </w:rPr>
                    <w:t>Q</w:t>
                  </w:r>
                  <w:r>
                    <w:rPr>
                      <w:i/>
                      <w:color w:val="000000"/>
                      <w:szCs w:val="24"/>
                      <w:vertAlign w:val="subscript"/>
                      <w:lang w:eastAsia="lt-LT"/>
                    </w:rPr>
                    <w:t>R.E</w:t>
                  </w:r>
                  <w:r>
                    <w:rPr>
                      <w:color w:val="000000"/>
                      <w:szCs w:val="24"/>
                      <w:lang w:eastAsia="lt-LT"/>
                    </w:rPr>
                    <w:t xml:space="preserve"> (kWh/(m²·metai)) ir skaičiuojamosios </w:t>
                  </w:r>
                  <w:r>
                    <w:rPr>
                      <w:i/>
                      <w:color w:val="000000"/>
                      <w:szCs w:val="24"/>
                      <w:lang w:eastAsia="lt-LT"/>
                    </w:rPr>
                    <w:t>Q</w:t>
                  </w:r>
                  <w:r>
                    <w:rPr>
                      <w:i/>
                      <w:color w:val="000000"/>
                      <w:szCs w:val="24"/>
                      <w:vertAlign w:val="subscript"/>
                      <w:lang w:eastAsia="lt-LT"/>
                    </w:rPr>
                    <w:t>E</w:t>
                  </w:r>
                  <w:r>
                    <w:rPr>
                      <w:color w:val="000000"/>
                      <w:szCs w:val="24"/>
                      <w:lang w:eastAsia="lt-LT"/>
                    </w:rPr>
                    <w:t xml:space="preserve"> (kWh/(m²·metai)) suminės elektros energijos sąnaudos pastate apskaičiuojamos taip:</w:t>
                  </w:r>
                </w:p>
                <w:tbl>
                  <w:tblPr>
                    <w:tblW w:w="4947" w:type="pct"/>
                    <w:tblLook w:val="01E0" w:firstRow="1" w:lastRow="1" w:firstColumn="1" w:lastColumn="1" w:noHBand="0" w:noVBand="0"/>
                  </w:tblPr>
                  <w:tblGrid>
                    <w:gridCol w:w="8637"/>
                    <w:gridCol w:w="1113"/>
                  </w:tblGrid>
                  <w:tr>
                    <w:tc>
                      <w:tcPr>
                        <w:tcW w:w="4429" w:type="pct"/>
                        <w:hideMark/>
                      </w:tcPr>
                      <w:p>
                        <w:pPr>
                          <w:tabs>
                            <w:tab w:val="left" w:pos="567"/>
                          </w:tabs>
                          <w:suppressAutoHyphens/>
                          <w:spacing w:line="276" w:lineRule="auto"/>
                          <w:jc w:val="center"/>
                          <w:rPr>
                            <w:rFonts w:eastAsia="Calibri"/>
                            <w:bCs/>
                            <w:color w:val="000000"/>
                            <w:szCs w:val="24"/>
                            <w:lang w:eastAsia="lt-LT"/>
                          </w:rPr>
                        </w:pPr>
                        <w:r>
                          <w:rPr>
                            <w:rFonts w:eastAsia="Calibri"/>
                            <w:color w:val="000000"/>
                            <w:position w:val="-12"/>
                            <w:szCs w:val="24"/>
                            <w:lang w:eastAsia="lt-LT"/>
                          </w:rPr>
                          <w:object w:dxaOrig="1770" w:dyaOrig="390">
                            <v:shape id="_x0000_i1735" type="#_x0000_t75" style="width:88.2pt;height:21.85pt" o:ole="">
                              <v:imagedata r:id="rId1601" o:title=""/>
                            </v:shape>
                            <o:OLEObject Type="Embed" ProgID="Equation.3" ShapeID="_x0000_i1735" DrawAspect="Content" ObjectID="_0000000001" r:id="rId1602"/>
                          </w:object>
                        </w:r>
                        <w:r>
                          <w:rPr>
                            <w:color w:val="000000"/>
                            <w:szCs w:val="24"/>
                            <w:lang w:eastAsia="lt-LT"/>
                          </w:rPr>
                          <w:t>;</w:t>
                        </w:r>
                      </w:p>
                    </w:tc>
                    <w:tc>
                      <w:tcPr>
                        <w:tcW w:w="571" w:type="pct"/>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(2.585)</w:t>
                        </w:r>
                      </w:p>
                    </w:tc>
                  </w:tr>
                </w:tbl>
                <w:p>
                  <w:pPr>
                    <w:tabs>
                      <w:tab w:val="left" w:pos="567"/>
                    </w:tabs>
                    <w:suppressAutoHyphens/>
                    <w:ind w:left="600" w:hanging="600"/>
                    <w:rPr>
                      <w:rFonts w:eastAsia="Calibri"/>
                      <w:color w:val="000000"/>
                      <w:szCs w:val="24"/>
                      <w:lang w:eastAsia="lt-LT"/>
                    </w:rPr>
                  </w:pPr>
                </w:p>
                <w:tbl>
                  <w:tblPr>
                    <w:tblW w:w="0" w:type="auto"/>
                    <w:tblLayout w:type="fixed"/>
                    <w:tblLook w:val="01E0" w:firstRow="1" w:lastRow="1" w:firstColumn="1" w:lastColumn="1" w:noHBand="0" w:noVBand="0"/>
                  </w:tblPr>
                  <w:tblGrid>
                    <w:gridCol w:w="8508"/>
                    <w:gridCol w:w="1062"/>
                  </w:tblGrid>
                  <w:tr>
                    <w:tc>
                      <w:tcPr>
                        <w:tcW w:w="8508" w:type="dxa"/>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6520" w:dyaOrig="1480">
                            <v:shape id="_x0000_i1736" type="#_x0000_t75" style="width:327.65pt;height:74.45pt" o:ole="">
                              <v:imagedata r:id="rId1603" o:title=""/>
                            </v:shape>
                            <o:OLEObject Type="Embed" ProgID="Equation.3" ShapeID="_x0000_i1736" DrawAspect="Content" ObjectID="_0000000001" r:id="rId1604"/>
                          </w:object>
                        </w:r>
                      </w:p>
                    </w:tc>
                    <w:tc>
                      <w:tcPr>
                        <w:tcW w:w="1062" w:type="dxa"/>
                        <w:vAlign w:val="center"/>
                        <w:hideMark/>
                      </w:tcPr>
                      <w:p>
                        <w:pPr>
                          <w:tabs>
                            <w:tab w:val="left" w:pos="567"/>
                          </w:tabs>
                          <w:suppressAutoHyphens/>
                          <w:spacing w:line="276" w:lineRule="auto"/>
                          <w:jc w:val="right"/>
                          <w:rPr>
                            <w:rFonts w:eastAsia="Calibri"/>
                            <w:color w:val="000000"/>
                            <w:szCs w:val="24"/>
                            <w:lang w:eastAsia="lt-LT"/>
                          </w:rPr>
                        </w:pPr>
                        <w:r>
                          <w:rPr>
                            <w:color w:val="000000"/>
                            <w:szCs w:val="24"/>
                            <w:lang w:eastAsia="lt-LT"/>
                          </w:rPr>
                          <w:t>(2.586)</w:t>
                        </w:r>
                      </w:p>
                    </w:tc>
                  </w:tr>
                </w:tbl>
                <w:p>
                  <w:pPr>
                    <w:tabs>
                      <w:tab w:val="left" w:pos="567"/>
                    </w:tabs>
                    <w:suppressAutoHyphens/>
                    <w:ind w:left="600" w:hanging="600"/>
                    <w:rPr>
                      <w:rFonts w:eastAsia="Calibri"/>
                      <w:color w:val="000000"/>
                      <w:szCs w:val="24"/>
                      <w:lang w:eastAsia="lt-LT"/>
                    </w:rPr>
                  </w:pPr>
                  <w:r>
                    <w:rPr>
                      <w:color w:val="000000"/>
                      <w:szCs w:val="24"/>
                      <w:lang w:eastAsia="lt-LT"/>
                    </w:rPr>
                    <w:t>čia:</w:t>
                    <w:tab/>
                    <w:t xml:space="preserve">jei </w:t>
                  </w:r>
                  <w:r>
                    <w:rPr>
                      <w:i/>
                      <w:color w:val="000000"/>
                      <w:szCs w:val="24"/>
                      <w:lang w:eastAsia="lt-LT"/>
                    </w:rPr>
                    <w:t>Q</w:t>
                  </w:r>
                  <w:r>
                    <w:rPr>
                      <w:i/>
                      <w:color w:val="000000"/>
                      <w:szCs w:val="24"/>
                      <w:vertAlign w:val="subscript"/>
                      <w:lang w:eastAsia="lt-LT"/>
                    </w:rPr>
                    <w:t>E,m</w:t>
                  </w:r>
                  <w:r>
                    <w:rPr>
                      <w:i/>
                      <w:color w:val="000000"/>
                      <w:szCs w:val="24"/>
                      <w:lang w:eastAsia="lt-LT"/>
                    </w:rPr>
                    <w:t>&lt;0</w:t>
                  </w:r>
                  <w:r>
                    <w:rPr>
                      <w:color w:val="000000"/>
                      <w:szCs w:val="24"/>
                      <w:lang w:eastAsia="lt-LT"/>
                    </w:rPr>
                    <w:t xml:space="preserve">, turi būti imama, kad </w:t>
                  </w:r>
                  <w:r>
                    <w:rPr>
                      <w:i/>
                      <w:color w:val="000000"/>
                      <w:szCs w:val="24"/>
                      <w:lang w:eastAsia="lt-LT"/>
                    </w:rPr>
                    <w:t>Q</w:t>
                  </w:r>
                  <w:r>
                    <w:rPr>
                      <w:i/>
                      <w:color w:val="000000"/>
                      <w:szCs w:val="24"/>
                      <w:vertAlign w:val="subscript"/>
                      <w:lang w:eastAsia="lt-LT"/>
                    </w:rPr>
                    <w:t>E,m</w:t>
                  </w:r>
                  <w:r>
                    <w:rPr>
                      <w:i/>
                      <w:color w:val="000000"/>
                      <w:szCs w:val="24"/>
                      <w:lang w:eastAsia="lt-LT"/>
                    </w:rPr>
                    <w:t xml:space="preserve"> =0</w:t>
                  </w:r>
                  <w:r>
                    <w:rPr>
                      <w:color w:val="000000"/>
                      <w:szCs w:val="24"/>
                      <w:lang w:eastAsia="lt-LT"/>
                    </w:rPr>
                    <w:t>;</w:t>
                  </w:r>
                </w:p>
                <w:p>
                  <w:pPr>
                    <w:tabs>
                      <w:tab w:val="left" w:pos="567"/>
                    </w:tabs>
                    <w:suppressAutoHyphens/>
                    <w:ind w:firstLine="600"/>
                    <w:jc w:val="both"/>
                    <w:rPr>
                      <w:color w:val="000000"/>
                      <w:szCs w:val="24"/>
                      <w:lang w:eastAsia="lt-LT"/>
                    </w:rPr>
                  </w:pPr>
                  <w:r>
                    <w:rPr>
                      <w:color w:val="000000"/>
                      <w:szCs w:val="24"/>
                      <w:lang w:eastAsia="lt-LT"/>
                    </w:rPr>
                    <w:t>kitus formulių paaiškinimus ir skaičiavimo tvarką žiūrėti Reglamento XIV skyriuje;</w:t>
                  </w:r>
                </w:p>
                <w:p>
                  <w:pPr>
                    <w:tabs>
                      <w:tab w:val="left" w:pos="567"/>
                    </w:tabs>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hw.SK+WE+HE,m</w:t>
                  </w:r>
                  <w:r>
                    <w:rPr>
                      <w:bCs/>
                      <w:color w:val="000000"/>
                      <w:szCs w:val="24"/>
                      <w:lang w:eastAsia="lt-LT"/>
                    </w:rPr>
                    <w:t xml:space="preserve"> – apskaičiuojamas pagal (2.558) formulę;</w:t>
                  </w:r>
                </w:p>
                <w:p>
                  <w:pPr>
                    <w:tabs>
                      <w:tab w:val="left" w:pos="567"/>
                    </w:tabs>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H.SK+WE+HE,m</w:t>
                  </w:r>
                  <w:r>
                    <w:rPr>
                      <w:bCs/>
                      <w:color w:val="000000"/>
                      <w:szCs w:val="24"/>
                      <w:lang w:eastAsia="lt-LT"/>
                    </w:rPr>
                    <w:t xml:space="preserve"> – apskaičiuojamas pagal (2.560) formulę;</w:t>
                  </w:r>
                </w:p>
                <w:p>
                  <w:pPr>
                    <w:tabs>
                      <w:tab w:val="left" w:pos="567"/>
                    </w:tabs>
                    <w:suppressAutoHyphens/>
                    <w:ind w:firstLine="570"/>
                    <w:jc w:val="both"/>
                    <w:rPr>
                      <w:bCs/>
                      <w:i/>
                      <w:color w:val="000000"/>
                      <w:szCs w:val="24"/>
                      <w:lang w:eastAsia="lt-LT"/>
                    </w:rPr>
                  </w:pPr>
                  <w:r>
                    <w:rPr>
                      <w:bCs/>
                      <w:i/>
                      <w:color w:val="000000"/>
                      <w:szCs w:val="24"/>
                      <w:lang w:eastAsia="lt-LT"/>
                    </w:rPr>
                    <w:t>Q</w:t>
                  </w:r>
                  <w:r>
                    <w:rPr>
                      <w:bCs/>
                      <w:i/>
                      <w:color w:val="000000"/>
                      <w:szCs w:val="24"/>
                      <w:vertAlign w:val="subscript"/>
                      <w:lang w:eastAsia="lt-LT"/>
                    </w:rPr>
                    <w:t>E.SK+WE+HE,m</w:t>
                  </w:r>
                  <w:r>
                    <w:rPr>
                      <w:bCs/>
                      <w:color w:val="000000"/>
                      <w:szCs w:val="24"/>
                      <w:lang w:eastAsia="lt-LT"/>
                    </w:rPr>
                    <w:t xml:space="preserve"> – apskaičiuojamas pagal (2.562) formulę;</w:t>
                  </w:r>
                </w:p>
                <w:p>
                  <w:pPr>
                    <w:tabs>
                      <w:tab w:val="left" w:pos="567"/>
                    </w:tabs>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H.E,m</w:t>
                  </w:r>
                  <w:r>
                    <w:rPr>
                      <w:bCs/>
                      <w:color w:val="000000"/>
                      <w:szCs w:val="24"/>
                      <w:lang w:eastAsia="lt-LT"/>
                    </w:rPr>
                    <w:t xml:space="preserve"> – pagrindinių pastato šildymo sistemos šilumos šaltinių ir šilumos šaltinių orui pašildyti vėdinimo sistemos įrenginiuose atitinkamo „m“ mėnesio suminės elektros energijos sąnaudos. Apskaičiuojama pagal (2.587) arba (2.588) formules.</w:t>
                  </w:r>
                </w:p>
                <w:p>
                  <w:pPr>
                    <w:tabs>
                      <w:tab w:val="left" w:pos="567"/>
                    </w:tabs>
                    <w:suppressAutoHyphens/>
                    <w:ind w:firstLine="570"/>
                    <w:jc w:val="both"/>
                    <w:rPr>
                      <w:bCs/>
                      <w:color w:val="000000"/>
                      <w:szCs w:val="24"/>
                      <w:lang w:eastAsia="lt-LT"/>
                    </w:rPr>
                  </w:pPr>
                  <w:r>
                    <w:rPr>
                      <w:bCs/>
                      <w:i/>
                      <w:color w:val="000000"/>
                      <w:szCs w:val="24"/>
                      <w:lang w:eastAsia="lt-LT"/>
                    </w:rPr>
                    <w:t>Q</w:t>
                  </w:r>
                  <w:r>
                    <w:rPr>
                      <w:bCs/>
                      <w:i/>
                      <w:color w:val="000000"/>
                      <w:szCs w:val="24"/>
                      <w:vertAlign w:val="subscript"/>
                      <w:lang w:eastAsia="lt-LT"/>
                    </w:rPr>
                    <w:t>hw.E,m</w:t>
                  </w:r>
                  <w:r>
                    <w:rPr>
                      <w:bCs/>
                      <w:color w:val="000000"/>
                      <w:szCs w:val="24"/>
                      <w:lang w:eastAsia="lt-LT"/>
                    </w:rPr>
                    <w:t xml:space="preserve"> – atitinkamo „m“ mėnesio pastato karšto vandens ruošimo sistemos pagrindinių šilumos šaltinių elektros energijos sąnaudos. Apskaičiuojama pagal (2.589) – (2.591) formules.</w:t>
                  </w:r>
                </w:p>
                <w:sdt>
                  <w:sdtPr>
                    <w:alias w:val="75.1 pp."/>
                    <w:tag w:val="part_163d9bc501cd4f5cb680d5b047adaedc"/>
                    <w:lock w:val="sdtLocked"/>
                    <w:richText/>
                  </w:sdtPr>
                  <w:sdtContent>
                    <w:p>
                      <w:pPr>
                        <w:tabs>
                          <w:tab w:val="left" w:pos="567"/>
                        </w:tabs>
                        <w:suppressAutoHyphens/>
                        <w:ind w:firstLine="567"/>
                        <w:jc w:val="both"/>
                        <w:rPr>
                          <w:color w:val="000000"/>
                          <w:szCs w:val="24"/>
                          <w:lang w:eastAsia="lt-LT"/>
                        </w:rPr>
                      </w:pPr>
                      <w:sdt>
                        <w:sdtPr>
                          <w:alias w:val="Numeris"/>
                          <w:tag w:val="nr_163d9bc501cd4f5cb680d5b047adaedc"/>
                          <w:lock w:val="sdtLocked"/>
                          <w:richText/>
                        </w:sdtPr>
                        <w:sdtContent>
                          <w:r>
                            <w:rPr>
                              <w:color w:val="000000"/>
                              <w:szCs w:val="24"/>
                              <w:lang w:eastAsia="lt-LT"/>
                            </w:rPr>
                            <w:t>75.1</w:t>
                          </w:r>
                        </w:sdtContent>
                      </w:sdt>
                      <w:r>
                        <w:rPr>
                          <w:color w:val="000000"/>
                          <w:szCs w:val="24"/>
                          <w:lang w:eastAsia="lt-LT"/>
                        </w:rPr>
                        <w:t>. jei pastatui šildyti naudojamas vienas šilumos šaltinis</w:t>
                      </w:r>
                      <w:r>
                        <w:rPr>
                          <w:szCs w:val="24"/>
                          <w:lang w:eastAsia="lt-LT"/>
                        </w:rPr>
                        <w:t>, išskyrus dujinį katilą su absorbciniu šilumos siurbliu,</w:t>
                      </w:r>
                      <w:r>
                        <w:rPr>
                          <w:bCs/>
                          <w:i/>
                          <w:szCs w:val="24"/>
                          <w:lang w:eastAsia="lt-LT"/>
                        </w:rPr>
                        <w:t xml:space="preserve"> </w:t>
                      </w:r>
                      <w:r>
                        <w:rPr>
                          <w:bCs/>
                          <w:i/>
                          <w:color w:val="000000"/>
                          <w:szCs w:val="24"/>
                          <w:lang w:eastAsia="lt-LT"/>
                        </w:rPr>
                        <w:t>Q</w:t>
                      </w:r>
                      <w:r>
                        <w:rPr>
                          <w:bCs/>
                          <w:i/>
                          <w:color w:val="000000"/>
                          <w:szCs w:val="24"/>
                          <w:vertAlign w:val="subscript"/>
                          <w:lang w:eastAsia="lt-LT"/>
                        </w:rPr>
                        <w:t>H.E,m</w:t>
                      </w:r>
                      <w:r>
                        <w:rPr>
                          <w:color w:val="000000"/>
                          <w:szCs w:val="24"/>
                          <w:lang w:eastAsia="lt-LT"/>
                        </w:rPr>
                        <w:t xml:space="preserve"> apskaičiuojamas taip:</w:t>
                      </w:r>
                    </w:p>
                    <w:p>
                      <w:pPr>
                        <w:tabs>
                          <w:tab w:val="left" w:pos="567"/>
                          <w:tab w:val="left" w:pos="709"/>
                        </w:tabs>
                        <w:suppressAutoHyphens/>
                        <w:jc w:val="both"/>
                        <w:rPr>
                          <w:color w:val="000000"/>
                          <w:szCs w:val="24"/>
                          <w:lang w:eastAsia="lt-LT"/>
                        </w:rPr>
                      </w:pPr>
                    </w:p>
                    <w:tbl>
                      <w:tblPr>
                        <w:tblW w:w="5000" w:type="pct"/>
                        <w:tblLook w:val="01E0" w:firstRow="1" w:lastRow="1" w:firstColumn="1" w:lastColumn="1" w:noHBand="0" w:noVBand="0"/>
                      </w:tblPr>
                      <w:tblGrid>
                        <w:gridCol w:w="8494"/>
                        <w:gridCol w:w="1360"/>
                      </w:tblGrid>
                      <w:tr>
                        <w:tc>
                          <w:tcPr>
                            <w:tcW w:w="4310" w:type="pct"/>
                            <w:vAlign w:val="center"/>
                            <w:hideMark/>
                          </w:tcPr>
                          <w:p>
                            <w:pPr>
                              <w:tabs>
                                <w:tab w:val="left" w:pos="567"/>
                              </w:tabs>
                              <w:suppressAutoHyphens/>
                              <w:spacing w:line="276" w:lineRule="auto"/>
                              <w:jc w:val="center"/>
                              <w:rPr>
                                <w:szCs w:val="24"/>
                                <w:lang w:eastAsia="lt-LT"/>
                              </w:rPr>
                            </w:pPr>
                            <w:r>
                              <w:rPr>
                                <w:position w:val="-52"/>
                                <w:szCs w:val="24"/>
                                <w:lang w:eastAsia="lt-LT"/>
                              </w:rPr>
                              <w:object w:dxaOrig="6200" w:dyaOrig="1160">
                                <v:shape id="_x0000_i1737" type="#_x0000_t75" style="width:264.55pt;height:49.35pt" o:ole="">
                                  <v:imagedata r:id="rId1787" o:title=""/>
                                </v:shape>
                                <o:OLEObject Type="Embed" ProgID="Equation.3" ShapeID="_x0000_i1737" DrawAspect="Content" ObjectID="_0000000001" r:id="rId1788"/>
                              </w:object>
                            </w:r>
                            <w:r>
                              <w:rPr>
                                <w:szCs w:val="24"/>
                                <w:lang w:eastAsia="lt-LT"/>
                              </w:rPr>
                              <w:t>;</w:t>
                            </w:r>
                          </w:p>
                        </w:tc>
                        <w:tc>
                          <w:tcPr>
                            <w:tcW w:w="690" w:type="pct"/>
                            <w:vAlign w:val="center"/>
                            <w:hideMark/>
                          </w:tcPr>
                          <w:p>
                            <w:pPr>
                              <w:tabs>
                                <w:tab w:val="left" w:pos="567"/>
                              </w:tabs>
                              <w:suppressAutoHyphens/>
                              <w:spacing w:line="276" w:lineRule="auto"/>
                              <w:jc w:val="right"/>
                              <w:rPr>
                                <w:color w:val="000000"/>
                                <w:szCs w:val="24"/>
                                <w:lang w:eastAsia="lt-LT"/>
                              </w:rPr>
                            </w:pPr>
                            <w:r>
                              <w:rPr>
                                <w:color w:val="000000"/>
                                <w:szCs w:val="24"/>
                                <w:lang w:eastAsia="lt-LT"/>
                              </w:rPr>
                              <w:t>(2.587)</w:t>
                            </w:r>
                          </w:p>
                        </w:tc>
                      </w:tr>
                    </w:tbl>
                    <w:p>
                      <w:pPr>
                        <w:tabs>
                          <w:tab w:val="left" w:pos="567"/>
                          <w:tab w:val="left" w:pos="709"/>
                        </w:tabs>
                        <w:suppressAutoHyphens/>
                        <w:jc w:val="both"/>
                        <w:rPr>
                          <w:color w:val="000000"/>
                          <w:szCs w:val="24"/>
                          <w:lang w:eastAsia="lt-LT"/>
                        </w:rPr>
                      </w:pPr>
                    </w:p>
                    <w:p>
                      <w:pPr>
                        <w:tabs>
                          <w:tab w:val="left" w:pos="567"/>
                          <w:tab w:val="left" w:pos="709"/>
                        </w:tabs>
                        <w:suppressAutoHyphens/>
                        <w:jc w:val="both"/>
                        <w:rPr>
                          <w:szCs w:val="24"/>
                          <w:lang w:eastAsia="lt-LT"/>
                        </w:rPr>
                      </w:pPr>
                      <w:r>
                        <w:rPr>
                          <w:color w:val="000000"/>
                          <w:szCs w:val="24"/>
                          <w:lang w:eastAsia="lt-LT"/>
                        </w:rPr>
                        <w:t>čia:</w:t>
                        <w:tab/>
                      </w:r>
                      <w:r>
                        <w:rPr>
                          <w:b/>
                          <w:position w:val="-14"/>
                          <w:szCs w:val="24"/>
                          <w:lang w:eastAsia="lt-LT"/>
                        </w:rPr>
                        <w:object w:dxaOrig="1230" w:dyaOrig="390">
                          <v:shape id="_x0000_i1738" type="#_x0000_t75" style="width:62.3pt;height:21.85pt" o:ole="">
                            <v:imagedata r:id="rId1789" o:title=""/>
                          </v:shape>
                          <o:OLEObject Type="Embed" ProgID="Equation.3" ShapeID="_x0000_i1738" DrawAspect="Content" ObjectID="_0000000001" r:id="rId1790"/>
                        </w:object>
                      </w:r>
                      <w:r>
                        <w:rPr>
                          <w:b/>
                          <w:szCs w:val="24"/>
                          <w:lang w:eastAsia="lt-LT"/>
                        </w:rPr>
                        <w:t xml:space="preserve">– </w:t>
                      </w:r>
                      <w:r>
                        <w:rPr>
                          <w:szCs w:val="24"/>
                          <w:lang w:eastAsia="lt-LT"/>
                        </w:rPr>
                        <w:t xml:space="preserve">elektros energiją oro pašildymui naudojančių įrenginių mėnesinės šiluminės energijos sąnaudos. Apskaičiuojamos analogiškai kaip  </w:t>
                      </w:r>
                      <w:r>
                        <w:rPr>
                          <w:position w:val="-14"/>
                          <w:szCs w:val="24"/>
                          <w:lang w:eastAsia="lt-LT"/>
                        </w:rPr>
                        <w:object w:dxaOrig="1230" w:dyaOrig="390">
                          <v:shape id="_x0000_i1739" type="#_x0000_t75" style="width:62.3pt;height:21.85pt" o:ole="">
                            <v:imagedata r:id="rId1791" o:title=""/>
                          </v:shape>
                          <o:OLEObject Type="Embed" ProgID="Equation.3" ShapeID="_x0000_i1739" DrawAspect="Content" ObjectID="_0000000001" r:id="rId1792"/>
                        </w:object>
                      </w:r>
                      <w:r>
                        <w:rPr>
                          <w:szCs w:val="24"/>
                          <w:lang w:eastAsia="lt-LT"/>
                        </w:rPr>
                        <w:t>;</w:t>
                      </w:r>
                    </w:p>
                    <w:p>
                      <w:pPr>
                        <w:tabs>
                          <w:tab w:val="left" w:pos="567"/>
                          <w:tab w:val="left" w:pos="709"/>
                        </w:tabs>
                        <w:suppressAutoHyphens/>
                        <w:ind w:firstLine="709"/>
                        <w:jc w:val="both"/>
                        <w:rPr>
                          <w:szCs w:val="24"/>
                          <w:lang w:eastAsia="lt-LT"/>
                        </w:rPr>
                      </w:pPr>
                      <w:r>
                        <w:rPr>
                          <w:position w:val="-14"/>
                          <w:szCs w:val="24"/>
                          <w:lang w:eastAsia="lt-LT"/>
                        </w:rPr>
                        <w:object w:dxaOrig="1140" w:dyaOrig="400">
                          <v:shape id="_x0000_i1740" type="#_x0000_t75" style="width:57.45pt;height:22.65pt" o:ole="">
                            <v:imagedata r:id="rId1793" o:title=""/>
                          </v:shape>
                          <o:OLEObject Type="Embed" ProgID="Equation.3" ShapeID="_x0000_i1740" DrawAspect="Content" ObjectID="_0000000001" r:id="rId1794"/>
                        </w:object>
                      </w:r>
                      <w:r>
                        <w:rPr>
                          <w:szCs w:val="24"/>
                          <w:lang w:eastAsia="lt-LT"/>
                        </w:rPr>
                        <w:t xml:space="preserve"> </w:t>
                      </w:r>
                      <w:r>
                        <w:rPr>
                          <w:b/>
                          <w:lang w:eastAsia="lt-LT"/>
                        </w:rPr>
                        <w:t>–</w:t>
                      </w:r>
                      <w:r>
                        <w:rPr>
                          <w:szCs w:val="24"/>
                          <w:lang w:eastAsia="lt-LT"/>
                        </w:rPr>
                        <w:t xml:space="preserve"> elektros energiją orui pašildyti naudojančių įrenginių mėnesinės šiluminės energijos sąnaudos. Apskaičiuojamos analogiškai kaip  </w:t>
                      </w:r>
                      <w:r>
                        <w:rPr>
                          <w:position w:val="-14"/>
                          <w:szCs w:val="24"/>
                          <w:lang w:eastAsia="lt-LT"/>
                        </w:rPr>
                        <w:object w:dxaOrig="1140" w:dyaOrig="400">
                          <v:shape id="_x0000_i1741" type="#_x0000_t75" style="width:57.45pt;height:22.65pt" o:ole="">
                            <v:imagedata r:id="rId1795" o:title=""/>
                          </v:shape>
                          <o:OLEObject Type="Embed" ProgID="Equation.3" ShapeID="_x0000_i1741" DrawAspect="Content" ObjectID="_0000000001" r:id="rId1796"/>
                        </w:object>
                      </w:r>
                      <w:r>
                        <w:rPr>
                          <w:szCs w:val="24"/>
                          <w:lang w:eastAsia="lt-LT"/>
                        </w:rPr>
                        <w:t>;</w:t>
                      </w:r>
                    </w:p>
                  </w:sdtContent>
                </w:sdt>
                <w:sdt>
                  <w:sdtPr>
                    <w:alias w:val="75.2 pp."/>
                    <w:tag w:val="part_86475efa7f924c228a9e06bbc0b10270"/>
                    <w:lock w:val="sdtLocked"/>
                    <w:richText/>
                  </w:sdtPr>
                  <w:sdtContent>
                    <w:p>
                      <w:pPr>
                        <w:tabs>
                          <w:tab w:val="left" w:pos="567"/>
                        </w:tabs>
                        <w:suppressAutoHyphens/>
                        <w:ind w:firstLine="567"/>
                        <w:jc w:val="both"/>
                        <w:rPr>
                          <w:szCs w:val="24"/>
                          <w:lang w:eastAsia="lt-LT"/>
                        </w:rPr>
                      </w:pPr>
                      <w:sdt>
                        <w:sdtPr>
                          <w:alias w:val="Numeris"/>
                          <w:tag w:val="nr_86475efa7f924c228a9e06bbc0b10270"/>
                          <w:lock w:val="sdtLocked"/>
                          <w:richText/>
                        </w:sdtPr>
                        <w:sdtContent>
                          <w:r>
                            <w:rPr>
                              <w:szCs w:val="24"/>
                              <w:lang w:eastAsia="lt-LT"/>
                            </w:rPr>
                            <w:t>75.2</w:t>
                          </w:r>
                        </w:sdtContent>
                      </w:sdt>
                      <w:r>
                        <w:rPr>
                          <w:szCs w:val="24"/>
                          <w:lang w:eastAsia="lt-LT"/>
                        </w:rPr>
                        <w:t xml:space="preserve">. jei pastatui šildyti naudojamas tiktai dujinis katilas su absorbciniu šilumos siurbliu, </w:t>
                      </w:r>
                      <w:r>
                        <w:rPr>
                          <w:bCs/>
                          <w:i/>
                          <w:szCs w:val="24"/>
                          <w:lang w:eastAsia="lt-LT"/>
                        </w:rPr>
                        <w:t>Q</w:t>
                      </w:r>
                      <w:r>
                        <w:rPr>
                          <w:bCs/>
                          <w:i/>
                          <w:szCs w:val="24"/>
                          <w:vertAlign w:val="subscript"/>
                          <w:lang w:eastAsia="lt-LT"/>
                        </w:rPr>
                        <w:t>H.E,m</w:t>
                      </w:r>
                      <w:r>
                        <w:rPr>
                          <w:szCs w:val="24"/>
                          <w:lang w:eastAsia="lt-LT"/>
                        </w:rPr>
                        <w:t xml:space="preserve"> apskaičiuojamas taip:</w:t>
                      </w:r>
                    </w:p>
                    <w:tbl>
                      <w:tblPr>
                        <w:tblW w:w="5000" w:type="pct"/>
                        <w:tblLook w:val="01E0" w:firstRow="1" w:lastRow="1" w:firstColumn="1" w:lastColumn="1" w:noHBand="0" w:noVBand="0"/>
                      </w:tblPr>
                      <w:tblGrid>
                        <w:gridCol w:w="8494"/>
                        <w:gridCol w:w="1360"/>
                      </w:tblGrid>
                      <w:tr>
                        <w:tc>
                          <w:tcPr>
                            <w:tcW w:w="4310" w:type="pct"/>
                            <w:vAlign w:val="center"/>
                            <w:hideMark/>
                          </w:tcPr>
                          <w:p>
                            <w:pPr>
                              <w:tabs>
                                <w:tab w:val="left" w:pos="567"/>
                              </w:tabs>
                              <w:suppressAutoHyphens/>
                              <w:jc w:val="center"/>
                              <w:rPr>
                                <w:rFonts w:eastAsia="Calibri"/>
                                <w:szCs w:val="24"/>
                                <w:lang w:eastAsia="lt-LT"/>
                              </w:rPr>
                            </w:pPr>
                            <w:r>
                              <w:rPr>
                                <w:szCs w:val="24"/>
                                <w:lang w:eastAsia="lt-LT"/>
                              </w:rPr>
                              <w:object w:dxaOrig="6560" w:dyaOrig="1160">
                                <v:shape id="_x0000_i1742" type="#_x0000_t75" style="width:278.3pt;height:46.9pt" o:ole="">
                                  <v:imagedata r:id="rId1797" o:title=""/>
                                </v:shape>
                                <o:OLEObject Type="Embed" ProgID="Equation.3" ShapeID="_x0000_i1742" DrawAspect="Content" ObjectID="_0000000001" r:id="rId1798"/>
                              </w:object>
                              <w:t>;</w:t>
                            </w:r>
                          </w:p>
                        </w:tc>
                        <w:tc>
                          <w:tcPr>
                            <w:tcW w:w="690" w:type="pct"/>
                            <w:vAlign w:val="center"/>
                            <w:hideMark/>
                          </w:tcPr>
                          <w:p>
                            <w:pPr>
                              <w:tabs>
                                <w:tab w:val="left" w:pos="567"/>
                              </w:tabs>
                              <w:suppressAutoHyphens/>
                              <w:jc w:val="right"/>
                              <w:rPr>
                                <w:rFonts w:eastAsia="Calibri"/>
                                <w:szCs w:val="24"/>
                                <w:lang w:eastAsia="lt-LT"/>
                              </w:rPr>
                            </w:pPr>
                            <w:r>
                              <w:rPr>
                                <w:szCs w:val="24"/>
                                <w:lang w:eastAsia="lt-LT"/>
                              </w:rPr>
                              <w:t>(2.587-1)</w:t>
                            </w:r>
                          </w:p>
                        </w:tc>
                      </w:tr>
                    </w:tbl>
                    <w:p>
                      <w:pPr>
                        <w:tabs>
                          <w:tab w:val="left" w:pos="567"/>
                        </w:tabs>
                        <w:suppressAutoHyphens/>
                        <w:jc w:val="both"/>
                        <w:rPr>
                          <w:bCs/>
                          <w:szCs w:val="24"/>
                          <w:lang w:eastAsia="lt-LT"/>
                        </w:rPr>
                      </w:pPr>
                    </w:p>
                    <w:p>
                      <w:pPr>
                        <w:tabs>
                          <w:tab w:val="left" w:pos="567"/>
                        </w:tabs>
                        <w:suppressAutoHyphens/>
                        <w:jc w:val="both"/>
                        <w:rPr>
                          <w:bCs/>
                          <w:szCs w:val="24"/>
                          <w:lang w:eastAsia="lt-LT"/>
                        </w:rPr>
                      </w:pPr>
                      <w:r>
                        <w:rPr>
                          <w:bCs/>
                          <w:szCs w:val="24"/>
                          <w:lang w:eastAsia="lt-LT"/>
                        </w:rPr>
                        <w:t>čia:</w:t>
                        <w:tab/>
                      </w:r>
                      <w:r>
                        <w:rPr>
                          <w:bCs/>
                          <w:i/>
                          <w:iCs/>
                          <w:szCs w:val="24"/>
                          <w:lang w:eastAsia="lt-LT"/>
                        </w:rPr>
                        <w:t>P</w:t>
                      </w:r>
                      <w:r>
                        <w:rPr>
                          <w:bCs/>
                          <w:i/>
                          <w:iCs/>
                          <w:szCs w:val="24"/>
                          <w:vertAlign w:val="subscript"/>
                          <w:lang w:eastAsia="lt-LT"/>
                        </w:rPr>
                        <w:t>GHP.H</w:t>
                      </w:r>
                      <w:r>
                        <w:rPr>
                          <w:bCs/>
                          <w:szCs w:val="24"/>
                          <w:lang w:eastAsia="lt-LT"/>
                        </w:rPr>
                        <w:t xml:space="preserve">  </w:t>
                      </w:r>
                      <w:r>
                        <w:rPr>
                          <w:b/>
                          <w:szCs w:val="24"/>
                          <w:lang w:eastAsia="lt-LT"/>
                        </w:rPr>
                        <w:t xml:space="preserve">– </w:t>
                      </w:r>
                      <w:r>
                        <w:rPr>
                          <w:bCs/>
                          <w:szCs w:val="24"/>
                          <w:lang w:eastAsia="lt-LT"/>
                        </w:rPr>
                        <w:t>pagal [3.46], [3.47] reikalavimus prie standartinių bandymo sąlygų nustatyta dujinio katilo šildymo galia, kW. Jei nėra duomenų, apskaičiuojama pagal (2.134-2) formulę;</w:t>
                      </w:r>
                    </w:p>
                    <w:p>
                      <w:pPr>
                        <w:tabs>
                          <w:tab w:val="left" w:pos="567"/>
                        </w:tabs>
                        <w:suppressAutoHyphens/>
                        <w:ind w:firstLine="567"/>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w:t>
                      </w:r>
                      <w:r>
                        <w:rPr>
                          <w:b/>
                          <w:szCs w:val="24"/>
                          <w:lang w:eastAsia="lt-LT"/>
                        </w:rPr>
                        <w:t xml:space="preserve">– </w:t>
                      </w:r>
                      <w:r>
                        <w:rPr>
                          <w:bCs/>
                          <w:szCs w:val="24"/>
                          <w:lang w:eastAsia="lt-LT"/>
                        </w:rPr>
                        <w:t>pagal [3.46], [3.47] reikalavimus prie standartinių bandymo sąlygų nustatyta dujinio katilo naudojamos elektros energijos galia, kW. Jei nėra duomenų, apskaičiuojama pagal (2.589-2) formulę;</w:t>
                      </w:r>
                    </w:p>
                  </w:sdtContent>
                </w:sdt>
                <w:sdt>
                  <w:sdtPr>
                    <w:alias w:val="75.3 pp."/>
                    <w:tag w:val="part_d2772f82907f413793fa57494bd483bc"/>
                    <w:lock w:val="sdtLocked"/>
                    <w:richText/>
                  </w:sdtPr>
                  <w:sdtContent>
                    <w:p>
                      <w:pPr>
                        <w:tabs>
                          <w:tab w:val="left" w:pos="567"/>
                        </w:tabs>
                        <w:suppressAutoHyphens/>
                        <w:ind w:firstLine="567"/>
                        <w:jc w:val="both"/>
                        <w:rPr>
                          <w:color w:val="000000"/>
                          <w:szCs w:val="24"/>
                          <w:lang w:eastAsia="lt-LT"/>
                        </w:rPr>
                      </w:pPr>
                      <w:sdt>
                        <w:sdtPr>
                          <w:alias w:val="Numeris"/>
                          <w:tag w:val="nr_d2772f82907f413793fa57494bd483bc"/>
                          <w:lock w:val="sdtLocked"/>
                          <w:richText/>
                        </w:sdtPr>
                        <w:sdtContent>
                          <w:r>
                            <w:rPr>
                              <w:color w:val="000000"/>
                              <w:szCs w:val="24"/>
                              <w:lang w:eastAsia="lt-LT"/>
                            </w:rPr>
                            <w:t>75.3</w:t>
                          </w:r>
                        </w:sdtContent>
                      </w:sdt>
                      <w:r>
                        <w:rPr>
                          <w:color w:val="000000"/>
                          <w:szCs w:val="24"/>
                          <w:lang w:eastAsia="lt-LT"/>
                        </w:rPr>
                        <w:t>. jei pastatui šildyti naudojami du šilumos šaltiniai,</w:t>
                      </w:r>
                      <w:r>
                        <w:rPr>
                          <w:color w:val="FF0000"/>
                          <w:szCs w:val="24"/>
                          <w:lang w:eastAsia="lt-LT"/>
                        </w:rPr>
                        <w:t xml:space="preserve"> </w:t>
                      </w:r>
                      <w:r>
                        <w:rPr>
                          <w:szCs w:val="24"/>
                          <w:lang w:eastAsia="lt-LT"/>
                        </w:rPr>
                        <w:t>tačiau nenaudojamas dujinis katilas su absorbciniu šilumos siurbliu,</w:t>
                      </w:r>
                      <w:r>
                        <w:rPr>
                          <w:color w:val="000000"/>
                          <w:szCs w:val="24"/>
                          <w:lang w:eastAsia="lt-LT"/>
                        </w:rPr>
                        <w:t xml:space="preserve"> </w:t>
                      </w:r>
                      <w:r>
                        <w:rPr>
                          <w:bCs/>
                          <w:i/>
                          <w:color w:val="000000"/>
                          <w:szCs w:val="24"/>
                          <w:lang w:eastAsia="lt-LT"/>
                        </w:rPr>
                        <w:t>Q</w:t>
                      </w:r>
                      <w:r>
                        <w:rPr>
                          <w:bCs/>
                          <w:i/>
                          <w:color w:val="000000"/>
                          <w:szCs w:val="24"/>
                          <w:vertAlign w:val="subscript"/>
                          <w:lang w:eastAsia="lt-LT"/>
                        </w:rPr>
                        <w:t>H.E,m</w:t>
                      </w:r>
                      <w:r>
                        <w:rPr>
                          <w:color w:val="000000"/>
                          <w:szCs w:val="24"/>
                          <w:lang w:eastAsia="lt-LT"/>
                        </w:rPr>
                        <w:t xml:space="preserve"> apskaičiuojamas taip:</w:t>
                      </w:r>
                    </w:p>
                    <w:p>
                      <w:pPr>
                        <w:tabs>
                          <w:tab w:val="left" w:pos="567"/>
                        </w:tabs>
                        <w:suppressAutoHyphens/>
                        <w:rPr>
                          <w:lang w:eastAsia="lt-LT"/>
                        </w:rPr>
                      </w:pPr>
                    </w:p>
                    <w:tbl>
                      <w:tblPr>
                        <w:tblW w:w="5000" w:type="pct"/>
                        <w:tblLook w:val="01E0" w:firstRow="1" w:lastRow="1" w:firstColumn="1" w:lastColumn="1" w:noHBand="0" w:noVBand="0"/>
                      </w:tblPr>
                      <w:tblGrid>
                        <w:gridCol w:w="8520"/>
                        <w:gridCol w:w="1334"/>
                      </w:tblGrid>
                      <w:tr>
                        <w:tc>
                          <w:tcPr>
                            <w:tcW w:w="4323" w:type="pct"/>
                            <w:vAlign w:val="center"/>
                            <w:hideMark/>
                          </w:tcPr>
                          <w:p>
                            <w:pPr>
                              <w:tabs>
                                <w:tab w:val="left" w:pos="567"/>
                              </w:tabs>
                              <w:suppressAutoHyphens/>
                              <w:spacing w:line="276" w:lineRule="auto"/>
                              <w:jc w:val="center"/>
                              <w:rPr>
                                <w:szCs w:val="24"/>
                                <w:lang w:eastAsia="lt-LT"/>
                              </w:rPr>
                            </w:pPr>
                            <w:r>
                              <w:rPr>
                                <w:szCs w:val="24"/>
                                <w:lang w:eastAsia="lt-LT"/>
                              </w:rPr>
                              <w:object w:dxaOrig="7000" w:dyaOrig="1920">
                                <v:shape id="_x0000_i1743" type="#_x0000_t75" style="width:294.45pt;height:79.3pt" o:ole="">
                                  <v:imagedata r:id="rId1799" o:title=""/>
                                </v:shape>
                                <o:OLEObject Type="Embed" ProgID="Equation.3" ShapeID="_x0000_i1743" DrawAspect="Content" ObjectID="_0000000001" r:id="rId1800"/>
                              </w:object>
                              <w:t>;</w:t>
                            </w:r>
                          </w:p>
                        </w:tc>
                        <w:tc>
                          <w:tcPr>
                            <w:tcW w:w="677" w:type="pct"/>
                            <w:vAlign w:val="center"/>
                            <w:hideMark/>
                          </w:tcPr>
                          <w:p>
                            <w:pPr>
                              <w:tabs>
                                <w:tab w:val="left" w:pos="567"/>
                              </w:tabs>
                              <w:suppressAutoHyphens/>
                              <w:spacing w:line="276" w:lineRule="auto"/>
                              <w:jc w:val="right"/>
                              <w:rPr>
                                <w:szCs w:val="24"/>
                                <w:lang w:eastAsia="lt-LT"/>
                              </w:rPr>
                            </w:pPr>
                            <w:r>
                              <w:rPr>
                                <w:szCs w:val="24"/>
                                <w:lang w:eastAsia="lt-LT"/>
                              </w:rPr>
                              <w:t>(2.588)</w:t>
                            </w:r>
                          </w:p>
                        </w:tc>
                      </w:tr>
                    </w:tbl>
                    <w:p>
                      <w:pPr>
                        <w:tabs>
                          <w:tab w:val="left" w:pos="567"/>
                        </w:tabs>
                        <w:suppressAutoHyphens/>
                        <w:rPr>
                          <w:lang w:eastAsia="lt-LT"/>
                        </w:rPr>
                      </w:pPr>
                    </w:p>
                  </w:sdtContent>
                </w:sdt>
                <w:sdt>
                  <w:sdtPr>
                    <w:alias w:val="75.4 pp."/>
                    <w:tag w:val="part_5563263b514541b383cc55e15c7a1a79"/>
                    <w:lock w:val="sdtLocked"/>
                    <w:richText/>
                  </w:sdtPr>
                  <w:sdtContent>
                    <w:p>
                      <w:pPr>
                        <w:tabs>
                          <w:tab w:val="left" w:pos="567"/>
                        </w:tabs>
                        <w:suppressAutoHyphens/>
                        <w:ind w:firstLine="567"/>
                        <w:jc w:val="both"/>
                        <w:rPr>
                          <w:szCs w:val="24"/>
                          <w:lang w:eastAsia="lt-LT"/>
                        </w:rPr>
                      </w:pPr>
                      <w:sdt>
                        <w:sdtPr>
                          <w:alias w:val="Numeris"/>
                          <w:tag w:val="nr_5563263b514541b383cc55e15c7a1a79"/>
                          <w:lock w:val="sdtLocked"/>
                          <w:richText/>
                        </w:sdtPr>
                        <w:sdtContent>
                          <w:r>
                            <w:rPr>
                              <w:szCs w:val="24"/>
                              <w:lang w:eastAsia="lt-LT"/>
                            </w:rPr>
                            <w:t>75.4</w:t>
                          </w:r>
                        </w:sdtContent>
                      </w:sdt>
                      <w:r>
                        <w:rPr>
                          <w:szCs w:val="24"/>
                          <w:lang w:eastAsia="lt-LT"/>
                        </w:rPr>
                        <w:t xml:space="preserve">. jei pastatui šildyti naudojamas dujinis katilas su absorbciniu šilumos siurbliu kartu su  bet kuriuo kitu šilumos šaltiniu, </w:t>
                      </w:r>
                      <w:r>
                        <w:rPr>
                          <w:bCs/>
                          <w:i/>
                          <w:szCs w:val="24"/>
                          <w:lang w:eastAsia="lt-LT"/>
                        </w:rPr>
                        <w:t>Q</w:t>
                      </w:r>
                      <w:r>
                        <w:rPr>
                          <w:bCs/>
                          <w:i/>
                          <w:szCs w:val="24"/>
                          <w:vertAlign w:val="subscript"/>
                          <w:lang w:eastAsia="lt-LT"/>
                        </w:rPr>
                        <w:t>H.E,m</w:t>
                      </w:r>
                      <w:r>
                        <w:rPr>
                          <w:szCs w:val="24"/>
                          <w:lang w:eastAsia="lt-LT"/>
                        </w:rPr>
                        <w:t xml:space="preserve"> apskaičiuojamas taip:</w:t>
                      </w:r>
                    </w:p>
                    <w:p>
                      <w:pPr>
                        <w:tabs>
                          <w:tab w:val="left" w:pos="506"/>
                          <w:tab w:val="left" w:pos="567"/>
                        </w:tabs>
                        <w:suppressAutoHyphens/>
                        <w:rPr>
                          <w:b/>
                          <w:bCs/>
                          <w:szCs w:val="24"/>
                          <w:lang w:eastAsia="lt-LT"/>
                        </w:rPr>
                      </w:pPr>
                    </w:p>
                    <w:tbl>
                      <w:tblPr>
                        <w:tblW w:w="5000" w:type="pct"/>
                        <w:tblLook w:val="01E0" w:firstRow="1" w:lastRow="1" w:firstColumn="1" w:lastColumn="1" w:noHBand="0" w:noVBand="0"/>
                      </w:tblPr>
                      <w:tblGrid>
                        <w:gridCol w:w="8553"/>
                        <w:gridCol w:w="1301"/>
                      </w:tblGrid>
                      <w:tr>
                        <w:tc>
                          <w:tcPr>
                            <w:tcW w:w="4340" w:type="pct"/>
                            <w:vAlign w:val="center"/>
                            <w:hideMark/>
                          </w:tcPr>
                          <w:p>
                            <w:pPr>
                              <w:tabs>
                                <w:tab w:val="left" w:pos="567"/>
                              </w:tabs>
                              <w:suppressAutoHyphens/>
                              <w:jc w:val="center"/>
                              <w:rPr>
                                <w:rFonts w:eastAsia="Calibri"/>
                                <w:szCs w:val="24"/>
                                <w:lang w:eastAsia="lt-LT"/>
                              </w:rPr>
                            </w:pPr>
                            <w:r>
                              <w:rPr>
                                <w:szCs w:val="24"/>
                                <w:lang w:eastAsia="lt-LT"/>
                              </w:rPr>
                              <w:object w:dxaOrig="7119" w:dyaOrig="1920">
                                <v:shape id="_x0000_i1744" type="#_x0000_t75" style="width:313.1pt;height:85.75pt" o:ole="">
                                  <v:imagedata r:id="rId1801" o:title=""/>
                                </v:shape>
                                <o:OLEObject Type="Embed" ProgID="Equation.3" ShapeID="_x0000_i1744" DrawAspect="Content" ObjectID="_0000000001" r:id="rId1802"/>
                              </w:object>
                              <w:t>;</w:t>
                            </w:r>
                          </w:p>
                        </w:tc>
                        <w:tc>
                          <w:tcPr>
                            <w:tcW w:w="660" w:type="pct"/>
                            <w:vAlign w:val="center"/>
                            <w:hideMark/>
                          </w:tcPr>
                          <w:p>
                            <w:pPr>
                              <w:tabs>
                                <w:tab w:val="left" w:pos="567"/>
                              </w:tabs>
                              <w:suppressAutoHyphens/>
                              <w:jc w:val="right"/>
                              <w:rPr>
                                <w:rFonts w:eastAsia="Calibri"/>
                                <w:szCs w:val="24"/>
                                <w:lang w:eastAsia="lt-LT"/>
                              </w:rPr>
                            </w:pPr>
                            <w:r>
                              <w:rPr>
                                <w:szCs w:val="24"/>
                                <w:lang w:eastAsia="lt-LT"/>
                              </w:rPr>
                              <w:t>(2.588-1)</w:t>
                            </w:r>
                          </w:p>
                        </w:tc>
                      </w:tr>
                    </w:tbl>
                    <w:p>
                      <w:pPr>
                        <w:tabs>
                          <w:tab w:val="left" w:pos="567"/>
                          <w:tab w:val="left" w:pos="709"/>
                        </w:tabs>
                        <w:suppressAutoHyphens/>
                        <w:jc w:val="both"/>
                        <w:rPr>
                          <w:bCs/>
                          <w:szCs w:val="24"/>
                          <w:lang w:eastAsia="lt-LT"/>
                        </w:rPr>
                      </w:pPr>
                      <w:r>
                        <w:rPr>
                          <w:bCs/>
                          <w:szCs w:val="24"/>
                          <w:lang w:eastAsia="lt-LT"/>
                        </w:rPr>
                        <w:t>čia:</w:t>
                        <w:tab/>
                      </w:r>
                      <w:r>
                        <w:rPr>
                          <w:i/>
                          <w:szCs w:val="24"/>
                          <w:lang w:eastAsia="lt-LT"/>
                        </w:rPr>
                        <w:t>η</w:t>
                      </w:r>
                      <w:r>
                        <w:rPr>
                          <w:i/>
                          <w:szCs w:val="24"/>
                          <w:vertAlign w:val="subscript"/>
                          <w:lang w:eastAsia="lt-LT"/>
                        </w:rPr>
                        <w:t xml:space="preserve">2(hs1) </w:t>
                      </w:r>
                      <w:r>
                        <w:rPr>
                          <w:szCs w:val="24"/>
                          <w:lang w:eastAsia="lt-LT"/>
                        </w:rPr>
                        <w:t>– dujinio katilo su absorbciniu šilumos siurbliu, naudingumo koeficientas.</w:t>
                      </w:r>
                      <w:r>
                        <w:rPr>
                          <w:bCs/>
                          <w:szCs w:val="24"/>
                          <w:lang w:eastAsia="lt-LT"/>
                        </w:rPr>
                        <w:t xml:space="preserve"> Imamas iš 2.45 lentelės</w:t>
                      </w:r>
                      <w:r>
                        <w:rPr>
                          <w:szCs w:val="24"/>
                          <w:lang w:eastAsia="lt-LT"/>
                        </w:rPr>
                        <w:t>;</w:t>
                      </w:r>
                    </w:p>
                    <w:p>
                      <w:pPr>
                        <w:tabs>
                          <w:tab w:val="left" w:pos="567"/>
                        </w:tabs>
                        <w:suppressAutoHyphens/>
                        <w:ind w:firstLine="720"/>
                        <w:jc w:val="both"/>
                        <w:rPr>
                          <w:bCs/>
                          <w:szCs w:val="24"/>
                          <w:lang w:eastAsia="lt-LT"/>
                        </w:rPr>
                      </w:pPr>
                      <w:r>
                        <w:rPr>
                          <w:bCs/>
                          <w:i/>
                          <w:iCs/>
                          <w:szCs w:val="24"/>
                          <w:lang w:eastAsia="lt-LT"/>
                        </w:rPr>
                        <w:t>P</w:t>
                      </w:r>
                      <w:r>
                        <w:rPr>
                          <w:bCs/>
                          <w:i/>
                          <w:iCs/>
                          <w:szCs w:val="24"/>
                          <w:vertAlign w:val="subscript"/>
                          <w:lang w:eastAsia="lt-LT"/>
                        </w:rPr>
                        <w:t>GHP.H</w:t>
                      </w:r>
                      <w:r>
                        <w:rPr>
                          <w:bCs/>
                          <w:szCs w:val="24"/>
                          <w:lang w:eastAsia="lt-LT"/>
                        </w:rPr>
                        <w:t xml:space="preserve">  </w:t>
                      </w:r>
                      <w:r>
                        <w:rPr>
                          <w:b/>
                          <w:szCs w:val="24"/>
                          <w:lang w:eastAsia="lt-LT"/>
                        </w:rPr>
                        <w:t xml:space="preserve">– </w:t>
                      </w:r>
                      <w:r>
                        <w:rPr>
                          <w:bCs/>
                          <w:szCs w:val="24"/>
                          <w:lang w:eastAsia="lt-LT"/>
                        </w:rPr>
                        <w:t>pagal [3.46], [3.47] reikalavimus prie standartinių bandymo sąlygų nustatyta dujinio katilo šildymo galia, kW. Jei nėra duomenų, apskaičiuojama pagal (2.134-2) formulę;</w:t>
                      </w:r>
                    </w:p>
                    <w:p>
                      <w:pPr>
                        <w:tabs>
                          <w:tab w:val="left" w:pos="567"/>
                        </w:tabs>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w:t>
                      </w:r>
                      <w:r>
                        <w:rPr>
                          <w:b/>
                          <w:szCs w:val="24"/>
                          <w:lang w:eastAsia="lt-LT"/>
                        </w:rPr>
                        <w:t xml:space="preserve">– </w:t>
                      </w:r>
                      <w:r>
                        <w:rPr>
                          <w:bCs/>
                          <w:szCs w:val="24"/>
                          <w:lang w:eastAsia="lt-LT"/>
                        </w:rPr>
                        <w:t>pagal [3.46], [3.47] reikalavimus prie standartinių bandymo sąlygų nustatyta dujinio katilo naudojamos elektros energijos galia, kW. Jei nėra duomenų, apskaičiuojama pagal (2.589-2) formulę;</w:t>
                      </w:r>
                    </w:p>
                    <w:p>
                      <w:pPr>
                        <w:tabs>
                          <w:tab w:val="left" w:pos="567"/>
                        </w:tabs>
                        <w:suppressAutoHyphens/>
                        <w:ind w:left="600" w:hanging="600"/>
                        <w:rPr>
                          <w:rFonts w:eastAsia="Calibri"/>
                          <w:strike/>
                          <w:szCs w:val="24"/>
                          <w:lang w:eastAsia="lt-LT"/>
                        </w:rPr>
                      </w:pPr>
                      <w:r>
                        <w:rPr>
                          <w:color w:val="000000"/>
                          <w:szCs w:val="24"/>
                          <w:lang w:eastAsia="lt-LT"/>
                        </w:rPr>
                        <w:t xml:space="preserve">čia:  (2.587) ir (2.588) </w:t>
                      </w:r>
                      <w:r>
                        <w:rPr>
                          <w:szCs w:val="24"/>
                          <w:lang w:eastAsia="lt-LT"/>
                        </w:rPr>
                        <w:t>formulių taikymo sąlygos:</w:t>
                      </w:r>
                    </w:p>
                    <w:p>
                      <w:pPr>
                        <w:tabs>
                          <w:tab w:val="left" w:pos="567"/>
                        </w:tabs>
                        <w:suppressAutoHyphens/>
                        <w:ind w:firstLine="600"/>
                        <w:rPr>
                          <w:color w:val="000000"/>
                          <w:szCs w:val="24"/>
                          <w:lang w:eastAsia="lt-LT"/>
                        </w:rPr>
                      </w:pPr>
                      <w:r>
                        <w:rPr>
                          <w:color w:val="000000"/>
                          <w:szCs w:val="24"/>
                          <w:lang w:eastAsia="lt-LT"/>
                        </w:rPr>
                        <w:t xml:space="preserve">kai </w:t>
                      </w:r>
                      <w:r>
                        <w:rPr>
                          <w:i/>
                          <w:color w:val="000000"/>
                          <w:szCs w:val="24"/>
                          <w:lang w:eastAsia="lt-LT"/>
                        </w:rPr>
                        <w:t>Q</w:t>
                      </w:r>
                      <w:r>
                        <w:rPr>
                          <w:i/>
                          <w:color w:val="000000"/>
                          <w:szCs w:val="24"/>
                          <w:vertAlign w:val="subscript"/>
                          <w:lang w:eastAsia="lt-LT"/>
                        </w:rPr>
                        <w:t>H,m</w:t>
                      </w:r>
                      <w:r>
                        <w:rPr>
                          <w:color w:val="000000"/>
                          <w:szCs w:val="24"/>
                          <w:lang w:eastAsia="lt-LT"/>
                        </w:rPr>
                        <w:t xml:space="preserve">=0, tai </w:t>
                      </w:r>
                      <w:r>
                        <w:rPr>
                          <w:i/>
                          <w:color w:val="000000"/>
                          <w:szCs w:val="24"/>
                          <w:lang w:eastAsia="lt-LT"/>
                        </w:rPr>
                        <w:t>Q</w:t>
                      </w:r>
                      <w:r>
                        <w:rPr>
                          <w:i/>
                          <w:color w:val="000000"/>
                          <w:szCs w:val="24"/>
                          <w:vertAlign w:val="subscript"/>
                          <w:lang w:eastAsia="lt-LT"/>
                        </w:rPr>
                        <w:t>H.E,m</w:t>
                      </w:r>
                      <w:r>
                        <w:rPr>
                          <w:color w:val="000000"/>
                          <w:szCs w:val="24"/>
                          <w:lang w:eastAsia="lt-LT"/>
                        </w:rPr>
                        <w:t>=0;</w:t>
                      </w:r>
                    </w:p>
                    <w:p>
                      <w:pPr>
                        <w:tabs>
                          <w:tab w:val="left" w:pos="567"/>
                        </w:tabs>
                        <w:suppressAutoHyphens/>
                        <w:ind w:left="600"/>
                        <w:rPr>
                          <w:color w:val="000000"/>
                          <w:szCs w:val="24"/>
                          <w:lang w:eastAsia="lt-LT"/>
                        </w:rPr>
                      </w:pPr>
                      <w:r>
                        <w:rPr>
                          <w:i/>
                          <w:color w:val="000000"/>
                          <w:szCs w:val="24"/>
                          <w:lang w:eastAsia="lt-LT"/>
                        </w:rPr>
                        <w:t>k</w:t>
                      </w:r>
                      <w:r>
                        <w:rPr>
                          <w:i/>
                          <w:color w:val="000000"/>
                          <w:szCs w:val="24"/>
                          <w:vertAlign w:val="subscript"/>
                          <w:lang w:eastAsia="lt-LT"/>
                        </w:rPr>
                        <w:t>E,m</w:t>
                      </w:r>
                      <w:r>
                        <w:rPr>
                          <w:color w:val="000000"/>
                          <w:szCs w:val="24"/>
                          <w:lang w:eastAsia="lt-LT"/>
                        </w:rPr>
                        <w:t>=1 – jei atitinkamą „m“ mėnesį šilumos šaltinis naudoja elektros energiją;</w:t>
                      </w:r>
                    </w:p>
                    <w:p>
                      <w:pPr>
                        <w:tabs>
                          <w:tab w:val="left" w:pos="567"/>
                        </w:tabs>
                        <w:suppressAutoHyphens/>
                        <w:ind w:left="600"/>
                        <w:rPr>
                          <w:color w:val="000000"/>
                          <w:szCs w:val="24"/>
                          <w:lang w:eastAsia="lt-LT"/>
                        </w:rPr>
                      </w:pPr>
                      <w:r>
                        <w:rPr>
                          <w:i/>
                          <w:color w:val="000000"/>
                          <w:szCs w:val="24"/>
                          <w:lang w:eastAsia="lt-LT"/>
                        </w:rPr>
                        <w:t>k</w:t>
                      </w:r>
                      <w:r>
                        <w:rPr>
                          <w:i/>
                          <w:color w:val="000000"/>
                          <w:szCs w:val="24"/>
                          <w:vertAlign w:val="subscript"/>
                          <w:lang w:eastAsia="lt-LT"/>
                        </w:rPr>
                        <w:t>E,m</w:t>
                      </w:r>
                      <w:r>
                        <w:rPr>
                          <w:color w:val="000000"/>
                          <w:szCs w:val="24"/>
                          <w:lang w:eastAsia="lt-LT"/>
                        </w:rPr>
                        <w:t>=0 – jei atitinkamą</w:t>
                      </w:r>
                      <w:r>
                        <w:rPr>
                          <w:b/>
                          <w:color w:val="000000"/>
                          <w:szCs w:val="24"/>
                          <w:lang w:eastAsia="lt-LT"/>
                        </w:rPr>
                        <w:t xml:space="preserve"> </w:t>
                      </w:r>
                      <w:r>
                        <w:rPr>
                          <w:color w:val="000000"/>
                          <w:szCs w:val="24"/>
                          <w:lang w:eastAsia="lt-LT"/>
                        </w:rPr>
                        <w:t>„m“ mėnesį šilumos šaltinis elektros energijos nenaudoja;</w:t>
                      </w:r>
                    </w:p>
                    <w:p>
                      <w:pPr>
                        <w:tabs>
                          <w:tab w:val="left" w:pos="567"/>
                        </w:tabs>
                        <w:suppressAutoHyphens/>
                        <w:ind w:left="600"/>
                        <w:rPr>
                          <w:color w:val="000000"/>
                          <w:szCs w:val="24"/>
                          <w:lang w:eastAsia="lt-LT"/>
                        </w:rPr>
                      </w:pPr>
                      <w:r>
                        <w:rPr>
                          <w:color w:val="000000"/>
                          <w:szCs w:val="24"/>
                          <w:lang w:eastAsia="lt-LT"/>
                        </w:rPr>
                        <w:t>kitus formulės paaiškinimus žiūrėti po (2.572) formule;</w:t>
                      </w:r>
                    </w:p>
                  </w:sdtContent>
                </w:sdt>
                <w:sdt>
                  <w:sdtPr>
                    <w:alias w:val="75.5 pp."/>
                    <w:tag w:val="part_c7d3b68d11f0499ab00ca66b5b5460d1"/>
                    <w:lock w:val="sdtLocked"/>
                    <w:richText/>
                  </w:sdtPr>
                  <w:sdtContent>
                    <w:p>
                      <w:pPr>
                        <w:tabs>
                          <w:tab w:val="left" w:pos="567"/>
                        </w:tabs>
                        <w:suppressAutoHyphens/>
                        <w:ind w:firstLine="567"/>
                        <w:jc w:val="both"/>
                        <w:rPr>
                          <w:bCs/>
                          <w:color w:val="000000"/>
                          <w:szCs w:val="24"/>
                          <w:lang w:eastAsia="lt-LT"/>
                        </w:rPr>
                      </w:pPr>
                      <w:sdt>
                        <w:sdtPr>
                          <w:alias w:val="Numeris"/>
                          <w:tag w:val="nr_c7d3b68d11f0499ab00ca66b5b5460d1"/>
                          <w:lock w:val="sdtLocked"/>
                          <w:richText/>
                        </w:sdtPr>
                        <w:sdtContent>
                          <w:r>
                            <w:rPr>
                              <w:bCs/>
                              <w:color w:val="000000"/>
                              <w:szCs w:val="24"/>
                              <w:lang w:eastAsia="lt-LT"/>
                            </w:rPr>
                            <w:t>75.5</w:t>
                          </w:r>
                        </w:sdtContent>
                      </w:sdt>
                      <w:r>
                        <w:rPr>
                          <w:bCs/>
                          <w:color w:val="000000"/>
                          <w:szCs w:val="24"/>
                          <w:lang w:eastAsia="lt-LT"/>
                        </w:rPr>
                        <w:t>. atitinkamo „m“ mėnesio pastato karšto vandens ruošimo sistemos pagrindinių šilumos šaltinių elektros energijos sąnaudos</w:t>
                      </w:r>
                      <w:r>
                        <w:rPr>
                          <w:bCs/>
                          <w:i/>
                          <w:color w:val="000000"/>
                          <w:szCs w:val="24"/>
                          <w:lang w:eastAsia="lt-LT"/>
                        </w:rPr>
                        <w:t xml:space="preserve"> Q</w:t>
                      </w:r>
                      <w:r>
                        <w:rPr>
                          <w:bCs/>
                          <w:i/>
                          <w:color w:val="000000"/>
                          <w:szCs w:val="24"/>
                          <w:vertAlign w:val="subscript"/>
                          <w:lang w:eastAsia="lt-LT"/>
                        </w:rPr>
                        <w:t xml:space="preserve">hw.E,m </w:t>
                      </w:r>
                      <w:r>
                        <w:rPr>
                          <w:bCs/>
                          <w:color w:val="000000"/>
                          <w:szCs w:val="24"/>
                          <w:lang w:eastAsia="lt-LT"/>
                        </w:rPr>
                        <w:t>apskaičiuojamos taip:</w:t>
                      </w:r>
                    </w:p>
                    <w:sdt>
                      <w:sdtPr>
                        <w:alias w:val="75.5.1 pp."/>
                        <w:tag w:val="part_af18ac4885844460bacf28cc714c44a4"/>
                        <w:lock w:val="sdtLocked"/>
                        <w:richText/>
                      </w:sdtPr>
                      <w:sdtContent>
                        <w:p>
                          <w:pPr>
                            <w:tabs>
                              <w:tab w:val="left" w:pos="567"/>
                            </w:tabs>
                            <w:suppressAutoHyphens/>
                            <w:ind w:firstLine="567"/>
                            <w:jc w:val="both"/>
                            <w:rPr>
                              <w:color w:val="000000"/>
                              <w:szCs w:val="24"/>
                              <w:lang w:eastAsia="lt-LT"/>
                            </w:rPr>
                          </w:pPr>
                          <w:sdt>
                            <w:sdtPr>
                              <w:alias w:val="Numeris"/>
                              <w:tag w:val="nr_af18ac4885844460bacf28cc714c44a4"/>
                              <w:lock w:val="sdtLocked"/>
                              <w:richText/>
                            </w:sdtPr>
                            <w:sdtContent>
                              <w:r>
                                <w:rPr>
                                  <w:color w:val="000000"/>
                                  <w:szCs w:val="24"/>
                                  <w:lang w:eastAsia="lt-LT"/>
                                </w:rPr>
                                <w:t>75.5.1</w:t>
                              </w:r>
                            </w:sdtContent>
                          </w:sdt>
                          <w:r>
                            <w:rPr>
                              <w:color w:val="000000"/>
                              <w:szCs w:val="24"/>
                              <w:lang w:eastAsia="lt-LT"/>
                            </w:rPr>
                            <w:t>. jei karštam vandeniui ruošti naudojama elektros energija (</w:t>
                          </w:r>
                          <w:r>
                            <w:rPr>
                              <w:bCs/>
                              <w:color w:val="000000"/>
                              <w:szCs w:val="24"/>
                              <w:lang w:eastAsia="lt-LT"/>
                            </w:rPr>
                            <w:t>2.21 lentelės 9–11 eilutėse išvardinta įranga)</w:t>
                          </w:r>
                          <w:r>
                            <w:rPr>
                              <w:color w:val="000000"/>
                              <w:szCs w:val="24"/>
                              <w:lang w:eastAsia="lt-LT"/>
                            </w:rPr>
                            <w:t>, tačiau nenaudojami šiluminiai siurbliai,</w:t>
                          </w:r>
                        </w:p>
                        <w:p>
                          <w:pPr>
                            <w:tabs>
                              <w:tab w:val="left" w:pos="567"/>
                            </w:tabs>
                            <w:suppressAutoHyphens/>
                            <w:jc w:val="both"/>
                            <w:rPr>
                              <w:color w:val="000000"/>
                              <w:szCs w:val="24"/>
                              <w:lang w:eastAsia="lt-LT"/>
                            </w:rPr>
                          </w:pPr>
                        </w:p>
                        <w:tbl>
                          <w:tblPr>
                            <w:tblW w:w="5000" w:type="pct"/>
                            <w:tblLook w:val="01E0" w:firstRow="1" w:lastRow="1" w:firstColumn="1" w:lastColumn="1" w:noHBand="0" w:noVBand="0"/>
                          </w:tblPr>
                          <w:tblGrid>
                            <w:gridCol w:w="8250"/>
                            <w:gridCol w:w="1604"/>
                          </w:tblGrid>
                          <w:tr>
                            <w:tc>
                              <w:tcPr>
                                <w:tcW w:w="4186" w:type="pct"/>
                                <w:vAlign w:val="center"/>
                                <w:hideMark/>
                              </w:tcPr>
                              <w:p>
                                <w:pPr>
                                  <w:tabs>
                                    <w:tab w:val="left" w:pos="567"/>
                                  </w:tabs>
                                  <w:suppressAutoHyphens/>
                                  <w:spacing w:line="276" w:lineRule="auto"/>
                                  <w:jc w:val="center"/>
                                  <w:rPr>
                                    <w:rFonts w:eastAsia="Calibri"/>
                                    <w:color w:val="000000"/>
                                    <w:szCs w:val="24"/>
                                    <w:lang w:eastAsia="lt-LT"/>
                                  </w:rPr>
                                </w:pPr>
                                <w:r>
                                  <w:rPr>
                                    <w:position w:val="-32"/>
                                    <w:lang w:eastAsia="lt-LT"/>
                                  </w:rPr>
                                  <w:object w:dxaOrig="3640" w:dyaOrig="760">
                                    <v:shape id="_x0000_i1745" type="#_x0000_t75" style="width:179.6pt;height:35.6pt" o:ole="">
                                      <v:imagedata r:id="rId1803" o:title=""/>
                                    </v:shape>
                                    <o:OLEObject Type="Embed" ProgID="Equation.3" ShapeID="_x0000_i1745" DrawAspect="Content" ObjectID="_0000000001" r:id="rId1804"/>
                                  </w:object>
                                </w:r>
                                <w:r>
                                  <w:rPr>
                                    <w:color w:val="000000"/>
                                    <w:szCs w:val="24"/>
                                    <w:lang w:eastAsia="lt-LT"/>
                                  </w:rPr>
                                  <w:t>;</w:t>
                                </w:r>
                              </w:p>
                            </w:tc>
                            <w:tc>
                              <w:tcPr>
                                <w:tcW w:w="814" w:type="pct"/>
                                <w:vAlign w:val="center"/>
                                <w:hideMark/>
                              </w:tcPr>
                              <w:p>
                                <w:pPr>
                                  <w:tabs>
                                    <w:tab w:val="left" w:pos="567"/>
                                  </w:tabs>
                                  <w:suppressAutoHyphens/>
                                  <w:spacing w:line="276" w:lineRule="auto"/>
                                  <w:jc w:val="right"/>
                                  <w:rPr>
                                    <w:rFonts w:eastAsia="Calibri"/>
                                    <w:bCs/>
                                    <w:color w:val="000000"/>
                                    <w:szCs w:val="24"/>
                                    <w:lang w:eastAsia="lt-LT"/>
                                  </w:rPr>
                                </w:pPr>
                                <w:r>
                                  <w:rPr>
                                    <w:bCs/>
                                    <w:color w:val="000000"/>
                                    <w:szCs w:val="24"/>
                                    <w:lang w:eastAsia="lt-LT"/>
                                  </w:rPr>
                                  <w:t>(2.589)</w:t>
                                </w:r>
                              </w:p>
                            </w:tc>
                          </w:tr>
                        </w:tbl>
                        <w:p>
                          <w:pPr>
                            <w:tabs>
                              <w:tab w:val="left" w:pos="567"/>
                            </w:tabs>
                            <w:suppressAutoHyphens/>
                            <w:jc w:val="both"/>
                            <w:rPr>
                              <w:b/>
                              <w:color w:val="000000"/>
                              <w:szCs w:val="24"/>
                              <w:lang w:eastAsia="lt-LT"/>
                            </w:rPr>
                          </w:pPr>
                        </w:p>
                        <w:p>
                          <w:pPr>
                            <w:tabs>
                              <w:tab w:val="left" w:pos="567"/>
                            </w:tabs>
                            <w:suppressAutoHyphens/>
                            <w:jc w:val="both"/>
                            <w:rPr>
                              <w:bCs/>
                              <w:color w:val="000000"/>
                              <w:szCs w:val="24"/>
                              <w:lang w:eastAsia="lt-LT"/>
                            </w:rPr>
                          </w:pPr>
                          <w:r>
                            <w:rPr>
                              <w:color w:val="000000"/>
                              <w:szCs w:val="24"/>
                              <w:lang w:eastAsia="lt-LT"/>
                            </w:rPr>
                            <w:t>čia:</w:t>
                            <w:tab/>
                          </w:r>
                          <w:r>
                            <w:rPr>
                              <w:i/>
                              <w:color w:val="000000"/>
                              <w:szCs w:val="24"/>
                              <w:lang w:eastAsia="lt-LT"/>
                            </w:rPr>
                            <w:t>η</w:t>
                          </w:r>
                          <w:r>
                            <w:rPr>
                              <w:i/>
                              <w:color w:val="000000"/>
                              <w:szCs w:val="24"/>
                              <w:vertAlign w:val="subscript"/>
                              <w:lang w:eastAsia="lt-LT"/>
                            </w:rPr>
                            <w:t xml:space="preserve">hw.eq2(1) </w:t>
                          </w:r>
                          <w:r>
                            <w:rPr>
                              <w:color w:val="000000"/>
                              <w:szCs w:val="24"/>
                              <w:lang w:eastAsia="lt-LT"/>
                            </w:rPr>
                            <w:t>– karšto buitinio vandens ruošimo įrangų, kurios naudoja elektros energiją, naudingumo koeficientas.</w:t>
                          </w:r>
                          <w:r>
                            <w:rPr>
                              <w:bCs/>
                              <w:color w:val="000000"/>
                              <w:szCs w:val="24"/>
                              <w:lang w:eastAsia="lt-LT"/>
                            </w:rPr>
                            <w:t xml:space="preserve"> Imamas iš 2.21 lentelės 9–11 eilutės. Jei karštam vandeniui ruošti naudojama kelių 9</w:t>
                          </w:r>
                          <w:r>
                            <w:rPr>
                              <w:color w:val="000000"/>
                              <w:szCs w:val="24"/>
                              <w:lang w:eastAsia="lt-LT"/>
                            </w:rPr>
                            <w:t>–</w:t>
                          </w:r>
                          <w:r>
                            <w:rPr>
                              <w:bCs/>
                              <w:color w:val="000000"/>
                              <w:szCs w:val="24"/>
                              <w:lang w:eastAsia="lt-LT"/>
                            </w:rPr>
                            <w:t>11 eilutėse nurodytų tipų įranga, apskaičiuojamas pagal (2.137) formulę;</w:t>
                          </w:r>
                        </w:p>
                      </w:sdtContent>
                    </w:sdt>
                    <w:sdt>
                      <w:sdtPr>
                        <w:alias w:val="75.5.2 pp."/>
                        <w:tag w:val="part_b30fa7e2045147aeacaeb415016b3fc6"/>
                        <w:lock w:val="sdtLocked"/>
                        <w:richText/>
                      </w:sdtPr>
                      <w:sdtContent>
                        <w:p>
                          <w:pPr>
                            <w:tabs>
                              <w:tab w:val="left" w:pos="567"/>
                            </w:tabs>
                            <w:suppressAutoHyphens/>
                            <w:ind w:firstLine="567"/>
                            <w:jc w:val="both"/>
                            <w:rPr>
                              <w:szCs w:val="24"/>
                              <w:lang w:eastAsia="lt-LT"/>
                            </w:rPr>
                          </w:pPr>
                          <w:sdt>
                            <w:sdtPr>
                              <w:alias w:val="Numeris"/>
                              <w:tag w:val="nr_b30fa7e2045147aeacaeb415016b3fc6"/>
                              <w:lock w:val="sdtLocked"/>
                              <w:richText/>
                            </w:sdtPr>
                            <w:sdtContent>
                              <w:r>
                                <w:rPr>
                                  <w:szCs w:val="24"/>
                                  <w:lang w:eastAsia="lt-LT"/>
                                </w:rPr>
                                <w:t>75.5.2</w:t>
                              </w:r>
                            </w:sdtContent>
                          </w:sdt>
                          <w:r>
                            <w:rPr>
                              <w:szCs w:val="24"/>
                              <w:lang w:eastAsia="lt-LT"/>
                            </w:rPr>
                            <w:t xml:space="preserve">. jei karštam vandeniui ruošti naudojami tik dujiniai katilai su absorbciniais šilumos siurbliais, </w:t>
                          </w:r>
                        </w:p>
                        <w:tbl>
                          <w:tblPr>
                            <w:tblW w:w="5000" w:type="pct"/>
                            <w:tblLook w:val="01E0" w:firstRow="1" w:lastRow="1" w:firstColumn="1" w:lastColumn="1" w:noHBand="0" w:noVBand="0"/>
                          </w:tblPr>
                          <w:tblGrid>
                            <w:gridCol w:w="8250"/>
                            <w:gridCol w:w="1604"/>
                          </w:tblGrid>
                          <w:tr>
                            <w:tc>
                              <w:tcPr>
                                <w:tcW w:w="4186" w:type="pct"/>
                                <w:vAlign w:val="center"/>
                                <w:hideMark/>
                              </w:tcPr>
                              <w:p>
                                <w:pPr>
                                  <w:tabs>
                                    <w:tab w:val="left" w:pos="567"/>
                                  </w:tabs>
                                  <w:suppressAutoHyphens/>
                                  <w:jc w:val="center"/>
                                  <w:rPr>
                                    <w:rFonts w:eastAsia="Calibri"/>
                                    <w:szCs w:val="24"/>
                                    <w:lang w:eastAsia="lt-LT"/>
                                  </w:rPr>
                                </w:pPr>
                                <w:r>
                                  <w:rPr>
                                    <w:position w:val="-32"/>
                                    <w:lang w:eastAsia="lt-LT"/>
                                  </w:rPr>
                                  <w:object w:dxaOrig="4400" w:dyaOrig="760">
                                    <v:shape id="_x0000_i1746" type="#_x0000_t75" style="width:221.65pt;height:35.6pt" o:ole="">
                                      <v:imagedata r:id="rId1805" o:title=""/>
                                    </v:shape>
                                    <o:OLEObject Type="Embed" ProgID="Equation.3" ShapeID="_x0000_i1746" DrawAspect="Content" ObjectID="_0000000001" r:id="rId1806"/>
                                  </w:object>
                                </w:r>
                                <w:r>
                                  <w:rPr>
                                    <w:szCs w:val="24"/>
                                    <w:lang w:eastAsia="lt-LT"/>
                                  </w:rPr>
                                  <w:t>;</w:t>
                                </w:r>
                              </w:p>
                            </w:tc>
                            <w:tc>
                              <w:tcPr>
                                <w:tcW w:w="814" w:type="pct"/>
                                <w:vAlign w:val="center"/>
                                <w:hideMark/>
                              </w:tcPr>
                              <w:p>
                                <w:pPr>
                                  <w:tabs>
                                    <w:tab w:val="left" w:pos="567"/>
                                  </w:tabs>
                                  <w:suppressAutoHyphens/>
                                  <w:jc w:val="right"/>
                                  <w:rPr>
                                    <w:rFonts w:eastAsia="Calibri"/>
                                    <w:bCs/>
                                    <w:szCs w:val="24"/>
                                    <w:lang w:eastAsia="lt-LT"/>
                                  </w:rPr>
                                </w:pPr>
                                <w:r>
                                  <w:rPr>
                                    <w:bCs/>
                                    <w:szCs w:val="24"/>
                                    <w:lang w:eastAsia="lt-LT"/>
                                  </w:rPr>
                                  <w:t>(2.589-1)</w:t>
                                </w:r>
                              </w:p>
                            </w:tc>
                          </w:tr>
                        </w:tbl>
                        <w:p>
                          <w:pPr>
                            <w:tabs>
                              <w:tab w:val="left" w:pos="567"/>
                              <w:tab w:val="left" w:pos="709"/>
                            </w:tabs>
                            <w:suppressAutoHyphens/>
                            <w:jc w:val="both"/>
                            <w:rPr>
                              <w:bCs/>
                              <w:szCs w:val="24"/>
                              <w:lang w:eastAsia="lt-LT"/>
                            </w:rPr>
                          </w:pPr>
                        </w:p>
                        <w:p>
                          <w:pPr>
                            <w:tabs>
                              <w:tab w:val="left" w:pos="567"/>
                              <w:tab w:val="left" w:pos="709"/>
                            </w:tabs>
                            <w:suppressAutoHyphens/>
                            <w:jc w:val="both"/>
                            <w:rPr>
                              <w:bCs/>
                              <w:szCs w:val="24"/>
                              <w:lang w:eastAsia="lt-LT"/>
                            </w:rPr>
                          </w:pPr>
                          <w:r>
                            <w:rPr>
                              <w:bCs/>
                              <w:szCs w:val="24"/>
                              <w:lang w:eastAsia="lt-LT"/>
                            </w:rPr>
                            <w:t>čia:</w:t>
                            <w:tab/>
                          </w:r>
                          <w:r>
                            <w:rPr>
                              <w:i/>
                              <w:szCs w:val="24"/>
                              <w:lang w:eastAsia="lt-LT"/>
                            </w:rPr>
                            <w:t>η</w:t>
                          </w:r>
                          <w:r>
                            <w:rPr>
                              <w:i/>
                              <w:szCs w:val="24"/>
                              <w:vertAlign w:val="subscript"/>
                              <w:lang w:eastAsia="lt-LT"/>
                            </w:rPr>
                            <w:t xml:space="preserve">hw.eq1 </w:t>
                          </w:r>
                          <w:r>
                            <w:rPr>
                              <w:szCs w:val="24"/>
                              <w:lang w:eastAsia="lt-LT"/>
                            </w:rPr>
                            <w:t>– dujinio katilo su absorbciniu šilumos siurbliu naudingumo koeficientas.</w:t>
                          </w:r>
                          <w:r>
                            <w:rPr>
                              <w:bCs/>
                              <w:szCs w:val="24"/>
                              <w:lang w:eastAsia="lt-LT"/>
                            </w:rPr>
                            <w:t xml:space="preserve"> Imamas iš 2.21 lentelės 13 eilutės</w:t>
                          </w:r>
                          <w:r>
                            <w:rPr>
                              <w:szCs w:val="24"/>
                              <w:lang w:eastAsia="lt-LT"/>
                            </w:rPr>
                            <w:t>;</w:t>
                          </w:r>
                        </w:p>
                        <w:p>
                          <w:pPr>
                            <w:tabs>
                              <w:tab w:val="left" w:pos="567"/>
                            </w:tabs>
                            <w:suppressAutoHyphens/>
                            <w:ind w:firstLine="720"/>
                            <w:jc w:val="both"/>
                            <w:rPr>
                              <w:bCs/>
                              <w:szCs w:val="24"/>
                              <w:lang w:eastAsia="lt-LT"/>
                            </w:rPr>
                          </w:pPr>
                          <w:r>
                            <w:rPr>
                              <w:bCs/>
                              <w:i/>
                              <w:iCs/>
                              <w:szCs w:val="24"/>
                              <w:lang w:eastAsia="lt-LT"/>
                            </w:rPr>
                            <w:t>P</w:t>
                          </w:r>
                          <w:r>
                            <w:rPr>
                              <w:bCs/>
                              <w:i/>
                              <w:iCs/>
                              <w:szCs w:val="24"/>
                              <w:vertAlign w:val="subscript"/>
                              <w:lang w:eastAsia="lt-LT"/>
                            </w:rPr>
                            <w:t>GHP.H</w:t>
                          </w:r>
                          <w:r>
                            <w:rPr>
                              <w:bCs/>
                              <w:szCs w:val="24"/>
                              <w:lang w:eastAsia="lt-LT"/>
                            </w:rPr>
                            <w:t xml:space="preserve"> </w:t>
                          </w:r>
                          <w:r>
                            <w:rPr>
                              <w:szCs w:val="24"/>
                              <w:lang w:eastAsia="lt-LT"/>
                            </w:rPr>
                            <w:t xml:space="preserve">– </w:t>
                          </w:r>
                          <w:r>
                            <w:rPr>
                              <w:bCs/>
                              <w:szCs w:val="24"/>
                              <w:lang w:eastAsia="lt-LT"/>
                            </w:rPr>
                            <w:t>pagal [3.46], [3.47] reikalavimus prie standartinių bandymo sąlygų nustatyta dujinio katilo šildymo galia, kW. Jei nėra duomenų apie dujinio katilo su absorbciniu šilumos siurbliu šildymo galią, ji apskaičiuojama pagal (1.134-2) formulę;</w:t>
                          </w:r>
                        </w:p>
                        <w:p>
                          <w:pPr>
                            <w:tabs>
                              <w:tab w:val="left" w:pos="567"/>
                            </w:tabs>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w:t>
                          </w:r>
                          <w:r>
                            <w:rPr>
                              <w:szCs w:val="24"/>
                              <w:lang w:eastAsia="lt-LT"/>
                            </w:rPr>
                            <w:t>– p</w:t>
                          </w:r>
                          <w:r>
                            <w:rPr>
                              <w:bCs/>
                              <w:szCs w:val="24"/>
                              <w:lang w:eastAsia="lt-LT"/>
                            </w:rPr>
                            <w:t>agal [3.46], [3.47] reikalavimus prie standartinių bandymo sąlygų nustatyta dujinio katilo naudojamos elektros energijos galia, kW. Jei nėra duomenų apie dujinio katilo su absorbciniu šilumos siurbliu elektros energijos galią, ji apskaičiuojama taip:</w:t>
                          </w:r>
                        </w:p>
                        <w:tbl>
                          <w:tblPr>
                            <w:tblW w:w="5000" w:type="pct"/>
                            <w:tblLook w:val="01E0" w:firstRow="1" w:lastRow="1" w:firstColumn="1" w:lastColumn="1" w:noHBand="0" w:noVBand="0"/>
                          </w:tblPr>
                          <w:tblGrid>
                            <w:gridCol w:w="8388"/>
                            <w:gridCol w:w="1466"/>
                          </w:tblGrid>
                          <w:tr>
                            <w:tc>
                              <w:tcPr>
                                <w:tcW w:w="4256" w:type="pct"/>
                                <w:vAlign w:val="center"/>
                                <w:hideMark/>
                              </w:tcPr>
                              <w:p>
                                <w:pPr>
                                  <w:tabs>
                                    <w:tab w:val="left" w:pos="567"/>
                                  </w:tabs>
                                  <w:suppressAutoHyphens/>
                                  <w:jc w:val="center"/>
                                  <w:rPr>
                                    <w:rFonts w:eastAsia="Calibri"/>
                                    <w:bCs/>
                                    <w:szCs w:val="22"/>
                                    <w:lang w:eastAsia="lt-LT"/>
                                  </w:rPr>
                                </w:pPr>
                                <w:r>
                                  <w:rPr>
                                    <w:position w:val="-12"/>
                                    <w:szCs w:val="24"/>
                                    <w:lang w:eastAsia="lt-LT"/>
                                  </w:rPr>
                                  <w:object w:dxaOrig="2160" w:dyaOrig="360">
                                    <v:shape id="_x0000_i1747" type="#_x0000_t75" style="width:122.95pt;height:19.4pt" o:ole="">
                                      <v:imagedata r:id="rId1807" o:title=""/>
                                    </v:shape>
                                    <o:OLEObject Type="Embed" ProgID="Equation.3" ShapeID="_x0000_i1747" DrawAspect="Content" ObjectID="_0000000001" r:id="rId1808"/>
                                  </w:object>
                                </w:r>
                                <w:r>
                                  <w:rPr>
                                    <w:lang w:eastAsia="lt-LT"/>
                                  </w:rPr>
                                  <w:t xml:space="preserve">  ;  </w:t>
                                </w:r>
                              </w:p>
                            </w:tc>
                            <w:tc>
                              <w:tcPr>
                                <w:tcW w:w="744" w:type="pct"/>
                                <w:vAlign w:val="center"/>
                                <w:hideMark/>
                              </w:tcPr>
                              <w:p>
                                <w:pPr>
                                  <w:tabs>
                                    <w:tab w:val="left" w:pos="567"/>
                                  </w:tabs>
                                  <w:suppressAutoHyphens/>
                                  <w:jc w:val="right"/>
                                  <w:rPr>
                                    <w:rFonts w:eastAsia="Calibri"/>
                                    <w:bCs/>
                                    <w:szCs w:val="22"/>
                                    <w:lang w:eastAsia="lt-LT"/>
                                  </w:rPr>
                                </w:pPr>
                                <w:r>
                                  <w:rPr>
                                    <w:bCs/>
                                    <w:lang w:eastAsia="lt-LT"/>
                                  </w:rPr>
                                  <w:t>(2.589-2)</w:t>
                                </w:r>
                              </w:p>
                            </w:tc>
                          </w:tr>
                        </w:tbl>
                        <w:p>
                          <w:pPr>
                            <w:tabs>
                              <w:tab w:val="left" w:pos="567"/>
                            </w:tabs>
                            <w:suppressAutoHyphens/>
                            <w:jc w:val="both"/>
                            <w:rPr>
                              <w:bCs/>
                              <w:szCs w:val="24"/>
                              <w:lang w:eastAsia="lt-LT"/>
                            </w:rPr>
                          </w:pPr>
                          <w:r>
                            <w:rPr>
                              <w:bCs/>
                              <w:szCs w:val="24"/>
                              <w:lang w:eastAsia="lt-LT"/>
                            </w:rPr>
                            <w:t>čia:</w:t>
                            <w:tab/>
                          </w:r>
                          <w:r>
                            <w:rPr>
                              <w:i/>
                              <w:lang w:eastAsia="lt-LT"/>
                            </w:rPr>
                            <w:t>P</w:t>
                          </w:r>
                          <w:r>
                            <w:rPr>
                              <w:i/>
                              <w:vertAlign w:val="subscript"/>
                              <w:lang w:eastAsia="lt-LT"/>
                            </w:rPr>
                            <w:t>H</w:t>
                          </w:r>
                          <w:r>
                            <w:rPr>
                              <w:bCs/>
                              <w:szCs w:val="24"/>
                              <w:lang w:eastAsia="lt-LT"/>
                            </w:rPr>
                            <w:t xml:space="preserve"> </w:t>
                          </w:r>
                          <w:r>
                            <w:rPr>
                              <w:szCs w:val="24"/>
                              <w:lang w:eastAsia="lt-LT"/>
                            </w:rPr>
                            <w:t>–</w:t>
                          </w:r>
                          <w:r>
                            <w:rPr>
                              <w:bCs/>
                              <w:szCs w:val="24"/>
                              <w:lang w:eastAsia="lt-LT"/>
                            </w:rPr>
                            <w:t xml:space="preserve"> p</w:t>
                          </w:r>
                          <w:r>
                            <w:rPr>
                              <w:lang w:eastAsia="lt-LT"/>
                            </w:rPr>
                            <w:t>astatui (jo daliai) šildyti reikalinga šilumos šaltinio projektinė galia, W. Apskaičiuojama pagal Reglamento 13 priedo reikalavimus;</w:t>
                          </w:r>
                        </w:p>
                      </w:sdtContent>
                    </w:sdt>
                    <w:sdt>
                      <w:sdtPr>
                        <w:alias w:val="75.5.3 pp."/>
                        <w:tag w:val="part_f5f2a1f013b842cf98d5fabdbf0ec0b7"/>
                        <w:lock w:val="sdtLocked"/>
                        <w:richText/>
                      </w:sdtPr>
                      <w:sdtContent>
                        <w:p>
                          <w:pPr>
                            <w:tabs>
                              <w:tab w:val="left" w:pos="567"/>
                            </w:tabs>
                            <w:suppressAutoHyphens/>
                            <w:ind w:firstLine="567"/>
                            <w:jc w:val="both"/>
                            <w:rPr>
                              <w:szCs w:val="24"/>
                              <w:lang w:eastAsia="lt-LT"/>
                            </w:rPr>
                          </w:pPr>
                          <w:sdt>
                            <w:sdtPr>
                              <w:alias w:val="Numeris"/>
                              <w:tag w:val="nr_f5f2a1f013b842cf98d5fabdbf0ec0b7"/>
                              <w:lock w:val="sdtLocked"/>
                              <w:richText/>
                            </w:sdtPr>
                            <w:sdtContent>
                              <w:r>
                                <w:rPr>
                                  <w:szCs w:val="24"/>
                                  <w:lang w:eastAsia="lt-LT"/>
                                </w:rPr>
                                <w:t>75.5.3</w:t>
                              </w:r>
                            </w:sdtContent>
                          </w:sdt>
                          <w:r>
                            <w:rPr>
                              <w:szCs w:val="24"/>
                              <w:lang w:eastAsia="lt-LT"/>
                            </w:rPr>
                            <w:t xml:space="preserve">. jei karštam vandeniui ruošti kartu su dujiniais katilais su absorbciniais šilumos siurbliais naudojama bet kurio kito tipo elektros energiją vartojanti arba nevartojanti įranga, </w:t>
                          </w:r>
                        </w:p>
                        <w:p>
                          <w:pPr>
                            <w:tabs>
                              <w:tab w:val="left" w:pos="567"/>
                            </w:tabs>
                            <w:suppressAutoHyphens/>
                            <w:ind w:firstLine="600"/>
                            <w:jc w:val="both"/>
                            <w:rPr>
                              <w:b/>
                              <w:szCs w:val="24"/>
                              <w:lang w:eastAsia="lt-LT"/>
                            </w:rPr>
                          </w:pPr>
                        </w:p>
                        <w:tbl>
                          <w:tblPr>
                            <w:tblW w:w="5000" w:type="pct"/>
                            <w:tblLook w:val="01E0" w:firstRow="1" w:lastRow="1" w:firstColumn="1" w:lastColumn="1" w:noHBand="0" w:noVBand="0"/>
                          </w:tblPr>
                          <w:tblGrid>
                            <w:gridCol w:w="8250"/>
                            <w:gridCol w:w="1604"/>
                          </w:tblGrid>
                          <w:tr>
                            <w:tc>
                              <w:tcPr>
                                <w:tcW w:w="4186" w:type="pct"/>
                                <w:vAlign w:val="center"/>
                                <w:hideMark/>
                              </w:tcPr>
                              <w:p>
                                <w:pPr>
                                  <w:tabs>
                                    <w:tab w:val="left" w:pos="567"/>
                                  </w:tabs>
                                  <w:suppressAutoHyphens/>
                                  <w:jc w:val="center"/>
                                  <w:rPr>
                                    <w:rFonts w:eastAsia="Calibri"/>
                                    <w:szCs w:val="24"/>
                                    <w:lang w:eastAsia="lt-LT"/>
                                  </w:rPr>
                                </w:pPr>
                                <w:r>
                                  <w:rPr>
                                    <w:rFonts w:eastAsia="Calibri"/>
                                    <w:szCs w:val="24"/>
                                    <w:lang w:eastAsia="lt-LT"/>
                                  </w:rPr>
                                  <w:object w:dxaOrig="4819" w:dyaOrig="760">
                                    <v:shape id="_x0000_i1748" type="#_x0000_t75" style="width:241.1pt;height:35.6pt" o:ole="">
                                      <v:imagedata r:id="rId1809" o:title=""/>
                                    </v:shape>
                                    <o:OLEObject Type="Embed" ProgID="Equation.3" ShapeID="_x0000_i1748" DrawAspect="Content" ObjectID="_0000000001" r:id="rId1810"/>
                                  </w:object>
                                </w:r>
                                <w:r>
                                  <w:rPr>
                                    <w:szCs w:val="24"/>
                                    <w:lang w:eastAsia="lt-LT"/>
                                  </w:rPr>
                                  <w:t>;</w:t>
                                </w:r>
                              </w:p>
                            </w:tc>
                            <w:tc>
                              <w:tcPr>
                                <w:tcW w:w="814" w:type="pct"/>
                                <w:vAlign w:val="center"/>
                                <w:hideMark/>
                              </w:tcPr>
                              <w:p>
                                <w:pPr>
                                  <w:tabs>
                                    <w:tab w:val="left" w:pos="567"/>
                                  </w:tabs>
                                  <w:suppressAutoHyphens/>
                                  <w:jc w:val="right"/>
                                  <w:rPr>
                                    <w:rFonts w:eastAsia="Calibri"/>
                                    <w:bCs/>
                                    <w:szCs w:val="24"/>
                                    <w:lang w:eastAsia="lt-LT"/>
                                  </w:rPr>
                                </w:pPr>
                                <w:r>
                                  <w:rPr>
                                    <w:bCs/>
                                    <w:szCs w:val="24"/>
                                    <w:lang w:eastAsia="lt-LT"/>
                                  </w:rPr>
                                  <w:t>(2.589-3)</w:t>
                                </w:r>
                              </w:p>
                            </w:tc>
                          </w:tr>
                        </w:tbl>
                        <w:p>
                          <w:pPr>
                            <w:tabs>
                              <w:tab w:val="left" w:pos="567"/>
                            </w:tabs>
                            <w:suppressAutoHyphens/>
                            <w:jc w:val="both"/>
                            <w:rPr>
                              <w:bCs/>
                              <w:szCs w:val="24"/>
                              <w:lang w:eastAsia="lt-LT"/>
                            </w:rPr>
                          </w:pPr>
                          <w:r>
                            <w:rPr>
                              <w:bCs/>
                              <w:szCs w:val="24"/>
                              <w:lang w:eastAsia="lt-LT"/>
                            </w:rPr>
                            <w:t>čia:</w:t>
                            <w:tab/>
                          </w:r>
                          <w:r>
                            <w:rPr>
                              <w:i/>
                              <w:szCs w:val="24"/>
                              <w:lang w:eastAsia="lt-LT"/>
                            </w:rPr>
                            <w:t>η</w:t>
                          </w:r>
                          <w:r>
                            <w:rPr>
                              <w:i/>
                              <w:szCs w:val="24"/>
                              <w:vertAlign w:val="subscript"/>
                              <w:lang w:eastAsia="lt-LT"/>
                            </w:rPr>
                            <w:t xml:space="preserve">hw.eq1 </w:t>
                          </w:r>
                          <w:r>
                            <w:rPr>
                              <w:szCs w:val="24"/>
                              <w:lang w:eastAsia="lt-LT"/>
                            </w:rPr>
                            <w:t>– dujinio katilo su absorbciniu šilumos siurbliu</w:t>
                          </w:r>
                          <w:r>
                            <w:rPr>
                              <w:bCs/>
                              <w:szCs w:val="24"/>
                              <w:lang w:eastAsia="lt-LT"/>
                            </w:rPr>
                            <w:t xml:space="preserve"> 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r>
                            <w:rPr>
                              <w:szCs w:val="24"/>
                              <w:lang w:eastAsia="lt-LT"/>
                            </w:rPr>
                            <w:t>;</w:t>
                          </w:r>
                        </w:p>
                        <w:p>
                          <w:pPr>
                            <w:tabs>
                              <w:tab w:val="left" w:pos="567"/>
                            </w:tabs>
                            <w:suppressAutoHyphens/>
                            <w:ind w:firstLine="567"/>
                            <w:jc w:val="both"/>
                            <w:rPr>
                              <w:bCs/>
                              <w:szCs w:val="24"/>
                              <w:lang w:eastAsia="lt-LT"/>
                            </w:rPr>
                          </w:pPr>
                          <w:r>
                            <w:rPr>
                              <w:bCs/>
                              <w:i/>
                              <w:iCs/>
                              <w:szCs w:val="24"/>
                              <w:lang w:eastAsia="lt-LT"/>
                            </w:rPr>
                            <w:t>P</w:t>
                          </w:r>
                          <w:r>
                            <w:rPr>
                              <w:bCs/>
                              <w:i/>
                              <w:iCs/>
                              <w:szCs w:val="24"/>
                              <w:vertAlign w:val="subscript"/>
                              <w:lang w:eastAsia="lt-LT"/>
                            </w:rPr>
                            <w:t>GHP.H</w:t>
                          </w:r>
                          <w:r>
                            <w:rPr>
                              <w:bCs/>
                              <w:szCs w:val="24"/>
                              <w:lang w:eastAsia="lt-LT"/>
                            </w:rPr>
                            <w:t xml:space="preserve"> </w:t>
                          </w:r>
                          <w:r>
                            <w:rPr>
                              <w:szCs w:val="24"/>
                              <w:lang w:eastAsia="lt-LT"/>
                            </w:rPr>
                            <w:t>–</w:t>
                          </w:r>
                          <w:r>
                            <w:rPr>
                              <w:bCs/>
                              <w:szCs w:val="24"/>
                              <w:lang w:eastAsia="lt-LT"/>
                            </w:rPr>
                            <w:t xml:space="preserve"> pagal [3.46], [3.47] reikalavimus prie standartinių bandymo sąlygų nustatyta dujinio katilo šildymo galia, kW. Jei nėra duomenų, apskaičiuojama pagal (2.134-2) formulę;</w:t>
                          </w:r>
                        </w:p>
                        <w:p>
                          <w:pPr>
                            <w:tabs>
                              <w:tab w:val="left" w:pos="567"/>
                            </w:tabs>
                            <w:suppressAutoHyphens/>
                            <w:ind w:firstLine="600"/>
                            <w:jc w:val="both"/>
                            <w:rPr>
                              <w:bCs/>
                              <w:szCs w:val="24"/>
                              <w:lang w:eastAsia="lt-LT"/>
                            </w:rPr>
                          </w:pPr>
                          <w:r>
                            <w:rPr>
                              <w:bCs/>
                              <w:i/>
                              <w:iCs/>
                              <w:szCs w:val="24"/>
                              <w:lang w:eastAsia="lt-LT"/>
                            </w:rPr>
                            <w:t>P</w:t>
                          </w:r>
                          <w:r>
                            <w:rPr>
                              <w:bCs/>
                              <w:i/>
                              <w:iCs/>
                              <w:szCs w:val="24"/>
                              <w:vertAlign w:val="subscript"/>
                              <w:lang w:eastAsia="lt-LT"/>
                            </w:rPr>
                            <w:t>GHP.el</w:t>
                          </w:r>
                          <w:r>
                            <w:rPr>
                              <w:bCs/>
                              <w:szCs w:val="24"/>
                              <w:lang w:eastAsia="lt-LT"/>
                            </w:rPr>
                            <w:t xml:space="preserve"> </w:t>
                          </w:r>
                          <w:r>
                            <w:rPr>
                              <w:szCs w:val="24"/>
                              <w:lang w:eastAsia="lt-LT"/>
                            </w:rPr>
                            <w:t>–</w:t>
                          </w:r>
                          <w:r>
                            <w:rPr>
                              <w:bCs/>
                              <w:szCs w:val="24"/>
                              <w:lang w:eastAsia="lt-LT"/>
                            </w:rPr>
                            <w:t xml:space="preserve"> pagal [3.46], [3.47] reikalavimus prie standartinių bandymo sąlygų nustatyta dujinio katilo naudojamos elektros energijos galia, kW. Jei nėra duomenų, apskaičiuojama pagal (2.589-2) formulę;</w:t>
                          </w:r>
                        </w:p>
                      </w:sdtContent>
                    </w:sdt>
                    <w:sdt>
                      <w:sdtPr>
                        <w:alias w:val="75.5.4 pp."/>
                        <w:tag w:val="part_24f1e3c1637f4d1096108bd8d2eb747e"/>
                        <w:lock w:val="sdtLocked"/>
                        <w:richText/>
                      </w:sdtPr>
                      <w:sdtContent>
                        <w:p>
                          <w:pPr>
                            <w:tabs>
                              <w:tab w:val="left" w:pos="567"/>
                            </w:tabs>
                            <w:suppressAutoHyphens/>
                            <w:ind w:firstLine="567"/>
                            <w:rPr>
                              <w:color w:val="000000"/>
                              <w:szCs w:val="24"/>
                              <w:lang w:eastAsia="lt-LT"/>
                            </w:rPr>
                          </w:pPr>
                          <w:sdt>
                            <w:sdtPr>
                              <w:alias w:val="Numeris"/>
                              <w:tag w:val="nr_24f1e3c1637f4d1096108bd8d2eb747e"/>
                              <w:lock w:val="sdtLocked"/>
                              <w:richText/>
                            </w:sdtPr>
                            <w:sdtContent>
                              <w:r>
                                <w:rPr>
                                  <w:color w:val="000000"/>
                                  <w:szCs w:val="24"/>
                                  <w:lang w:eastAsia="lt-LT"/>
                                </w:rPr>
                                <w:t>75.5.4</w:t>
                              </w:r>
                            </w:sdtContent>
                          </w:sdt>
                          <w:r>
                            <w:rPr>
                              <w:color w:val="000000"/>
                              <w:szCs w:val="24"/>
                              <w:lang w:eastAsia="lt-LT"/>
                            </w:rPr>
                            <w:t>.</w:t>
                          </w:r>
                          <w:r>
                            <w:rPr>
                              <w:b/>
                              <w:color w:val="000000"/>
                              <w:szCs w:val="24"/>
                              <w:lang w:eastAsia="lt-LT"/>
                            </w:rPr>
                            <w:t xml:space="preserve"> </w:t>
                          </w:r>
                          <w:r>
                            <w:rPr>
                              <w:color w:val="000000"/>
                              <w:szCs w:val="24"/>
                              <w:lang w:eastAsia="lt-LT"/>
                            </w:rPr>
                            <w:t>jei karštam vandeniui ruošti naudojami tik šiluminiai siurbliai,</w:t>
                          </w:r>
                        </w:p>
                        <w:p>
                          <w:pPr>
                            <w:tabs>
                              <w:tab w:val="left" w:pos="567"/>
                            </w:tabs>
                            <w:suppressAutoHyphens/>
                            <w:jc w:val="both"/>
                            <w:rPr>
                              <w:color w:val="000000"/>
                              <w:szCs w:val="24"/>
                              <w:lang w:eastAsia="lt-LT"/>
                            </w:rPr>
                          </w:pPr>
                        </w:p>
                        <w:tbl>
                          <w:tblPr>
                            <w:tblW w:w="5000" w:type="pct"/>
                            <w:tblLook w:val="01E0" w:firstRow="1" w:lastRow="1" w:firstColumn="1" w:lastColumn="1" w:noHBand="0" w:noVBand="0"/>
                          </w:tblPr>
                          <w:tblGrid>
                            <w:gridCol w:w="8303"/>
                            <w:gridCol w:w="1551"/>
                          </w:tblGrid>
                          <w:tr>
                            <w:tc>
                              <w:tcPr>
                                <w:tcW w:w="4213" w:type="pct"/>
                                <w:vAlign w:val="center"/>
                                <w:hideMark/>
                              </w:tcPr>
                              <w:p>
                                <w:pPr>
                                  <w:tabs>
                                    <w:tab w:val="left" w:pos="567"/>
                                  </w:tabs>
                                  <w:suppressAutoHyphens/>
                                  <w:spacing w:line="276" w:lineRule="auto"/>
                                  <w:jc w:val="center"/>
                                  <w:rPr>
                                    <w:rFonts w:eastAsia="Calibri"/>
                                    <w:color w:val="000000"/>
                                    <w:szCs w:val="24"/>
                                    <w:lang w:eastAsia="lt-LT"/>
                                  </w:rPr>
                                </w:pPr>
                                <w:r>
                                  <w:rPr>
                                    <w:rFonts w:eastAsia="Calibri"/>
                                    <w:color w:val="000000"/>
                                    <w:szCs w:val="24"/>
                                    <w:lang w:eastAsia="lt-LT"/>
                                  </w:rPr>
                                  <w:object w:dxaOrig="3640" w:dyaOrig="760">
                                    <v:shape id="_x0000_i1749" type="#_x0000_t75" style="width:179.6pt;height:35.6pt" o:ole="">
                                      <v:imagedata r:id="rId1811" o:title=""/>
                                    </v:shape>
                                    <o:OLEObject Type="Embed" ProgID="Equation.3" ShapeID="_x0000_i1749" DrawAspect="Content" ObjectID="_0000000001" r:id="rId1812"/>
                                  </w:object>
                                </w:r>
                                <w:r>
                                  <w:rPr>
                                    <w:color w:val="000000"/>
                                    <w:szCs w:val="24"/>
                                    <w:lang w:eastAsia="lt-LT"/>
                                  </w:rPr>
                                  <w:t>;</w:t>
                                </w:r>
                              </w:p>
                            </w:tc>
                            <w:tc>
                              <w:tcPr>
                                <w:tcW w:w="787" w:type="pct"/>
                                <w:vAlign w:val="center"/>
                                <w:hideMark/>
                              </w:tcPr>
                              <w:p>
                                <w:pPr>
                                  <w:tabs>
                                    <w:tab w:val="left" w:pos="567"/>
                                  </w:tabs>
                                  <w:suppressAutoHyphens/>
                                  <w:spacing w:line="276" w:lineRule="auto"/>
                                  <w:jc w:val="right"/>
                                  <w:rPr>
                                    <w:rFonts w:eastAsia="Calibri"/>
                                    <w:bCs/>
                                    <w:color w:val="000000"/>
                                    <w:szCs w:val="24"/>
                                    <w:lang w:eastAsia="lt-LT"/>
                                  </w:rPr>
                                </w:pPr>
                                <w:r>
                                  <w:rPr>
                                    <w:bCs/>
                                    <w:color w:val="000000"/>
                                    <w:szCs w:val="24"/>
                                    <w:lang w:eastAsia="lt-LT"/>
                                  </w:rPr>
                                  <w:t>(2.590)</w:t>
                                </w:r>
                              </w:p>
                            </w:tc>
                          </w:tr>
                        </w:tbl>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η</w:t>
                          </w:r>
                          <w:r>
                            <w:rPr>
                              <w:i/>
                              <w:color w:val="000000"/>
                              <w:szCs w:val="24"/>
                              <w:vertAlign w:val="subscript"/>
                              <w:lang w:eastAsia="lt-LT"/>
                            </w:rPr>
                            <w:t xml:space="preserve">hw.eq2(2) </w:t>
                          </w:r>
                          <w:r>
                            <w:rPr>
                              <w:color w:val="000000"/>
                              <w:szCs w:val="24"/>
                              <w:lang w:eastAsia="lt-LT"/>
                            </w:rPr>
                            <w:t>– karštam buitiniam vandeniui ruošti naudojamų šiluminių siurblių naudingumo koeficientas.</w:t>
                          </w:r>
                          <w:r>
                            <w:rPr>
                              <w:bCs/>
                              <w:color w:val="000000"/>
                              <w:szCs w:val="24"/>
                              <w:lang w:eastAsia="lt-LT"/>
                            </w:rPr>
                            <w:t xml:space="preserve"> Imamas iš 2.21 lentelės 12 eilutės. Jei karštam vandeniui ruošti naudojami keli šiluminiai siurbliai, apskaičiuojama pagal (2.137) formulę;</w:t>
                          </w:r>
                        </w:p>
                      </w:sdtContent>
                    </w:sdt>
                    <w:sdt>
                      <w:sdtPr>
                        <w:alias w:val="75.5.5 pp."/>
                        <w:tag w:val="part_3d8b94945da1466bbd083e0b66f50026"/>
                        <w:lock w:val="sdtLocked"/>
                        <w:richText/>
                      </w:sdtPr>
                      <w:sdtContent>
                        <w:p>
                          <w:pPr>
                            <w:tabs>
                              <w:tab w:val="left" w:pos="567"/>
                            </w:tabs>
                            <w:suppressAutoHyphens/>
                            <w:ind w:firstLine="567"/>
                            <w:jc w:val="both"/>
                            <w:rPr>
                              <w:color w:val="000000"/>
                              <w:szCs w:val="24"/>
                              <w:lang w:eastAsia="lt-LT"/>
                            </w:rPr>
                          </w:pPr>
                          <w:sdt>
                            <w:sdtPr>
                              <w:alias w:val="Numeris"/>
                              <w:tag w:val="nr_3d8b94945da1466bbd083e0b66f50026"/>
                              <w:lock w:val="sdtLocked"/>
                              <w:richText/>
                            </w:sdtPr>
                            <w:sdtContent>
                              <w:r>
                                <w:rPr>
                                  <w:color w:val="000000"/>
                                  <w:szCs w:val="24"/>
                                  <w:lang w:eastAsia="lt-LT"/>
                                </w:rPr>
                                <w:t>75.5.5</w:t>
                              </w:r>
                            </w:sdtContent>
                          </w:sdt>
                          <w:r>
                            <w:rPr>
                              <w:color w:val="000000"/>
                              <w:szCs w:val="24"/>
                              <w:lang w:eastAsia="lt-LT"/>
                            </w:rPr>
                            <w:t xml:space="preserve">. jei karštam vandeniui ruošti naudojama </w:t>
                          </w:r>
                          <w:r>
                            <w:rPr>
                              <w:bCs/>
                              <w:color w:val="000000"/>
                              <w:szCs w:val="24"/>
                              <w:lang w:eastAsia="lt-LT"/>
                            </w:rPr>
                            <w:t>2.21 lentelės 9, 10 arba 11 eilutėse išvardinta įranga ir</w:t>
                          </w:r>
                          <w:r>
                            <w:rPr>
                              <w:color w:val="000000"/>
                              <w:szCs w:val="24"/>
                              <w:lang w:eastAsia="lt-LT"/>
                            </w:rPr>
                            <w:t xml:space="preserve"> šiluminiai siurbliai,</w:t>
                          </w:r>
                        </w:p>
                        <w:p>
                          <w:pPr>
                            <w:tabs>
                              <w:tab w:val="left" w:pos="567"/>
                            </w:tabs>
                            <w:suppressAutoHyphens/>
                            <w:jc w:val="both"/>
                            <w:rPr>
                              <w:color w:val="000000"/>
                              <w:szCs w:val="24"/>
                              <w:lang w:eastAsia="lt-LT"/>
                            </w:rPr>
                          </w:pPr>
                        </w:p>
                        <w:tbl>
                          <w:tblPr>
                            <w:tblW w:w="5000" w:type="pct"/>
                            <w:tblLook w:val="01E0" w:firstRow="1" w:lastRow="1" w:firstColumn="1" w:lastColumn="1" w:noHBand="0" w:noVBand="0"/>
                          </w:tblPr>
                          <w:tblGrid>
                            <w:gridCol w:w="8001"/>
                            <w:gridCol w:w="1853"/>
                          </w:tblGrid>
                          <w:tr>
                            <w:tc>
                              <w:tcPr>
                                <w:tcW w:w="4060" w:type="pct"/>
                                <w:vAlign w:val="center"/>
                                <w:hideMark/>
                              </w:tcPr>
                              <w:p>
                                <w:pPr>
                                  <w:tabs>
                                    <w:tab w:val="left" w:pos="567"/>
                                  </w:tabs>
                                  <w:suppressAutoHyphens/>
                                  <w:spacing w:line="276" w:lineRule="auto"/>
                                  <w:jc w:val="center"/>
                                  <w:rPr>
                                    <w:rFonts w:eastAsia="Calibri"/>
                                    <w:color w:val="000000"/>
                                    <w:szCs w:val="24"/>
                                    <w:lang w:eastAsia="lt-LT"/>
                                  </w:rPr>
                                </w:pPr>
                                <w:r>
                                  <w:rPr>
                                    <w:position w:val="-32"/>
                                    <w:lang w:eastAsia="lt-LT"/>
                                  </w:rPr>
                                  <w:object w:dxaOrig="3640" w:dyaOrig="760">
                                    <v:shape id="_x0000_i1750" type="#_x0000_t75" style="width:179.6pt;height:35.6pt" o:ole="">
                                      <v:imagedata r:id="rId1813" o:title=""/>
                                    </v:shape>
                                    <o:OLEObject Type="Embed" ProgID="Equation.3" ShapeID="_x0000_i1750" DrawAspect="Content" ObjectID="_0000000001" r:id="rId1814"/>
                                  </w:object>
                                </w:r>
                                <w:r>
                                  <w:rPr>
                                    <w:color w:val="000000"/>
                                    <w:szCs w:val="24"/>
                                    <w:lang w:eastAsia="lt-LT"/>
                                  </w:rPr>
                                  <w:t>;</w:t>
                                </w:r>
                              </w:p>
                            </w:tc>
                            <w:tc>
                              <w:tcPr>
                                <w:tcW w:w="940" w:type="pct"/>
                                <w:vAlign w:val="center"/>
                                <w:hideMark/>
                              </w:tcPr>
                              <w:p>
                                <w:pPr>
                                  <w:tabs>
                                    <w:tab w:val="left" w:pos="567"/>
                                  </w:tabs>
                                  <w:suppressAutoHyphens/>
                                  <w:spacing w:line="276" w:lineRule="auto"/>
                                  <w:jc w:val="right"/>
                                  <w:rPr>
                                    <w:rFonts w:eastAsia="Calibri"/>
                                    <w:bCs/>
                                    <w:color w:val="000000"/>
                                    <w:szCs w:val="24"/>
                                    <w:lang w:eastAsia="lt-LT"/>
                                  </w:rPr>
                                </w:pPr>
                                <w:r>
                                  <w:rPr>
                                    <w:bCs/>
                                    <w:color w:val="000000"/>
                                    <w:szCs w:val="24"/>
                                    <w:lang w:eastAsia="lt-LT"/>
                                  </w:rPr>
                                  <w:t>(2.591)</w:t>
                                </w:r>
                              </w:p>
                            </w:tc>
                          </w:tr>
                        </w:tbl>
                        <w:p>
                          <w:pPr>
                            <w:tabs>
                              <w:tab w:val="left" w:pos="567"/>
                            </w:tabs>
                            <w:suppressAutoHyphens/>
                            <w:jc w:val="both"/>
                            <w:rPr>
                              <w:color w:val="000000"/>
                              <w:szCs w:val="24"/>
                              <w:lang w:eastAsia="lt-LT"/>
                            </w:rPr>
                          </w:pPr>
                        </w:p>
                        <w:p>
                          <w:pPr>
                            <w:tabs>
                              <w:tab w:val="left" w:pos="567"/>
                            </w:tabs>
                            <w:suppressAutoHyphens/>
                            <w:jc w:val="both"/>
                          </w:pPr>
                          <w:r>
                            <w:rPr>
                              <w:color w:val="000000"/>
                              <w:szCs w:val="24"/>
                              <w:lang w:eastAsia="lt-LT"/>
                            </w:rPr>
                            <w:t>čia:</w:t>
                            <w:tab/>
                          </w:r>
                          <w:r>
                            <w:rPr>
                              <w:i/>
                              <w:color w:val="000000"/>
                              <w:szCs w:val="24"/>
                              <w:lang w:eastAsia="lt-LT"/>
                            </w:rPr>
                            <w:t>η</w:t>
                          </w:r>
                          <w:r>
                            <w:rPr>
                              <w:i/>
                              <w:color w:val="000000"/>
                              <w:szCs w:val="24"/>
                              <w:vertAlign w:val="subscript"/>
                              <w:lang w:eastAsia="lt-LT"/>
                            </w:rPr>
                            <w:t xml:space="preserve">hw.eq2 </w:t>
                          </w:r>
                          <w:r>
                            <w:rPr>
                              <w:color w:val="000000"/>
                              <w:szCs w:val="24"/>
                              <w:lang w:eastAsia="lt-LT"/>
                            </w:rPr>
                            <w:t>– karšto buitinio vandens ruošimo įrangos, kuri naudoja elektros energiją (žr.</w:t>
                          </w:r>
                          <w:r>
                            <w:rPr>
                              <w:bCs/>
                              <w:color w:val="000000"/>
                              <w:szCs w:val="24"/>
                              <w:lang w:eastAsia="lt-LT"/>
                            </w:rPr>
                            <w:t xml:space="preserve"> 2.21 lentelės 9–12 eilutes)</w:t>
                          </w:r>
                          <w:r>
                            <w:rPr>
                              <w:color w:val="000000"/>
                              <w:szCs w:val="24"/>
                              <w:lang w:eastAsia="lt-LT"/>
                            </w:rPr>
                            <w:t>, vidutinis naudingumo koeficientas. A</w:t>
                          </w:r>
                          <w:r>
                            <w:rPr>
                              <w:bCs/>
                              <w:color w:val="000000"/>
                              <w:szCs w:val="24"/>
                              <w:lang w:eastAsia="lt-LT"/>
                            </w:rPr>
                            <w:t>pskaičiuojamas pagal (2.137) formulę;</w:t>
                          </w:r>
                        </w:p>
                      </w:sdtContent>
                    </w:sdt>
                    <w:sdt>
                      <w:sdtPr>
                        <w:alias w:val="75.5.6 pp."/>
                        <w:tag w:val="part_18e67eaf31e94c1fa62b27f701740e53"/>
                        <w:lock w:val="sdtLocked"/>
                        <w:richText/>
                      </w:sdtPr>
                      <w:sdtContent>
                        <w:p>
                          <w:pPr>
                            <w:tabs>
                              <w:tab w:val="left" w:pos="567"/>
                            </w:tabs>
                            <w:suppressAutoHyphens/>
                            <w:ind w:firstLine="567"/>
                            <w:jc w:val="both"/>
                            <w:rPr>
                              <w:szCs w:val="24"/>
                              <w:lang w:eastAsia="lt-LT"/>
                            </w:rPr>
                          </w:pPr>
                          <w:sdt>
                            <w:sdtPr>
                              <w:alias w:val="Numeris"/>
                              <w:tag w:val="nr_18e67eaf31e94c1fa62b27f701740e53"/>
                              <w:lock w:val="sdtLocked"/>
                              <w:richText/>
                            </w:sdtPr>
                            <w:sdtContent>
                              <w:r>
                                <w:rPr>
                                  <w:szCs w:val="24"/>
                                  <w:lang w:eastAsia="lt-LT"/>
                                </w:rPr>
                                <w:t>75.5.6</w:t>
                              </w:r>
                            </w:sdtContent>
                          </w:sdt>
                          <w:r>
                            <w:rPr>
                              <w:szCs w:val="24"/>
                              <w:lang w:eastAsia="lt-LT"/>
                            </w:rPr>
                            <w:t xml:space="preserve">. jei karštam vandeniui ruošti naudojama </w:t>
                          </w:r>
                          <w:r>
                            <w:rPr>
                              <w:bCs/>
                              <w:szCs w:val="24"/>
                              <w:lang w:eastAsia="lt-LT"/>
                            </w:rPr>
                            <w:t>2.21 lentelės 9</w:t>
                          </w:r>
                          <w:r>
                            <w:rPr>
                              <w:b/>
                              <w:lang w:eastAsia="lt-LT"/>
                            </w:rPr>
                            <w:t>–</w:t>
                          </w:r>
                          <w:r>
                            <w:rPr>
                              <w:bCs/>
                              <w:szCs w:val="24"/>
                              <w:lang w:eastAsia="lt-LT"/>
                            </w:rPr>
                            <w:t xml:space="preserve">12 eilutėse išvardyta </w:t>
                          </w:r>
                          <w:r>
                            <w:rPr>
                              <w:szCs w:val="24"/>
                              <w:lang w:eastAsia="lt-LT"/>
                            </w:rPr>
                            <w:t xml:space="preserve">elektros energiją vartojanti </w:t>
                          </w:r>
                          <w:r>
                            <w:rPr>
                              <w:bCs/>
                              <w:szCs w:val="24"/>
                              <w:lang w:eastAsia="lt-LT"/>
                            </w:rPr>
                            <w:t xml:space="preserve">įranga kartu su </w:t>
                          </w:r>
                          <w:r>
                            <w:rPr>
                              <w:szCs w:val="24"/>
                              <w:lang w:eastAsia="lt-LT"/>
                            </w:rPr>
                            <w:t>bet kuria kita elektros nevartojančia įranga,</w:t>
                          </w:r>
                        </w:p>
                        <w:p>
                          <w:pPr>
                            <w:tabs>
                              <w:tab w:val="left" w:pos="567"/>
                            </w:tabs>
                            <w:suppressAutoHyphens/>
                            <w:ind w:firstLine="600"/>
                            <w:jc w:val="both"/>
                            <w:rPr>
                              <w:szCs w:val="24"/>
                              <w:lang w:eastAsia="lt-LT"/>
                            </w:rPr>
                          </w:pPr>
                        </w:p>
                        <w:tbl>
                          <w:tblPr>
                            <w:tblW w:w="5000" w:type="pct"/>
                            <w:tblLook w:val="01E0" w:firstRow="1" w:lastRow="1" w:firstColumn="1" w:lastColumn="1" w:noHBand="0" w:noVBand="0"/>
                          </w:tblPr>
                          <w:tblGrid>
                            <w:gridCol w:w="8001"/>
                            <w:gridCol w:w="1853"/>
                          </w:tblGrid>
                          <w:tr>
                            <w:tc>
                              <w:tcPr>
                                <w:tcW w:w="4060" w:type="pct"/>
                                <w:vAlign w:val="center"/>
                                <w:hideMark/>
                              </w:tcPr>
                              <w:p>
                                <w:pPr>
                                  <w:tabs>
                                    <w:tab w:val="left" w:pos="567"/>
                                  </w:tabs>
                                  <w:suppressAutoHyphens/>
                                  <w:jc w:val="center"/>
                                  <w:rPr>
                                    <w:szCs w:val="24"/>
                                    <w:lang w:eastAsia="lt-LT"/>
                                  </w:rPr>
                                </w:pPr>
                                <m:oMath>
                                  <m:sSub>
                                    <m:sSubPr>
                                      <m:ctrlPr>
                                        <w:rPr>
                                          <w:rFonts w:ascii="Cambria Math" w:eastAsia="Calibri" w:hAnsi="Cambria Math"/>
                                          <w:i/>
                                          <w:szCs w:val="24"/>
                                        </w:rPr>
                                      </m:ctrlPr>
                                    </m:sSubPr>
                                    <m:e>
                                      <m:r>
                                        <w:rPr>
                                          <w:rFonts w:ascii="Cambria Math" w:eastAsia="Calibri" w:hAnsi="Cambria Math"/>
                                          <w:szCs w:val="24"/>
                                        </w:rPr>
                                        <m:t>Q</m:t>
                                      </m:r>
                                    </m:e>
                                    <m:sub>
                                      <m:r>
                                        <w:rPr>
                                          <w:rFonts w:ascii="Cambria Math" w:eastAsia="Calibri" w:hAnsi="Cambria Math"/>
                                          <w:szCs w:val="24"/>
                                        </w:rPr>
                                        <m:t>hw.E,m</m:t>
                                      </m:r>
                                    </m:sub>
                                  </m:sSub>
                                  <m:r>
                                    <w:rPr>
                                      <w:rFonts w:ascii="Cambria Math" w:eastAsia="Calibri" w:hAnsi="Cambria Math"/>
                                      <w:szCs w:val="24"/>
                                    </w:rPr>
                                    <m:t>=</m:t>
                                  </m:r>
                                  <m:f>
                                    <m:fPr>
                                      <m:ctrlPr>
                                        <w:rPr>
                                          <w:rFonts w:ascii="Cambria Math" w:eastAsia="Calibri" w:hAnsi="Cambria Math"/>
                                          <w:i/>
                                          <w:szCs w:val="24"/>
                                        </w:rPr>
                                      </m:ctrlPr>
                                    </m:fPr>
                                    <m:num>
                                      <m:r>
                                        <w:rPr>
                                          <w:rFonts w:ascii="Cambria Math" w:eastAsia="Calibri" w:hAnsi="Cambria Math"/>
                                          <w:szCs w:val="24"/>
                                        </w:rPr>
                                        <m:t xml:space="preserve">0,5 × </m:t>
                                      </m:r>
                                      <m:d>
                                        <m:dPr>
                                          <m:ctrlPr>
                                            <w:rPr>
                                              <w:rFonts w:ascii="Cambria Math" w:eastAsia="Calibri" w:hAnsi="Cambria Math"/>
                                              <w:i/>
                                              <w:szCs w:val="24"/>
                                            </w:rPr>
                                          </m:ctrlPr>
                                        </m:dPr>
                                        <m:e>
                                          <m:sSub>
                                            <m:sSubPr>
                                              <m:ctrlPr>
                                                <w:rPr>
                                                  <w:rFonts w:ascii="Cambria Math" w:hAnsi="Cambria Math"/>
                                                  <w:i/>
                                                  <w:szCs w:val="24"/>
                                                </w:rPr>
                                              </m:ctrlPr>
                                            </m:sSubPr>
                                            <m:e>
                                              <m:r>
                                                <w:rPr>
                                                  <w:rFonts w:ascii="Cambria Math" w:hAnsi="Cambria Math"/>
                                                  <w:szCs w:val="24"/>
                                                </w:rPr>
                                                <m:t>Q</m:t>
                                              </m:r>
                                            </m:e>
                                            <m:sub>
                                              <m:r>
                                                <w:rPr>
                                                  <w:rFonts w:ascii="Cambria Math" w:hAnsi="Cambria Math"/>
                                                  <w:szCs w:val="24"/>
                                                </w:rPr>
                                                <m:t>hw,m</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hw.hwSK,m</m:t>
                                              </m:r>
                                            </m:sub>
                                          </m:sSub>
                                          <m:r>
                                            <w:rPr>
                                              <w:rFonts w:ascii="Cambria Math" w:hAnsi="Cambria Math"/>
                                              <w:szCs w:val="24"/>
                                            </w:rPr>
                                            <m:t>-</m:t>
                                          </m:r>
                                          <m:sSubSup>
                                            <m:sSubSupPr>
                                              <m:ctrlPr>
                                                <w:rPr>
                                                  <w:rFonts w:ascii="Cambria Math" w:hAnsi="Cambria Math"/>
                                                  <w:i/>
                                                  <w:szCs w:val="24"/>
                                                </w:rPr>
                                              </m:ctrlPr>
                                            </m:sSubSupPr>
                                            <m:e>
                                              <m:r>
                                                <w:rPr>
                                                  <w:rFonts w:ascii="Cambria Math" w:hAnsi="Cambria Math"/>
                                                  <w:szCs w:val="24"/>
                                                </w:rPr>
                                                <m:t>Q</m:t>
                                              </m:r>
                                            </m:e>
                                            <m:sub>
                                              <m:r>
                                                <w:rPr>
                                                  <w:rFonts w:ascii="Cambria Math" w:hAnsi="Cambria Math"/>
                                                  <w:szCs w:val="24"/>
                                                </w:rPr>
                                                <m:t>hw.hwSK,m</m:t>
                                              </m:r>
                                            </m:sub>
                                            <m:sup>
                                              <m:r>
                                                <w:rPr>
                                                  <w:rFonts w:ascii="Cambria Math" w:hAnsi="Cambria Math"/>
                                                  <w:szCs w:val="24"/>
                                                </w:rPr>
                                                <m:t>I</m:t>
                                              </m:r>
                                            </m:sup>
                                          </m:sSubSup>
                                        </m:e>
                                      </m:d>
                                    </m:num>
                                    <m:den>
                                      <m:sSub>
                                        <m:sSubPr>
                                          <m:ctrlPr>
                                            <w:rPr>
                                              <w:rFonts w:ascii="Cambria Math" w:eastAsia="Calibri" w:hAnsi="Cambria Math"/>
                                              <w:i/>
                                              <w:szCs w:val="24"/>
                                            </w:rPr>
                                          </m:ctrlPr>
                                        </m:sSubPr>
                                        <m:e>
                                          <m:r>
                                            <w:rPr>
                                              <w:rFonts w:ascii="Cambria Math" w:eastAsia="Calibri" w:hAnsi="Cambria Math"/>
                                              <w:szCs w:val="24"/>
                                            </w:rPr>
                                            <m:t>η</m:t>
                                          </m:r>
                                        </m:e>
                                        <m:sub>
                                          <m:r>
                                            <w:rPr>
                                              <w:rFonts w:ascii="Cambria Math" w:eastAsia="Calibri" w:hAnsi="Cambria Math"/>
                                              <w:szCs w:val="24"/>
                                            </w:rPr>
                                            <m:t>hw.eq2</m:t>
                                          </m:r>
                                        </m:sub>
                                      </m:sSub>
                                    </m:den>
                                  </m:f>
                                </m:oMath>
                                <w:r>
                                  <w:rPr>
                                    <w:szCs w:val="24"/>
                                    <w:lang w:eastAsia="lt-LT"/>
                                  </w:rPr>
                                  <w:t>;</w:t>
                                </w:r>
                              </w:p>
                            </w:tc>
                            <w:tc>
                              <w:tcPr>
                                <w:tcW w:w="940" w:type="pct"/>
                                <w:vAlign w:val="center"/>
                                <w:hideMark/>
                              </w:tcPr>
                              <w:p>
                                <w:pPr>
                                  <w:tabs>
                                    <w:tab w:val="left" w:pos="567"/>
                                  </w:tabs>
                                  <w:suppressAutoHyphens/>
                                  <w:jc w:val="right"/>
                                  <w:rPr>
                                    <w:rFonts w:eastAsia="Calibri"/>
                                    <w:bCs/>
                                    <w:szCs w:val="24"/>
                                    <w:lang w:eastAsia="lt-LT"/>
                                  </w:rPr>
                                </w:pPr>
                                <w:r>
                                  <w:rPr>
                                    <w:bCs/>
                                    <w:szCs w:val="24"/>
                                    <w:lang w:eastAsia="lt-LT"/>
                                  </w:rPr>
                                  <w:t>(2.591-1)</w:t>
                                </w:r>
                              </w:p>
                            </w:tc>
                          </w:tr>
                        </w:tbl>
                        <w:p>
                          <w:pPr>
                            <w:tabs>
                              <w:tab w:val="left" w:pos="567"/>
                            </w:tabs>
                            <w:suppressAutoHyphens/>
                            <w:jc w:val="both"/>
                          </w:pPr>
                          <w:r>
                            <w:rPr>
                              <w:szCs w:val="24"/>
                              <w:lang w:eastAsia="lt-LT"/>
                            </w:rPr>
                            <w:t>čia:</w:t>
                            <w:tab/>
                          </w:r>
                          <w:r>
                            <w:rPr>
                              <w:i/>
                              <w:szCs w:val="24"/>
                              <w:lang w:eastAsia="lt-LT"/>
                            </w:rPr>
                            <w:t>η</w:t>
                          </w:r>
                          <w:r>
                            <w:rPr>
                              <w:i/>
                              <w:szCs w:val="24"/>
                              <w:vertAlign w:val="subscript"/>
                              <w:lang w:eastAsia="lt-LT"/>
                            </w:rPr>
                            <w:t xml:space="preserve">hw.eq2 </w:t>
                          </w:r>
                          <w:r>
                            <w:rPr>
                              <w:szCs w:val="24"/>
                              <w:lang w:eastAsia="lt-LT"/>
                            </w:rPr>
                            <w:t>– karšto buitinio vandens ruošimo įrangos, kuri naudoja elektros energiją (žr.</w:t>
                          </w:r>
                          <w:r>
                            <w:rPr>
                              <w:bCs/>
                              <w:szCs w:val="24"/>
                              <w:lang w:eastAsia="lt-LT"/>
                            </w:rPr>
                            <w:t xml:space="preserve"> 2.21 lentelės 9–12 eilutes)</w:t>
                          </w:r>
                          <w:r>
                            <w:rPr>
                              <w:szCs w:val="24"/>
                              <w:lang w:eastAsia="lt-LT"/>
                            </w:rPr>
                            <w:t>, vidutinis naudingumo koeficientas. A</w:t>
                          </w:r>
                          <w:r>
                            <w:rPr>
                              <w:bCs/>
                              <w:szCs w:val="24"/>
                              <w:lang w:eastAsia="lt-LT"/>
                            </w:rPr>
                            <w:t>pskaičiuojamas pagal (2.137)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f69164bc2def4453b417f2dd3002b94b"/>
            <w:lock w:val="sdtLocked"/>
            <w:richText/>
          </w:sdtPr>
          <w:sdtContent>
            <w:p>
              <w:pPr>
                <w:keepNext/>
                <w:keepLines/>
                <w:suppressAutoHyphens/>
                <w:jc w:val="center"/>
                <w:outlineLvl w:val="2"/>
                <w:rPr>
                  <w:b/>
                  <w:szCs w:val="24"/>
                  <w:lang w:eastAsia="lt-LT"/>
                </w:rPr>
              </w:pPr>
              <w:sdt>
                <w:sdtPr>
                  <w:alias w:val="Numeris"/>
                  <w:tag w:val="nr_f69164bc2def4453b417f2dd3002b94b"/>
                  <w:lock w:val="sdtLocked"/>
                  <w:richText/>
                </w:sdtPr>
                <w:sdtContent>
                  <w:r>
                    <w:rPr>
                      <w:b/>
                      <w:bCs/>
                      <w:szCs w:val="24"/>
                      <w:lang w:eastAsia="lt-LT"/>
                    </w:rPr>
                    <w:t>XXIV</w:t>
                  </w:r>
                </w:sdtContent>
              </w:sdt>
              <w:r>
                <w:rPr>
                  <w:b/>
                  <w:bCs/>
                  <w:szCs w:val="24"/>
                  <w:lang w:eastAsia="lt-LT"/>
                </w:rPr>
                <w:t xml:space="preserve"> SKYRIUS</w:t>
              </w:r>
            </w:p>
            <w:p>
              <w:pPr>
                <w:keepNext/>
                <w:keepLines/>
                <w:suppressAutoHyphens/>
                <w:jc w:val="center"/>
                <w:outlineLvl w:val="2"/>
                <w:rPr>
                  <w:b/>
                  <w:bCs/>
                  <w:szCs w:val="24"/>
                  <w:lang w:eastAsia="lt-LT"/>
                </w:rPr>
              </w:pPr>
              <w:sdt>
                <w:sdtPr>
                  <w:alias w:val="Pavadinimas"/>
                  <w:tag w:val="title_f69164bc2def4453b417f2dd3002b94b"/>
                  <w:lock w:val="sdtLocked"/>
                  <w:richText/>
                </w:sdtPr>
                <w:sdtContent>
                  <w:r>
                    <w:rPr>
                      <w:b/>
                      <w:bCs/>
                      <w:szCs w:val="24"/>
                      <w:lang w:eastAsia="lt-LT"/>
                    </w:rPr>
                    <w:t>PASTATO SUMINIŲ METINIŲ PIRMINĖS ENERGIJOS SĄNAUDŲ SKAIČIAVIMAS</w:t>
                  </w:r>
                </w:sdtContent>
              </w:sdt>
            </w:p>
            <w:p>
              <w:pPr>
                <w:keepNext/>
                <w:keepLines/>
                <w:suppressAutoHyphens/>
                <w:jc w:val="center"/>
                <w:outlineLvl w:val="2"/>
                <w:rPr>
                  <w:b/>
                  <w:bCs/>
                  <w:szCs w:val="24"/>
                  <w:lang w:eastAsia="lt-LT"/>
                </w:rPr>
              </w:pPr>
            </w:p>
            <w:sdt>
              <w:sdtPr>
                <w:alias w:val="2 pr. 76 p."/>
                <w:tag w:val="part_0c0a11c405c04feab3cc4f25a9540d4e"/>
                <w:lock w:val="sdtLocked"/>
                <w:richText/>
              </w:sdtPr>
              <w:sdtContent>
                <w:p>
                  <w:pPr>
                    <w:tabs>
                      <w:tab w:val="left" w:pos="567"/>
                    </w:tabs>
                    <w:suppressAutoHyphens/>
                    <w:ind w:firstLine="567"/>
                    <w:rPr>
                      <w:color w:val="000000"/>
                      <w:szCs w:val="24"/>
                      <w:lang w:eastAsia="lt-LT"/>
                    </w:rPr>
                  </w:pPr>
                  <w:sdt>
                    <w:sdtPr>
                      <w:alias w:val="Numeris"/>
                      <w:tag w:val="nr_0c0a11c405c04feab3cc4f25a9540d4e"/>
                      <w:lock w:val="sdtLocked"/>
                      <w:richText/>
                    </w:sdtPr>
                    <w:sdtContent>
                      <w:r>
                        <w:rPr>
                          <w:color w:val="000000"/>
                          <w:szCs w:val="24"/>
                          <w:lang w:eastAsia="lt-LT"/>
                        </w:rPr>
                        <w:t>76</w:t>
                      </w:r>
                    </w:sdtContent>
                  </w:sdt>
                  <w:r>
                    <w:rPr>
                      <w:color w:val="000000"/>
                      <w:szCs w:val="24"/>
                      <w:lang w:eastAsia="lt-LT"/>
                    </w:rPr>
                    <w:t xml:space="preserve">. Pastato suminės norminės </w:t>
                  </w:r>
                  <w:r>
                    <w:rPr>
                      <w:i/>
                      <w:color w:val="000000"/>
                      <w:szCs w:val="24"/>
                      <w:lang w:eastAsia="lt-LT"/>
                    </w:rPr>
                    <w:t>Q</w:t>
                  </w:r>
                  <w:r>
                    <w:rPr>
                      <w:i/>
                      <w:color w:val="000000"/>
                      <w:szCs w:val="24"/>
                      <w:vertAlign w:val="subscript"/>
                      <w:lang w:eastAsia="lt-LT"/>
                    </w:rPr>
                    <w:t>N.PRn</w:t>
                  </w:r>
                  <w:r>
                    <w:rPr>
                      <w:color w:val="000000"/>
                      <w:szCs w:val="24"/>
                      <w:lang w:eastAsia="lt-LT"/>
                    </w:rPr>
                    <w:t xml:space="preserve"> (kWh/(m</w:t>
                  </w:r>
                  <w:r>
                    <w:rPr>
                      <w:color w:val="000000"/>
                      <w:szCs w:val="24"/>
                      <w:vertAlign w:val="superscript"/>
                      <w:lang w:eastAsia="lt-LT"/>
                    </w:rPr>
                    <w:t>2</w:t>
                  </w:r>
                  <w:r>
                    <w:rPr>
                      <w:color w:val="000000"/>
                      <w:szCs w:val="24"/>
                      <w:lang w:eastAsia="lt-LT"/>
                    </w:rPr>
                    <w:t xml:space="preserve">·metai)) ir atskaitinės </w:t>
                  </w:r>
                  <w:r>
                    <w:rPr>
                      <w:i/>
                      <w:color w:val="000000"/>
                      <w:szCs w:val="24"/>
                      <w:lang w:eastAsia="lt-LT"/>
                    </w:rPr>
                    <w:t>Q</w:t>
                  </w:r>
                  <w:r>
                    <w:rPr>
                      <w:i/>
                      <w:color w:val="000000"/>
                      <w:szCs w:val="24"/>
                      <w:vertAlign w:val="subscript"/>
                      <w:lang w:eastAsia="lt-LT"/>
                    </w:rPr>
                    <w:t>R.PRn</w:t>
                  </w:r>
                  <w:r>
                    <w:rPr>
                      <w:color w:val="000000"/>
                      <w:szCs w:val="24"/>
                      <w:lang w:eastAsia="lt-LT"/>
                    </w:rPr>
                    <w:t xml:space="preserve"> (kWh/(m</w:t>
                  </w:r>
                  <w:r>
                    <w:rPr>
                      <w:color w:val="000000"/>
                      <w:szCs w:val="24"/>
                      <w:vertAlign w:val="superscript"/>
                      <w:lang w:eastAsia="lt-LT"/>
                    </w:rPr>
                    <w:t>2</w:t>
                  </w:r>
                  <w:r>
                    <w:rPr>
                      <w:color w:val="000000"/>
                      <w:szCs w:val="24"/>
                      <w:lang w:eastAsia="lt-LT"/>
                    </w:rPr>
                    <w:t>·metai)) neatsinaujinančios pirminės energijos sąnaudos per metus apskaičiuojamos taip:</w:t>
                  </w: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4"/>
                            <w:lang w:eastAsia="lt-LT"/>
                          </w:rPr>
                        </w:pPr>
                        <w:r>
                          <w:rPr>
                            <w:rFonts w:eastAsia="Calibri"/>
                            <w:color w:val="000000"/>
                            <w:szCs w:val="24"/>
                            <w:lang w:eastAsia="lt-LT"/>
                          </w:rPr>
                          <w:object w:dxaOrig="7815" w:dyaOrig="615">
                            <v:shape id="_x0000_i1751" type="#_x0000_t75" style="width:389.95pt;height:28.3pt" o:ole="">
                              <v:imagedata r:id="rId1605" o:title=""/>
                            </v:shape>
                            <o:OLEObject Type="Embed" ProgID="Equation.3" ShapeID="_x0000_i1751" DrawAspect="Content" ObjectID="_0000000001" r:id="rId1606"/>
                          </w:object>
                        </w:r>
                        <w:r>
                          <w:rPr>
                            <w:color w:val="000000"/>
                            <w:szCs w:val="24"/>
                            <w:lang w:eastAsia="lt-LT"/>
                          </w:rPr>
                          <w:t>;</w:t>
                        </w:r>
                      </w:p>
                    </w:tc>
                    <w:tc>
                      <w:tcPr>
                        <w:tcW w:w="1002" w:type="dxa"/>
                        <w:vAlign w:val="center"/>
                        <w:hideMark/>
                      </w:tcPr>
                      <w:p>
                        <w:pPr>
                          <w:tabs>
                            <w:tab w:val="left" w:pos="567"/>
                          </w:tabs>
                          <w:suppressAutoHyphens/>
                          <w:spacing w:line="276" w:lineRule="auto"/>
                          <w:ind w:left="-63"/>
                          <w:jc w:val="right"/>
                          <w:rPr>
                            <w:rFonts w:eastAsia="Calibri"/>
                            <w:bCs/>
                            <w:color w:val="000000"/>
                            <w:szCs w:val="24"/>
                            <w:lang w:eastAsia="lt-LT"/>
                          </w:rPr>
                        </w:pPr>
                        <w:r>
                          <w:rPr>
                            <w:color w:val="000000"/>
                            <w:szCs w:val="24"/>
                            <w:lang w:eastAsia="lt-LT"/>
                          </w:rPr>
                          <w:t>(2.592)</w:t>
                        </w:r>
                      </w:p>
                    </w:tc>
                  </w:tr>
                </w:tbl>
                <w:p>
                  <w:pPr>
                    <w:tabs>
                      <w:tab w:val="left" w:pos="567"/>
                    </w:tabs>
                    <w:suppressAutoHyphens/>
                    <w:jc w:val="center"/>
                    <w:rPr>
                      <w:rFonts w:eastAsia="Calibri"/>
                      <w:color w:val="000000"/>
                      <w:szCs w:val="24"/>
                      <w:lang w:eastAsia="lt-LT"/>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jc w:val="center"/>
                          <w:rPr>
                            <w:rFonts w:eastAsia="Calibri"/>
                            <w:bCs/>
                            <w:color w:val="000000"/>
                            <w:szCs w:val="24"/>
                            <w:lang w:eastAsia="lt-LT"/>
                          </w:rPr>
                        </w:pPr>
                        <w:r>
                          <w:rPr>
                            <w:rFonts w:eastAsia="Calibri"/>
                            <w:color w:val="000000"/>
                            <w:szCs w:val="24"/>
                            <w:lang w:eastAsia="lt-LT"/>
                          </w:rPr>
                          <w:object w:dxaOrig="7590" w:dyaOrig="615">
                            <v:shape id="_x0000_i1752" type="#_x0000_t75" style="width:382.65pt;height:28.3pt" o:ole="">
                              <v:imagedata r:id="rId1607" o:title=""/>
                            </v:shape>
                            <o:OLEObject Type="Embed" ProgID="Equation.3" ShapeID="_x0000_i1752" DrawAspect="Content" ObjectID="_0000000001" r:id="rId1608"/>
                          </w:object>
                        </w:r>
                        <w:r>
                          <w:rPr>
                            <w:color w:val="000000"/>
                            <w:szCs w:val="24"/>
                            <w:lang w:eastAsia="lt-LT"/>
                          </w:rPr>
                          <w:t>;</w:t>
                        </w:r>
                      </w:p>
                    </w:tc>
                    <w:tc>
                      <w:tcPr>
                        <w:tcW w:w="1002" w:type="dxa"/>
                        <w:vAlign w:val="center"/>
                        <w:hideMark/>
                      </w:tcPr>
                      <w:p>
                        <w:pPr>
                          <w:tabs>
                            <w:tab w:val="left" w:pos="567"/>
                          </w:tabs>
                          <w:suppressAutoHyphens/>
                          <w:spacing w:line="276" w:lineRule="auto"/>
                          <w:jc w:val="right"/>
                          <w:rPr>
                            <w:rFonts w:eastAsia="Calibri"/>
                            <w:bCs/>
                            <w:color w:val="000000"/>
                            <w:szCs w:val="24"/>
                            <w:lang w:eastAsia="lt-LT"/>
                          </w:rPr>
                        </w:pPr>
                        <w:r>
                          <w:rPr>
                            <w:color w:val="000000"/>
                            <w:szCs w:val="24"/>
                            <w:lang w:eastAsia="lt-LT"/>
                          </w:rPr>
                          <w:t>(2.593)</w:t>
                        </w:r>
                      </w:p>
                    </w:tc>
                  </w:tr>
                </w:tbl>
                <w:p>
                  <w:pPr>
                    <w:tabs>
                      <w:tab w:val="left" w:pos="567"/>
                    </w:tabs>
                    <w:suppressAutoHyphens/>
                    <w:jc w:val="both"/>
                    <w:rPr>
                      <w:bCs/>
                      <w:color w:val="000000"/>
                      <w:szCs w:val="24"/>
                      <w:lang w:eastAsia="lt-LT"/>
                    </w:rPr>
                  </w:pPr>
                  <w:r>
                    <w:rPr>
                      <w:bCs/>
                      <w:color w:val="000000"/>
                      <w:szCs w:val="24"/>
                      <w:lang w:eastAsia="lt-LT"/>
                    </w:rPr>
                    <w:t>čia:</w:t>
                  </w:r>
                  <w:r>
                    <w:rPr>
                      <w:bCs/>
                      <w:i/>
                      <w:color w:val="000000"/>
                      <w:szCs w:val="24"/>
                      <w:lang w:eastAsia="lt-LT"/>
                    </w:rPr>
                    <w:tab/>
                    <w:t>f</w:t>
                  </w:r>
                  <w:r>
                    <w:rPr>
                      <w:bCs/>
                      <w:i/>
                      <w:color w:val="000000"/>
                      <w:szCs w:val="24"/>
                      <w:vertAlign w:val="subscript"/>
                      <w:lang w:eastAsia="lt-LT"/>
                    </w:rPr>
                    <w:t>N.PRn.E</w:t>
                  </w:r>
                  <w:r>
                    <w:rPr>
                      <w:bCs/>
                      <w:i/>
                      <w:color w:val="000000"/>
                      <w:szCs w:val="24"/>
                      <w:lang w:eastAsia="lt-LT"/>
                    </w:rPr>
                    <w:t>, f</w:t>
                  </w:r>
                  <w:r>
                    <w:rPr>
                      <w:bCs/>
                      <w:i/>
                      <w:color w:val="000000"/>
                      <w:szCs w:val="24"/>
                      <w:vertAlign w:val="subscript"/>
                      <w:lang w:eastAsia="lt-LT"/>
                    </w:rPr>
                    <w:t>R.PRn.E</w:t>
                  </w:r>
                  <w:r>
                    <w:rPr>
                      <w:bCs/>
                      <w:color w:val="000000"/>
                      <w:szCs w:val="24"/>
                      <w:lang w:eastAsia="lt-LT"/>
                    </w:rPr>
                    <w:t xml:space="preserve"> – norminis ir atskaitinis neatsinaujinančios pirminės energijos faktoriai elektros energijai. Faktorių vertės imamos iš 2.18 lentelės 10 eilutės (elektros įvairių gamybos būdų vidurkis).</w:t>
                  </w:r>
                </w:p>
                <w:p>
                  <w:pPr>
                    <w:tabs>
                      <w:tab w:val="left" w:pos="567"/>
                    </w:tabs>
                    <w:suppressAutoHyphens/>
                    <w:ind w:firstLine="570"/>
                    <w:jc w:val="both"/>
                    <w:rPr>
                      <w:color w:val="000000"/>
                      <w:szCs w:val="24"/>
                      <w:lang w:eastAsia="lt-LT"/>
                    </w:rPr>
                  </w:pPr>
                  <w:r>
                    <w:rPr>
                      <w:color w:val="000000"/>
                      <w:szCs w:val="24"/>
                      <w:lang w:eastAsia="lt-LT"/>
                    </w:rPr>
                    <w:t xml:space="preserve">Pastato suminės skaičiuojamosios neatsinaujinančios pirminės energijos sąnaudos per metus </w:t>
                  </w:r>
                  <w:r>
                    <w:rPr>
                      <w:i/>
                      <w:color w:val="000000"/>
                      <w:szCs w:val="24"/>
                      <w:lang w:eastAsia="lt-LT"/>
                    </w:rPr>
                    <w:t>Q</w:t>
                  </w:r>
                  <w:r>
                    <w:rPr>
                      <w:i/>
                      <w:color w:val="000000"/>
                      <w:szCs w:val="24"/>
                      <w:vertAlign w:val="subscript"/>
                      <w:lang w:eastAsia="lt-LT"/>
                    </w:rPr>
                    <w:t>PRn</w:t>
                  </w:r>
                  <w:r>
                    <w:rPr>
                      <w:color w:val="000000"/>
                      <w:szCs w:val="24"/>
                      <w:lang w:eastAsia="lt-LT"/>
                    </w:rPr>
                    <w:t xml:space="preserve"> (kWh/(m</w:t>
                  </w:r>
                  <w:r>
                    <w:rPr>
                      <w:color w:val="000000"/>
                      <w:szCs w:val="24"/>
                      <w:vertAlign w:val="superscript"/>
                      <w:lang w:eastAsia="lt-LT"/>
                    </w:rPr>
                    <w:t>2</w:t>
                  </w:r>
                  <w:r>
                    <w:rPr>
                      <w:color w:val="000000"/>
                      <w:szCs w:val="24"/>
                      <w:lang w:eastAsia="lt-LT"/>
                    </w:rPr>
                    <w:t>·metai)) apskaičiuojamos taip:</w:t>
                  </w:r>
                </w:p>
                <w:tbl>
                  <w:tblPr>
                    <w:tblW w:w="0" w:type="auto"/>
                    <w:tblLook w:val="01E0" w:firstRow="1" w:lastRow="1" w:firstColumn="1" w:lastColumn="1" w:noHBand="0" w:noVBand="0"/>
                  </w:tblPr>
                  <w:tblGrid>
                    <w:gridCol w:w="8330"/>
                    <w:gridCol w:w="1134"/>
                  </w:tblGrid>
                  <w:tr>
                    <w:tc>
                      <w:tcPr>
                        <w:tcW w:w="8330" w:type="dxa"/>
                        <w:hideMark/>
                      </w:tcPr>
                      <w:p>
                        <w:pPr>
                          <w:tabs>
                            <w:tab w:val="left" w:pos="567"/>
                          </w:tabs>
                          <w:suppressAutoHyphens/>
                          <w:spacing w:line="276" w:lineRule="auto"/>
                          <w:ind w:firstLine="851"/>
                          <w:jc w:val="center"/>
                          <w:rPr>
                            <w:szCs w:val="24"/>
                            <w:lang w:eastAsia="lt-LT"/>
                          </w:rPr>
                        </w:pPr>
                        <w:r>
                          <w:rPr>
                            <w:szCs w:val="24"/>
                            <w:lang w:eastAsia="lt-LT"/>
                          </w:rPr>
                          <w:object w:dxaOrig="4920" w:dyaOrig="680">
                            <v:shape id="_x0000_i1753" type="#_x0000_t75" style="width:245.95pt;height:34.8pt" o:ole="">
                              <v:imagedata r:id="rId1609" o:title=""/>
                            </v:shape>
                            <o:OLEObject Type="Embed" ProgID="Equation.3" ShapeID="_x0000_i1753" DrawAspect="Content" ObjectID="_0000000001" r:id="rId1610"/>
                          </w:object>
                          <w:t>.</w:t>
                        </w:r>
                      </w:p>
                    </w:tc>
                    <w:tc>
                      <w:tcPr>
                        <w:tcW w:w="1134" w:type="dxa"/>
                        <w:vAlign w:val="center"/>
                        <w:hideMark/>
                      </w:tcPr>
                      <w:p>
                        <w:pPr>
                          <w:tabs>
                            <w:tab w:val="left" w:pos="567"/>
                          </w:tabs>
                          <w:suppressAutoHyphens/>
                          <w:spacing w:line="276" w:lineRule="auto"/>
                          <w:ind w:left="-140"/>
                          <w:jc w:val="right"/>
                          <w:rPr>
                            <w:color w:val="000000"/>
                            <w:szCs w:val="24"/>
                            <w:lang w:eastAsia="lt-LT"/>
                          </w:rPr>
                        </w:pPr>
                        <w:r>
                          <w:rPr>
                            <w:color w:val="000000"/>
                            <w:szCs w:val="24"/>
                            <w:lang w:eastAsia="lt-LT"/>
                          </w:rPr>
                          <w:t>(2.594)</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77 p."/>
                <w:tag w:val="part_9d81fb3cc3f14853acf89dbd021fdd1e"/>
                <w:lock w:val="sdtLocked"/>
                <w:richText/>
              </w:sdtPr>
              <w:sdtContent>
                <w:p>
                  <w:pPr>
                    <w:tabs>
                      <w:tab w:val="left" w:pos="567"/>
                      <w:tab w:val="left" w:pos="709"/>
                      <w:tab w:val="left" w:pos="1134"/>
                      <w:tab w:val="left" w:pos="1276"/>
                    </w:tabs>
                    <w:suppressAutoHyphens/>
                    <w:ind w:firstLine="567"/>
                    <w:jc w:val="both"/>
                    <w:rPr>
                      <w:color w:val="000000"/>
                      <w:szCs w:val="24"/>
                      <w:lang w:eastAsia="lt-LT"/>
                    </w:rPr>
                  </w:pPr>
                  <w:sdt>
                    <w:sdtPr>
                      <w:alias w:val="Numeris"/>
                      <w:tag w:val="nr_9d81fb3cc3f14853acf89dbd021fdd1e"/>
                      <w:lock w:val="sdtLocked"/>
                      <w:richText/>
                    </w:sdtPr>
                    <w:sdtContent>
                      <w:r>
                        <w:rPr>
                          <w:color w:val="000000"/>
                          <w:szCs w:val="24"/>
                          <w:lang w:eastAsia="lt-LT"/>
                        </w:rPr>
                        <w:t>77</w:t>
                      </w:r>
                    </w:sdtContent>
                  </w:sdt>
                  <w:r>
                    <w:rPr>
                      <w:color w:val="000000"/>
                      <w:szCs w:val="24"/>
                      <w:lang w:eastAsia="lt-LT"/>
                    </w:rPr>
                    <w:t xml:space="preserve">. Pastato skaičiuojamosios atsinaujinančios pirminės energijos sąnaudos </w:t>
                  </w:r>
                  <w:r>
                    <w:rPr>
                      <w:i/>
                      <w:szCs w:val="24"/>
                      <w:lang w:eastAsia="lt-LT"/>
                    </w:rPr>
                    <w:t>Q</w:t>
                  </w:r>
                  <w:r>
                    <w:rPr>
                      <w:i/>
                      <w:szCs w:val="24"/>
                      <w:vertAlign w:val="subscript"/>
                      <w:lang w:eastAsia="lt-LT"/>
                    </w:rPr>
                    <w:t>PRr</w:t>
                  </w:r>
                  <w:r>
                    <w:rPr>
                      <w:szCs w:val="24"/>
                      <w:lang w:eastAsia="lt-LT"/>
                    </w:rPr>
                    <w:t xml:space="preserve"> (kWh/(m</w:t>
                  </w:r>
                  <w:r>
                    <w:rPr>
                      <w:szCs w:val="24"/>
                      <w:vertAlign w:val="superscript"/>
                      <w:lang w:eastAsia="lt-LT"/>
                    </w:rPr>
                    <w:t>2</w:t>
                  </w:r>
                  <w:r>
                    <w:rPr>
                      <w:szCs w:val="24"/>
                      <w:lang w:eastAsia="lt-LT"/>
                    </w:rPr>
                    <w:t xml:space="preserve">·metai))  ir pirminės energijos sąnaudos</w:t>
                  </w:r>
                  <w:r>
                    <w:rPr>
                      <w:color w:val="000000"/>
                      <w:szCs w:val="24"/>
                      <w:lang w:eastAsia="lt-LT"/>
                    </w:rPr>
                    <w:t xml:space="preserve"> </w:t>
                  </w:r>
                  <w:r>
                    <w:rPr>
                      <w:i/>
                      <w:color w:val="000000"/>
                      <w:szCs w:val="24"/>
                      <w:lang w:eastAsia="lt-LT"/>
                    </w:rPr>
                    <w:t>Q</w:t>
                  </w:r>
                  <w:r>
                    <w:rPr>
                      <w:i/>
                      <w:color w:val="000000"/>
                      <w:szCs w:val="24"/>
                      <w:vertAlign w:val="subscript"/>
                      <w:lang w:eastAsia="lt-LT"/>
                    </w:rPr>
                    <w:t>PR</w:t>
                  </w:r>
                  <w:r>
                    <w:rPr>
                      <w:color w:val="000000"/>
                      <w:szCs w:val="24"/>
                      <w:lang w:eastAsia="lt-LT"/>
                    </w:rPr>
                    <w:t xml:space="preserve"> (kWh/(m</w:t>
                  </w:r>
                  <w:r>
                    <w:rPr>
                      <w:color w:val="000000"/>
                      <w:szCs w:val="24"/>
                      <w:vertAlign w:val="superscript"/>
                      <w:lang w:eastAsia="lt-LT"/>
                    </w:rPr>
                    <w:t>2</w:t>
                  </w:r>
                  <w:r>
                    <w:rPr>
                      <w:color w:val="000000"/>
                      <w:szCs w:val="24"/>
                      <w:lang w:eastAsia="lt-LT"/>
                    </w:rPr>
                    <w:t>·metai)) apskaičiuojamos taip:</w:t>
                  </w:r>
                </w:p>
                <w:tbl>
                  <w:tblPr>
                    <w:tblW w:w="0" w:type="auto"/>
                    <w:tblLook w:val="01E0" w:firstRow="1" w:lastRow="1" w:firstColumn="1" w:lastColumn="1" w:noHBand="0" w:noVBand="0"/>
                  </w:tblPr>
                  <w:tblGrid>
                    <w:gridCol w:w="8231"/>
                    <w:gridCol w:w="1123"/>
                  </w:tblGrid>
                  <w:tr>
                    <w:tc>
                      <w:tcPr>
                        <w:tcW w:w="8231" w:type="dxa"/>
                        <w:hideMark/>
                      </w:tcPr>
                      <w:p>
                        <w:pPr>
                          <w:tabs>
                            <w:tab w:val="left" w:pos="567"/>
                          </w:tabs>
                          <w:suppressAutoHyphens/>
                          <w:ind w:firstLine="851"/>
                          <w:jc w:val="center"/>
                          <w:rPr>
                            <w:szCs w:val="24"/>
                            <w:lang w:eastAsia="lt-LT"/>
                          </w:rPr>
                        </w:pPr>
                        <w:r>
                          <w:rPr>
                            <w:szCs w:val="24"/>
                            <w:lang w:eastAsia="lt-LT"/>
                          </w:rPr>
                          <w:object w:dxaOrig="4959" w:dyaOrig="680">
                            <v:shape id="_x0000_i1754" type="#_x0000_t75" style="width:247.55pt;height:34.8pt" o:ole="">
                              <v:imagedata r:id="rId1611" o:title=""/>
                            </v:shape>
                            <o:OLEObject Type="Embed" ProgID="Equation.3" ShapeID="_x0000_i1754" DrawAspect="Content" ObjectID="_0000000001" r:id="rId1612"/>
                          </w:object>
                        </w:r>
                      </w:p>
                    </w:tc>
                    <w:tc>
                      <w:tcPr>
                        <w:tcW w:w="1123" w:type="dxa"/>
                        <w:vAlign w:val="center"/>
                        <w:hideMark/>
                      </w:tcPr>
                      <w:p>
                        <w:pPr>
                          <w:tabs>
                            <w:tab w:val="left" w:pos="567"/>
                          </w:tabs>
                          <w:suppressAutoHyphens/>
                          <w:ind w:left="-140"/>
                          <w:jc w:val="right"/>
                          <w:rPr>
                            <w:szCs w:val="24"/>
                            <w:lang w:eastAsia="lt-LT"/>
                          </w:rPr>
                        </w:pPr>
                        <w:r>
                          <w:rPr>
                            <w:szCs w:val="24"/>
                            <w:lang w:eastAsia="lt-LT"/>
                          </w:rPr>
                          <w:t>(2.594-1)</w:t>
                        </w:r>
                      </w:p>
                    </w:tc>
                  </w:tr>
                </w:tbl>
                <w:p>
                  <w:pPr>
                    <w:tabs>
                      <w:tab w:val="left" w:pos="567"/>
                    </w:tabs>
                    <w:suppressAutoHyphens/>
                    <w:ind w:firstLine="570"/>
                    <w:jc w:val="both"/>
                    <w:rPr>
                      <w:b/>
                      <w:strike/>
                      <w:szCs w:val="24"/>
                      <w:lang w:eastAsia="lt-LT"/>
                    </w:rPr>
                  </w:pPr>
                </w:p>
                <w:tbl>
                  <w:tblPr>
                    <w:tblW w:w="0" w:type="auto"/>
                    <w:tblLook w:val="01E0" w:firstRow="1" w:lastRow="1" w:firstColumn="1" w:lastColumn="1" w:noHBand="0" w:noVBand="0"/>
                  </w:tblPr>
                  <w:tblGrid>
                    <w:gridCol w:w="8229"/>
                    <w:gridCol w:w="1125"/>
                  </w:tblGrid>
                  <w:tr>
                    <w:tc>
                      <w:tcPr>
                        <w:tcW w:w="8229" w:type="dxa"/>
                        <w:hideMark/>
                      </w:tcPr>
                      <w:p>
                        <w:pPr>
                          <w:tabs>
                            <w:tab w:val="left" w:pos="567"/>
                          </w:tabs>
                          <w:suppressAutoHyphens/>
                          <w:ind w:firstLine="851"/>
                          <w:jc w:val="center"/>
                          <w:rPr>
                            <w:rFonts w:eastAsia="Calibri"/>
                            <w:color w:val="FF0000"/>
                            <w:lang w:eastAsia="lt-LT"/>
                          </w:rPr>
                        </w:pPr>
                        <w:r>
                          <w:rPr>
                            <w:color w:val="FF0000"/>
                            <w:position w:val="-12"/>
                            <w:lang w:eastAsia="lt-LT"/>
                          </w:rPr>
                          <w:object w:dxaOrig="1740" w:dyaOrig="360">
                            <v:shape id="_x0000_i1755" type="#_x0000_t75" style="width:88.2pt;height:19.4pt" o:ole="">
                              <v:imagedata r:id="rId1613" o:title=""/>
                            </v:shape>
                            <o:OLEObject Type="Embed" ProgID="Equation.3" ShapeID="_x0000_i1755" DrawAspect="Content" ObjectID="_0000000001" r:id="rId1614"/>
                          </w:object>
                        </w:r>
                      </w:p>
                    </w:tc>
                    <w:tc>
                      <w:tcPr>
                        <w:tcW w:w="1125" w:type="dxa"/>
                        <w:vAlign w:val="center"/>
                        <w:hideMark/>
                      </w:tcPr>
                      <w:p>
                        <w:pPr>
                          <w:tabs>
                            <w:tab w:val="left" w:pos="567"/>
                          </w:tabs>
                          <w:suppressAutoHyphens/>
                          <w:ind w:left="-140"/>
                          <w:jc w:val="right"/>
                          <w:rPr>
                            <w:rFonts w:eastAsia="Calibri"/>
                            <w:bCs/>
                            <w:color w:val="000000"/>
                            <w:lang w:eastAsia="lt-LT"/>
                          </w:rPr>
                        </w:pPr>
                        <w:r>
                          <w:rPr>
                            <w:color w:val="000000"/>
                            <w:lang w:eastAsia="lt-LT"/>
                          </w:rPr>
                          <w:t>(2.594-2)</w:t>
                        </w:r>
                      </w:p>
                    </w:tc>
                  </w:tr>
                </w:tbl>
                <w:p>
                  <w:pPr>
                    <w:tabs>
                      <w:tab w:val="left" w:pos="567"/>
                    </w:tabs>
                    <w:suppressAutoHyphens/>
                    <w:ind w:firstLine="570"/>
                    <w:jc w:val="both"/>
                    <w:rPr>
                      <w:b/>
                      <w:szCs w:val="24"/>
                      <w:lang w:eastAsia="lt-LT"/>
                    </w:rPr>
                  </w:pPr>
                </w:p>
                <w:tbl>
                  <w:tblPr>
                    <w:tblW w:w="5000" w:type="pct"/>
                    <w:tblLook w:val="04A0" w:firstRow="1" w:lastRow="0" w:firstColumn="1" w:lastColumn="0" w:noHBand="0" w:noVBand="1"/>
                  </w:tblPr>
                  <w:tblGrid>
                    <w:gridCol w:w="8516"/>
                    <w:gridCol w:w="1338"/>
                  </w:tblGrid>
                  <w:tr>
                    <w:tc>
                      <w:tcPr>
                        <w:tcW w:w="4321" w:type="pct"/>
                        <w:shd w:val="clear" w:color="auto" w:fill="auto"/>
                      </w:tcPr>
                      <w:p>
                        <w:pPr>
                          <w:tabs>
                            <w:tab w:val="left" w:pos="567"/>
                          </w:tabs>
                          <w:suppressAutoHyphens/>
                          <w:jc w:val="center"/>
                          <w:rPr>
                            <w:bCs/>
                            <w:color w:val="FF0000"/>
                            <w:szCs w:val="24"/>
                          </w:rPr>
                        </w:pPr>
                        <w:r>
                          <w:rPr>
                            <w:szCs w:val="24"/>
                            <w:lang w:eastAsia="lt-LT"/>
                          </w:rPr>
                          <w:object w:dxaOrig="7400" w:dyaOrig="4040">
                            <v:shape id="_x0000_i1756" type="#_x0000_t75" style="width:371.35pt;height:202.25pt" o:ole="">
                              <v:imagedata r:id="rId1615" o:title=""/>
                            </v:shape>
                            <o:OLEObject Type="Embed" ProgID="Equation.3" ShapeID="_x0000_i1756" DrawAspect="Content" ObjectID="_0000000001" r:id="rId1616"/>
                          </w:object>
                        </w:r>
                      </w:p>
                    </w:tc>
                    <w:tc>
                      <w:tcPr>
                        <w:tcW w:w="679" w:type="pct"/>
                        <w:shd w:val="clear" w:color="auto" w:fill="auto"/>
                        <w:vAlign w:val="center"/>
                      </w:tcPr>
                      <w:p>
                        <w:pPr>
                          <w:tabs>
                            <w:tab w:val="left" w:pos="567"/>
                          </w:tabs>
                          <w:suppressAutoHyphens/>
                          <w:jc w:val="right"/>
                          <w:rPr>
                            <w:bCs/>
                            <w:color w:val="FF0000"/>
                            <w:szCs w:val="24"/>
                          </w:rPr>
                        </w:pPr>
                        <w:r>
                          <w:rPr>
                            <w:szCs w:val="24"/>
                          </w:rPr>
                          <w:t>(2.594-3)</w:t>
                        </w:r>
                      </w:p>
                    </w:tc>
                  </w:tr>
                </w:tbl>
                <w:p>
                  <w:pPr>
                    <w:tabs>
                      <w:tab w:val="left" w:pos="567"/>
                    </w:tabs>
                    <w:suppressAutoHyphens/>
                    <w:rPr>
                      <w:b/>
                      <w:bCs/>
                      <w:color w:val="FF0000"/>
                      <w:szCs w:val="24"/>
                      <w:lang w:eastAsia="lt-LT"/>
                    </w:rPr>
                  </w:pPr>
                </w:p>
                <w:p>
                  <w:pPr>
                    <w:tabs>
                      <w:tab w:val="left" w:pos="567"/>
                    </w:tabs>
                    <w:suppressAutoHyphens/>
                    <w:ind w:firstLine="570"/>
                    <w:jc w:val="both"/>
                    <w:rPr>
                      <w:b/>
                      <w:color w:val="000000"/>
                      <w:szCs w:val="24"/>
                      <w:lang w:eastAsia="lt-LT"/>
                    </w:rPr>
                  </w:pPr>
                </w:p>
                <w:tbl>
                  <w:tblPr>
                    <w:tblW w:w="5000" w:type="pct"/>
                    <w:tblLook w:val="04A0" w:firstRow="1" w:lastRow="0" w:firstColumn="1" w:lastColumn="0" w:noHBand="0" w:noVBand="1"/>
                  </w:tblPr>
                  <w:tblGrid>
                    <w:gridCol w:w="8516"/>
                    <w:gridCol w:w="1338"/>
                  </w:tblGrid>
                  <w:tr>
                    <w:tc>
                      <w:tcPr>
                        <w:tcW w:w="4321" w:type="pct"/>
                      </w:tcPr>
                      <w:p>
                        <w:pPr>
                          <w:tabs>
                            <w:tab w:val="left" w:pos="567"/>
                          </w:tabs>
                          <w:suppressAutoHyphens/>
                          <w:jc w:val="center"/>
                          <w:rPr>
                            <w:bCs/>
                            <w:color w:val="FF0000"/>
                            <w:szCs w:val="24"/>
                          </w:rPr>
                        </w:pPr>
                        <w:r>
                          <w:rPr>
                            <w:szCs w:val="24"/>
                            <w:lang w:eastAsia="lt-LT"/>
                          </w:rPr>
                          <w:object w:dxaOrig="7460" w:dyaOrig="4040">
                            <v:shape id="_x0000_i1757" type="#_x0000_t75" style="width:373.75pt;height:202.25pt" o:ole="">
                              <v:imagedata r:id="rId1617" o:title=""/>
                            </v:shape>
                            <o:OLEObject Type="Embed" ProgID="Equation.3" ShapeID="_x0000_i1757" DrawAspect="Content" ObjectID="_0000000001" r:id="rId1618"/>
                          </w:object>
                        </w:r>
                      </w:p>
                    </w:tc>
                    <w:tc>
                      <w:tcPr>
                        <w:tcW w:w="679" w:type="pct"/>
                        <w:vAlign w:val="center"/>
                      </w:tcPr>
                      <w:p>
                        <w:pPr>
                          <w:tabs>
                            <w:tab w:val="left" w:pos="567"/>
                          </w:tabs>
                          <w:suppressAutoHyphens/>
                          <w:jc w:val="right"/>
                          <w:rPr>
                            <w:bCs/>
                            <w:color w:val="FF0000"/>
                            <w:szCs w:val="24"/>
                          </w:rPr>
                        </w:pPr>
                        <w:r>
                          <w:rPr>
                            <w:szCs w:val="24"/>
                          </w:rPr>
                          <w:t>(2.594-4)</w:t>
                        </w:r>
                      </w:p>
                    </w:tc>
                  </w:tr>
                </w:tbl>
                <w:p>
                  <w:pPr>
                    <w:tabs>
                      <w:tab w:val="left" w:pos="567"/>
                    </w:tabs>
                    <w:suppressAutoHyphens/>
                    <w:ind w:firstLine="570"/>
                    <w:jc w:val="both"/>
                    <w:rPr>
                      <w:b/>
                      <w:szCs w:val="24"/>
                      <w:lang w:eastAsia="lt-LT"/>
                    </w:rPr>
                  </w:pPr>
                </w:p>
                <w:sdt>
                  <w:sdtPr>
                    <w:alias w:val="77.1 pp."/>
                    <w:tag w:val="part_689f5e653e49449eae282116a18f6917"/>
                    <w:lock w:val="sdtLocked"/>
                    <w:richText/>
                  </w:sdtPr>
                  <w:sdtContent>
                    <w:p>
                      <w:pPr>
                        <w:tabs>
                          <w:tab w:val="left" w:pos="567"/>
                        </w:tabs>
                        <w:suppressAutoHyphens/>
                        <w:ind w:firstLine="570"/>
                        <w:jc w:val="both"/>
                        <w:rPr>
                          <w:color w:val="000000"/>
                          <w:szCs w:val="24"/>
                          <w:lang w:eastAsia="lt-LT"/>
                        </w:rPr>
                      </w:pPr>
                      <w:sdt>
                        <w:sdtPr>
                          <w:alias w:val="Numeris"/>
                          <w:tag w:val="nr_689f5e653e49449eae282116a18f6917"/>
                          <w:lock w:val="sdtLocked"/>
                          <w:richText/>
                        </w:sdtPr>
                        <w:sdtContent>
                          <w:r>
                            <w:rPr>
                              <w:color w:val="000000"/>
                              <w:szCs w:val="24"/>
                              <w:lang w:eastAsia="lt-LT"/>
                            </w:rPr>
                            <w:t>77.1</w:t>
                          </w:r>
                        </w:sdtContent>
                      </w:sdt>
                      <w:r>
                        <w:rPr>
                          <w:color w:val="000000"/>
                          <w:szCs w:val="24"/>
                          <w:lang w:eastAsia="lt-LT"/>
                        </w:rPr>
                        <w:t xml:space="preserve">. pastato karšto vandens ruošimo sistemų mėnesinės skaičiuojamosios atsinaujinančios pirminės energijos sąnaudos karštam vandeniui ruošti </w:t>
                      </w:r>
                      <w:r>
                        <w:rPr>
                          <w:i/>
                          <w:color w:val="000000"/>
                          <w:szCs w:val="24"/>
                          <w:lang w:eastAsia="lt-LT"/>
                        </w:rPr>
                        <w:t>Q</w:t>
                      </w:r>
                      <w:r>
                        <w:rPr>
                          <w:i/>
                          <w:color w:val="000000"/>
                          <w:szCs w:val="24"/>
                          <w:vertAlign w:val="subscript"/>
                          <w:lang w:eastAsia="lt-LT"/>
                        </w:rPr>
                        <w:t>PRr.hw,m</w:t>
                      </w:r>
                      <w:r>
                        <w:rPr>
                          <w:color w:val="000000"/>
                          <w:szCs w:val="24"/>
                          <w:lang w:eastAsia="lt-LT"/>
                        </w:rPr>
                        <w:t xml:space="preserve"> (kWh/(m</w:t>
                      </w:r>
                      <w:r>
                        <w:rPr>
                          <w:color w:val="000000"/>
                          <w:szCs w:val="24"/>
                          <w:vertAlign w:val="superscript"/>
                          <w:lang w:eastAsia="lt-LT"/>
                        </w:rPr>
                        <w:t>2</w:t>
                      </w:r>
                      <w:r>
                        <w:rPr>
                          <w:color w:val="000000"/>
                          <w:szCs w:val="24"/>
                          <w:lang w:eastAsia="lt-LT"/>
                        </w:rPr>
                        <w:t xml:space="preserve">·mėn.)) apskaičiuojamos taip: </w:t>
                      </w:r>
                    </w:p>
                    <w:sdt>
                      <w:sdtPr>
                        <w:alias w:val="77.1.1 pp."/>
                        <w:tag w:val="part_e7373ffbe96f465fb221141bb081d67b"/>
                        <w:lock w:val="sdtLocked"/>
                        <w:richText/>
                      </w:sdtPr>
                      <w:sdtContent>
                        <w:p>
                          <w:pPr>
                            <w:tabs>
                              <w:tab w:val="left" w:pos="567"/>
                            </w:tabs>
                            <w:suppressAutoHyphens/>
                            <w:ind w:firstLine="480"/>
                            <w:jc w:val="both"/>
                            <w:rPr>
                              <w:szCs w:val="24"/>
                              <w:lang w:eastAsia="lt-LT"/>
                            </w:rPr>
                          </w:pPr>
                          <w:sdt>
                            <w:sdtPr>
                              <w:alias w:val="Numeris"/>
                              <w:tag w:val="nr_e7373ffbe96f465fb221141bb081d67b"/>
                              <w:lock w:val="sdtLocked"/>
                              <w:richText/>
                            </w:sdtPr>
                            <w:sdtContent>
                              <w:r>
                                <w:rPr>
                                  <w:color w:val="000000"/>
                                  <w:szCs w:val="24"/>
                                  <w:lang w:eastAsia="lt-LT"/>
                                </w:rPr>
                                <w:t>77.1.1</w:t>
                              </w:r>
                            </w:sdtContent>
                          </w:sdt>
                          <w:r>
                            <w:rPr>
                              <w:color w:val="000000"/>
                              <w:szCs w:val="24"/>
                              <w:lang w:eastAsia="lt-LT"/>
                            </w:rPr>
                            <w:t>. jei karštam vandeniui ruošti nenaudojama elektros energija</w:t>
                          </w:r>
                          <w:r>
                            <w:rPr>
                              <w:szCs w:val="24"/>
                              <w:lang w:eastAsia="lt-LT"/>
                            </w:rPr>
                            <w:t xml:space="preserve"> arba tam naudojami dujiniai katilai su absorbciniais šilumos siurbliais: </w:t>
                          </w:r>
                        </w:p>
                        <w:tbl>
                          <w:tblPr>
                            <w:tblW w:w="5000" w:type="pct"/>
                            <w:tblLook w:val="01E0" w:firstRow="1" w:lastRow="1" w:firstColumn="1" w:lastColumn="1" w:noHBand="0" w:noVBand="0"/>
                          </w:tblPr>
                          <w:tblGrid>
                            <w:gridCol w:w="8305"/>
                            <w:gridCol w:w="1549"/>
                          </w:tblGrid>
                          <w:tr>
                            <w:tc>
                              <w:tcPr>
                                <w:tcW w:w="4213" w:type="pct"/>
                                <w:vAlign w:val="center"/>
                              </w:tcPr>
                              <w:p>
                                <w:pPr>
                                  <w:tabs>
                                    <w:tab w:val="left" w:pos="567"/>
                                  </w:tabs>
                                  <w:suppressAutoHyphens/>
                                  <w:spacing w:line="276" w:lineRule="auto"/>
                                  <w:jc w:val="center"/>
                                  <w:rPr>
                                    <w:rFonts w:eastAsia="Calibri"/>
                                    <w:strike/>
                                    <w:color w:val="000000"/>
                                    <w:szCs w:val="24"/>
                                    <w:lang w:eastAsia="lt-LT"/>
                                  </w:rPr>
                                </w:pPr>
                              </w:p>
                            </w:tc>
                            <w:tc>
                              <w:tcPr>
                                <w:tcW w:w="787" w:type="pct"/>
                                <w:vAlign w:val="center"/>
                              </w:tcPr>
                              <w:p>
                                <w:pPr>
                                  <w:tabs>
                                    <w:tab w:val="left" w:pos="567"/>
                                  </w:tabs>
                                  <w:suppressAutoHyphens/>
                                  <w:spacing w:line="276" w:lineRule="auto"/>
                                  <w:jc w:val="right"/>
                                  <w:rPr>
                                    <w:rFonts w:eastAsia="Calibri"/>
                                    <w:bCs/>
                                    <w:strike/>
                                    <w:color w:val="000000"/>
                                    <w:szCs w:val="24"/>
                                    <w:lang w:eastAsia="lt-LT"/>
                                  </w:rPr>
                                </w:pPr>
                              </w:p>
                            </w:tc>
                          </w:tr>
                          <w:tr>
                            <w:tc>
                              <w:tcPr>
                                <w:tcW w:w="4214" w:type="pct"/>
                                <w:vAlign w:val="center"/>
                                <w:hideMark/>
                              </w:tcPr>
                              <w:p>
                                <w:pPr>
                                  <w:tabs>
                                    <w:tab w:val="left" w:pos="567"/>
                                  </w:tabs>
                                  <w:suppressAutoHyphens/>
                                  <w:jc w:val="center"/>
                                  <w:rPr>
                                    <w:rFonts w:eastAsia="Calibri"/>
                                    <w:sz w:val="22"/>
                                    <w:szCs w:val="24"/>
                                    <w:lang w:eastAsia="lt-LT"/>
                                  </w:rPr>
                                </w:pPr>
                                <w:r>
                                  <w:rPr>
                                    <w:szCs w:val="24"/>
                                    <w:lang w:eastAsia="lt-LT"/>
                                  </w:rPr>
                                  <w:object w:dxaOrig="5080" w:dyaOrig="1939">
                                    <v:shape id="_x0000_i1758" type="#_x0000_t75" style="width:255.65pt;height:97.1pt" o:ole="">
                                      <v:imagedata r:id="rId1815" o:title=""/>
                                    </v:shape>
                                    <o:OLEObject Type="Embed" ProgID="Equation.3" ShapeID="_x0000_i1758" DrawAspect="Content" ObjectID="_0000000001" r:id="rId1816"/>
                                  </w:object>
                                  <w:t>;</w:t>
                                </w:r>
                              </w:p>
                            </w:tc>
                            <w:tc>
                              <w:tcPr>
                                <w:tcW w:w="786" w:type="pct"/>
                                <w:vAlign w:val="center"/>
                                <w:hideMark/>
                              </w:tcPr>
                              <w:p>
                                <w:pPr>
                                  <w:tabs>
                                    <w:tab w:val="left" w:pos="567"/>
                                  </w:tabs>
                                  <w:suppressAutoHyphens/>
                                  <w:jc w:val="right"/>
                                  <w:rPr>
                                    <w:rFonts w:eastAsia="Calibri"/>
                                    <w:bCs/>
                                    <w:szCs w:val="24"/>
                                    <w:lang w:eastAsia="lt-LT"/>
                                  </w:rPr>
                                </w:pPr>
                                <w:r>
                                  <w:rPr>
                                    <w:bCs/>
                                    <w:szCs w:val="24"/>
                                    <w:lang w:eastAsia="lt-LT"/>
                                  </w:rPr>
                                  <w:t>(2.595)</w:t>
                                </w:r>
                              </w:p>
                            </w:tc>
                          </w:tr>
                        </w:tbl>
                        <w:p>
                          <w:pPr>
                            <w:tabs>
                              <w:tab w:val="left" w:pos="567"/>
                              <w:tab w:val="left" w:pos="709"/>
                            </w:tabs>
                            <w:suppressAutoHyphens/>
                            <w:jc w:val="both"/>
                            <w:rPr>
                              <w:szCs w:val="24"/>
                              <w:lang w:eastAsia="lt-LT"/>
                            </w:rPr>
                          </w:pPr>
                        </w:p>
                        <w:p>
                          <w:pPr>
                            <w:tabs>
                              <w:tab w:val="left" w:pos="567"/>
                            </w:tabs>
                            <w:suppressAutoHyphens/>
                            <w:ind w:left="567" w:hanging="567"/>
                            <w:rPr>
                              <w:bCs/>
                              <w:szCs w:val="24"/>
                              <w:lang w:eastAsia="lt-LT"/>
                            </w:rPr>
                          </w:pPr>
                          <w:r>
                            <w:rPr>
                              <w:szCs w:val="24"/>
                              <w:lang w:eastAsia="lt-LT"/>
                            </w:rPr>
                            <w:t xml:space="preserve">čia: </w:t>
                            <w:tab/>
                          </w:r>
                          <w:r>
                            <w:rPr>
                              <w:i/>
                              <w:color w:val="000000"/>
                              <w:szCs w:val="24"/>
                              <w:lang w:eastAsia="lt-LT"/>
                            </w:rPr>
                            <w:t>Q</w:t>
                          </w:r>
                          <w:r>
                            <w:rPr>
                              <w:i/>
                              <w:color w:val="000000"/>
                              <w:szCs w:val="24"/>
                              <w:vertAlign w:val="subscript"/>
                              <w:lang w:eastAsia="lt-LT"/>
                            </w:rPr>
                            <w:t xml:space="preserve">hwE.,m </w:t>
                          </w:r>
                          <w:r>
                            <w:rPr>
                              <w:color w:val="000000"/>
                              <w:szCs w:val="24"/>
                              <w:lang w:eastAsia="lt-LT"/>
                            </w:rPr>
                            <w:t>– apskaičiuojama pagal (2.589-1 ) formulę (kWh/(m</w:t>
                          </w:r>
                          <w:r>
                            <w:rPr>
                              <w:color w:val="000000"/>
                              <w:szCs w:val="24"/>
                              <w:vertAlign w:val="superscript"/>
                              <w:lang w:eastAsia="lt-LT"/>
                            </w:rPr>
                            <w:t>2</w:t>
                          </w:r>
                          <w:r>
                            <w:rPr>
                              <w:color w:val="000000"/>
                              <w:szCs w:val="24"/>
                              <w:lang w:eastAsia="lt-LT"/>
                            </w:rPr>
                            <w:t>·mėn.));</w:t>
                          </w:r>
                        </w:p>
                        <w:p>
                          <w:pPr>
                            <w:tabs>
                              <w:tab w:val="left" w:pos="567"/>
                            </w:tabs>
                            <w:suppressAutoHyphens/>
                            <w:ind w:left="567" w:firstLine="567"/>
                            <w:rPr>
                              <w:szCs w:val="24"/>
                              <w:lang w:eastAsia="lt-LT"/>
                            </w:rPr>
                          </w:pPr>
                          <w:r>
                            <w:rPr>
                              <w:szCs w:val="24"/>
                              <w:lang w:eastAsia="lt-LT"/>
                            </w:rPr>
                            <w:t xml:space="preserve">jeigu (2.595) formulėje </w:t>
                          </w:r>
                        </w:p>
                        <w:p>
                          <w:pPr>
                            <w:tabs>
                              <w:tab w:val="left" w:pos="567"/>
                            </w:tabs>
                            <w:suppressAutoHyphens/>
                            <w:ind w:left="567" w:firstLine="567"/>
                            <w:rPr>
                              <w:szCs w:val="24"/>
                              <w:lang w:eastAsia="lt-LT"/>
                            </w:rPr>
                          </w:pPr>
                          <w:r>
                            <w:rPr>
                              <w:position w:val="-14"/>
                              <w:lang w:eastAsia="lt-LT"/>
                            </w:rPr>
                            <w:object w:dxaOrig="3040" w:dyaOrig="400">
                              <v:shape id="_x0000_i1759" type="#_x0000_t75" style="width:153.7pt;height:21.85pt" o:ole="">
                                <v:imagedata r:id="rId1817" o:title=""/>
                              </v:shape>
                              <o:OLEObject Type="Embed" ProgID="Equation.3" ShapeID="_x0000_i1759" DrawAspect="Content" ObjectID="_0000000001" r:id="rId1818"/>
                            </w:object>
                          </w:r>
                          <w:r>
                            <w:rPr>
                              <w:lang w:eastAsia="lt-LT"/>
                            </w:rPr>
                            <w:t>,</w:t>
                          </w:r>
                          <w:r>
                            <w:rPr>
                              <w:szCs w:val="24"/>
                              <w:lang w:eastAsia="lt-LT"/>
                            </w:rPr>
                            <w:t xml:space="preserve"> </w:t>
                          </w:r>
                        </w:p>
                        <w:p>
                          <w:pPr>
                            <w:tabs>
                              <w:tab w:val="left" w:pos="567"/>
                            </w:tabs>
                            <w:suppressAutoHyphens/>
                            <w:ind w:left="567" w:firstLine="567"/>
                            <w:rPr>
                              <w:color w:val="000000"/>
                              <w:lang w:eastAsia="lt-LT"/>
                            </w:rPr>
                          </w:pPr>
                          <w:r>
                            <w:rPr>
                              <w:szCs w:val="24"/>
                              <w:lang w:eastAsia="lt-LT"/>
                            </w:rPr>
                            <w:t xml:space="preserve">tada </w:t>
                          </w:r>
                          <w:r>
                            <w:rPr>
                              <w:color w:val="000000"/>
                              <w:position w:val="-14"/>
                              <w:lang w:eastAsia="lt-LT"/>
                            </w:rPr>
                            <w:object w:dxaOrig="3080" w:dyaOrig="400">
                              <v:shape id="_x0000_i1760" type="#_x0000_t75" style="width:153.7pt;height:20.2pt" o:ole="">
                                <v:imagedata r:id="rId1819" o:title=""/>
                              </v:shape>
                              <o:OLEObject Type="Embed" ProgID="Equation.3" ShapeID="_x0000_i1760" DrawAspect="Content" ObjectID="_0000000001" r:id="rId1820"/>
                            </w:object>
                          </w:r>
                          <w:r>
                            <w:rPr>
                              <w:color w:val="000000"/>
                              <w:lang w:eastAsia="lt-LT"/>
                            </w:rPr>
                            <w:t>;</w:t>
                          </w:r>
                        </w:p>
                        <w:p>
                          <w:pPr>
                            <w:tabs>
                              <w:tab w:val="left" w:pos="567"/>
                            </w:tabs>
                            <w:suppressAutoHyphens/>
                            <w:ind w:left="567" w:firstLine="567"/>
                            <w:rPr>
                              <w:lang w:eastAsia="lt-LT"/>
                            </w:rPr>
                          </w:pPr>
                          <w:r>
                            <w:rPr>
                              <w:color w:val="000000"/>
                              <w:lang w:eastAsia="lt-LT"/>
                            </w:rPr>
                            <w:t>jeigu</w:t>
                          </w:r>
                          <w:r>
                            <w:rPr>
                              <w:lang w:eastAsia="lt-LT"/>
                            </w:rPr>
                            <w:object w:dxaOrig="1460" w:dyaOrig="700">
                              <v:shape id="_x0000_i1761" type="#_x0000_t75" style="width:74.45pt;height:35.6pt" o:ole="">
                                <v:imagedata r:id="rId1821" o:title=""/>
                              </v:shape>
                              <o:OLEObject Type="Embed" ProgID="Equation.3" ShapeID="_x0000_i1761" DrawAspect="Content" ObjectID="_0000000001" r:id="rId1822"/>
                            </w:object>
                            <w:t>, tada</w:t>
                            <w:object w:dxaOrig="1460" w:dyaOrig="700">
                              <v:shape id="_x0000_i1762" type="#_x0000_t75" style="width:74.45pt;height:35.6pt" o:ole="">
                                <v:imagedata r:id="rId1823" o:title=""/>
                              </v:shape>
                              <o:OLEObject Type="Embed" ProgID="Equation.3" ShapeID="_x0000_i1762" DrawAspect="Content" ObjectID="_0000000001" r:id="rId1824"/>
                            </w:object>
                            <w:t>;</w:t>
                          </w:r>
                        </w:p>
                        <w:p>
                          <w:pPr>
                            <w:tabs>
                              <w:tab w:val="left" w:pos="567"/>
                              <w:tab w:val="left" w:pos="709"/>
                            </w:tabs>
                            <w:suppressAutoHyphens/>
                            <w:jc w:val="both"/>
                            <w:rPr>
                              <w:rFonts w:eastAsia="Calibri"/>
                              <w:bCs/>
                              <w:strike/>
                              <w:szCs w:val="22"/>
                              <w:lang w:eastAsia="lt-LT"/>
                            </w:rPr>
                          </w:pPr>
                          <w:r>
                            <w:rPr>
                              <w:i/>
                              <w:szCs w:val="24"/>
                              <w:lang w:eastAsia="lt-LT"/>
                            </w:rPr>
                            <w:t>f</w:t>
                          </w:r>
                          <w:r>
                            <w:rPr>
                              <w:i/>
                              <w:szCs w:val="24"/>
                              <w:vertAlign w:val="subscript"/>
                              <w:lang w:eastAsia="lt-LT"/>
                            </w:rPr>
                            <w:t>PRr.hw.eq1</w:t>
                          </w:r>
                          <w:r>
                            <w:rPr>
                              <w:bCs/>
                              <w:szCs w:val="24"/>
                              <w:lang w:eastAsia="lt-LT"/>
                            </w:rPr>
                            <w:t xml:space="preserve"> </w:t>
                          </w:r>
                          <w:r>
                            <w:rPr>
                              <w:szCs w:val="24"/>
                              <w:lang w:eastAsia="lt-LT"/>
                            </w:rPr>
                            <w:t>–</w:t>
                          </w:r>
                          <w:r>
                            <w:rPr>
                              <w:bCs/>
                              <w:szCs w:val="24"/>
                              <w:lang w:eastAsia="lt-LT"/>
                            </w:rPr>
                            <w:t xml:space="preserve"> </w:t>
                          </w:r>
                          <w:r>
                            <w:rPr>
                              <w:szCs w:val="24"/>
                              <w:lang w:eastAsia="lt-LT"/>
                            </w:rPr>
                            <w:t>energijos šaltinių, nenaudojančių elektros energijos, atsinaujinančios pirminės energijos faktorius (žr.</w:t>
                          </w:r>
                          <w:r>
                            <w:rPr>
                              <w:bCs/>
                              <w:szCs w:val="24"/>
                              <w:lang w:eastAsia="lt-LT"/>
                            </w:rPr>
                            <w:t xml:space="preserve"> 2.18 lentelę). Kai naudojami keli 2.21 lentelės 1–8 eilutėse išvardinti energijos šaltiniai karštam vandeniui ruošti (dujos ir kietasis kuras; dujos ir šilumos tinklai, panašiai), skaičiuojant turi būti naudojama šių energijos šaltinių atsinaujinančios pirminės energijos faktorių vidutinė vertė. </w:t>
                          </w:r>
                        </w:p>
                      </w:sdtContent>
                    </w:sdt>
                    <w:sdt>
                      <w:sdtPr>
                        <w:alias w:val="77.1.2 pp."/>
                        <w:tag w:val="part_7947fee614914afeb0b87429e98a3103"/>
                        <w:lock w:val="sdtLocked"/>
                        <w:richText/>
                      </w:sdtPr>
                      <w:sdtContent>
                        <w:p>
                          <w:pPr>
                            <w:tabs>
                              <w:tab w:val="left" w:pos="567"/>
                            </w:tabs>
                            <w:suppressAutoHyphens/>
                            <w:ind w:firstLine="480"/>
                            <w:jc w:val="both"/>
                            <w:rPr>
                              <w:rFonts w:eastAsia="Calibri"/>
                              <w:szCs w:val="24"/>
                              <w:lang w:eastAsia="lt-LT"/>
                            </w:rPr>
                          </w:pPr>
                          <w:sdt>
                            <w:sdtPr>
                              <w:alias w:val="Numeris"/>
                              <w:tag w:val="nr_7947fee614914afeb0b87429e98a3103"/>
                              <w:lock w:val="sdtLocked"/>
                              <w:richText/>
                            </w:sdtPr>
                            <w:sdtContent>
                              <w:r>
                                <w:rPr>
                                  <w:color w:val="000000"/>
                                  <w:szCs w:val="24"/>
                                  <w:lang w:eastAsia="lt-LT"/>
                                </w:rPr>
                                <w:t>77.1.2</w:t>
                              </w:r>
                            </w:sdtContent>
                          </w:sdt>
                          <w:r>
                            <w:rPr>
                              <w:color w:val="000000"/>
                              <w:szCs w:val="24"/>
                              <w:lang w:eastAsia="lt-LT"/>
                            </w:rPr>
                            <w:t xml:space="preserve">. jei karštam vandeniui ruošti naudojama tik elektros </w:t>
                          </w:r>
                          <w:r>
                            <w:rPr>
                              <w:szCs w:val="24"/>
                              <w:lang w:eastAsia="lt-LT"/>
                            </w:rPr>
                            <w:t>energiją naudojanti įranga (dujiniai katilai su absorbciniais šilumos siurbliais nenaudojami):</w:t>
                          </w:r>
                        </w:p>
                        <w:p>
                          <w:pPr>
                            <w:tabs>
                              <w:tab w:val="left" w:pos="506"/>
                              <w:tab w:val="left" w:pos="567"/>
                            </w:tabs>
                            <w:suppressAutoHyphens/>
                            <w:rPr>
                              <w:bCs/>
                              <w:color w:val="000000"/>
                              <w:szCs w:val="24"/>
                              <w:lang w:eastAsia="lt-LT"/>
                            </w:rPr>
                          </w:pPr>
                        </w:p>
                        <w:tbl>
                          <w:tblPr>
                            <w:tblW w:w="5000" w:type="pct"/>
                            <w:tblLook w:val="01E0" w:firstRow="1" w:lastRow="1" w:firstColumn="1" w:lastColumn="1" w:noHBand="0" w:noVBand="0"/>
                          </w:tblPr>
                          <w:tblGrid>
                            <w:gridCol w:w="8938"/>
                            <w:gridCol w:w="916"/>
                          </w:tblGrid>
                          <w:tr>
                            <w:tc>
                              <w:tcPr>
                                <w:tcW w:w="4535" w:type="pct"/>
                                <w:vAlign w:val="center"/>
                                <w:hideMark/>
                              </w:tcPr>
                              <w:p>
                                <w:pPr>
                                  <w:tabs>
                                    <w:tab w:val="left" w:pos="567"/>
                                  </w:tabs>
                                  <w:suppressAutoHyphens/>
                                  <w:jc w:val="center"/>
                                  <w:rPr>
                                    <w:rFonts w:eastAsia="Calibri"/>
                                    <w:szCs w:val="24"/>
                                    <w:lang w:eastAsia="lt-LT"/>
                                  </w:rPr>
                                </w:pPr>
                                <w:r>
                                  <w:rPr>
                                    <w:szCs w:val="24"/>
                                    <w:lang w:eastAsia="lt-LT"/>
                                  </w:rPr>
                                  <w:object w:dxaOrig="8820" w:dyaOrig="1900">
                                    <v:shape id="_x0000_i1763" type="#_x0000_t75" style="width:389.95pt;height:84.15pt" o:ole="">
                                      <v:imagedata r:id="rId1825" o:title=""/>
                                    </v:shape>
                                    <o:OLEObject Type="Embed" ProgID="Equation.3" ShapeID="_x0000_i1763" DrawAspect="Content" ObjectID="_0000000001" r:id="rId1826"/>
                                  </w:object>
                                  <w:t>;</w:t>
                                </w:r>
                              </w:p>
                            </w:tc>
                            <w:tc>
                              <w:tcPr>
                                <w:tcW w:w="465" w:type="pct"/>
                                <w:vAlign w:val="center"/>
                                <w:hideMark/>
                              </w:tcPr>
                              <w:p>
                                <w:pPr>
                                  <w:tabs>
                                    <w:tab w:val="left" w:pos="567"/>
                                  </w:tabs>
                                  <w:suppressAutoHyphens/>
                                  <w:jc w:val="right"/>
                                  <w:rPr>
                                    <w:rFonts w:eastAsia="Calibri"/>
                                    <w:bCs/>
                                    <w:szCs w:val="24"/>
                                    <w:lang w:eastAsia="lt-LT"/>
                                  </w:rPr>
                                </w:pPr>
                                <w:r>
                                  <w:rPr>
                                    <w:bCs/>
                                    <w:szCs w:val="24"/>
                                    <w:lang w:eastAsia="lt-LT"/>
                                  </w:rPr>
                                  <w:t>(2.596)</w:t>
                                </w:r>
                              </w:p>
                            </w:tc>
                          </w:tr>
                        </w:tbl>
                        <w:p>
                          <w:pPr>
                            <w:tabs>
                              <w:tab w:val="left" w:pos="567"/>
                            </w:tabs>
                            <w:suppressAutoHyphens/>
                            <w:rPr>
                              <w:bCs/>
                              <w:color w:val="000000"/>
                              <w:szCs w:val="24"/>
                              <w:lang w:eastAsia="lt-LT"/>
                            </w:rPr>
                          </w:pPr>
                        </w:p>
                        <w:p>
                          <w:pPr>
                            <w:tabs>
                              <w:tab w:val="left" w:pos="567"/>
                            </w:tabs>
                            <w:suppressAutoHyphens/>
                            <w:rPr>
                              <w:bCs/>
                              <w:iCs/>
                              <w:strike/>
                              <w:szCs w:val="24"/>
                              <w:lang w:eastAsia="lt-LT"/>
                            </w:rPr>
                          </w:pPr>
                          <w:r>
                            <w:rPr>
                              <w:bCs/>
                              <w:color w:val="000000"/>
                              <w:szCs w:val="24"/>
                              <w:lang w:eastAsia="lt-LT"/>
                            </w:rPr>
                            <w:t>čia:</w:t>
                            <w:tab/>
                          </w:r>
                          <w:r>
                            <w:rPr>
                              <w:szCs w:val="24"/>
                              <w:lang w:eastAsia="lt-LT"/>
                            </w:rPr>
                            <w:t xml:space="preserve">jei (2.596) formulėje </w:t>
                          </w:r>
                        </w:p>
                        <w:p>
                          <w:pPr>
                            <w:tabs>
                              <w:tab w:val="left" w:pos="567"/>
                            </w:tabs>
                            <w:suppressAutoHyphens/>
                            <w:rPr>
                              <w:lang w:eastAsia="lt-LT"/>
                            </w:rPr>
                          </w:pPr>
                          <w:r>
                            <w:rPr>
                              <w:position w:val="-32"/>
                              <w:lang w:eastAsia="lt-LT"/>
                            </w:rPr>
                            <w:object w:dxaOrig="6900" w:dyaOrig="760">
                              <v:shape id="_x0000_i1764" type="#_x0000_t75" style="width:347.85pt;height:40.45pt" o:ole="">
                                <v:imagedata r:id="rId1827" o:title=""/>
                              </v:shape>
                              <o:OLEObject Type="Embed" ProgID="Equation.3" ShapeID="_x0000_i1764" DrawAspect="Content" ObjectID="_0000000001" r:id="rId1828"/>
                            </w:object>
                          </w:r>
                          <w:r>
                            <w:rPr>
                              <w:lang w:eastAsia="lt-LT"/>
                            </w:rPr>
                            <w:t xml:space="preserve">, </w:t>
                          </w:r>
                        </w:p>
                        <w:p>
                          <w:pPr>
                            <w:tabs>
                              <w:tab w:val="left" w:pos="567"/>
                            </w:tabs>
                            <w:suppressAutoHyphens/>
                            <w:rPr>
                              <w:lang w:eastAsia="lt-LT"/>
                            </w:rPr>
                          </w:pPr>
                          <w:r>
                            <w:rPr>
                              <w:lang w:eastAsia="lt-LT"/>
                            </w:rPr>
                            <w:t>tada</w:t>
                          </w:r>
                        </w:p>
                        <w:p>
                          <w:pPr>
                            <w:tabs>
                              <w:tab w:val="left" w:pos="567"/>
                            </w:tabs>
                            <w:suppressAutoHyphens/>
                            <w:rPr>
                              <w:bCs/>
                              <w:iCs/>
                              <w:szCs w:val="24"/>
                              <w:lang w:eastAsia="lt-LT"/>
                            </w:rPr>
                          </w:pPr>
                          <w:r>
                            <w:rPr>
                              <w:position w:val="-32"/>
                              <w:lang w:eastAsia="lt-LT"/>
                            </w:rPr>
                            <w:object w:dxaOrig="6900" w:dyaOrig="760">
                              <v:shape id="_x0000_i1765" type="#_x0000_t75" style="width:347.85pt;height:40.45pt" o:ole="">
                                <v:imagedata r:id="rId1829" o:title=""/>
                              </v:shape>
                              <o:OLEObject Type="Embed" ProgID="Equation.3" ShapeID="_x0000_i1765" DrawAspect="Content" ObjectID="_0000000001" r:id="rId1830"/>
                            </w:object>
                          </w:r>
                          <w:r>
                            <w:rPr>
                              <w:lang w:eastAsia="lt-LT"/>
                            </w:rPr>
                            <w:t>;</w:t>
                          </w:r>
                        </w:p>
                        <w:p>
                          <w:pPr>
                            <w:tabs>
                              <w:tab w:val="left" w:pos="567"/>
                            </w:tabs>
                            <w:suppressAutoHyphens/>
                            <w:jc w:val="both"/>
                            <w:rPr>
                              <w:i/>
                              <w:szCs w:val="24"/>
                              <w:lang w:eastAsia="lt-LT"/>
                            </w:rPr>
                          </w:pPr>
                        </w:p>
                        <w:p>
                          <w:pPr>
                            <w:tabs>
                              <w:tab w:val="left" w:pos="567"/>
                            </w:tabs>
                            <w:suppressAutoHyphens/>
                            <w:jc w:val="both"/>
                            <w:rPr>
                              <w:szCs w:val="24"/>
                              <w:lang w:eastAsia="lt-LT"/>
                            </w:rPr>
                          </w:pPr>
                          <w:r>
                            <w:rPr>
                              <w:i/>
                              <w:szCs w:val="24"/>
                              <w:lang w:eastAsia="lt-LT"/>
                            </w:rPr>
                            <w:t>η</w:t>
                          </w:r>
                          <w:r>
                            <w:rPr>
                              <w:i/>
                              <w:szCs w:val="24"/>
                              <w:vertAlign w:val="subscript"/>
                              <w:lang w:eastAsia="lt-LT"/>
                            </w:rPr>
                            <w:t>E</w:t>
                          </w:r>
                          <w:r>
                            <w:rPr>
                              <w:i/>
                              <w:szCs w:val="24"/>
                              <w:lang w:eastAsia="lt-LT"/>
                            </w:rPr>
                            <w:t xml:space="preserve">=0,455 – </w:t>
                          </w:r>
                          <w:r>
                            <w:rPr>
                              <w:szCs w:val="24"/>
                              <w:lang w:eastAsia="lt-LT"/>
                            </w:rPr>
                            <w:t>elektros energijos gamybos naudingumo koeficientas (Europos Sąjungos vidurkis);</w:t>
                          </w:r>
                        </w:p>
                        <w:p>
                          <w:pPr>
                            <w:tabs>
                              <w:tab w:val="left" w:pos="506"/>
                              <w:tab w:val="left" w:pos="567"/>
                            </w:tabs>
                            <w:suppressAutoHyphens/>
                            <w:ind w:left="506"/>
                            <w:rPr>
                              <w:bCs/>
                              <w:color w:val="000000"/>
                              <w:szCs w:val="24"/>
                              <w:lang w:eastAsia="lt-LT"/>
                            </w:rPr>
                          </w:pPr>
                          <w:r>
                            <w:rPr>
                              <w:bCs/>
                              <w:i/>
                              <w:color w:val="000000"/>
                              <w:szCs w:val="24"/>
                              <w:lang w:eastAsia="lt-LT"/>
                            </w:rPr>
                            <w:t>k</w:t>
                          </w:r>
                          <w:r>
                            <w:rPr>
                              <w:bCs/>
                              <w:i/>
                              <w:color w:val="000000"/>
                              <w:szCs w:val="24"/>
                              <w:vertAlign w:val="subscript"/>
                              <w:lang w:eastAsia="lt-LT"/>
                            </w:rPr>
                            <w:t>hp</w:t>
                          </w:r>
                          <w:r>
                            <w:rPr>
                              <w:bCs/>
                              <w:color w:val="000000"/>
                              <w:szCs w:val="24"/>
                              <w:lang w:eastAsia="lt-LT"/>
                            </w:rPr>
                            <w:t xml:space="preserve"> – indikatorius šiluminių siurblių pagamintai atsinaujinančiai pirminei energijai skaičiuoti. Jei </w:t>
                          </w:r>
                          <w:r>
                            <w:rPr>
                              <w:bCs/>
                              <w:i/>
                              <w:color w:val="000000"/>
                              <w:szCs w:val="24"/>
                              <w:lang w:val="en-US" w:eastAsia="lt-LT"/>
                            </w:rPr>
                            <w:t>η</w:t>
                          </w:r>
                          <w:r>
                            <w:rPr>
                              <w:bCs/>
                              <w:i/>
                              <w:color w:val="000000"/>
                              <w:szCs w:val="24"/>
                              <w:vertAlign w:val="subscript"/>
                              <w:lang w:eastAsia="lt-LT"/>
                            </w:rPr>
                            <w:t>hw.eq</w:t>
                          </w:r>
                          <w:r>
                            <w:rPr>
                              <w:bCs/>
                              <w:color w:val="000000"/>
                              <w:szCs w:val="24"/>
                              <w:vertAlign w:val="subscript"/>
                              <w:lang w:eastAsia="lt-LT"/>
                            </w:rPr>
                            <w:t>2</w:t>
                          </w:r>
                          <w:r>
                            <w:rPr>
                              <w:bCs/>
                              <w:color w:val="000000"/>
                              <w:szCs w:val="24"/>
                              <w:lang w:eastAsia="lt-LT"/>
                            </w:rPr>
                            <w:t xml:space="preserve"> ≤2,2 imama </w:t>
                          </w:r>
                          <w:r>
                            <w:rPr>
                              <w:bCs/>
                              <w:i/>
                              <w:color w:val="000000"/>
                              <w:szCs w:val="24"/>
                              <w:lang w:eastAsia="lt-LT"/>
                            </w:rPr>
                            <w:t>k</w:t>
                          </w:r>
                          <w:r>
                            <w:rPr>
                              <w:bCs/>
                              <w:i/>
                              <w:color w:val="000000"/>
                              <w:szCs w:val="24"/>
                              <w:vertAlign w:val="subscript"/>
                              <w:lang w:eastAsia="lt-LT"/>
                            </w:rPr>
                            <w:t>hp</w:t>
                          </w:r>
                          <w:r>
                            <w:rPr>
                              <w:bCs/>
                              <w:color w:val="000000"/>
                              <w:szCs w:val="24"/>
                              <w:lang w:eastAsia="lt-LT"/>
                            </w:rPr>
                            <w:t xml:space="preserve"> =0, kitais atvejais </w:t>
                          </w:r>
                          <w:r>
                            <w:rPr>
                              <w:bCs/>
                              <w:i/>
                              <w:color w:val="000000"/>
                              <w:szCs w:val="24"/>
                              <w:lang w:eastAsia="lt-LT"/>
                            </w:rPr>
                            <w:t>k</w:t>
                          </w:r>
                          <w:r>
                            <w:rPr>
                              <w:bCs/>
                              <w:i/>
                              <w:color w:val="000000"/>
                              <w:szCs w:val="24"/>
                              <w:vertAlign w:val="subscript"/>
                              <w:lang w:eastAsia="lt-LT"/>
                            </w:rPr>
                            <w:t>hp</w:t>
                          </w:r>
                          <w:r>
                            <w:rPr>
                              <w:bCs/>
                              <w:color w:val="000000"/>
                              <w:szCs w:val="24"/>
                              <w:lang w:eastAsia="lt-LT"/>
                            </w:rPr>
                            <w:t xml:space="preserve"> =1;</w:t>
                          </w:r>
                        </w:p>
                        <w:p>
                          <w:pPr>
                            <w:tabs>
                              <w:tab w:val="left" w:pos="567"/>
                            </w:tabs>
                            <w:suppressAutoHyphens/>
                            <w:jc w:val="both"/>
                            <w:rPr>
                              <w:bCs/>
                              <w:szCs w:val="24"/>
                              <w:lang w:eastAsia="lt-LT"/>
                            </w:rPr>
                          </w:pPr>
                          <w:r>
                            <w:rPr>
                              <w:i/>
                              <w:szCs w:val="24"/>
                              <w:lang w:eastAsia="lt-LT"/>
                            </w:rPr>
                            <w:t>η</w:t>
                          </w:r>
                          <w:r>
                            <w:rPr>
                              <w:i/>
                              <w:szCs w:val="24"/>
                              <w:vertAlign w:val="subscript"/>
                              <w:lang w:eastAsia="lt-LT"/>
                            </w:rPr>
                            <w:t xml:space="preserve">hw.eq2  </w:t>
                          </w:r>
                          <w:r>
                            <w:rPr>
                              <w:szCs w:val="24"/>
                              <w:lang w:eastAsia="lt-LT"/>
                            </w:rPr>
                            <w:t>– i</w:t>
                          </w:r>
                          <w:r>
                            <w:rPr>
                              <w:bCs/>
                              <w:szCs w:val="24"/>
                              <w:lang w:eastAsia="lt-LT"/>
                            </w:rPr>
                            <w:t>mamas iš 2.21 lentelės;</w:t>
                          </w:r>
                        </w:p>
                      </w:sdtContent>
                    </w:sdt>
                    <w:sdt>
                      <w:sdtPr>
                        <w:alias w:val="77.1.3 pp."/>
                        <w:tag w:val="part_7ae8b1a4c5e143428c2efd4befa1d403"/>
                        <w:lock w:val="sdtLocked"/>
                        <w:richText/>
                      </w:sdtPr>
                      <w:sdtContent>
                        <w:p>
                          <w:pPr>
                            <w:tabs>
                              <w:tab w:val="left" w:pos="567"/>
                            </w:tabs>
                            <w:suppressAutoHyphens/>
                            <w:ind w:firstLine="567"/>
                            <w:jc w:val="both"/>
                            <w:rPr>
                              <w:szCs w:val="24"/>
                              <w:lang w:val="en-US" w:eastAsia="lt-LT"/>
                            </w:rPr>
                          </w:pPr>
                          <w:sdt>
                            <w:sdtPr>
                              <w:alias w:val="Numeris"/>
                              <w:tag w:val="nr_7ae8b1a4c5e143428c2efd4befa1d403"/>
                              <w:lock w:val="sdtLocked"/>
                              <w:richText/>
                            </w:sdtPr>
                            <w:sdtContent>
                              <w:r>
                                <w:rPr>
                                  <w:color w:val="000000"/>
                                  <w:szCs w:val="24"/>
                                  <w:lang w:eastAsia="lt-LT"/>
                                </w:rPr>
                                <w:t>77.1.3</w:t>
                              </w:r>
                            </w:sdtContent>
                          </w:sdt>
                          <w:r>
                            <w:rPr>
                              <w:color w:val="000000"/>
                              <w:szCs w:val="24"/>
                              <w:lang w:eastAsia="lt-LT"/>
                            </w:rPr>
                            <w:t xml:space="preserve">. jei karštam vandeniui ruošti naudojama </w:t>
                          </w:r>
                          <w:r>
                            <w:rPr>
                              <w:bCs/>
                              <w:color w:val="000000"/>
                              <w:szCs w:val="24"/>
                              <w:lang w:eastAsia="lt-LT"/>
                            </w:rPr>
                            <w:t>elektros energiją vartojanti ir nevartojanti įranga</w:t>
                          </w:r>
                          <w:r>
                            <w:rPr>
                              <w:color w:val="000000"/>
                              <w:szCs w:val="24"/>
                              <w:lang w:eastAsia="lt-LT"/>
                            </w:rPr>
                            <w:t xml:space="preserve">, </w:t>
                          </w:r>
                          <w:r>
                            <w:rPr>
                              <w:rFonts w:eastAsia="Calibri"/>
                              <w:szCs w:val="22"/>
                              <w:lang w:eastAsia="lt-LT"/>
                            </w:rPr>
                            <w:t xml:space="preserve">tačiau nenaudojami dujiniai katilai su absorbciniais šilumos siurbliais, </w:t>
                          </w:r>
                          <w:r>
                            <w:rPr>
                              <w:szCs w:val="24"/>
                              <w:lang w:eastAsia="lt-LT"/>
                            </w:rPr>
                            <w:t xml:space="preserve">atsinaujinančios pirminės energijos sąnaudos karštam vandeniui ruošti </w:t>
                          </w:r>
                          <w:r>
                            <w:rPr>
                              <w:i/>
                              <w:szCs w:val="24"/>
                              <w:lang w:eastAsia="lt-LT"/>
                            </w:rPr>
                            <w:t>Q</w:t>
                          </w:r>
                          <w:r>
                            <w:rPr>
                              <w:i/>
                              <w:szCs w:val="24"/>
                              <w:vertAlign w:val="subscript"/>
                              <w:lang w:eastAsia="lt-LT"/>
                            </w:rPr>
                            <w:t>PRr.hw,m</w:t>
                          </w:r>
                          <w:r>
                            <w:rPr>
                              <w:szCs w:val="24"/>
                              <w:lang w:eastAsia="lt-LT"/>
                            </w:rPr>
                            <w:t xml:space="preserve"> (kWh/(m</w:t>
                          </w:r>
                          <w:r>
                            <w:rPr>
                              <w:szCs w:val="24"/>
                              <w:vertAlign w:val="superscript"/>
                              <w:lang w:eastAsia="lt-LT"/>
                            </w:rPr>
                            <w:t>2</w:t>
                          </w:r>
                          <w:r>
                            <w:rPr>
                              <w:szCs w:val="24"/>
                              <w:lang w:eastAsia="lt-LT"/>
                            </w:rPr>
                            <w:t>·mėn.)) apskaičiuojamos kaip suma atsinaujinančios pirminės energijos sąnaudų</w:t>
                          </w:r>
                          <w:r>
                            <w:rPr>
                              <w:rFonts w:eastAsia="Calibri"/>
                              <w:szCs w:val="22"/>
                              <w:lang w:eastAsia="lt-LT"/>
                            </w:rPr>
                            <w:t xml:space="preserve"> </w:t>
                          </w:r>
                          <w:r>
                            <w:rPr>
                              <w:szCs w:val="24"/>
                              <w:lang w:eastAsia="lt-LT"/>
                            </w:rPr>
                            <w:t>elektros energijos nevartojančios (</w:t>
                          </w:r>
                          <w:r>
                            <w:rPr>
                              <w:i/>
                              <w:szCs w:val="24"/>
                              <w:lang w:eastAsia="lt-LT"/>
                            </w:rPr>
                            <w:t>Q</w:t>
                          </w:r>
                          <w:r>
                            <w:rPr>
                              <w:i/>
                              <w:szCs w:val="24"/>
                              <w:vertAlign w:val="subscript"/>
                              <w:lang w:eastAsia="lt-LT"/>
                            </w:rPr>
                            <w:t>PRr.hw1,m</w:t>
                          </w:r>
                          <w:r>
                            <w:rPr>
                              <w:szCs w:val="24"/>
                              <w:lang w:eastAsia="lt-LT"/>
                            </w:rPr>
                            <w:t xml:space="preserve"> (kWh/(m</w:t>
                          </w:r>
                          <w:r>
                            <w:rPr>
                              <w:szCs w:val="24"/>
                              <w:vertAlign w:val="superscript"/>
                              <w:lang w:eastAsia="lt-LT"/>
                            </w:rPr>
                            <w:t>2</w:t>
                          </w:r>
                          <w:r>
                            <w:rPr>
                              <w:szCs w:val="24"/>
                              <w:lang w:eastAsia="lt-LT"/>
                            </w:rPr>
                            <w:t xml:space="preserve">·mėn.)) ir elektros energiją vartojančios </w:t>
                          </w:r>
                          <w:r>
                            <w:rPr>
                              <w:i/>
                              <w:szCs w:val="24"/>
                              <w:lang w:eastAsia="lt-LT"/>
                            </w:rPr>
                            <w:t>Q</w:t>
                          </w:r>
                          <w:r>
                            <w:rPr>
                              <w:i/>
                              <w:szCs w:val="24"/>
                              <w:vertAlign w:val="subscript"/>
                              <w:lang w:eastAsia="lt-LT"/>
                            </w:rPr>
                            <w:t>PRr.hw2,m</w:t>
                          </w:r>
                          <w:r>
                            <w:rPr>
                              <w:szCs w:val="24"/>
                              <w:lang w:eastAsia="lt-LT"/>
                            </w:rPr>
                            <w:t xml:space="preserve"> (kWh/(m</w:t>
                          </w:r>
                          <w:r>
                            <w:rPr>
                              <w:szCs w:val="24"/>
                              <w:vertAlign w:val="superscript"/>
                              <w:lang w:eastAsia="lt-LT"/>
                            </w:rPr>
                            <w:t>2</w:t>
                          </w:r>
                          <w:r>
                            <w:rPr>
                              <w:szCs w:val="24"/>
                              <w:lang w:eastAsia="lt-LT"/>
                            </w:rPr>
                            <w:t>·mėn.)) įrangos:</w:t>
                          </w:r>
                        </w:p>
                        <w:tbl>
                          <w:tblPr>
                            <w:tblW w:w="5000" w:type="pct"/>
                            <w:tblLook w:val="01E0" w:firstRow="1" w:lastRow="1" w:firstColumn="1" w:lastColumn="1" w:noHBand="0" w:noVBand="0"/>
                          </w:tblPr>
                          <w:tblGrid>
                            <w:gridCol w:w="1303"/>
                            <w:gridCol w:w="7323"/>
                            <w:gridCol w:w="1228"/>
                          </w:tblGrid>
                          <w:tr>
                            <w:trPr>
                              <w:gridAfter w:val="2"/>
                              <w:wAfter w:w="4339" w:type="pct"/>
                              <w:trHeight w:val="381"/>
                            </w:trPr>
                            <w:tc>
                              <w:tcPr>
                                <w:tcW w:w="661" w:type="pct"/>
                                <w:vAlign w:val="center"/>
                              </w:tcPr>
                              <w:p>
                                <w:pPr>
                                  <w:tabs>
                                    <w:tab w:val="left" w:pos="567"/>
                                  </w:tabs>
                                  <w:suppressAutoHyphens/>
                                  <w:spacing w:line="276" w:lineRule="auto"/>
                                  <w:jc w:val="right"/>
                                  <w:rPr>
                                    <w:rFonts w:eastAsia="Calibri"/>
                                    <w:bCs/>
                                    <w:strike/>
                                    <w:color w:val="000000"/>
                                    <w:szCs w:val="24"/>
                                    <w:lang w:eastAsia="lt-LT"/>
                                  </w:rPr>
                                </w:pPr>
                              </w:p>
                            </w:tc>
                          </w:tr>
                          <w:tr>
                            <w:tc>
                              <w:tcPr>
                                <w:tcW w:w="4377" w:type="pct"/>
                                <w:gridSpan w:val="2"/>
                                <w:vAlign w:val="center"/>
                                <w:hideMark/>
                              </w:tcPr>
                              <w:p>
                                <w:pPr>
                                  <w:tabs>
                                    <w:tab w:val="left" w:pos="567"/>
                                  </w:tabs>
                                  <w:suppressAutoHyphens/>
                                  <w:jc w:val="center"/>
                                  <w:rPr>
                                    <w:rFonts w:eastAsia="Calibri"/>
                                    <w:szCs w:val="24"/>
                                    <w:lang w:eastAsia="lt-LT"/>
                                  </w:rPr>
                                </w:pPr>
                                <w:r>
                                  <w:rPr>
                                    <w:position w:val="-14"/>
                                    <w:szCs w:val="24"/>
                                    <w:lang w:eastAsia="lt-LT"/>
                                  </w:rPr>
                                  <w:object w:dxaOrig="2960" w:dyaOrig="380">
                                    <v:shape id="_x0000_i1766" type="#_x0000_t75" style="width:141.55pt;height:19.4pt" o:ole="">
                                      <v:imagedata r:id="rId1831" o:title=""/>
                                    </v:shape>
                                    <o:OLEObject Type="Embed" ProgID="Equation.3" ShapeID="_x0000_i1766" DrawAspect="Content" ObjectID="_0000000001" r:id="rId1832"/>
                                  </w:object>
                                </w:r>
                                <w:r>
                                  <w:rPr>
                                    <w:szCs w:val="24"/>
                                    <w:lang w:eastAsia="lt-LT"/>
                                  </w:rPr>
                                  <w:t>;</w:t>
                                </w:r>
                              </w:p>
                            </w:tc>
                            <w:tc>
                              <w:tcPr>
                                <w:tcW w:w="623" w:type="pct"/>
                                <w:vAlign w:val="center"/>
                                <w:hideMark/>
                              </w:tcPr>
                              <w:p>
                                <w:pPr>
                                  <w:tabs>
                                    <w:tab w:val="left" w:pos="567"/>
                                  </w:tabs>
                                  <w:suppressAutoHyphens/>
                                  <w:jc w:val="right"/>
                                  <w:rPr>
                                    <w:rFonts w:eastAsia="Calibri"/>
                                    <w:bCs/>
                                    <w:szCs w:val="24"/>
                                    <w:lang w:eastAsia="lt-LT"/>
                                  </w:rPr>
                                </w:pPr>
                                <w:r>
                                  <w:rPr>
                                    <w:bCs/>
                                    <w:szCs w:val="24"/>
                                    <w:lang w:eastAsia="lt-LT"/>
                                  </w:rPr>
                                  <w:t>(2.597)</w:t>
                                </w:r>
                              </w:p>
                            </w:tc>
                          </w:tr>
                        </w:tbl>
                        <w:p>
                          <w:pPr>
                            <w:tabs>
                              <w:tab w:val="left" w:pos="506"/>
                              <w:tab w:val="left" w:pos="567"/>
                            </w:tabs>
                            <w:suppressAutoHyphens/>
                            <w:rPr>
                              <w:bCs/>
                              <w:szCs w:val="24"/>
                              <w:lang w:eastAsia="lt-LT"/>
                            </w:rPr>
                          </w:pPr>
                        </w:p>
                        <w:tbl>
                          <w:tblPr>
                            <w:tblW w:w="5000" w:type="pct"/>
                            <w:tblLook w:val="01E0" w:firstRow="1" w:lastRow="1" w:firstColumn="1" w:lastColumn="1" w:noHBand="0" w:noVBand="0"/>
                          </w:tblPr>
                          <w:tblGrid>
                            <w:gridCol w:w="8673"/>
                            <w:gridCol w:w="1181"/>
                          </w:tblGrid>
                          <w:tr>
                            <w:tc>
                              <w:tcPr>
                                <w:tcW w:w="4401" w:type="pct"/>
                                <w:vAlign w:val="center"/>
                                <w:hideMark/>
                              </w:tcPr>
                              <w:p>
                                <w:pPr>
                                  <w:tabs>
                                    <w:tab w:val="left" w:pos="567"/>
                                  </w:tabs>
                                  <w:suppressAutoHyphens/>
                                  <w:jc w:val="center"/>
                                  <w:rPr>
                                    <w:szCs w:val="24"/>
                                    <w:lang w:eastAsia="lt-LT"/>
                                  </w:rPr>
                                </w:pPr>
                                <w:r>
                                  <w:rPr>
                                    <w:szCs w:val="24"/>
                                    <w:lang w:eastAsia="lt-LT"/>
                                  </w:rPr>
                                  <w:object w:dxaOrig="6460" w:dyaOrig="1560">
                                    <v:shape id="_x0000_i1767" type="#_x0000_t75" style="width:293.65pt;height:67.95pt" o:ole="">
                                      <v:imagedata r:id="rId1833" o:title=""/>
                                    </v:shape>
                                    <o:OLEObject Type="Embed" ProgID="Equation.3" ShapeID="_x0000_i1767" DrawAspect="Content" ObjectID="_0000000001" r:id="rId1834"/>
                                  </w:object>
                                  <w:t>;</w:t>
                                </w:r>
                              </w:p>
                            </w:tc>
                            <w:tc>
                              <w:tcPr>
                                <w:tcW w:w="599" w:type="pct"/>
                                <w:vAlign w:val="center"/>
                                <w:hideMark/>
                              </w:tcPr>
                              <w:p>
                                <w:pPr>
                                  <w:tabs>
                                    <w:tab w:val="left" w:pos="567"/>
                                  </w:tabs>
                                  <w:suppressAutoHyphens/>
                                  <w:jc w:val="right"/>
                                  <w:rPr>
                                    <w:bCs/>
                                    <w:szCs w:val="24"/>
                                    <w:lang w:eastAsia="lt-LT"/>
                                  </w:rPr>
                                </w:pPr>
                                <w:r>
                                  <w:rPr>
                                    <w:bCs/>
                                    <w:szCs w:val="24"/>
                                    <w:lang w:eastAsia="lt-LT"/>
                                  </w:rPr>
                                  <w:t>(2.597-1)</w:t>
                                </w:r>
                              </w:p>
                            </w:tc>
                          </w:tr>
                        </w:tbl>
                        <w:p>
                          <w:pPr>
                            <w:tabs>
                              <w:tab w:val="left" w:pos="567"/>
                            </w:tabs>
                            <w:suppressAutoHyphens/>
                            <w:rPr>
                              <w:bCs/>
                              <w:szCs w:val="24"/>
                              <w:lang w:eastAsia="lt-LT"/>
                            </w:rPr>
                          </w:pPr>
                        </w:p>
                        <w:p>
                          <w:pPr>
                            <w:tabs>
                              <w:tab w:val="left" w:pos="426"/>
                              <w:tab w:val="left" w:pos="567"/>
                            </w:tabs>
                            <w:suppressAutoHyphens/>
                            <w:rPr>
                              <w:b/>
                              <w:lang w:eastAsia="lt-LT"/>
                            </w:rPr>
                          </w:pPr>
                          <w:r>
                            <w:rPr>
                              <w:bCs/>
                              <w:szCs w:val="24"/>
                              <w:lang w:eastAsia="lt-LT"/>
                            </w:rPr>
                            <w:t>čia:</w:t>
                            <w:tab/>
                          </w:r>
                          <w:r>
                            <w:rPr>
                              <w:szCs w:val="24"/>
                              <w:lang w:eastAsia="lt-LT"/>
                            </w:rPr>
                            <w:t xml:space="preserve">jei  (2.597-1) formulėje </w:t>
                          </w:r>
                          <w:r>
                            <w:rPr>
                              <w:position w:val="-14"/>
                              <w:lang w:eastAsia="lt-LT"/>
                            </w:rPr>
                            <w:object w:dxaOrig="3040" w:dyaOrig="400">
                              <v:shape id="_x0000_i1768" type="#_x0000_t75" style="width:152.1pt;height:21.85pt" o:ole="">
                                <v:imagedata r:id="rId1835" o:title=""/>
                              </v:shape>
                              <o:OLEObject Type="Embed" ProgID="Equation.3" ShapeID="_x0000_i1768" DrawAspect="Content" ObjectID="_0000000001" r:id="rId1836"/>
                            </w:object>
                          </w:r>
                          <w:r>
                            <w:rPr>
                              <w:lang w:eastAsia="lt-LT"/>
                            </w:rPr>
                            <w:t>,</w:t>
                          </w:r>
                          <w:r>
                            <w:rPr>
                              <w:szCs w:val="24"/>
                              <w:lang w:eastAsia="lt-LT"/>
                            </w:rPr>
                            <w:t xml:space="preserve"> tada </w:t>
                          </w:r>
                          <w:r>
                            <w:rPr>
                              <w:b/>
                              <w:color w:val="000000"/>
                              <w:position w:val="-14"/>
                              <w:lang w:eastAsia="lt-LT"/>
                            </w:rPr>
                            <w:object w:dxaOrig="3080" w:dyaOrig="400">
                              <v:shape id="_x0000_i1769" type="#_x0000_t75" style="width:153.7pt;height:20.2pt" o:ole="">
                                <v:imagedata r:id="rId1837" o:title=""/>
                              </v:shape>
                              <o:OLEObject Type="Embed" ProgID="Equation.3" ShapeID="_x0000_i1769" DrawAspect="Content" ObjectID="_0000000001" r:id="rId1838"/>
                            </w:object>
                          </w:r>
                          <w:r>
                            <w:rPr>
                              <w:lang w:eastAsia="lt-LT"/>
                            </w:rPr>
                            <w:t>;</w:t>
                          </w:r>
                        </w:p>
                        <w:p>
                          <w:pPr>
                            <w:tabs>
                              <w:tab w:val="left" w:pos="567"/>
                            </w:tabs>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iCs/>
                              <w:szCs w:val="24"/>
                              <w:lang w:eastAsia="lt-LT"/>
                            </w:rPr>
                            <w:t>ir</w:t>
                          </w:r>
                          <w:r>
                            <w:rPr>
                              <w:i/>
                              <w:szCs w:val="24"/>
                              <w:vertAlign w:val="subscript"/>
                              <w:lang w:eastAsia="lt-LT"/>
                            </w:rPr>
                            <w:t xml:space="preserve"> </w:t>
                          </w:r>
                          <w:r>
                            <w:rPr>
                              <w:i/>
                              <w:szCs w:val="24"/>
                              <w:lang w:eastAsia="lt-LT"/>
                            </w:rPr>
                            <w:t>η</w:t>
                          </w:r>
                          <w:r>
                            <w:rPr>
                              <w:i/>
                              <w:szCs w:val="24"/>
                              <w:vertAlign w:val="subscript"/>
                              <w:lang w:eastAsia="lt-LT"/>
                            </w:rPr>
                            <w:t xml:space="preserve">hw.eq2  </w:t>
                          </w:r>
                          <w:r>
                            <w:rPr>
                              <w:szCs w:val="24"/>
                              <w:lang w:eastAsia="lt-LT"/>
                            </w:rPr>
                            <w:t>– i</w:t>
                          </w:r>
                          <w:r>
                            <w:rPr>
                              <w:bCs/>
                              <w:szCs w:val="24"/>
                              <w:lang w:eastAsia="lt-LT"/>
                            </w:rPr>
                            <w:t>mami iš 2.21 lentelės.</w:t>
                          </w:r>
                        </w:p>
                        <w:p>
                          <w:pPr>
                            <w:tabs>
                              <w:tab w:val="left" w:pos="567"/>
                            </w:tabs>
                            <w:suppressAutoHyphens/>
                            <w:rPr>
                              <w:iCs/>
                              <w:szCs w:val="24"/>
                              <w:lang w:eastAsia="lt-LT"/>
                            </w:rPr>
                          </w:pPr>
                        </w:p>
                        <w:tbl>
                          <w:tblPr>
                            <w:tblW w:w="5000" w:type="pct"/>
                            <w:tblLook w:val="01E0" w:firstRow="1" w:lastRow="1" w:firstColumn="1" w:lastColumn="1" w:noHBand="0" w:noVBand="0"/>
                          </w:tblPr>
                          <w:tblGrid>
                            <w:gridCol w:w="8673"/>
                            <w:gridCol w:w="1181"/>
                          </w:tblGrid>
                          <w:tr>
                            <w:tc>
                              <w:tcPr>
                                <w:tcW w:w="4401" w:type="pct"/>
                                <w:vAlign w:val="center"/>
                                <w:hideMark/>
                              </w:tcPr>
                              <w:p>
                                <w:pPr>
                                  <w:tabs>
                                    <w:tab w:val="left" w:pos="567"/>
                                  </w:tabs>
                                  <w:suppressAutoHyphens/>
                                  <w:jc w:val="center"/>
                                  <w:rPr>
                                    <w:rFonts w:eastAsia="Calibri"/>
                                    <w:szCs w:val="24"/>
                                    <w:lang w:eastAsia="lt-LT"/>
                                  </w:rPr>
                                </w:pPr>
                                <w:r>
                                  <w:rPr>
                                    <w:szCs w:val="24"/>
                                    <w:lang w:eastAsia="lt-LT"/>
                                  </w:rPr>
                                  <w:object w:dxaOrig="7300" w:dyaOrig="2720">
                                    <v:shape id="_x0000_i1770" type="#_x0000_t75" style="width:365.65pt;height:135.9pt" o:ole="">
                                      <v:imagedata r:id="rId1839" o:title=""/>
                                    </v:shape>
                                    <o:OLEObject Type="Embed" ProgID="Equation.3" ShapeID="_x0000_i1770" DrawAspect="Content" ObjectID="_0000000001" r:id="rId1840"/>
                                  </w:object>
                                  <w:t>;</w:t>
                                </w:r>
                              </w:p>
                            </w:tc>
                            <w:tc>
                              <w:tcPr>
                                <w:tcW w:w="599" w:type="pct"/>
                                <w:vAlign w:val="center"/>
                                <w:hideMark/>
                              </w:tcPr>
                              <w:p>
                                <w:pPr>
                                  <w:tabs>
                                    <w:tab w:val="left" w:pos="567"/>
                                  </w:tabs>
                                  <w:suppressAutoHyphens/>
                                  <w:jc w:val="right"/>
                                  <w:rPr>
                                    <w:rFonts w:eastAsia="Calibri"/>
                                    <w:bCs/>
                                    <w:szCs w:val="24"/>
                                    <w:lang w:eastAsia="lt-LT"/>
                                  </w:rPr>
                                </w:pPr>
                                <w:r>
                                  <w:rPr>
                                    <w:bCs/>
                                    <w:szCs w:val="24"/>
                                    <w:lang w:eastAsia="lt-LT"/>
                                  </w:rPr>
                                  <w:t>(2.597-2)</w:t>
                                </w:r>
                              </w:p>
                            </w:tc>
                          </w:tr>
                        </w:tbl>
                        <w:p>
                          <w:pPr>
                            <w:tabs>
                              <w:tab w:val="left" w:pos="567"/>
                            </w:tabs>
                            <w:suppressAutoHyphens/>
                            <w:rPr>
                              <w:bCs/>
                              <w:szCs w:val="24"/>
                              <w:lang w:eastAsia="lt-LT"/>
                            </w:rPr>
                          </w:pPr>
                        </w:p>
                        <w:p>
                          <w:pPr>
                            <w:tabs>
                              <w:tab w:val="left" w:pos="567"/>
                            </w:tabs>
                            <w:suppressAutoHyphens/>
                            <w:rPr>
                              <w:bCs/>
                              <w:iCs/>
                              <w:strike/>
                              <w:szCs w:val="24"/>
                              <w:lang w:eastAsia="lt-LT"/>
                            </w:rPr>
                          </w:pPr>
                          <w:r>
                            <w:rPr>
                              <w:bCs/>
                              <w:szCs w:val="24"/>
                              <w:lang w:eastAsia="lt-LT"/>
                            </w:rPr>
                            <w:t>čia:</w:t>
                            <w:tab/>
                          </w:r>
                          <w:r>
                            <w:rPr>
                              <w:szCs w:val="24"/>
                              <w:lang w:eastAsia="lt-LT"/>
                            </w:rPr>
                            <w:t xml:space="preserve">jei (2.597-2) formulėje </w:t>
                          </w:r>
                        </w:p>
                        <w:p>
                          <w:pPr>
                            <w:tabs>
                              <w:tab w:val="left" w:pos="567"/>
                            </w:tabs>
                            <w:suppressAutoHyphens/>
                            <w:rPr>
                              <w:lang w:eastAsia="lt-LT"/>
                            </w:rPr>
                          </w:pPr>
                          <w:r>
                            <w:rPr>
                              <w:position w:val="-32"/>
                              <w:lang w:eastAsia="lt-LT"/>
                            </w:rPr>
                            <w:object w:dxaOrig="6950" w:dyaOrig="820">
                              <v:shape id="_x0000_i1771" type="#_x0000_t75" style="width:347.85pt;height:40.45pt" o:ole="">
                                <v:imagedata r:id="rId1841" o:title=""/>
                              </v:shape>
                              <o:OLEObject Type="Embed" ProgID="Equation.3" ShapeID="_x0000_i1771" DrawAspect="Content" ObjectID="_0000000001" r:id="rId1842"/>
                            </w:object>
                          </w:r>
                          <w:r>
                            <w:rPr>
                              <w:lang w:eastAsia="lt-LT"/>
                            </w:rPr>
                            <w:t xml:space="preserve">, </w:t>
                          </w:r>
                        </w:p>
                        <w:p>
                          <w:pPr>
                            <w:tabs>
                              <w:tab w:val="left" w:pos="567"/>
                            </w:tabs>
                            <w:suppressAutoHyphens/>
                            <w:rPr>
                              <w:sz w:val="22"/>
                              <w:szCs w:val="22"/>
                              <w:lang w:eastAsia="lt-LT"/>
                            </w:rPr>
                          </w:pPr>
                          <w:r>
                            <w:rPr>
                              <w:lang w:eastAsia="lt-LT"/>
                            </w:rPr>
                            <w:t>tada</w:t>
                          </w:r>
                        </w:p>
                        <w:p>
                          <w:pPr>
                            <w:tabs>
                              <w:tab w:val="left" w:pos="567"/>
                            </w:tabs>
                            <w:suppressAutoHyphens/>
                            <w:rPr>
                              <w:bCs/>
                              <w:iCs/>
                              <w:szCs w:val="24"/>
                              <w:lang w:eastAsia="lt-LT"/>
                            </w:rPr>
                          </w:pPr>
                          <w:r>
                            <w:rPr>
                              <w:position w:val="-32"/>
                              <w:lang w:eastAsia="lt-LT"/>
                            </w:rPr>
                            <w:object w:dxaOrig="6950" w:dyaOrig="820">
                              <v:shape id="_x0000_i1772" type="#_x0000_t75" style="width:347.85pt;height:40.45pt" o:ole="">
                                <v:imagedata r:id="rId1843" o:title=""/>
                              </v:shape>
                              <o:OLEObject Type="Embed" ProgID="Equation.3" ShapeID="_x0000_i1772" DrawAspect="Content" ObjectID="_0000000001" r:id="rId1844"/>
                            </w:object>
                          </w:r>
                          <w:r>
                            <w:rPr>
                              <w:lang w:eastAsia="lt-LT"/>
                            </w:rPr>
                            <w:t>;</w:t>
                          </w:r>
                        </w:p>
                        <w:p>
                          <w:pPr>
                            <w:tabs>
                              <w:tab w:val="left" w:pos="567"/>
                            </w:tabs>
                            <w:suppressAutoHyphens/>
                            <w:rPr>
                              <w:bCs/>
                              <w:iCs/>
                              <w:strike/>
                              <w:szCs w:val="24"/>
                              <w:lang w:eastAsia="lt-LT"/>
                            </w:rPr>
                          </w:pPr>
                        </w:p>
                        <w:p>
                          <w:pPr>
                            <w:tabs>
                              <w:tab w:val="left" w:pos="506"/>
                              <w:tab w:val="left" w:pos="567"/>
                            </w:tabs>
                            <w:suppressAutoHyphens/>
                            <w:ind w:firstLine="506"/>
                            <w:jc w:val="both"/>
                            <w:rPr>
                              <w:szCs w:val="24"/>
                              <w:lang w:eastAsia="lt-LT"/>
                            </w:rPr>
                          </w:pPr>
                          <w:r>
                            <w:rPr>
                              <w:i/>
                              <w:szCs w:val="24"/>
                              <w:lang w:eastAsia="lt-LT"/>
                            </w:rPr>
                            <w:t>η</w:t>
                          </w:r>
                          <w:r>
                            <w:rPr>
                              <w:i/>
                              <w:szCs w:val="24"/>
                              <w:vertAlign w:val="subscript"/>
                              <w:lang w:eastAsia="lt-LT"/>
                            </w:rPr>
                            <w:t>E</w:t>
                          </w:r>
                          <w:r>
                            <w:rPr>
                              <w:i/>
                              <w:szCs w:val="24"/>
                              <w:lang w:eastAsia="lt-LT"/>
                            </w:rPr>
                            <w:t xml:space="preserve">=0,455 – </w:t>
                          </w:r>
                          <w:r>
                            <w:rPr>
                              <w:szCs w:val="24"/>
                              <w:lang w:eastAsia="lt-LT"/>
                            </w:rPr>
                            <w:t>elektros energijos gamybos naudingumo koeficientas (Europos Sąjungos vidurkis);</w:t>
                          </w:r>
                        </w:p>
                        <w:p>
                          <w:pPr>
                            <w:tabs>
                              <w:tab w:val="left" w:pos="567"/>
                            </w:tabs>
                            <w:suppressAutoHyphens/>
                            <w:ind w:firstLine="567"/>
                            <w:jc w:val="both"/>
                            <w:rPr>
                              <w:bCs/>
                              <w:szCs w:val="24"/>
                              <w:lang w:eastAsia="lt-LT"/>
                            </w:rPr>
                          </w:pPr>
                          <w:r>
                            <w:rPr>
                              <w:bCs/>
                              <w:i/>
                              <w:szCs w:val="24"/>
                              <w:lang w:eastAsia="lt-LT"/>
                            </w:rPr>
                            <w:t>k</w:t>
                          </w:r>
                          <w:r>
                            <w:rPr>
                              <w:bCs/>
                              <w:i/>
                              <w:szCs w:val="24"/>
                              <w:vertAlign w:val="subscript"/>
                              <w:lang w:eastAsia="lt-LT"/>
                            </w:rPr>
                            <w:t>hp</w:t>
                          </w:r>
                          <w:r>
                            <w:rPr>
                              <w:bCs/>
                              <w:szCs w:val="24"/>
                              <w:lang w:eastAsia="lt-LT"/>
                            </w:rPr>
                            <w:t xml:space="preserve"> – indikatorius šiluminių siurblių pagamintai atsinaujinančiai pirminei energijai skaičiuoti. Jei </w:t>
                          </w:r>
                          <w:r>
                            <w:rPr>
                              <w:bCs/>
                              <w:i/>
                              <w:szCs w:val="24"/>
                              <w:lang w:val="en-US" w:eastAsia="lt-LT"/>
                            </w:rPr>
                            <w:t>η</w:t>
                          </w:r>
                          <w:r>
                            <w:rPr>
                              <w:bCs/>
                              <w:i/>
                              <w:szCs w:val="24"/>
                              <w:vertAlign w:val="subscript"/>
                              <w:lang w:eastAsia="lt-LT"/>
                            </w:rPr>
                            <w:t>hw.eq</w:t>
                          </w:r>
                          <w:r>
                            <w:rPr>
                              <w:bCs/>
                              <w:szCs w:val="24"/>
                              <w:vertAlign w:val="subscript"/>
                              <w:lang w:eastAsia="lt-LT"/>
                            </w:rPr>
                            <w:t>2</w:t>
                          </w:r>
                          <w:r>
                            <w:rPr>
                              <w:bCs/>
                              <w:szCs w:val="24"/>
                              <w:lang w:eastAsia="lt-LT"/>
                            </w:rPr>
                            <w:t xml:space="preserve"> ≤2,2, imama </w:t>
                          </w:r>
                          <w:r>
                            <w:rPr>
                              <w:bCs/>
                              <w:i/>
                              <w:szCs w:val="24"/>
                              <w:lang w:eastAsia="lt-LT"/>
                            </w:rPr>
                            <w:t>k</w:t>
                          </w:r>
                          <w:r>
                            <w:rPr>
                              <w:bCs/>
                              <w:i/>
                              <w:szCs w:val="24"/>
                              <w:vertAlign w:val="subscript"/>
                              <w:lang w:eastAsia="lt-LT"/>
                            </w:rPr>
                            <w:t>hp</w:t>
                          </w:r>
                          <w:r>
                            <w:rPr>
                              <w:bCs/>
                              <w:szCs w:val="24"/>
                              <w:lang w:eastAsia="lt-LT"/>
                            </w:rPr>
                            <w:t xml:space="preserve"> =0, kitais atvejais </w:t>
                          </w:r>
                          <w:r>
                            <w:rPr>
                              <w:bCs/>
                              <w:i/>
                              <w:szCs w:val="24"/>
                              <w:lang w:eastAsia="lt-LT"/>
                            </w:rPr>
                            <w:t>k</w:t>
                          </w:r>
                          <w:r>
                            <w:rPr>
                              <w:bCs/>
                              <w:i/>
                              <w:szCs w:val="24"/>
                              <w:vertAlign w:val="subscript"/>
                              <w:lang w:eastAsia="lt-LT"/>
                            </w:rPr>
                            <w:t>hp</w:t>
                          </w:r>
                          <w:r>
                            <w:rPr>
                              <w:bCs/>
                              <w:szCs w:val="24"/>
                              <w:lang w:eastAsia="lt-LT"/>
                            </w:rPr>
                            <w:t xml:space="preserve"> =1;</w:t>
                          </w:r>
                        </w:p>
                      </w:sdtContent>
                    </w:sdt>
                    <w:sdt>
                      <w:sdtPr>
                        <w:alias w:val="77.1.4 pp."/>
                        <w:tag w:val="part_49266ac1f50345ea8ad6acfd6d9dbdfb"/>
                        <w:lock w:val="sdtLocked"/>
                        <w:richText/>
                      </w:sdtPr>
                      <w:sdtContent>
                        <w:p>
                          <w:pPr>
                            <w:tabs>
                              <w:tab w:val="left" w:pos="567"/>
                            </w:tabs>
                            <w:suppressAutoHyphens/>
                            <w:ind w:firstLine="567"/>
                            <w:jc w:val="both"/>
                            <w:rPr>
                              <w:rFonts w:eastAsia="Calibri"/>
                              <w:bCs/>
                              <w:szCs w:val="22"/>
                              <w:lang w:eastAsia="lt-LT"/>
                            </w:rPr>
                          </w:pPr>
                          <w:sdt>
                            <w:sdtPr>
                              <w:alias w:val="Numeris"/>
                              <w:tag w:val="nr_49266ac1f50345ea8ad6acfd6d9dbdfb"/>
                              <w:lock w:val="sdtLocked"/>
                              <w:richText/>
                            </w:sdtPr>
                            <w:sdtContent>
                              <w:r>
                                <w:rPr>
                                  <w:rFonts w:eastAsia="Calibri"/>
                                  <w:szCs w:val="22"/>
                                  <w:lang w:eastAsia="lt-LT"/>
                                </w:rPr>
                                <w:t>77.1.4</w:t>
                              </w:r>
                            </w:sdtContent>
                          </w:sdt>
                          <w:r>
                            <w:rPr>
                              <w:rFonts w:eastAsia="Calibri"/>
                              <w:szCs w:val="22"/>
                              <w:lang w:eastAsia="lt-LT"/>
                            </w:rPr>
                            <w:t xml:space="preserve">. jei karštam vandeniui ruošti kartu su dujiniais katilais su absorbciniais šilumos siurbliais naudojama bet kuri kita 2.21 lentelės 9–12 eilutėse išvardinta elektros energiją naudojanti įranga, </w:t>
                          </w:r>
                          <w:r>
                            <w:rPr>
                              <w:szCs w:val="24"/>
                              <w:lang w:eastAsia="lt-LT"/>
                            </w:rPr>
                            <w:t xml:space="preserve">atsinaujinančios pirminės energijos sąnaudos karštam vandeniui ruošti </w:t>
                          </w:r>
                          <w:r>
                            <w:rPr>
                              <w:i/>
                              <w:szCs w:val="24"/>
                              <w:lang w:eastAsia="lt-LT"/>
                            </w:rPr>
                            <w:t>Q</w:t>
                          </w:r>
                          <w:r>
                            <w:rPr>
                              <w:i/>
                              <w:szCs w:val="24"/>
                              <w:vertAlign w:val="subscript"/>
                              <w:lang w:eastAsia="lt-LT"/>
                            </w:rPr>
                            <w:t>PRr.hw,m</w:t>
                          </w:r>
                          <w:r>
                            <w:rPr>
                              <w:szCs w:val="24"/>
                              <w:lang w:eastAsia="lt-LT"/>
                            </w:rPr>
                            <w:t xml:space="preserve"> (kWh/(m</w:t>
                          </w:r>
                          <w:r>
                            <w:rPr>
                              <w:szCs w:val="24"/>
                              <w:vertAlign w:val="superscript"/>
                              <w:lang w:eastAsia="lt-LT"/>
                            </w:rPr>
                            <w:t>2</w:t>
                          </w:r>
                          <w:r>
                            <w:rPr>
                              <w:szCs w:val="24"/>
                              <w:lang w:eastAsia="lt-LT"/>
                            </w:rPr>
                            <w:t>·mėn.)) apskaičiuojamos kaip suma atsinaujinančios pirminės energijos sąnaudų</w:t>
                          </w:r>
                          <w:r>
                            <w:rPr>
                              <w:rFonts w:eastAsia="Calibri"/>
                              <w:szCs w:val="22"/>
                              <w:lang w:eastAsia="lt-LT"/>
                            </w:rPr>
                            <w:t xml:space="preserve"> </w:t>
                          </w:r>
                          <w:r>
                            <w:rPr>
                              <w:szCs w:val="24"/>
                              <w:lang w:eastAsia="lt-LT"/>
                            </w:rPr>
                            <w:t>dujinių katilų su absorbciniais šilumos siurbliais (</w:t>
                          </w:r>
                          <w:r>
                            <w:rPr>
                              <w:i/>
                              <w:szCs w:val="24"/>
                              <w:lang w:eastAsia="lt-LT"/>
                            </w:rPr>
                            <w:t>Q</w:t>
                          </w:r>
                          <w:r>
                            <w:rPr>
                              <w:i/>
                              <w:szCs w:val="24"/>
                              <w:vertAlign w:val="subscript"/>
                              <w:lang w:eastAsia="lt-LT"/>
                            </w:rPr>
                            <w:t>PRr.hw.GHP,m</w:t>
                          </w:r>
                          <w:r>
                            <w:rPr>
                              <w:szCs w:val="24"/>
                              <w:lang w:eastAsia="lt-LT"/>
                            </w:rPr>
                            <w:t xml:space="preserve"> (kWh/(m</w:t>
                          </w:r>
                          <w:r>
                            <w:rPr>
                              <w:szCs w:val="24"/>
                              <w:vertAlign w:val="superscript"/>
                              <w:lang w:eastAsia="lt-LT"/>
                            </w:rPr>
                            <w:t>2</w:t>
                          </w:r>
                          <w:r>
                            <w:rPr>
                              <w:szCs w:val="24"/>
                              <w:lang w:eastAsia="lt-LT"/>
                            </w:rPr>
                            <w:t xml:space="preserve">·mėn.)) ir elektros energiją vartojančios įrangos </w:t>
                          </w:r>
                          <w:r>
                            <w:rPr>
                              <w:i/>
                              <w:szCs w:val="24"/>
                              <w:lang w:eastAsia="lt-LT"/>
                            </w:rPr>
                            <w:t>Q</w:t>
                          </w:r>
                          <w:r>
                            <w:rPr>
                              <w:i/>
                              <w:szCs w:val="24"/>
                              <w:vertAlign w:val="subscript"/>
                              <w:lang w:eastAsia="lt-LT"/>
                            </w:rPr>
                            <w:t>PRr.hw2,m</w:t>
                          </w:r>
                          <w:r>
                            <w:rPr>
                              <w:szCs w:val="24"/>
                              <w:lang w:eastAsia="lt-LT"/>
                            </w:rPr>
                            <w:t xml:space="preserve"> (kWh/(m</w:t>
                          </w:r>
                          <w:r>
                            <w:rPr>
                              <w:szCs w:val="24"/>
                              <w:vertAlign w:val="superscript"/>
                              <w:lang w:eastAsia="lt-LT"/>
                            </w:rPr>
                            <w:t>2</w:t>
                          </w:r>
                          <w:r>
                            <w:rPr>
                              <w:szCs w:val="24"/>
                              <w:lang w:eastAsia="lt-LT"/>
                            </w:rPr>
                            <w:t xml:space="preserve">·mėn.)): </w:t>
                          </w:r>
                        </w:p>
                        <w:p>
                          <w:pPr>
                            <w:tabs>
                              <w:tab w:val="left" w:pos="567"/>
                            </w:tabs>
                            <w:suppressAutoHyphens/>
                            <w:ind w:firstLine="567"/>
                            <w:jc w:val="both"/>
                            <w:rPr>
                              <w:rFonts w:eastAsia="Calibri"/>
                              <w:bCs/>
                              <w:szCs w:val="22"/>
                              <w:lang w:eastAsia="lt-LT"/>
                            </w:rPr>
                          </w:pPr>
                        </w:p>
                        <w:tbl>
                          <w:tblPr>
                            <w:tblW w:w="5000" w:type="pct"/>
                            <w:tblLook w:val="01E0" w:firstRow="1" w:lastRow="1" w:firstColumn="1" w:lastColumn="1" w:noHBand="0" w:noVBand="0"/>
                          </w:tblPr>
                          <w:tblGrid>
                            <w:gridCol w:w="8555"/>
                            <w:gridCol w:w="1299"/>
                          </w:tblGrid>
                          <w:tr>
                            <w:tc>
                              <w:tcPr>
                                <w:tcW w:w="4341" w:type="pct"/>
                                <w:vAlign w:val="center"/>
                              </w:tcPr>
                              <w:p>
                                <w:pPr>
                                  <w:tabs>
                                    <w:tab w:val="left" w:pos="567"/>
                                  </w:tabs>
                                  <w:suppressAutoHyphens/>
                                  <w:jc w:val="center"/>
                                  <w:rPr>
                                    <w:rFonts w:eastAsia="Calibri"/>
                                    <w:bCs/>
                                    <w:szCs w:val="22"/>
                                    <w:lang w:eastAsia="lt-LT"/>
                                  </w:rPr>
                                </w:pPr>
                                <w:r>
                                  <w:rPr>
                                    <w:position w:val="-14"/>
                                    <w:szCs w:val="24"/>
                                    <w:lang w:eastAsia="lt-LT"/>
                                  </w:rPr>
                                  <w:object w:dxaOrig="3240" w:dyaOrig="380">
                                    <v:shape id="_x0000_i1773" type="#_x0000_t75" style="width:164.2pt;height:19.4pt" o:ole="">
                                      <v:imagedata r:id="rId1845" o:title=""/>
                                    </v:shape>
                                    <o:OLEObject Type="Embed" ProgID="Equation.3" ShapeID="_x0000_i1773" DrawAspect="Content" ObjectID="_0000000001" r:id="rId1846"/>
                                  </w:object>
                                </w:r>
                                <w:r>
                                  <w:rPr>
                                    <w:szCs w:val="24"/>
                                    <w:lang w:eastAsia="lt-LT"/>
                                  </w:rPr>
                                  <w:t>;</w:t>
                                </w:r>
                              </w:p>
                            </w:tc>
                            <w:tc>
                              <w:tcPr>
                                <w:tcW w:w="659" w:type="pct"/>
                                <w:vAlign w:val="center"/>
                                <w:hideMark/>
                              </w:tcPr>
                              <w:p>
                                <w:pPr>
                                  <w:tabs>
                                    <w:tab w:val="left" w:pos="567"/>
                                  </w:tabs>
                                  <w:suppressAutoHyphens/>
                                  <w:jc w:val="right"/>
                                  <w:rPr>
                                    <w:rFonts w:eastAsia="Calibri"/>
                                    <w:bCs/>
                                    <w:szCs w:val="22"/>
                                    <w:lang w:eastAsia="lt-LT"/>
                                  </w:rPr>
                                </w:pPr>
                                <w:r>
                                  <w:rPr>
                                    <w:bCs/>
                                    <w:lang w:eastAsia="lt-LT"/>
                                  </w:rPr>
                                  <w:t>(2.597-3)</w:t>
                                </w:r>
                              </w:p>
                            </w:tc>
                          </w:tr>
                        </w:tbl>
                        <w:p>
                          <w:pPr>
                            <w:tabs>
                              <w:tab w:val="left" w:pos="567"/>
                            </w:tabs>
                            <w:suppressAutoHyphens/>
                            <w:jc w:val="both"/>
                            <w:rPr>
                              <w:bCs/>
                              <w:szCs w:val="24"/>
                              <w:lang w:eastAsia="lt-LT"/>
                            </w:rPr>
                          </w:pPr>
                        </w:p>
                        <w:tbl>
                          <w:tblPr>
                            <w:tblW w:w="5000" w:type="pct"/>
                            <w:tblLook w:val="01E0" w:firstRow="1" w:lastRow="1" w:firstColumn="1" w:lastColumn="1" w:noHBand="0" w:noVBand="0"/>
                          </w:tblPr>
                          <w:tblGrid>
                            <w:gridCol w:w="8555"/>
                            <w:gridCol w:w="1299"/>
                          </w:tblGrid>
                          <w:tr>
                            <w:tc>
                              <w:tcPr>
                                <w:tcW w:w="4341" w:type="pct"/>
                                <w:vAlign w:val="center"/>
                                <w:hideMark/>
                              </w:tcPr>
                              <w:p>
                                <w:pPr>
                                  <w:tabs>
                                    <w:tab w:val="left" w:pos="567"/>
                                  </w:tabs>
                                  <w:suppressAutoHyphens/>
                                  <w:jc w:val="center"/>
                                  <w:rPr>
                                    <w:rFonts w:eastAsia="Calibri"/>
                                    <w:bCs/>
                                    <w:lang w:eastAsia="lt-LT"/>
                                  </w:rPr>
                                </w:pPr>
                                <w:r>
                                  <w:rPr>
                                    <w:szCs w:val="24"/>
                                    <w:lang w:eastAsia="lt-LT"/>
                                  </w:rPr>
                                  <w:object w:dxaOrig="5880" w:dyaOrig="1939">
                                    <v:shape id="_x0000_i1774" type="#_x0000_t75" style="width:295.3pt;height:97.1pt" o:ole="">
                                      <v:imagedata r:id="rId1847" o:title=""/>
                                    </v:shape>
                                    <o:OLEObject Type="Embed" ProgID="Equation.3" ShapeID="_x0000_i1774" DrawAspect="Content" ObjectID="_0000000001" r:id="rId1848"/>
                                  </w:object>
                                  <w:t>;</w:t>
                                </w:r>
                              </w:p>
                            </w:tc>
                            <w:tc>
                              <w:tcPr>
                                <w:tcW w:w="659" w:type="pct"/>
                                <w:vAlign w:val="center"/>
                                <w:hideMark/>
                              </w:tcPr>
                              <w:p>
                                <w:pPr>
                                  <w:tabs>
                                    <w:tab w:val="left" w:pos="567"/>
                                  </w:tabs>
                                  <w:suppressAutoHyphens/>
                                  <w:jc w:val="right"/>
                                  <w:rPr>
                                    <w:rFonts w:eastAsia="Calibri"/>
                                    <w:bCs/>
                                    <w:lang w:eastAsia="lt-LT"/>
                                  </w:rPr>
                                </w:pPr>
                                <w:r>
                                  <w:rPr>
                                    <w:bCs/>
                                    <w:lang w:eastAsia="lt-LT"/>
                                  </w:rPr>
                                  <w:t>(2.597-4)</w:t>
                                </w:r>
                              </w:p>
                            </w:tc>
                          </w:tr>
                        </w:tbl>
                        <w:p>
                          <w:pPr>
                            <w:tabs>
                              <w:tab w:val="left" w:pos="567"/>
                            </w:tabs>
                            <w:suppressAutoHyphens/>
                            <w:jc w:val="both"/>
                            <w:rPr>
                              <w:bCs/>
                              <w:szCs w:val="24"/>
                              <w:lang w:eastAsia="lt-LT"/>
                            </w:rPr>
                          </w:pPr>
                        </w:p>
                        <w:p>
                          <w:pPr>
                            <w:tabs>
                              <w:tab w:val="left" w:pos="567"/>
                            </w:tabs>
                            <w:suppressAutoHyphens/>
                            <w:ind w:left="567"/>
                            <w:jc w:val="both"/>
                            <w:rPr>
                              <w:lang w:eastAsia="lt-LT"/>
                            </w:rPr>
                          </w:pPr>
                          <w:r>
                            <w:rPr>
                              <w:bCs/>
                              <w:szCs w:val="24"/>
                              <w:lang w:eastAsia="lt-LT"/>
                            </w:rPr>
                            <w:t>čia:</w:t>
                            <w:tab/>
                          </w:r>
                          <w:r>
                            <w:rPr>
                              <w:szCs w:val="24"/>
                              <w:lang w:eastAsia="lt-LT"/>
                            </w:rPr>
                            <w:t xml:space="preserve">jei (2.597-4) formulėje </w:t>
                          </w:r>
                          <w:r>
                            <w:rPr>
                              <w:position w:val="-14"/>
                              <w:lang w:eastAsia="lt-LT"/>
                            </w:rPr>
                            <w:object w:dxaOrig="3040" w:dyaOrig="400">
                              <v:shape id="_x0000_i1775" type="#_x0000_t75" style="width:152.1pt;height:21.85pt" o:ole="">
                                <v:imagedata r:id="rId1849" o:title=""/>
                              </v:shape>
                              <o:OLEObject Type="Embed" ProgID="Equation.3" ShapeID="_x0000_i1775" DrawAspect="Content" ObjectID="_0000000001" r:id="rId1850"/>
                            </w:object>
                          </w:r>
                          <w:r>
                            <w:rPr>
                              <w:lang w:eastAsia="lt-LT"/>
                            </w:rPr>
                            <w:t>,</w:t>
                          </w:r>
                          <w:r>
                            <w:rPr>
                              <w:szCs w:val="24"/>
                              <w:lang w:eastAsia="lt-LT"/>
                            </w:rPr>
                            <w:t xml:space="preserve"> tada </w:t>
                          </w:r>
                          <w:r>
                            <w:rPr>
                              <w:b/>
                              <w:color w:val="000000"/>
                              <w:position w:val="-14"/>
                              <w:lang w:eastAsia="lt-LT"/>
                            </w:rPr>
                            <w:object w:dxaOrig="3080" w:dyaOrig="400">
                              <v:shape id="_x0000_i1776" type="#_x0000_t75" style="width:153.7pt;height:20.2pt" o:ole="">
                                <v:imagedata r:id="rId1851" o:title=""/>
                              </v:shape>
                              <o:OLEObject Type="Embed" ProgID="Equation.3" ShapeID="_x0000_i1776" DrawAspect="Content" ObjectID="_0000000001" r:id="rId1852"/>
                            </w:object>
                          </w:r>
                          <w:r>
                            <w:rPr>
                              <w:b/>
                              <w:lang w:eastAsia="lt-LT"/>
                            </w:rPr>
                            <w:t>;</w:t>
                          </w:r>
                        </w:p>
                        <w:p>
                          <w:pPr>
                            <w:tabs>
                              <w:tab w:val="left" w:pos="567"/>
                            </w:tabs>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xml:space="preserve">– dujinio katilo su absorbciniu šilumos siurbliu </w:t>
                          </w:r>
                          <w:r>
                            <w:rPr>
                              <w:bCs/>
                              <w:szCs w:val="24"/>
                              <w:lang w:eastAsia="lt-LT"/>
                            </w:rPr>
                            <w:t xml:space="preserve">2.21 lentelės 13 eilutėje nurodytu būdu apskaičiuota </w:t>
                          </w:r>
                          <w:r>
                            <w:rPr>
                              <w:i/>
                              <w:szCs w:val="24"/>
                              <w:lang w:eastAsia="lt-LT"/>
                            </w:rPr>
                            <w:t>η</w:t>
                          </w:r>
                          <w:r>
                            <w:rPr>
                              <w:i/>
                              <w:szCs w:val="24"/>
                              <w:vertAlign w:val="subscript"/>
                              <w:lang w:eastAsia="lt-LT"/>
                            </w:rPr>
                            <w:t xml:space="preserve">hw.eq1  </w:t>
                          </w:r>
                          <w:r>
                            <w:rPr>
                              <w:bCs/>
                              <w:szCs w:val="24"/>
                              <w:lang w:eastAsia="lt-LT"/>
                            </w:rPr>
                            <w:t>vertė;</w:t>
                          </w:r>
                        </w:p>
                        <w:tbl>
                          <w:tblPr>
                            <w:tblW w:w="5000" w:type="pct"/>
                            <w:tblLook w:val="01E0" w:firstRow="1" w:lastRow="1" w:firstColumn="1" w:lastColumn="1" w:noHBand="0" w:noVBand="0"/>
                          </w:tblPr>
                          <w:tblGrid>
                            <w:gridCol w:w="8512"/>
                            <w:gridCol w:w="1342"/>
                          </w:tblGrid>
                          <w:tr>
                            <w:tc>
                              <w:tcPr>
                                <w:tcW w:w="4319" w:type="pct"/>
                                <w:vAlign w:val="center"/>
                                <w:hideMark/>
                              </w:tcPr>
                              <w:p>
                                <w:pPr>
                                  <w:tabs>
                                    <w:tab w:val="left" w:pos="567"/>
                                  </w:tabs>
                                  <w:suppressAutoHyphens/>
                                  <w:jc w:val="center"/>
                                  <w:rPr>
                                    <w:rFonts w:eastAsia="Calibri"/>
                                    <w:bCs/>
                                    <w:sz w:val="22"/>
                                    <w:szCs w:val="22"/>
                                    <w:lang w:eastAsia="lt-LT"/>
                                  </w:rPr>
                                </w:pPr>
                                <w:r>
                                  <w:rPr>
                                    <w:szCs w:val="24"/>
                                    <w:lang w:eastAsia="lt-LT"/>
                                  </w:rPr>
                                  <w:object w:dxaOrig="4980" w:dyaOrig="1560">
                                    <v:shape id="_x0000_i1777" type="#_x0000_t75" style="width:249.15pt;height:78.45pt" o:ole="">
                                      <v:imagedata r:id="rId1853" o:title=""/>
                                    </v:shape>
                                    <o:OLEObject Type="Embed" ProgID="Equation.3" ShapeID="_x0000_i1777" DrawAspect="Content" ObjectID="_0000000001" r:id="rId1854"/>
                                  </w:object>
                                  <w:t>;</w:t>
                                </w:r>
                              </w:p>
                            </w:tc>
                            <w:tc>
                              <w:tcPr>
                                <w:tcW w:w="681" w:type="pct"/>
                                <w:vAlign w:val="center"/>
                                <w:hideMark/>
                              </w:tcPr>
                              <w:p>
                                <w:pPr>
                                  <w:tabs>
                                    <w:tab w:val="left" w:pos="567"/>
                                  </w:tabs>
                                  <w:suppressAutoHyphens/>
                                  <w:jc w:val="right"/>
                                  <w:rPr>
                                    <w:rFonts w:eastAsia="Calibri"/>
                                    <w:bCs/>
                                    <w:lang w:eastAsia="lt-LT"/>
                                  </w:rPr>
                                </w:pPr>
                                <w:r>
                                  <w:rPr>
                                    <w:bCs/>
                                    <w:lang w:eastAsia="lt-LT"/>
                                  </w:rPr>
                                  <w:t>(2.597-5)</w:t>
                                </w:r>
                              </w:p>
                            </w:tc>
                          </w:tr>
                        </w:tbl>
                        <w:p>
                          <w:pPr>
                            <w:tabs>
                              <w:tab w:val="left" w:pos="567"/>
                            </w:tabs>
                            <w:suppressAutoHyphens/>
                            <w:rPr>
                              <w:bCs/>
                              <w:szCs w:val="24"/>
                              <w:lang w:eastAsia="lt-LT"/>
                            </w:rPr>
                          </w:pPr>
                        </w:p>
                        <w:p>
                          <w:pPr>
                            <w:tabs>
                              <w:tab w:val="left" w:pos="567"/>
                            </w:tabs>
                            <w:suppressAutoHyphens/>
                            <w:rPr>
                              <w:bCs/>
                              <w:iCs/>
                              <w:strike/>
                              <w:szCs w:val="24"/>
                              <w:lang w:eastAsia="lt-LT"/>
                            </w:rPr>
                          </w:pPr>
                          <w:r>
                            <w:rPr>
                              <w:bCs/>
                              <w:szCs w:val="24"/>
                              <w:lang w:eastAsia="lt-LT"/>
                            </w:rPr>
                            <w:t>čia:</w:t>
                            <w:tab/>
                          </w:r>
                          <w:r>
                            <w:rPr>
                              <w:szCs w:val="24"/>
                              <w:lang w:eastAsia="lt-LT"/>
                            </w:rPr>
                            <w:t xml:space="preserve">jei (2.597-5) formulėje </w:t>
                          </w:r>
                        </w:p>
                        <w:p>
                          <w:pPr>
                            <w:tabs>
                              <w:tab w:val="left" w:pos="567"/>
                            </w:tabs>
                            <w:suppressAutoHyphens/>
                            <w:rPr>
                              <w:szCs w:val="24"/>
                              <w:lang w:eastAsia="lt-LT"/>
                            </w:rPr>
                          </w:pPr>
                          <w:r>
                            <w:rPr>
                              <w:szCs w:val="24"/>
                              <w:lang w:eastAsia="lt-LT"/>
                            </w:rPr>
                            <w:t>jei</w:t>
                          </w:r>
                          <w:r>
                            <w:rPr>
                              <w:position w:val="-14"/>
                              <w:szCs w:val="24"/>
                              <w:lang w:eastAsia="lt-LT"/>
                            </w:rPr>
                            <w:object w:dxaOrig="3040" w:dyaOrig="400">
                              <v:shape id="_x0000_i1778" type="#_x0000_t75" style="width:152.1pt;height:20.2pt" o:ole="">
                                <v:imagedata r:id="rId1855" o:title=""/>
                              </v:shape>
                              <o:OLEObject Type="Embed" ProgID="Equation.3" ShapeID="_x0000_i1778" DrawAspect="Content" ObjectID="_0000000001" r:id="rId1856"/>
                            </w:object>
                          </w:r>
                          <w:r>
                            <w:rPr>
                              <w:szCs w:val="24"/>
                              <w:lang w:eastAsia="lt-LT"/>
                            </w:rPr>
                            <w:t xml:space="preserve">, tada </w:t>
                          </w:r>
                          <w:r>
                            <w:rPr>
                              <w:position w:val="-14"/>
                              <w:szCs w:val="24"/>
                              <w:lang w:eastAsia="lt-LT"/>
                            </w:rPr>
                            <w:object w:dxaOrig="3060" w:dyaOrig="400">
                              <v:shape id="_x0000_i1779" type="#_x0000_t75" style="width:153.7pt;height:20.2pt" o:ole="">
                                <v:imagedata r:id="rId1857" o:title=""/>
                              </v:shape>
                              <o:OLEObject Type="Embed" ProgID="Equation.3" ShapeID="_x0000_i1779" DrawAspect="Content" ObjectID="_0000000001" r:id="rId1858"/>
                            </w:object>
                          </w:r>
                          <w:r>
                            <w:rPr>
                              <w:szCs w:val="24"/>
                              <w:lang w:eastAsia="lt-LT"/>
                            </w:rPr>
                            <w:t>;</w:t>
                          </w:r>
                        </w:p>
                        <w:p>
                          <w:pPr>
                            <w:tabs>
                              <w:tab w:val="left" w:pos="567"/>
                            </w:tabs>
                            <w:suppressAutoHyphens/>
                            <w:rPr>
                              <w:szCs w:val="24"/>
                              <w:lang w:eastAsia="lt-LT"/>
                            </w:rPr>
                          </w:pPr>
                          <w:r>
                            <w:rPr>
                              <w:szCs w:val="24"/>
                              <w:lang w:eastAsia="lt-LT"/>
                            </w:rPr>
                            <w:t xml:space="preserve">jei </w:t>
                          </w:r>
                          <w:r>
                            <w:rPr>
                              <w:position w:val="-14"/>
                              <w:szCs w:val="24"/>
                              <w:lang w:eastAsia="lt-LT"/>
                            </w:rPr>
                            <w:object w:dxaOrig="4000" w:dyaOrig="400">
                              <v:shape id="_x0000_i1780" type="#_x0000_t75" style="width:199.8pt;height:20.2pt" o:ole="">
                                <v:imagedata r:id="rId1859" o:title=""/>
                              </v:shape>
                              <o:OLEObject Type="Embed" ProgID="Equation.3" ShapeID="_x0000_i1780" DrawAspect="Content" ObjectID="_0000000001" r:id="rId1860"/>
                            </w:object>
                          </w:r>
                          <w:r>
                            <w:rPr>
                              <w:szCs w:val="24"/>
                              <w:lang w:eastAsia="lt-LT"/>
                            </w:rPr>
                            <w:t xml:space="preserve">, tada </w:t>
                          </w:r>
                          <w:r>
                            <w:rPr>
                              <w:position w:val="-14"/>
                              <w:szCs w:val="24"/>
                              <w:lang w:eastAsia="lt-LT"/>
                            </w:rPr>
                            <w:object w:dxaOrig="4000" w:dyaOrig="400">
                              <v:shape id="_x0000_i1781" type="#_x0000_t75" style="width:199.8pt;height:20.2pt" o:ole="">
                                <v:imagedata r:id="rId1861" o:title=""/>
                              </v:shape>
                              <o:OLEObject Type="Embed" ProgID="Equation.3" ShapeID="_x0000_i1781" DrawAspect="Content" ObjectID="_0000000001" r:id="rId1862"/>
                            </w:object>
                          </w:r>
                          <w:r>
                            <w:rPr>
                              <w:szCs w:val="24"/>
                              <w:lang w:eastAsia="lt-LT"/>
                            </w:rPr>
                            <w:t>;</w:t>
                          </w:r>
                        </w:p>
                        <w:p>
                          <w:pPr>
                            <w:tabs>
                              <w:tab w:val="left" w:pos="567"/>
                            </w:tabs>
                            <w:suppressAutoHyphens/>
                            <w:rPr>
                              <w:szCs w:val="24"/>
                              <w:lang w:eastAsia="lt-LT"/>
                            </w:rPr>
                          </w:pPr>
                          <w:r>
                            <w:rPr>
                              <w:szCs w:val="24"/>
                              <w:lang w:eastAsia="lt-LT"/>
                            </w:rPr>
                            <w:t xml:space="preserve">jei  </w:t>
                          </w:r>
                          <w:r>
                            <w:rPr>
                              <w:position w:val="-32"/>
                              <w:szCs w:val="24"/>
                              <w:lang w:eastAsia="lt-LT"/>
                            </w:rPr>
                            <w:object w:dxaOrig="6880" w:dyaOrig="760">
                              <v:shape id="_x0000_i1782" type="#_x0000_t75" style="width:344.65pt;height:38.85pt" o:ole="">
                                <v:imagedata r:id="rId1863" o:title=""/>
                              </v:shape>
                              <o:OLEObject Type="Embed" ProgID="Equation.3" ShapeID="_x0000_i1782" DrawAspect="Content" ObjectID="_0000000001" r:id="rId1864"/>
                            </w:object>
                          </w:r>
                          <w:r>
                            <w:rPr>
                              <w:szCs w:val="24"/>
                              <w:lang w:eastAsia="lt-LT"/>
                            </w:rPr>
                            <w:t xml:space="preserve">, </w:t>
                          </w:r>
                        </w:p>
                        <w:p>
                          <w:pPr>
                            <w:tabs>
                              <w:tab w:val="left" w:pos="567"/>
                            </w:tabs>
                            <w:suppressAutoHyphens/>
                            <w:rPr>
                              <w:iCs/>
                              <w:strike/>
                              <w:szCs w:val="24"/>
                              <w:lang w:eastAsia="lt-LT"/>
                            </w:rPr>
                          </w:pPr>
                          <w:r>
                            <w:rPr>
                              <w:szCs w:val="24"/>
                              <w:lang w:eastAsia="lt-LT"/>
                            </w:rPr>
                            <w:t xml:space="preserve">tada </w:t>
                            <w:object w:dxaOrig="6880" w:dyaOrig="760">
                              <v:shape id="_x0000_i1783" type="#_x0000_t75" style="width:344.65pt;height:38.85pt" o:ole="">
                                <v:imagedata r:id="rId1865" o:title=""/>
                              </v:shape>
                              <o:OLEObject Type="Embed" ProgID="Equation.3" ShapeID="_x0000_i1783" DrawAspect="Content" ObjectID="_0000000001" r:id="rId1866"/>
                            </w:object>
                            <w:t>;</w:t>
                          </w:r>
                        </w:p>
                      </w:sdtContent>
                    </w:sdt>
                    <w:sdt>
                      <w:sdtPr>
                        <w:alias w:val="77.1.5 pp."/>
                        <w:tag w:val="part_be2a2adfc7c3492eb9d26065dc88a6f5"/>
                        <w:lock w:val="sdtLocked"/>
                        <w:richText/>
                      </w:sdtPr>
                      <w:sdtContent>
                        <w:p>
                          <w:pPr>
                            <w:tabs>
                              <w:tab w:val="left" w:pos="567"/>
                            </w:tabs>
                            <w:suppressAutoHyphens/>
                            <w:ind w:firstLine="567"/>
                            <w:jc w:val="both"/>
                            <w:rPr>
                              <w:rFonts w:eastAsia="Calibri"/>
                              <w:bCs/>
                              <w:szCs w:val="22"/>
                              <w:lang w:eastAsia="lt-LT"/>
                            </w:rPr>
                          </w:pPr>
                          <w:sdt>
                            <w:sdtPr>
                              <w:alias w:val="Numeris"/>
                              <w:tag w:val="nr_be2a2adfc7c3492eb9d26065dc88a6f5"/>
                              <w:lock w:val="sdtLocked"/>
                              <w:richText/>
                            </w:sdtPr>
                            <w:sdtContent>
                              <w:r>
                                <w:rPr>
                                  <w:rFonts w:eastAsia="Calibri"/>
                                  <w:szCs w:val="22"/>
                                  <w:lang w:eastAsia="lt-LT"/>
                                </w:rPr>
                                <w:t>77.1.5</w:t>
                              </w:r>
                            </w:sdtContent>
                          </w:sdt>
                          <w:r>
                            <w:rPr>
                              <w:rFonts w:eastAsia="Calibri"/>
                              <w:szCs w:val="22"/>
                              <w:lang w:eastAsia="lt-LT"/>
                            </w:rPr>
                            <w:t>. jei karštam vandeniui ruošti kartu su dujiniais katilais su absorbciniais šilumos siurbliais naudojama bet kuri kita 2.21 lentelės 1–8 eilutėse išvardinta elektros energijos nenaudojanti įranga,</w:t>
                          </w:r>
                          <w:r>
                            <w:rPr>
                              <w:szCs w:val="24"/>
                              <w:lang w:eastAsia="lt-LT"/>
                            </w:rPr>
                            <w:t xml:space="preserve"> atsinaujinančios pirminės energijos sąnaudos karštam vandeniui ruošti </w:t>
                          </w:r>
                          <w:r>
                            <w:rPr>
                              <w:i/>
                              <w:szCs w:val="24"/>
                              <w:lang w:eastAsia="lt-LT"/>
                            </w:rPr>
                            <w:t>Q</w:t>
                          </w:r>
                          <w:r>
                            <w:rPr>
                              <w:i/>
                              <w:szCs w:val="24"/>
                              <w:vertAlign w:val="subscript"/>
                              <w:lang w:eastAsia="lt-LT"/>
                            </w:rPr>
                            <w:t>PRr.hw,m</w:t>
                          </w:r>
                          <w:r>
                            <w:rPr>
                              <w:szCs w:val="24"/>
                              <w:lang w:eastAsia="lt-LT"/>
                            </w:rPr>
                            <w:t xml:space="preserve"> (kWh/(m</w:t>
                          </w:r>
                          <w:r>
                            <w:rPr>
                              <w:szCs w:val="24"/>
                              <w:vertAlign w:val="superscript"/>
                              <w:lang w:eastAsia="lt-LT"/>
                            </w:rPr>
                            <w:t>2</w:t>
                          </w:r>
                          <w:r>
                            <w:rPr>
                              <w:szCs w:val="24"/>
                              <w:lang w:eastAsia="lt-LT"/>
                            </w:rPr>
                            <w:t>·mėn.)) apskaičiuojamos kaip suma atsinaujinančios pirminės energijos sąnaudų</w:t>
                          </w:r>
                          <w:r>
                            <w:rPr>
                              <w:rFonts w:eastAsia="Calibri"/>
                              <w:szCs w:val="22"/>
                              <w:lang w:eastAsia="lt-LT"/>
                            </w:rPr>
                            <w:t xml:space="preserve"> </w:t>
                          </w:r>
                          <w:r>
                            <w:rPr>
                              <w:szCs w:val="24"/>
                              <w:lang w:eastAsia="lt-LT"/>
                            </w:rPr>
                            <w:t>dujinių katilų su absorbciniais šilumos siurbliais (</w:t>
                          </w:r>
                          <w:r>
                            <w:rPr>
                              <w:i/>
                              <w:szCs w:val="24"/>
                              <w:lang w:eastAsia="lt-LT"/>
                            </w:rPr>
                            <w:t>Q</w:t>
                          </w:r>
                          <w:r>
                            <w:rPr>
                              <w:i/>
                              <w:szCs w:val="24"/>
                              <w:vertAlign w:val="subscript"/>
                              <w:lang w:eastAsia="lt-LT"/>
                            </w:rPr>
                            <w:t>PRr.hw.GHP,m</w:t>
                          </w:r>
                          <w:r>
                            <w:rPr>
                              <w:szCs w:val="24"/>
                              <w:lang w:eastAsia="lt-LT"/>
                            </w:rPr>
                            <w:t xml:space="preserve"> (kWh/(m</w:t>
                          </w:r>
                          <w:r>
                            <w:rPr>
                              <w:szCs w:val="24"/>
                              <w:vertAlign w:val="superscript"/>
                              <w:lang w:eastAsia="lt-LT"/>
                            </w:rPr>
                            <w:t>2</w:t>
                          </w:r>
                          <w:r>
                            <w:rPr>
                              <w:szCs w:val="24"/>
                              <w:lang w:eastAsia="lt-LT"/>
                            </w:rPr>
                            <w:t xml:space="preserve">·mėn.)) ir elektros energiją nevartojančios įrangos </w:t>
                          </w:r>
                          <w:r>
                            <w:rPr>
                              <w:i/>
                              <w:szCs w:val="24"/>
                              <w:lang w:eastAsia="lt-LT"/>
                            </w:rPr>
                            <w:t>Q</w:t>
                          </w:r>
                          <w:r>
                            <w:rPr>
                              <w:i/>
                              <w:szCs w:val="24"/>
                              <w:vertAlign w:val="subscript"/>
                              <w:lang w:eastAsia="lt-LT"/>
                            </w:rPr>
                            <w:t>PRr.hw1,m</w:t>
                          </w:r>
                          <w:r>
                            <w:rPr>
                              <w:szCs w:val="24"/>
                              <w:lang w:eastAsia="lt-LT"/>
                            </w:rPr>
                            <w:t xml:space="preserve"> (kWh/(m</w:t>
                          </w:r>
                          <w:r>
                            <w:rPr>
                              <w:szCs w:val="24"/>
                              <w:vertAlign w:val="superscript"/>
                              <w:lang w:eastAsia="lt-LT"/>
                            </w:rPr>
                            <w:t>2</w:t>
                          </w:r>
                          <w:r>
                            <w:rPr>
                              <w:szCs w:val="24"/>
                              <w:lang w:eastAsia="lt-LT"/>
                            </w:rPr>
                            <w:t xml:space="preserve">·mėn.)): </w:t>
                          </w:r>
                          <w:r>
                            <w:rPr>
                              <w:rFonts w:eastAsia="Calibri"/>
                              <w:szCs w:val="22"/>
                              <w:lang w:eastAsia="lt-LT"/>
                            </w:rPr>
                            <w:t xml:space="preserve"> </w:t>
                          </w:r>
                        </w:p>
                        <w:p>
                          <w:pPr>
                            <w:tabs>
                              <w:tab w:val="left" w:pos="567"/>
                            </w:tabs>
                            <w:suppressAutoHyphens/>
                            <w:ind w:firstLine="567"/>
                            <w:jc w:val="both"/>
                            <w:rPr>
                              <w:rFonts w:eastAsia="Calibri"/>
                              <w:bCs/>
                              <w:szCs w:val="22"/>
                              <w:lang w:eastAsia="lt-LT"/>
                            </w:rPr>
                          </w:pPr>
                        </w:p>
                        <w:tbl>
                          <w:tblPr>
                            <w:tblW w:w="5000" w:type="pct"/>
                            <w:tblLook w:val="01E0" w:firstRow="1" w:lastRow="1" w:firstColumn="1" w:lastColumn="1" w:noHBand="0" w:noVBand="0"/>
                          </w:tblPr>
                          <w:tblGrid>
                            <w:gridCol w:w="8555"/>
                            <w:gridCol w:w="1299"/>
                          </w:tblGrid>
                          <w:tr>
                            <w:tc>
                              <w:tcPr>
                                <w:tcW w:w="4341" w:type="pct"/>
                                <w:vAlign w:val="center"/>
                              </w:tcPr>
                              <w:p>
                                <w:pPr>
                                  <w:tabs>
                                    <w:tab w:val="left" w:pos="567"/>
                                  </w:tabs>
                                  <w:suppressAutoHyphens/>
                                  <w:jc w:val="center"/>
                                  <w:rPr>
                                    <w:rFonts w:eastAsia="Calibri"/>
                                    <w:bCs/>
                                    <w:szCs w:val="22"/>
                                    <w:lang w:eastAsia="lt-LT"/>
                                  </w:rPr>
                                </w:pPr>
                                <w:r>
                                  <w:rPr>
                                    <w:position w:val="-14"/>
                                    <w:szCs w:val="24"/>
                                    <w:lang w:eastAsia="lt-LT"/>
                                  </w:rPr>
                                  <w:object w:dxaOrig="3240" w:dyaOrig="380">
                                    <v:shape id="_x0000_i1784" type="#_x0000_t75" style="width:164.2pt;height:19.4pt" o:ole="">
                                      <v:imagedata r:id="rId1867" o:title=""/>
                                    </v:shape>
                                    <o:OLEObject Type="Embed" ProgID="Equation.3" ShapeID="_x0000_i1784" DrawAspect="Content" ObjectID="_0000000001" r:id="rId1868"/>
                                  </w:object>
                                </w:r>
                                <w:r>
                                  <w:rPr>
                                    <w:szCs w:val="24"/>
                                    <w:lang w:eastAsia="lt-LT"/>
                                  </w:rPr>
                                  <w:t>;</w:t>
                                </w:r>
                              </w:p>
                            </w:tc>
                            <w:tc>
                              <w:tcPr>
                                <w:tcW w:w="659" w:type="pct"/>
                                <w:vAlign w:val="center"/>
                                <w:hideMark/>
                              </w:tcPr>
                              <w:p>
                                <w:pPr>
                                  <w:tabs>
                                    <w:tab w:val="left" w:pos="567"/>
                                  </w:tabs>
                                  <w:suppressAutoHyphens/>
                                  <w:jc w:val="right"/>
                                  <w:rPr>
                                    <w:rFonts w:eastAsia="Calibri"/>
                                    <w:bCs/>
                                    <w:szCs w:val="22"/>
                                    <w:lang w:eastAsia="lt-LT"/>
                                  </w:rPr>
                                </w:pPr>
                                <w:r>
                                  <w:rPr>
                                    <w:bCs/>
                                    <w:lang w:eastAsia="lt-LT"/>
                                  </w:rPr>
                                  <w:t>(2.597-6)</w:t>
                                </w:r>
                              </w:p>
                            </w:tc>
                          </w:tr>
                        </w:tbl>
                        <w:p>
                          <w:pPr>
                            <w:tabs>
                              <w:tab w:val="left" w:pos="567"/>
                            </w:tabs>
                            <w:suppressAutoHyphens/>
                            <w:jc w:val="both"/>
                            <w:rPr>
                              <w:rFonts w:eastAsia="Calibri"/>
                              <w:szCs w:val="22"/>
                              <w:lang w:eastAsia="lt-LT"/>
                            </w:rPr>
                          </w:pPr>
                          <w:r>
                            <w:rPr>
                              <w:rFonts w:eastAsia="Calibri"/>
                              <w:szCs w:val="22"/>
                              <w:lang w:eastAsia="lt-LT"/>
                            </w:rPr>
                            <w:t xml:space="preserve">čia: </w:t>
                          </w:r>
                          <w:r>
                            <w:rPr>
                              <w:i/>
                              <w:szCs w:val="24"/>
                              <w:lang w:eastAsia="lt-LT"/>
                            </w:rPr>
                            <w:t>Q</w:t>
                          </w:r>
                          <w:r>
                            <w:rPr>
                              <w:i/>
                              <w:szCs w:val="24"/>
                              <w:vertAlign w:val="subscript"/>
                              <w:lang w:eastAsia="lt-LT"/>
                            </w:rPr>
                            <w:t>PRr.hw.GHP,m</w:t>
                          </w:r>
                          <w:r>
                            <w:rPr>
                              <w:szCs w:val="24"/>
                              <w:lang w:eastAsia="lt-LT"/>
                            </w:rPr>
                            <w:t xml:space="preserve"> (kWh/(m</w:t>
                          </w:r>
                          <w:r>
                            <w:rPr>
                              <w:szCs w:val="24"/>
                              <w:vertAlign w:val="superscript"/>
                              <w:lang w:eastAsia="lt-LT"/>
                            </w:rPr>
                            <w:t>2</w:t>
                          </w:r>
                          <w:r>
                            <w:rPr>
                              <w:szCs w:val="24"/>
                              <w:lang w:eastAsia="lt-LT"/>
                            </w:rPr>
                            <w:t>·mėn.)) – apskaičiuojama pagal (2.597-4) formulę;</w:t>
                          </w:r>
                        </w:p>
                        <w:p>
                          <w:pPr>
                            <w:tabs>
                              <w:tab w:val="left" w:pos="567"/>
                            </w:tabs>
                            <w:suppressAutoHyphens/>
                            <w:ind w:firstLine="567"/>
                            <w:jc w:val="both"/>
                            <w:rPr>
                              <w:rFonts w:eastAsia="Calibri"/>
                              <w:szCs w:val="22"/>
                              <w:lang w:eastAsia="lt-LT"/>
                            </w:rPr>
                          </w:pPr>
                          <w:r>
                            <w:rPr>
                              <w:i/>
                              <w:szCs w:val="24"/>
                              <w:lang w:eastAsia="lt-LT"/>
                            </w:rPr>
                            <w:t>Q</w:t>
                          </w:r>
                          <w:r>
                            <w:rPr>
                              <w:i/>
                              <w:szCs w:val="24"/>
                              <w:vertAlign w:val="subscript"/>
                              <w:lang w:eastAsia="lt-LT"/>
                            </w:rPr>
                            <w:t>PRr.hw1,m</w:t>
                          </w:r>
                          <w:r>
                            <w:rPr>
                              <w:szCs w:val="24"/>
                              <w:lang w:eastAsia="lt-LT"/>
                            </w:rPr>
                            <w:t xml:space="preserve"> (kWh/(m</w:t>
                          </w:r>
                          <w:r>
                            <w:rPr>
                              <w:szCs w:val="24"/>
                              <w:vertAlign w:val="superscript"/>
                              <w:lang w:eastAsia="lt-LT"/>
                            </w:rPr>
                            <w:t>2</w:t>
                          </w:r>
                          <w:r>
                            <w:rPr>
                              <w:szCs w:val="24"/>
                              <w:lang w:eastAsia="lt-LT"/>
                            </w:rPr>
                            <w:t xml:space="preserve">·mėn.)) apskaičiuojama taip: </w:t>
                          </w:r>
                        </w:p>
                        <w:p>
                          <w:pPr>
                            <w:tabs>
                              <w:tab w:val="left" w:pos="567"/>
                            </w:tabs>
                            <w:suppressAutoHyphens/>
                            <w:ind w:firstLine="567"/>
                            <w:jc w:val="both"/>
                            <w:rPr>
                              <w:bCs/>
                              <w:szCs w:val="24"/>
                              <w:lang w:eastAsia="lt-LT"/>
                            </w:rPr>
                          </w:pPr>
                        </w:p>
                        <w:tbl>
                          <w:tblPr>
                            <w:tblW w:w="5000" w:type="pct"/>
                            <w:tblLook w:val="01E0" w:firstRow="1" w:lastRow="1" w:firstColumn="1" w:lastColumn="1" w:noHBand="0" w:noVBand="0"/>
                          </w:tblPr>
                          <w:tblGrid>
                            <w:gridCol w:w="8551"/>
                            <w:gridCol w:w="1303"/>
                          </w:tblGrid>
                          <w:tr>
                            <w:tc>
                              <w:tcPr>
                                <w:tcW w:w="4339" w:type="pct"/>
                                <w:vAlign w:val="center"/>
                              </w:tcPr>
                              <w:p>
                                <w:pPr>
                                  <w:tabs>
                                    <w:tab w:val="left" w:pos="567"/>
                                  </w:tabs>
                                  <w:suppressAutoHyphens/>
                                  <w:jc w:val="center"/>
                                  <w:rPr>
                                    <w:rFonts w:eastAsia="Calibri"/>
                                    <w:bCs/>
                                    <w:szCs w:val="22"/>
                                    <w:lang w:eastAsia="lt-LT"/>
                                  </w:rPr>
                                </w:pPr>
                                <w:r>
                                  <w:rPr>
                                    <w:position w:val="-32"/>
                                    <w:szCs w:val="24"/>
                                    <w:lang w:eastAsia="lt-LT"/>
                                  </w:rPr>
                                  <w:object w:dxaOrig="7280" w:dyaOrig="760">
                                    <v:shape id="_x0000_i1785" type="#_x0000_t75" style="width:343.8pt;height:32.35pt" o:ole="">
                                      <v:imagedata r:id="rId1869" o:title=""/>
                                    </v:shape>
                                    <o:OLEObject Type="Embed" ProgID="Equation.3" ShapeID="_x0000_i1785" DrawAspect="Content" ObjectID="_0000000001" r:id="rId1870"/>
                                  </w:object>
                                </w:r>
                                <w:r>
                                  <w:rPr>
                                    <w:szCs w:val="24"/>
                                    <w:lang w:eastAsia="lt-LT"/>
                                  </w:rPr>
                                  <w:t>;</w:t>
                                </w:r>
                              </w:p>
                            </w:tc>
                            <w:tc>
                              <w:tcPr>
                                <w:tcW w:w="661" w:type="pct"/>
                                <w:vAlign w:val="center"/>
                                <w:hideMark/>
                              </w:tcPr>
                              <w:p>
                                <w:pPr>
                                  <w:tabs>
                                    <w:tab w:val="left" w:pos="567"/>
                                  </w:tabs>
                                  <w:suppressAutoHyphens/>
                                  <w:jc w:val="right"/>
                                  <w:rPr>
                                    <w:rFonts w:eastAsia="Calibri"/>
                                    <w:bCs/>
                                    <w:szCs w:val="22"/>
                                    <w:lang w:eastAsia="lt-LT"/>
                                  </w:rPr>
                                </w:pPr>
                                <w:r>
                                  <w:rPr>
                                    <w:bCs/>
                                    <w:lang w:eastAsia="lt-LT"/>
                                  </w:rPr>
                                  <w:t>(2.597-7)</w:t>
                                </w:r>
                              </w:p>
                            </w:tc>
                          </w:tr>
                        </w:tbl>
                        <w:p>
                          <w:pPr>
                            <w:tabs>
                              <w:tab w:val="left" w:pos="567"/>
                            </w:tabs>
                            <w:suppressAutoHyphens/>
                            <w:jc w:val="both"/>
                            <w:rPr>
                              <w:strike/>
                              <w:lang w:eastAsia="lt-LT"/>
                            </w:rPr>
                          </w:pPr>
                          <w:r>
                            <w:rPr>
                              <w:bCs/>
                              <w:szCs w:val="24"/>
                              <w:lang w:eastAsia="lt-LT"/>
                            </w:rPr>
                            <w:t>čia:</w:t>
                            <w:tab/>
                          </w:r>
                          <w:r>
                            <w:rPr>
                              <w:szCs w:val="24"/>
                              <w:lang w:eastAsia="lt-LT"/>
                            </w:rPr>
                            <w:t xml:space="preserve">jei (2.597-7) formulėje </w:t>
                          </w:r>
                          <w:r>
                            <w:rPr>
                              <w:position w:val="-14"/>
                              <w:lang w:eastAsia="lt-LT"/>
                            </w:rPr>
                            <w:object w:dxaOrig="3040" w:dyaOrig="400">
                              <v:shape id="_x0000_i1786" type="#_x0000_t75" style="width:152.1pt;height:21.85pt" o:ole="">
                                <v:imagedata r:id="rId1871" o:title=""/>
                              </v:shape>
                              <o:OLEObject Type="Embed" ProgID="Equation.3" ShapeID="_x0000_i1786" DrawAspect="Content" ObjectID="_0000000001" r:id="rId1872"/>
                            </w:object>
                          </w:r>
                          <w:r>
                            <w:rPr>
                              <w:lang w:eastAsia="lt-LT"/>
                            </w:rPr>
                            <w:t>,</w:t>
                          </w:r>
                          <w:r>
                            <w:rPr>
                              <w:szCs w:val="24"/>
                              <w:lang w:eastAsia="lt-LT"/>
                            </w:rPr>
                            <w:t xml:space="preserve"> tada </w:t>
                          </w:r>
                          <w:r>
                            <w:rPr>
                              <w:color w:val="000000"/>
                              <w:position w:val="-14"/>
                              <w:lang w:eastAsia="lt-LT"/>
                            </w:rPr>
                            <w:object w:dxaOrig="3080" w:dyaOrig="400">
                              <v:shape id="_x0000_i1787" type="#_x0000_t75" style="width:153.7pt;height:20.2pt" o:ole="">
                                <v:imagedata r:id="rId1873" o:title=""/>
                              </v:shape>
                              <o:OLEObject Type="Embed" ProgID="Equation.3" ShapeID="_x0000_i1787" DrawAspect="Content" ObjectID="_0000000001" r:id="rId1874"/>
                            </w:object>
                          </w:r>
                          <w:r>
                            <w:rPr>
                              <w:lang w:eastAsia="lt-LT"/>
                            </w:rPr>
                            <w:t>;</w:t>
                          </w:r>
                        </w:p>
                        <w:p>
                          <w:pPr>
                            <w:tabs>
                              <w:tab w:val="left" w:pos="567"/>
                            </w:tabs>
                            <w:suppressAutoHyphens/>
                            <w:ind w:firstLine="720"/>
                            <w:jc w:val="both"/>
                            <w:rPr>
                              <w:bCs/>
                              <w:szCs w:val="24"/>
                              <w:lang w:eastAsia="lt-LT"/>
                            </w:rPr>
                          </w:pPr>
                          <w:r>
                            <w:rPr>
                              <w:i/>
                              <w:szCs w:val="24"/>
                              <w:lang w:eastAsia="lt-LT"/>
                            </w:rPr>
                            <w:t>η</w:t>
                          </w:r>
                          <w:r>
                            <w:rPr>
                              <w:i/>
                              <w:szCs w:val="24"/>
                              <w:vertAlign w:val="subscript"/>
                              <w:lang w:eastAsia="lt-LT"/>
                            </w:rPr>
                            <w:t xml:space="preserve">hw.eq1  </w:t>
                          </w:r>
                          <w:r>
                            <w:rPr>
                              <w:szCs w:val="24"/>
                              <w:lang w:eastAsia="lt-LT"/>
                            </w:rPr>
                            <w:t xml:space="preserve">– imama iš </w:t>
                          </w:r>
                          <w:r>
                            <w:rPr>
                              <w:bCs/>
                              <w:szCs w:val="24"/>
                              <w:lang w:eastAsia="lt-LT"/>
                            </w:rPr>
                            <w:t xml:space="preserve">2.21 lentelės. </w:t>
                          </w:r>
                        </w:p>
                      </w:sdtContent>
                    </w:sdt>
                  </w:sdtContent>
                </w:sdt>
                <w:sdt>
                  <w:sdtPr>
                    <w:alias w:val="77.2 pp."/>
                    <w:tag w:val="part_671e51aa04d94dfa81675aa51d49fa45"/>
                    <w:lock w:val="sdtLocked"/>
                    <w:richText/>
                  </w:sdtPr>
                  <w:sdtContent>
                    <w:p>
                      <w:pPr>
                        <w:tabs>
                          <w:tab w:val="left" w:pos="567"/>
                        </w:tabs>
                        <w:suppressAutoHyphens/>
                        <w:ind w:firstLine="567"/>
                        <w:jc w:val="both"/>
                        <w:rPr>
                          <w:color w:val="000000"/>
                          <w:szCs w:val="24"/>
                          <w:lang w:eastAsia="lt-LT"/>
                        </w:rPr>
                      </w:pPr>
                      <w:sdt>
                        <w:sdtPr>
                          <w:alias w:val="Numeris"/>
                          <w:tag w:val="nr_671e51aa04d94dfa81675aa51d49fa45"/>
                          <w:lock w:val="sdtLocked"/>
                          <w:richText/>
                        </w:sdtPr>
                        <w:sdtContent>
                          <w:r>
                            <w:rPr>
                              <w:color w:val="000000"/>
                              <w:szCs w:val="24"/>
                              <w:lang w:eastAsia="lt-LT"/>
                            </w:rPr>
                            <w:t>77.2</w:t>
                          </w:r>
                        </w:sdtContent>
                      </w:sdt>
                      <w:r>
                        <w:rPr>
                          <w:color w:val="000000"/>
                          <w:szCs w:val="24"/>
                          <w:lang w:eastAsia="lt-LT"/>
                        </w:rPr>
                        <w:t xml:space="preserve">. kiekvieno mėnesio „m“ skaičiuojamosios atsinaujinančios pirminės energijos sąnaudos pastatui šildyti </w:t>
                      </w:r>
                      <w:r>
                        <w:rPr>
                          <w:i/>
                          <w:color w:val="000000"/>
                          <w:szCs w:val="24"/>
                          <w:lang w:eastAsia="lt-LT"/>
                        </w:rPr>
                        <w:t>Q</w:t>
                      </w:r>
                      <w:r>
                        <w:rPr>
                          <w:i/>
                          <w:color w:val="000000"/>
                          <w:szCs w:val="24"/>
                          <w:vertAlign w:val="subscript"/>
                          <w:lang w:eastAsia="lt-LT"/>
                        </w:rPr>
                        <w:t>PRr.H,m</w:t>
                      </w:r>
                      <w:r>
                        <w:rPr>
                          <w:color w:val="000000"/>
                          <w:szCs w:val="24"/>
                          <w:lang w:eastAsia="lt-LT"/>
                        </w:rPr>
                        <w:t xml:space="preserve"> (kWh/(m</w:t>
                      </w:r>
                      <w:r>
                        <w:rPr>
                          <w:color w:val="000000"/>
                          <w:szCs w:val="24"/>
                          <w:vertAlign w:val="superscript"/>
                          <w:lang w:eastAsia="lt-LT"/>
                        </w:rPr>
                        <w:t>2</w:t>
                      </w:r>
                      <w:r>
                        <w:rPr>
                          <w:color w:val="000000"/>
                          <w:szCs w:val="24"/>
                          <w:lang w:eastAsia="lt-LT"/>
                        </w:rPr>
                        <w:t>·mėn.)) apskaičiuojamos taip:</w:t>
                      </w:r>
                    </w:p>
                    <w:sdt>
                      <w:sdtPr>
                        <w:alias w:val="77.2.1 pp."/>
                        <w:tag w:val="part_12de115b4c644380a95aea100219e995"/>
                        <w:lock w:val="sdtLocked"/>
                        <w:richText/>
                      </w:sdtPr>
                      <w:sdtContent>
                        <w:p>
                          <w:pPr>
                            <w:tabs>
                              <w:tab w:val="left" w:pos="567"/>
                            </w:tabs>
                            <w:suppressAutoHyphens/>
                            <w:ind w:firstLine="567"/>
                            <w:rPr>
                              <w:color w:val="000000"/>
                              <w:szCs w:val="24"/>
                              <w:lang w:eastAsia="lt-LT"/>
                            </w:rPr>
                          </w:pPr>
                          <w:sdt>
                            <w:sdtPr>
                              <w:alias w:val="Numeris"/>
                              <w:tag w:val="nr_12de115b4c644380a95aea100219e995"/>
                              <w:lock w:val="sdtLocked"/>
                              <w:richText/>
                            </w:sdtPr>
                            <w:sdtContent>
                              <w:r>
                                <w:rPr>
                                  <w:color w:val="000000"/>
                                  <w:szCs w:val="24"/>
                                  <w:lang w:eastAsia="lt-LT"/>
                                </w:rPr>
                                <w:t>77.2.1</w:t>
                              </w:r>
                            </w:sdtContent>
                          </w:sdt>
                          <w:r>
                            <w:rPr>
                              <w:color w:val="000000"/>
                              <w:szCs w:val="24"/>
                              <w:lang w:eastAsia="lt-LT"/>
                            </w:rPr>
                            <w:t>. jei pastatui šildyti naudojamas vienas šilumos šaltinis:</w:t>
                          </w:r>
                        </w:p>
                        <w:tbl>
                          <w:tblPr>
                            <w:tblW w:w="0" w:type="auto"/>
                            <w:tblLook w:val="04A0" w:firstRow="1" w:lastRow="0" w:firstColumn="1" w:lastColumn="0" w:noHBand="0" w:noVBand="1"/>
                          </w:tblPr>
                          <w:tblGrid>
                            <w:gridCol w:w="8217"/>
                            <w:gridCol w:w="1411"/>
                          </w:tblGrid>
                          <w:tr>
                            <w:tc>
                              <w:tcPr>
                                <w:tcW w:w="8217" w:type="dxa"/>
                                <w:vAlign w:val="center"/>
                                <w:hideMark/>
                              </w:tcPr>
                              <w:p>
                                <w:pPr>
                                  <w:tabs>
                                    <w:tab w:val="left" w:pos="567"/>
                                  </w:tabs>
                                  <w:suppressAutoHyphens/>
                                  <w:spacing w:line="276" w:lineRule="auto"/>
                                  <w:jc w:val="center"/>
                                </w:pPr>
                                <w:r>
                                  <w:rPr>
                                    <w:position w:val="-14"/>
                                    <w:lang w:eastAsia="lt-LT"/>
                                  </w:rPr>
                                  <w:object w:dxaOrig="5292" w:dyaOrig="432">
                                    <v:shape id="_x0000_i1788" type="#_x0000_t75" style="width:265.35pt;height:21.85pt" o:ole="">
                                      <v:imagedata r:id="rId1875" o:title=""/>
                                    </v:shape>
                                    <o:OLEObject Type="Embed" ProgID="Equation.3" ShapeID="_x0000_i1788" DrawAspect="Content" ObjectID="_0000000001" r:id="rId1876"/>
                                  </w:object>
                                </w:r>
                                <w:r>
                                  <w:rPr>
                                    <w:lang w:eastAsia="lt-LT"/>
                                  </w:rPr>
                                  <w:t>;</w:t>
                                </w:r>
                              </w:p>
                            </w:tc>
                            <w:tc>
                              <w:tcPr>
                                <w:tcW w:w="1411" w:type="dxa"/>
                                <w:vAlign w:val="center"/>
                                <w:hideMark/>
                              </w:tcPr>
                              <w:p>
                                <w:pPr>
                                  <w:tabs>
                                    <w:tab w:val="left" w:pos="567"/>
                                  </w:tabs>
                                  <w:suppressAutoHyphens/>
                                  <w:spacing w:line="276" w:lineRule="auto"/>
                                  <w:jc w:val="right"/>
                                </w:pPr>
                                <w:r>
                                  <w:rPr>
                                    <w:lang w:eastAsia="lt-LT"/>
                                  </w:rPr>
                                  <w:t>(2.598)</w:t>
                                </w:r>
                              </w:p>
                            </w:tc>
                          </w:tr>
                        </w:tbl>
                        <w:p>
                          <w:pPr>
                            <w:tabs>
                              <w:tab w:val="left" w:pos="567"/>
                            </w:tabs>
                            <w:suppressAutoHyphens/>
                            <w:rPr>
                              <w:color w:val="000000"/>
                              <w:lang w:eastAsia="lt-LT"/>
                            </w:rPr>
                          </w:pPr>
                          <w:r>
                            <w:rPr>
                              <w:szCs w:val="24"/>
                              <w:lang w:eastAsia="lt-LT"/>
                            </w:rPr>
                            <w:t>čia:</w:t>
                            <w:tab/>
                            <w:t xml:space="preserve">jei  </w:t>
                          </w:r>
                          <w:r>
                            <w:rPr>
                              <w:lang w:eastAsia="lt-LT"/>
                            </w:rPr>
                            <w:t xml:space="preserve"> </w:t>
                          </w:r>
                          <w:r>
                            <w:rPr>
                              <w:position w:val="-14"/>
                              <w:lang w:eastAsia="lt-LT"/>
                            </w:rPr>
                            <w:object w:dxaOrig="3864" w:dyaOrig="384">
                              <v:shape id="_x0000_i1789" type="#_x0000_t75" style="width:193.35pt;height:19.4pt" o:ole="">
                                <v:imagedata r:id="rId1877" o:title=""/>
                              </v:shape>
                              <o:OLEObject Type="Embed" ProgID="Equation.3" ShapeID="_x0000_i1789" DrawAspect="Content" ObjectID="_0000000001" r:id="rId1878"/>
                            </w:object>
                          </w:r>
                          <w:r>
                            <w:rPr>
                              <w:lang w:eastAsia="lt-LT"/>
                            </w:rPr>
                            <w:t xml:space="preserve">, tada  </w:t>
                          </w:r>
                          <w:r>
                            <w:rPr>
                              <w:color w:val="000000"/>
                              <w:position w:val="-14"/>
                            </w:rPr>
                            <w:object w:dxaOrig="3912" w:dyaOrig="408">
                              <v:shape id="_x0000_i1790" type="#_x0000_t75" style="width:196.6pt;height:20.2pt" o:ole="">
                                <v:imagedata r:id="rId1879" o:title=""/>
                              </v:shape>
                              <o:OLEObject Type="Embed" ProgID="Equation.3" ShapeID="_x0000_i1790" DrawAspect="Content" ObjectID="_0000000001" r:id="rId1880"/>
                            </w:object>
                          </w:r>
                          <w:r>
                            <w:rPr>
                              <w:color w:val="000000"/>
                              <w:lang w:eastAsia="lt-LT"/>
                            </w:rPr>
                            <w:t>;</w:t>
                          </w:r>
                        </w:p>
                        <w:p>
                          <w:pPr>
                            <w:tabs>
                              <w:tab w:val="left" w:pos="567"/>
                            </w:tabs>
                            <w:suppressAutoHyphens/>
                            <w:rPr>
                              <w:color w:val="000000"/>
                              <w:lang w:eastAsia="lt-LT"/>
                            </w:rPr>
                          </w:pPr>
                          <w:r>
                            <w:rPr>
                              <w:color w:val="000000"/>
                              <w:lang w:eastAsia="lt-LT"/>
                            </w:rPr>
                            <w:t>- jei nenaudojamas dujinis katilas su absorbciniu šilumos siurbliu, tada</w:t>
                          </w:r>
                        </w:p>
                        <w:p>
                          <w:pPr>
                            <w:tabs>
                              <w:tab w:val="left" w:pos="567"/>
                            </w:tabs>
                            <w:suppressAutoHyphens/>
                            <w:rPr>
                              <w:color w:val="000000"/>
                              <w:lang w:eastAsia="lt-LT"/>
                            </w:rPr>
                          </w:pPr>
                        </w:p>
                        <w:p>
                          <w:pPr>
                            <w:tabs>
                              <w:tab w:val="left" w:pos="280"/>
                              <w:tab w:val="left" w:pos="567"/>
                              <w:tab w:val="center" w:pos="4818"/>
                            </w:tabs>
                            <w:suppressAutoHyphens/>
                            <w:ind w:firstLine="962"/>
                            <w:rPr>
                              <w:color w:val="000000"/>
                              <w:lang w:val="en-US" w:eastAsia="lt-LT"/>
                            </w:rPr>
                          </w:pPr>
                          <w:r>
                            <w:rPr>
                              <w:color w:val="000000"/>
                              <w:szCs w:val="24"/>
                              <w:lang w:eastAsia="lt-LT"/>
                            </w:rPr>
                            <w:object w:dxaOrig="6396" w:dyaOrig="2016">
                              <v:shape id="_x0000_i1791" type="#_x0000_t75" style="width:320.35pt;height:100.3pt" o:ole="">
                                <v:imagedata r:id="rId1881" o:title=""/>
                              </v:shape>
                              <o:OLEObject Type="Embed" ProgID="Equation.3" ShapeID="_x0000_i1791" DrawAspect="Content" ObjectID="_0000000001" r:id="rId1882"/>
                            </w:object>
                            <w:t xml:space="preserve">;                     </w:t>
                          </w:r>
                          <w:r>
                            <w:rPr>
                              <w:lang w:eastAsia="lt-LT"/>
                            </w:rPr>
                            <w:t>(2.598-1)</w:t>
                          </w:r>
                        </w:p>
                        <w:p>
                          <w:pPr>
                            <w:tabs>
                              <w:tab w:val="left" w:pos="567"/>
                            </w:tabs>
                            <w:suppressAutoHyphens/>
                            <w:ind w:left="709" w:hanging="709"/>
                            <w:jc w:val="both"/>
                            <w:rPr>
                              <w:b/>
                              <w:lang w:eastAsia="lt-LT"/>
                            </w:rPr>
                          </w:pPr>
                        </w:p>
                        <w:p>
                          <w:pPr>
                            <w:tabs>
                              <w:tab w:val="left" w:pos="567"/>
                            </w:tabs>
                            <w:suppressAutoHyphens/>
                            <w:jc w:val="both"/>
                            <w:rPr>
                              <w:lang w:eastAsia="lt-LT"/>
                            </w:rPr>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suppressAutoHyphens/>
                            <w:ind w:left="1080" w:hanging="360"/>
                            <w:jc w:val="both"/>
                            <w:rPr>
                              <w:lang w:eastAsia="lt-LT"/>
                            </w:rPr>
                          </w:pPr>
                          <w:r>
                            <w:t>-</w:t>
                            <w:tab/>
                          </w:r>
                          <w:r>
                            <w:rPr>
                              <w:lang w:eastAsia="lt-LT"/>
                            </w:rPr>
                            <w:t xml:space="preserve">jei šilumos šaltinis pastatui šildyti nenaudoja elektros energijos, tada imama </w:t>
                          </w:r>
                          <w:r>
                            <w:rPr>
                              <w:position w:val="-14"/>
                              <w:lang w:eastAsia="lt-LT"/>
                            </w:rPr>
                            <w:object w:dxaOrig="816" w:dyaOrig="384">
                              <v:shape id="_x0000_i1792" type="#_x0000_t75" style="width:40.45pt;height:19.4pt" o:ole="">
                                <v:imagedata r:id="rId1883" o:title=""/>
                              </v:shape>
                              <o:OLEObject Type="Embed" ProgID="Equation.3" ShapeID="_x0000_i1792" DrawAspect="Content" ObjectID="_0000000001" r:id="rId1884"/>
                            </w:object>
                          </w:r>
                          <w:r>
                            <w:rPr>
                              <w:lang w:eastAsia="lt-LT"/>
                            </w:rPr>
                            <w:t>;</w:t>
                          </w:r>
                        </w:p>
                        <w:p>
                          <w:pPr>
                            <w:tabs>
                              <w:tab w:val="left" w:pos="567"/>
                            </w:tabs>
                            <w:suppressAutoHyphens/>
                            <w:ind w:left="1080" w:hanging="360"/>
                            <w:jc w:val="both"/>
                            <w:rPr>
                              <w:color w:val="000000"/>
                              <w:sz w:val="22"/>
                              <w:szCs w:val="22"/>
                              <w:lang w:eastAsia="lt-LT"/>
                            </w:rPr>
                          </w:pPr>
                          <w:r>
                            <w:rPr>
                              <w:color w:val="000000"/>
                              <w:sz w:val="22"/>
                              <w:szCs w:val="22"/>
                            </w:rPr>
                            <w:t>-</w:t>
                            <w:tab/>
                          </w:r>
                          <w:r>
                            <w:rPr>
                              <w:color w:val="000000"/>
                              <w:sz w:val="22"/>
                              <w:szCs w:val="22"/>
                              <w:lang w:eastAsia="lt-LT"/>
                            </w:rPr>
                            <w:t>jei naudojamas dujinis katilas su absorbciniu šilumos siurbliu, tada:</w:t>
                          </w:r>
                        </w:p>
                        <w:p>
                          <w:pPr>
                            <w:tabs>
                              <w:tab w:val="left" w:pos="567"/>
                            </w:tabs>
                            <w:suppressAutoHyphens/>
                            <w:jc w:val="both"/>
                            <w:rPr>
                              <w:lang w:eastAsia="lt-LT"/>
                            </w:rPr>
                          </w:pPr>
                        </w:p>
                        <w:tbl>
                          <w:tblPr>
                            <w:tblW w:w="5000" w:type="pct"/>
                            <w:tblLook w:val="04A0" w:firstRow="1" w:lastRow="0" w:firstColumn="1" w:lastColumn="0" w:noHBand="0" w:noVBand="1"/>
                          </w:tblPr>
                          <w:tblGrid>
                            <w:gridCol w:w="8289"/>
                            <w:gridCol w:w="1565"/>
                          </w:tblGrid>
                          <w:tr>
                            <w:tc>
                              <w:tcPr>
                                <w:tcW w:w="4206" w:type="pct"/>
                                <w:vAlign w:val="center"/>
                                <w:hideMark/>
                              </w:tcPr>
                              <w:p>
                                <w:pPr>
                                  <w:tabs>
                                    <w:tab w:val="left" w:pos="567"/>
                                  </w:tabs>
                                  <w:suppressAutoHyphens/>
                                  <w:jc w:val="center"/>
                                  <w:rPr>
                                    <w:color w:val="000000"/>
                                    <w:szCs w:val="24"/>
                                  </w:rPr>
                                </w:pPr>
                                <w:r>
                                  <w:rPr>
                                    <w:color w:val="000000"/>
                                    <w:szCs w:val="24"/>
                                    <w:lang w:eastAsia="lt-LT"/>
                                  </w:rPr>
                                  <w:object w:dxaOrig="6108" w:dyaOrig="1980">
                                    <v:shape id="_x0000_i1793" type="#_x0000_t75" style="width:305.8pt;height:100.3pt" o:ole="">
                                      <v:imagedata r:id="rId1885" o:title=""/>
                                    </v:shape>
                                    <o:OLEObject Type="Embed" ProgID="Equation.3" ShapeID="_x0000_i1793" DrawAspect="Content" ObjectID="_0000000001" r:id="rId1886"/>
                                  </w:object>
                                </w:r>
                                <w:r>
                                  <w:rPr>
                                    <w:color w:val="000000"/>
                                    <w:szCs w:val="24"/>
                                  </w:rPr>
                                  <w:t>;</w:t>
                                </w:r>
                              </w:p>
                            </w:tc>
                            <w:tc>
                              <w:tcPr>
                                <w:tcW w:w="794" w:type="pct"/>
                                <w:vAlign w:val="center"/>
                                <w:hideMark/>
                              </w:tcPr>
                              <w:p>
                                <w:pPr>
                                  <w:tabs>
                                    <w:tab w:val="left" w:pos="567"/>
                                  </w:tabs>
                                  <w:suppressAutoHyphens/>
                                  <w:jc w:val="right"/>
                                  <w:rPr>
                                    <w:color w:val="000000"/>
                                    <w:szCs w:val="24"/>
                                  </w:rPr>
                                </w:pPr>
                                <w:r>
                                  <w:rPr>
                                    <w:color w:val="000000"/>
                                    <w:szCs w:val="24"/>
                                  </w:rPr>
                                  <w:t>(2.598-1-1)</w:t>
                                </w:r>
                              </w:p>
                            </w:tc>
                          </w:tr>
                        </w:tbl>
                        <w:p>
                          <w:pPr>
                            <w:tabs>
                              <w:tab w:val="left" w:pos="284"/>
                            </w:tabs>
                            <w:suppressAutoHyphens/>
                            <w:jc w:val="both"/>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 xml:space="preserve">H,m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suppressAutoHyphens/>
                            <w:ind w:firstLine="567"/>
                            <w:jc w:val="both"/>
                            <w:rPr>
                              <w:color w:val="000000"/>
                              <w:szCs w:val="24"/>
                              <w:lang w:eastAsia="lt-LT"/>
                            </w:rPr>
                          </w:pPr>
                          <w:r>
                            <w:rPr>
                              <w:i/>
                              <w:color w:val="000000"/>
                              <w:szCs w:val="24"/>
                              <w:lang w:eastAsia="lt-LT"/>
                            </w:rPr>
                            <w:t>Q</w:t>
                          </w:r>
                          <w:r>
                            <w:rPr>
                              <w:i/>
                              <w:color w:val="000000"/>
                              <w:szCs w:val="24"/>
                              <w:vertAlign w:val="subscript"/>
                              <w:lang w:eastAsia="lt-LT"/>
                            </w:rPr>
                            <w:t xml:space="preserve">H.E.GHP,m </w:t>
                          </w:r>
                          <w:r>
                            <w:rPr>
                              <w:color w:val="000000"/>
                              <w:szCs w:val="24"/>
                              <w:lang w:eastAsia="lt-LT"/>
                            </w:rPr>
                            <w:t xml:space="preserve">– </w:t>
                          </w:r>
                          <w:r>
                            <w:rPr>
                              <w:bCs/>
                              <w:szCs w:val="24"/>
                              <w:lang w:eastAsia="lt-LT"/>
                            </w:rPr>
                            <w:t xml:space="preserve">dujinio katilo su absorbciniu šilumos siurbliu elektros energijos sąnaudos </w:t>
                          </w:r>
                          <w:r>
                            <w:rPr>
                              <w:color w:val="000000"/>
                              <w:szCs w:val="24"/>
                              <w:lang w:eastAsia="lt-LT"/>
                            </w:rPr>
                            <w:t>(kWh/(m</w:t>
                          </w:r>
                          <w:r>
                            <w:rPr>
                              <w:color w:val="000000"/>
                              <w:szCs w:val="24"/>
                              <w:vertAlign w:val="superscript"/>
                              <w:lang w:eastAsia="lt-LT"/>
                            </w:rPr>
                            <w:t>2</w:t>
                          </w:r>
                          <w:r>
                            <w:rPr>
                              <w:color w:val="000000"/>
                              <w:szCs w:val="24"/>
                              <w:lang w:eastAsia="lt-LT"/>
                            </w:rPr>
                            <w:t>·mėn.))</w:t>
                          </w:r>
                          <w:r>
                            <w:rPr>
                              <w:bCs/>
                              <w:szCs w:val="24"/>
                              <w:lang w:eastAsia="lt-LT"/>
                            </w:rPr>
                            <w:t>, kurios apskaičiuojamos pagal (2.569-2) formulę.</w:t>
                          </w:r>
                        </w:p>
                        <w:p>
                          <w:pPr>
                            <w:tabs>
                              <w:tab w:val="left" w:pos="567"/>
                            </w:tabs>
                            <w:suppressAutoHyphens/>
                            <w:ind w:left="1080" w:hanging="360"/>
                            <w:jc w:val="both"/>
                            <w:rPr>
                              <w:lang w:eastAsia="lt-LT"/>
                            </w:rPr>
                          </w:pPr>
                          <w:r>
                            <w:t>-</w:t>
                            <w:tab/>
                          </w:r>
                          <w:r>
                            <w:rPr>
                              <w:lang w:eastAsia="lt-LT"/>
                            </w:rPr>
                            <w:t xml:space="preserve">jei orui pašildyti nenaudojamas dujinis katilas su absorbciniu šilumos siurbliu, tada: </w:t>
                          </w:r>
                        </w:p>
                        <w:p>
                          <w:pPr>
                            <w:tabs>
                              <w:tab w:val="left" w:pos="567"/>
                            </w:tabs>
                            <w:suppressAutoHyphens/>
                            <w:rPr>
                              <w:b/>
                              <w:bCs/>
                              <w:color w:val="FF0000"/>
                              <w:lang w:eastAsia="lt-LT"/>
                            </w:rPr>
                          </w:pPr>
                        </w:p>
                        <w:tbl>
                          <w:tblPr>
                            <w:tblW w:w="5000" w:type="pct"/>
                            <w:tblLook w:val="04A0" w:firstRow="1" w:lastRow="0" w:firstColumn="1" w:lastColumn="0" w:noHBand="0" w:noVBand="1"/>
                          </w:tblPr>
                          <w:tblGrid>
                            <w:gridCol w:w="8581"/>
                            <w:gridCol w:w="1273"/>
                          </w:tblGrid>
                          <w:tr>
                            <w:tc>
                              <w:tcPr>
                                <w:tcW w:w="4354" w:type="pct"/>
                                <w:vAlign w:val="center"/>
                                <w:hideMark/>
                              </w:tcPr>
                              <w:p>
                                <w:pPr>
                                  <w:tabs>
                                    <w:tab w:val="left" w:pos="567"/>
                                  </w:tabs>
                                  <w:suppressAutoHyphens/>
                                  <w:spacing w:line="276" w:lineRule="auto"/>
                                  <w:jc w:val="center"/>
                                  <w:rPr>
                                    <w:lang w:eastAsia="lt-LT"/>
                                  </w:rPr>
                                </w:pPr>
                                <w:r>
                                  <w:rPr>
                                    <w:lang w:eastAsia="lt-LT"/>
                                  </w:rPr>
                                  <w:object w:dxaOrig="7332" w:dyaOrig="2160">
                                    <v:shape id="_x0000_i1794" type="#_x0000_t75" style="width:367.3pt;height:108.4pt" o:ole="">
                                      <v:imagedata r:id="rId1887" o:title=""/>
                                    </v:shape>
                                    <o:OLEObject Type="Embed" ProgID="Equation.3" ShapeID="_x0000_i1794" DrawAspect="Content" ObjectID="_0000000001" r:id="rId1888"/>
                                  </w:object>
                                  <w:t>;</w:t>
                                </w:r>
                              </w:p>
                            </w:tc>
                            <w:tc>
                              <w:tcPr>
                                <w:tcW w:w="646" w:type="pct"/>
                                <w:vAlign w:val="center"/>
                                <w:hideMark/>
                              </w:tcPr>
                              <w:p>
                                <w:pPr>
                                  <w:tabs>
                                    <w:tab w:val="left" w:pos="567"/>
                                  </w:tabs>
                                  <w:suppressAutoHyphens/>
                                  <w:spacing w:line="276" w:lineRule="auto"/>
                                  <w:jc w:val="right"/>
                                </w:pPr>
                                <w:r>
                                  <w:rPr>
                                    <w:lang w:eastAsia="lt-LT"/>
                                  </w:rPr>
                                  <w:t>(2.598-2)</w:t>
                                </w:r>
                              </w:p>
                            </w:tc>
                          </w:tr>
                        </w:tbl>
                        <w:p>
                          <w:pPr>
                            <w:tabs>
                              <w:tab w:val="left" w:pos="567"/>
                            </w:tabs>
                            <w:suppressAutoHyphens/>
                            <w:jc w:val="both"/>
                          </w:pPr>
                          <w:r>
                            <w:rPr>
                              <w:lang w:eastAsia="lt-LT"/>
                            </w:rPr>
                            <w:t>čia: jei šilumos šaltinis pastatui šildyti nenaudoja elektros energijos, tada imama (1-</w:t>
                          </w:r>
                          <w:r>
                            <w:rPr>
                              <w:i/>
                              <w:color w:val="000000"/>
                              <w:szCs w:val="24"/>
                              <w:lang w:eastAsia="lt-LT"/>
                            </w:rPr>
                            <w:t>τ</w:t>
                          </w:r>
                          <w:r>
                            <w:rPr>
                              <w:i/>
                              <w:color w:val="000000"/>
                              <w:szCs w:val="24"/>
                              <w:vertAlign w:val="subscript"/>
                              <w:lang w:eastAsia="lt-LT"/>
                            </w:rPr>
                            <w:t>H,m</w:t>
                          </w:r>
                          <w:r>
                            <w:rPr>
                              <w:color w:val="000000"/>
                              <w:szCs w:val="24"/>
                              <w:lang w:eastAsia="lt-LT"/>
                            </w:rPr>
                            <w:t>)</w:t>
                          </w:r>
                          <w:r>
                            <w:rPr>
                              <w:lang w:eastAsia="lt-LT"/>
                            </w:rPr>
                            <w:t>=1;</w:t>
                          </w:r>
                        </w:p>
                        <w:p>
                          <w:pPr>
                            <w:tabs>
                              <w:tab w:val="left" w:pos="567"/>
                            </w:tabs>
                            <w:suppressAutoHyphens/>
                            <w:ind w:left="1080" w:hanging="360"/>
                            <w:jc w:val="both"/>
                            <w:rPr>
                              <w:lang w:eastAsia="lt-LT"/>
                            </w:rPr>
                          </w:pPr>
                          <w:r>
                            <w:t>-</w:t>
                            <w:tab/>
                          </w:r>
                          <w:r>
                            <w:rPr>
                              <w:lang w:eastAsia="lt-LT"/>
                            </w:rPr>
                            <w:t xml:space="preserve">jei orui pašildyti naudojamas dujinis katilas su absorbciniu šilumos siurbliu, tada: </w:t>
                          </w:r>
                        </w:p>
                        <w:tbl>
                          <w:tblPr>
                            <w:tblW w:w="5000" w:type="pct"/>
                            <w:tblLook w:val="04A0" w:firstRow="1" w:lastRow="0" w:firstColumn="1" w:lastColumn="0" w:noHBand="0" w:noVBand="1"/>
                          </w:tblPr>
                          <w:tblGrid>
                            <w:gridCol w:w="8502"/>
                            <w:gridCol w:w="1352"/>
                          </w:tblGrid>
                          <w:tr>
                            <w:tc>
                              <w:tcPr>
                                <w:tcW w:w="4314" w:type="pct"/>
                                <w:vAlign w:val="center"/>
                                <w:hideMark/>
                              </w:tcPr>
                              <w:p>
                                <w:pPr>
                                  <w:tabs>
                                    <w:tab w:val="left" w:pos="567"/>
                                  </w:tabs>
                                  <w:suppressAutoHyphens/>
                                  <w:spacing w:line="276" w:lineRule="auto"/>
                                  <w:ind w:left="567"/>
                                  <w:jc w:val="center"/>
                                  <w:rPr>
                                    <w:lang w:eastAsia="lt-LT"/>
                                  </w:rPr>
                                </w:pPr>
                                <w:r>
                                  <w:rPr>
                                    <w:lang w:eastAsia="lt-LT"/>
                                  </w:rPr>
                                  <w:object w:dxaOrig="3888" w:dyaOrig="1128">
                                    <v:shape id="_x0000_i1795" type="#_x0000_t75" style="width:194.15pt;height:55.8pt" o:ole="">
                                      <v:imagedata r:id="rId1889" o:title=""/>
                                    </v:shape>
                                    <o:OLEObject Type="Embed" ProgID="Equation.3" ShapeID="_x0000_i1795" DrawAspect="Content" ObjectID="_0000000001" r:id="rId1890"/>
                                  </w:object>
                                  <w:t>;</w:t>
                                </w:r>
                              </w:p>
                            </w:tc>
                            <w:tc>
                              <w:tcPr>
                                <w:tcW w:w="686" w:type="pct"/>
                                <w:vAlign w:val="center"/>
                                <w:hideMark/>
                              </w:tcPr>
                              <w:p>
                                <w:pPr>
                                  <w:tabs>
                                    <w:tab w:val="left" w:pos="567"/>
                                  </w:tabs>
                                  <w:suppressAutoHyphens/>
                                  <w:spacing w:line="276" w:lineRule="auto"/>
                                </w:pPr>
                                <w:r>
                                  <w:rPr>
                                    <w:lang w:eastAsia="lt-LT"/>
                                  </w:rPr>
                                  <w:t>(2.598-2-1)</w:t>
                                </w:r>
                              </w:p>
                            </w:tc>
                          </w:tr>
                        </w:tbl>
                        <w:p>
                          <w:pPr>
                            <w:tabs>
                              <w:tab w:val="left" w:pos="567"/>
                            </w:tabs>
                            <w:suppressAutoHyphens/>
                            <w:ind w:left="1080" w:hanging="360"/>
                            <w:rPr>
                              <w:lang w:eastAsia="lt-LT"/>
                            </w:rPr>
                          </w:pPr>
                          <w:r>
                            <w:t>-</w:t>
                            <w:tab/>
                          </w:r>
                          <w:r>
                            <w:rPr>
                              <w:lang w:eastAsia="lt-LT"/>
                            </w:rPr>
                            <w:t xml:space="preserve">jeigu orui pašildyti nenaudojamas dujinis katilas su absorbciniu šilumos siurbliu, tada: </w:t>
                          </w:r>
                        </w:p>
                        <w:p>
                          <w:pPr>
                            <w:tabs>
                              <w:tab w:val="left" w:pos="567"/>
                            </w:tabs>
                            <w:suppressAutoHyphens/>
                            <w:rPr>
                              <w:lang w:eastAsia="lt-LT"/>
                            </w:rPr>
                          </w:pPr>
                        </w:p>
                        <w:tbl>
                          <w:tblPr>
                            <w:tblW w:w="5000" w:type="pct"/>
                            <w:tblLook w:val="04A0" w:firstRow="1" w:lastRow="0" w:firstColumn="1" w:lastColumn="0" w:noHBand="0" w:noVBand="1"/>
                          </w:tblPr>
                          <w:tblGrid>
                            <w:gridCol w:w="8502"/>
                            <w:gridCol w:w="1352"/>
                          </w:tblGrid>
                          <w:tr>
                            <w:tc>
                              <w:tcPr>
                                <w:tcW w:w="4314" w:type="pct"/>
                                <w:vAlign w:val="center"/>
                                <w:hideMark/>
                              </w:tcPr>
                              <w:p>
                                <w:pPr>
                                  <w:tabs>
                                    <w:tab w:val="left" w:pos="567"/>
                                  </w:tabs>
                                  <w:suppressAutoHyphens/>
                                  <w:spacing w:line="276" w:lineRule="auto"/>
                                  <w:jc w:val="center"/>
                                  <w:rPr>
                                    <w:lang w:eastAsia="lt-LT"/>
                                  </w:rPr>
                                </w:pPr>
                                <w:r>
                                  <w:rPr>
                                    <w:lang w:eastAsia="lt-LT"/>
                                  </w:rPr>
                                  <w:object w:dxaOrig="6852" w:dyaOrig="2100">
                                    <v:shape id="_x0000_i1796" type="#_x0000_t75" style="width:343.8pt;height:106.8pt" o:ole="">
                                      <v:imagedata r:id="rId1891" o:title=""/>
                                    </v:shape>
                                    <o:OLEObject Type="Embed" ProgID="Equation.3" ShapeID="_x0000_i1796" DrawAspect="Content" ObjectID="_0000000001" r:id="rId1892"/>
                                  </w:object>
                                  <w:t>;</w:t>
                                </w:r>
                              </w:p>
                            </w:tc>
                            <w:tc>
                              <w:tcPr>
                                <w:tcW w:w="686" w:type="pct"/>
                                <w:vAlign w:val="center"/>
                                <w:hideMark/>
                              </w:tcPr>
                              <w:p>
                                <w:pPr>
                                  <w:tabs>
                                    <w:tab w:val="left" w:pos="567"/>
                                  </w:tabs>
                                  <w:suppressAutoHyphens/>
                                  <w:spacing w:line="276" w:lineRule="auto"/>
                                  <w:jc w:val="right"/>
                                </w:pPr>
                                <w:r>
                                  <w:rPr>
                                    <w:lang w:eastAsia="lt-LT"/>
                                  </w:rPr>
                                  <w:t>(2.598-3)</w:t>
                                </w:r>
                              </w:p>
                            </w:tc>
                          </w:tr>
                        </w:tbl>
                        <w:p>
                          <w:pPr>
                            <w:tabs>
                              <w:tab w:val="left" w:pos="567"/>
                            </w:tabs>
                            <w:suppressAutoHyphens/>
                            <w:rPr>
                              <w:b/>
                              <w:bCs/>
                              <w:color w:val="FF0000"/>
                            </w:rPr>
                          </w:pPr>
                        </w:p>
                        <w:p>
                          <w:pPr>
                            <w:tabs>
                              <w:tab w:val="left" w:pos="567"/>
                            </w:tabs>
                            <w:suppressAutoHyphens/>
                            <w:ind w:left="567" w:hanging="567"/>
                            <w:jc w:val="both"/>
                            <w:rPr>
                              <w:lang w:eastAsia="lt-LT"/>
                            </w:rPr>
                          </w:pPr>
                          <w:r>
                            <w:rPr>
                              <w:lang w:eastAsia="lt-LT"/>
                            </w:rPr>
                            <w:t xml:space="preserve">čia: </w:t>
                            <w:tab/>
                            <w:t>jeigu šilumos šaltinis pastatui šildyti nenaudoja elektros energijos, tada imama (1-</w:t>
                          </w:r>
                          <w:r>
                            <w:rPr>
                              <w:i/>
                              <w:color w:val="000000"/>
                              <w:szCs w:val="24"/>
                              <w:lang w:eastAsia="lt-LT"/>
                            </w:rPr>
                            <w:t>τ</w:t>
                          </w:r>
                          <w:r>
                            <w:rPr>
                              <w:i/>
                              <w:color w:val="000000"/>
                              <w:szCs w:val="24"/>
                              <w:vertAlign w:val="subscript"/>
                              <w:lang w:eastAsia="lt-LT"/>
                            </w:rPr>
                            <w:t>H,m</w:t>
                          </w:r>
                          <w:r>
                            <w:rPr>
                              <w:color w:val="000000"/>
                              <w:szCs w:val="24"/>
                              <w:lang w:eastAsia="lt-LT"/>
                            </w:rPr>
                            <w:t>)</w:t>
                          </w:r>
                          <w:r>
                            <w:rPr>
                              <w:lang w:eastAsia="lt-LT"/>
                            </w:rPr>
                            <w:t>=1;</w:t>
                          </w:r>
                        </w:p>
                        <w:p>
                          <w:pPr>
                            <w:tabs>
                              <w:tab w:val="left" w:pos="567"/>
                            </w:tabs>
                            <w:suppressAutoHyphens/>
                            <w:ind w:left="1080" w:hanging="360"/>
                            <w:jc w:val="both"/>
                            <w:rPr>
                              <w:lang w:eastAsia="lt-LT"/>
                            </w:rPr>
                          </w:pPr>
                          <w:r>
                            <w:t>-</w:t>
                            <w:tab/>
                          </w:r>
                          <w:r>
                            <w:rPr>
                              <w:lang w:eastAsia="lt-LT"/>
                            </w:rPr>
                            <w:t xml:space="preserve">jei orui pašildyti naudojamas dujinis katilas su absorbciniu šilumos siurbliu, tada: </w:t>
                          </w:r>
                        </w:p>
                        <w:p>
                          <w:pPr>
                            <w:tabs>
                              <w:tab w:val="left" w:pos="567"/>
                            </w:tabs>
                            <w:suppressAutoHyphens/>
                            <w:rPr>
                              <w:bCs/>
                              <w:color w:val="FF0000"/>
                              <w:lang w:eastAsia="lt-LT"/>
                            </w:rPr>
                          </w:pPr>
                        </w:p>
                        <w:tbl>
                          <w:tblPr>
                            <w:tblW w:w="5000" w:type="pct"/>
                            <w:tblLook w:val="04A0" w:firstRow="1" w:lastRow="0" w:firstColumn="1" w:lastColumn="0" w:noHBand="0" w:noVBand="1"/>
                          </w:tblPr>
                          <w:tblGrid>
                            <w:gridCol w:w="8502"/>
                            <w:gridCol w:w="1352"/>
                          </w:tblGrid>
                          <w:tr>
                            <w:tc>
                              <w:tcPr>
                                <w:tcW w:w="4314" w:type="pct"/>
                                <w:vAlign w:val="center"/>
                                <w:hideMark/>
                              </w:tcPr>
                              <w:p>
                                <w:pPr>
                                  <w:tabs>
                                    <w:tab w:val="left" w:pos="567"/>
                                  </w:tabs>
                                  <w:suppressAutoHyphens/>
                                  <w:spacing w:line="276" w:lineRule="auto"/>
                                  <w:jc w:val="center"/>
                                  <w:rPr>
                                    <w:lang w:eastAsia="lt-LT"/>
                                  </w:rPr>
                                </w:pPr>
                                <w:r>
                                  <w:rPr>
                                    <w:lang w:eastAsia="lt-LT"/>
                                  </w:rPr>
                                  <w:object w:dxaOrig="3612" w:dyaOrig="1092">
                                    <v:shape id="_x0000_i1797" type="#_x0000_t75" style="width:180.4pt;height:55.8pt" o:ole="">
                                      <v:imagedata r:id="rId1893" o:title=""/>
                                    </v:shape>
                                    <o:OLEObject Type="Embed" ProgID="Equation.3" ShapeID="_x0000_i1797" DrawAspect="Content" ObjectID="_0000000001" r:id="rId1894"/>
                                  </w:object>
                                  <w:t>;</w:t>
                                </w:r>
                              </w:p>
                            </w:tc>
                            <w:tc>
                              <w:tcPr>
                                <w:tcW w:w="686" w:type="pct"/>
                                <w:vAlign w:val="center"/>
                                <w:hideMark/>
                              </w:tcPr>
                              <w:p>
                                <w:pPr>
                                  <w:tabs>
                                    <w:tab w:val="left" w:pos="567"/>
                                  </w:tabs>
                                  <w:suppressAutoHyphens/>
                                  <w:spacing w:line="276" w:lineRule="auto"/>
                                  <w:jc w:val="right"/>
                                </w:pPr>
                                <w:r>
                                  <w:rPr>
                                    <w:lang w:eastAsia="lt-LT"/>
                                  </w:rPr>
                                  <w:t>(2.598-4)</w:t>
                                </w:r>
                              </w:p>
                            </w:tc>
                          </w:tr>
                        </w:tbl>
                        <w:p>
                          <w:pPr>
                            <w:tabs>
                              <w:tab w:val="left" w:pos="567"/>
                            </w:tabs>
                            <w:suppressAutoHyphens/>
                            <w:rPr>
                              <w:lang w:eastAsia="lt-LT"/>
                            </w:rPr>
                          </w:pPr>
                        </w:p>
                        <w:p>
                          <w:pPr>
                            <w:tabs>
                              <w:tab w:val="left" w:pos="567"/>
                            </w:tabs>
                            <w:suppressAutoHyphens/>
                            <w:rPr>
                              <w:szCs w:val="24"/>
                              <w:lang w:eastAsia="lt-LT"/>
                            </w:rPr>
                          </w:pPr>
                          <w:r>
                            <w:rPr>
                              <w:szCs w:val="24"/>
                              <w:lang w:eastAsia="lt-LT"/>
                            </w:rPr>
                            <w:t>čia: (2.598-1) – (2.598-3) formulėse:</w:t>
                          </w:r>
                        </w:p>
                        <w:p>
                          <w:pPr>
                            <w:tabs>
                              <w:tab w:val="left" w:pos="567"/>
                            </w:tabs>
                            <w:suppressAutoHyphens/>
                            <w:ind w:firstLine="782"/>
                            <w:rPr>
                              <w:szCs w:val="24"/>
                              <w:lang w:eastAsia="lt-LT"/>
                            </w:rPr>
                          </w:pPr>
                          <w:r>
                            <w:rPr>
                              <w:szCs w:val="24"/>
                              <w:lang w:eastAsia="lt-LT"/>
                            </w:rPr>
                            <w:t>jei</w:t>
                          </w:r>
                        </w:p>
                        <w:p>
                          <w:pPr>
                            <w:tabs>
                              <w:tab w:val="left" w:pos="567"/>
                            </w:tabs>
                            <w:suppressAutoHyphens/>
                            <w:jc w:val="center"/>
                            <w:rPr>
                              <w:lang w:eastAsia="lt-LT"/>
                            </w:rPr>
                          </w:pPr>
                          <w:r>
                            <w:rPr>
                              <w:position w:val="-30"/>
                              <w:lang w:eastAsia="lt-LT"/>
                            </w:rPr>
                            <w:object w:dxaOrig="3960" w:dyaOrig="720">
                              <v:shape id="_x0000_i1798" type="#_x0000_t75" style="width:199.8pt;height:37.2pt" o:ole="">
                                <v:imagedata r:id="rId1895" o:title=""/>
                              </v:shape>
                              <o:OLEObject Type="Embed" ProgID="Equation.3" ShapeID="_x0000_i1798" DrawAspect="Content" ObjectID="_0000000001" r:id="rId1896"/>
                            </w:object>
                          </w:r>
                          <w:r>
                            <w:rPr>
                              <w:lang w:eastAsia="lt-LT"/>
                            </w:rPr>
                            <w:t>,</w:t>
                          </w:r>
                        </w:p>
                        <w:p>
                          <w:pPr>
                            <w:tabs>
                              <w:tab w:val="left" w:pos="567"/>
                            </w:tabs>
                            <w:suppressAutoHyphens/>
                            <w:ind w:firstLine="720"/>
                            <w:rPr>
                              <w:lang w:eastAsia="lt-LT"/>
                            </w:rPr>
                          </w:pPr>
                          <w:r>
                            <w:rPr>
                              <w:lang w:eastAsia="lt-LT"/>
                            </w:rPr>
                            <w:t xml:space="preserve">tada </w:t>
                          </w:r>
                        </w:p>
                        <w:p>
                          <w:pPr>
                            <w:tabs>
                              <w:tab w:val="left" w:pos="567"/>
                            </w:tabs>
                            <w:suppressAutoHyphens/>
                            <w:jc w:val="center"/>
                            <w:rPr>
                              <w:szCs w:val="24"/>
                              <w:lang w:val="en-US" w:eastAsia="lt-LT"/>
                            </w:rPr>
                          </w:pPr>
                          <w:r>
                            <w:rPr>
                              <w:position w:val="-30"/>
                              <w:lang w:eastAsia="lt-LT"/>
                            </w:rPr>
                            <w:object w:dxaOrig="3960" w:dyaOrig="700">
                              <v:shape id="_x0000_i1799" type="#_x0000_t75" style="width:199.8pt;height:33.15pt" o:ole="">
                                <v:imagedata r:id="rId1897" o:title=""/>
                              </v:shape>
                              <o:OLEObject Type="Embed" ProgID="Equation.3" ShapeID="_x0000_i1799" DrawAspect="Content" ObjectID="_0000000001" r:id="rId1898"/>
                            </w:object>
                          </w:r>
                          <w:r>
                            <w:rPr>
                              <w:lang w:eastAsia="lt-LT"/>
                            </w:rPr>
                            <w:t>;</w:t>
                          </w:r>
                        </w:p>
                        <w:p>
                          <w:pPr>
                            <w:tabs>
                              <w:tab w:val="left" w:pos="567"/>
                            </w:tabs>
                            <w:suppressAutoHyphens/>
                            <w:ind w:firstLine="720"/>
                            <w:rPr>
                              <w:szCs w:val="24"/>
                              <w:lang w:eastAsia="lt-LT"/>
                            </w:rPr>
                          </w:pPr>
                          <w:r>
                            <w:rPr>
                              <w:szCs w:val="24"/>
                              <w:lang w:eastAsia="lt-LT"/>
                            </w:rPr>
                            <w:t>jei</w:t>
                          </w:r>
                        </w:p>
                        <w:p>
                          <w:pPr>
                            <w:tabs>
                              <w:tab w:val="left" w:pos="567"/>
                            </w:tabs>
                            <w:suppressAutoHyphens/>
                            <w:jc w:val="center"/>
                            <w:rPr>
                              <w:lang w:eastAsia="lt-LT"/>
                            </w:rPr>
                          </w:pPr>
                          <w:r>
                            <w:rPr>
                              <w:position w:val="-14"/>
                              <w:lang w:eastAsia="lt-LT"/>
                            </w:rPr>
                            <w:object w:dxaOrig="3840" w:dyaOrig="400">
                              <v:shape id="_x0000_i1800" type="#_x0000_t75" style="width:192.55pt;height:21.85pt" o:ole="">
                                <v:imagedata r:id="rId1899" o:title=""/>
                              </v:shape>
                              <o:OLEObject Type="Embed" ProgID="Equation.3" ShapeID="_x0000_i1800" DrawAspect="Content" ObjectID="_0000000001" r:id="rId1900"/>
                            </w:object>
                          </w:r>
                          <w:r>
                            <w:rPr>
                              <w:lang w:eastAsia="lt-LT"/>
                            </w:rPr>
                            <w:t>,</w:t>
                          </w:r>
                        </w:p>
                        <w:p>
                          <w:pPr>
                            <w:tabs>
                              <w:tab w:val="left" w:pos="567"/>
                            </w:tabs>
                            <w:suppressAutoHyphens/>
                            <w:ind w:firstLine="720"/>
                            <w:rPr>
                              <w:lang w:eastAsia="lt-LT"/>
                            </w:rPr>
                          </w:pPr>
                          <w:r>
                            <w:rPr>
                              <w:lang w:eastAsia="lt-LT"/>
                            </w:rPr>
                            <w:t xml:space="preserve">tada </w:t>
                          </w:r>
                        </w:p>
                        <w:p>
                          <w:pPr>
                            <w:tabs>
                              <w:tab w:val="left" w:pos="567"/>
                            </w:tabs>
                            <w:suppressAutoHyphens/>
                            <w:jc w:val="center"/>
                            <w:rPr>
                              <w:szCs w:val="24"/>
                              <w:lang w:val="en-US" w:eastAsia="lt-LT"/>
                            </w:rPr>
                          </w:pPr>
                          <w:r>
                            <w:rPr>
                              <w:position w:val="-14"/>
                              <w:lang w:eastAsia="lt-LT"/>
                            </w:rPr>
                            <w:object w:dxaOrig="3820" w:dyaOrig="400">
                              <v:shape id="_x0000_i1801" type="#_x0000_t75" style="width:191.75pt;height:21.85pt" o:ole="">
                                <v:imagedata r:id="rId1901" o:title=""/>
                              </v:shape>
                              <o:OLEObject Type="Embed" ProgID="Equation.3" ShapeID="_x0000_i1801" DrawAspect="Content" ObjectID="_0000000001" r:id="rId1902"/>
                            </w:object>
                          </w:r>
                          <w:r>
                            <w:rPr>
                              <w:lang w:eastAsia="lt-LT"/>
                            </w:rPr>
                            <w:t>;</w:t>
                          </w:r>
                        </w:p>
                        <w:p>
                          <w:pPr>
                            <w:tabs>
                              <w:tab w:val="left" w:pos="567"/>
                            </w:tabs>
                            <w:suppressAutoHyphens/>
                            <w:ind w:firstLine="709"/>
                            <w:rPr>
                              <w:lang w:eastAsia="lt-LT"/>
                            </w:rPr>
                          </w:pPr>
                          <w:r>
                            <w:rPr>
                              <w:lang w:eastAsia="lt-LT"/>
                            </w:rPr>
                            <w:t>jei</w:t>
                          </w:r>
                        </w:p>
                        <w:p>
                          <w:pPr>
                            <w:tabs>
                              <w:tab w:val="left" w:pos="567"/>
                            </w:tabs>
                            <w:suppressAutoHyphens/>
                            <w:jc w:val="center"/>
                            <w:rPr>
                              <w:lang w:eastAsia="lt-LT"/>
                            </w:rPr>
                          </w:pPr>
                          <w:r>
                            <w:rPr>
                              <w:color w:val="000000"/>
                            </w:rPr>
                            <w:object w:dxaOrig="6144" w:dyaOrig="1128">
                              <v:shape id="_x0000_i1802" type="#_x0000_t75" style="width:307.4pt;height:55.8pt" o:ole="">
                                <v:imagedata r:id="rId1903" o:title=""/>
                              </v:shape>
                              <o:OLEObject Type="Embed" ProgID="Equation.3" ShapeID="_x0000_i1802" DrawAspect="Content" ObjectID="_0000000001" r:id="rId1904"/>
                            </w:object>
                            <w:t>,</w:t>
                          </w:r>
                        </w:p>
                        <w:p>
                          <w:pPr>
                            <w:tabs>
                              <w:tab w:val="left" w:pos="567"/>
                            </w:tabs>
                            <w:suppressAutoHyphens/>
                            <w:jc w:val="center"/>
                            <w:rPr>
                              <w:lang w:eastAsia="lt-LT"/>
                            </w:rPr>
                          </w:pPr>
                        </w:p>
                        <w:p>
                          <w:pPr>
                            <w:tabs>
                              <w:tab w:val="left" w:pos="567"/>
                            </w:tabs>
                            <w:suppressAutoHyphens/>
                            <w:ind w:firstLine="720"/>
                            <w:rPr>
                              <w:lang w:eastAsia="lt-LT"/>
                            </w:rPr>
                          </w:pPr>
                          <w:r>
                            <w:rPr>
                              <w:lang w:eastAsia="lt-LT"/>
                            </w:rPr>
                            <w:t>tada</w:t>
                          </w:r>
                        </w:p>
                        <w:p>
                          <w:pPr>
                            <w:tabs>
                              <w:tab w:val="left" w:pos="567"/>
                            </w:tabs>
                            <w:suppressAutoHyphens/>
                            <w:jc w:val="center"/>
                            <w:rPr>
                              <w:szCs w:val="24"/>
                              <w:lang w:eastAsia="lt-LT"/>
                            </w:rPr>
                          </w:pPr>
                          <w:r>
                            <w:rPr>
                              <w:color w:val="000000"/>
                            </w:rPr>
                            <w:object w:dxaOrig="6156" w:dyaOrig="1128">
                              <v:shape id="_x0000_i1803" type="#_x0000_t75" style="width:307.4pt;height:55.8pt" o:ole="">
                                <v:imagedata r:id="rId1905" o:title=""/>
                              </v:shape>
                              <o:OLEObject Type="Embed" ProgID="Equation.3" ShapeID="_x0000_i1803" DrawAspect="Content" ObjectID="_0000000001" r:id="rId1906"/>
                            </w:object>
                            <w:t>;</w:t>
                          </w:r>
                        </w:p>
                        <w:p>
                          <w:pPr>
                            <w:tabs>
                              <w:tab w:val="left" w:pos="567"/>
                            </w:tabs>
                            <w:suppressAutoHyphens/>
                            <w:ind w:firstLine="720"/>
                            <w:rPr>
                              <w:szCs w:val="24"/>
                              <w:lang w:eastAsia="lt-LT"/>
                            </w:rPr>
                          </w:pPr>
                          <w:r>
                            <w:rPr>
                              <w:szCs w:val="24"/>
                              <w:lang w:eastAsia="lt-LT"/>
                            </w:rPr>
                            <w:t xml:space="preserve">jei </w:t>
                          </w:r>
                        </w:p>
                        <w:p>
                          <w:pPr>
                            <w:tabs>
                              <w:tab w:val="left" w:pos="567"/>
                            </w:tabs>
                            <w:suppressAutoHyphens/>
                            <w:jc w:val="center"/>
                            <w:rPr>
                              <w:lang w:eastAsia="lt-LT"/>
                            </w:rPr>
                          </w:pPr>
                          <w:r>
                            <w:rPr>
                              <w:lang w:eastAsia="lt-LT"/>
                            </w:rPr>
                            <w:object w:dxaOrig="5856" w:dyaOrig="1020">
                              <v:shape id="_x0000_i1804" type="#_x0000_t75" style="width:292.85pt;height:52.6pt" o:ole="">
                                <v:imagedata r:id="rId1907" o:title=""/>
                              </v:shape>
                              <o:OLEObject Type="Embed" ProgID="Equation.3" ShapeID="_x0000_i1804" DrawAspect="Content" ObjectID="_0000000001" r:id="rId1908"/>
                            </w:object>
                            <w:t>,</w:t>
                          </w:r>
                        </w:p>
                        <w:p>
                          <w:pPr>
                            <w:tabs>
                              <w:tab w:val="left" w:pos="567"/>
                            </w:tabs>
                            <w:suppressAutoHyphens/>
                            <w:jc w:val="center"/>
                            <w:rPr>
                              <w:lang w:eastAsia="lt-LT"/>
                            </w:rPr>
                          </w:pPr>
                        </w:p>
                        <w:p>
                          <w:pPr>
                            <w:tabs>
                              <w:tab w:val="left" w:pos="567"/>
                            </w:tabs>
                            <w:suppressAutoHyphens/>
                            <w:ind w:firstLine="720"/>
                            <w:rPr>
                              <w:lang w:eastAsia="lt-LT"/>
                            </w:rPr>
                          </w:pPr>
                          <w:r>
                            <w:rPr>
                              <w:lang w:eastAsia="lt-LT"/>
                            </w:rPr>
                            <w:t>tada</w:t>
                          </w:r>
                        </w:p>
                        <w:p>
                          <w:pPr>
                            <w:tabs>
                              <w:tab w:val="left" w:pos="567"/>
                            </w:tabs>
                            <w:suppressAutoHyphens/>
                            <w:jc w:val="center"/>
                            <w:rPr>
                              <w:lang w:eastAsia="lt-LT"/>
                            </w:rPr>
                          </w:pPr>
                          <w:r>
                            <w:rPr>
                              <w:lang w:eastAsia="lt-LT"/>
                            </w:rPr>
                            <w:object w:dxaOrig="5856" w:dyaOrig="1020">
                              <v:shape id="_x0000_i1805" type="#_x0000_t75" style="width:292.85pt;height:52.6pt" o:ole="">
                                <v:imagedata r:id="rId1909" o:title=""/>
                              </v:shape>
                              <o:OLEObject Type="Embed" ProgID="Equation.3" ShapeID="_x0000_i1805" DrawAspect="Content" ObjectID="_0000000001" r:id="rId1910"/>
                            </w:object>
                            <w:t>,</w:t>
                          </w:r>
                        </w:p>
                        <w:p>
                          <w:pPr>
                            <w:tabs>
                              <w:tab w:val="left" w:pos="567"/>
                            </w:tabs>
                            <w:suppressAutoHyphens/>
                            <w:jc w:val="center"/>
                            <w:rPr>
                              <w:lang w:eastAsia="lt-LT"/>
                            </w:rPr>
                          </w:pPr>
                        </w:p>
                        <w:p>
                          <w:pPr>
                            <w:tabs>
                              <w:tab w:val="left" w:pos="567"/>
                            </w:tabs>
                            <w:suppressAutoHyphens/>
                            <w:ind w:firstLine="709"/>
                            <w:jc w:val="both"/>
                            <w:rPr>
                              <w:lang w:eastAsia="lt-LT"/>
                            </w:rPr>
                          </w:pPr>
                          <w:r>
                            <w:rPr>
                              <w:lang w:eastAsia="lt-LT"/>
                            </w:rPr>
                            <w:t>jei</w:t>
                          </w:r>
                        </w:p>
                        <w:p>
                          <w:pPr>
                            <w:tabs>
                              <w:tab w:val="left" w:pos="567"/>
                            </w:tabs>
                            <w:suppressAutoHyphens/>
                            <w:jc w:val="center"/>
                            <w:rPr>
                              <w:lang w:eastAsia="lt-LT"/>
                            </w:rPr>
                          </w:pPr>
                          <w:r>
                            <w:rPr>
                              <w:lang w:eastAsia="lt-LT"/>
                            </w:rPr>
                            <w:object w:dxaOrig="6564" w:dyaOrig="1176">
                              <v:shape id="_x0000_i1806" type="#_x0000_t75" style="width:328.45pt;height:58.25pt" o:ole="">
                                <v:imagedata r:id="rId1911" o:title=""/>
                              </v:shape>
                              <o:OLEObject Type="Embed" ProgID="Equation.3" ShapeID="_x0000_i1806" DrawAspect="Content" ObjectID="_0000000001" r:id="rId1912"/>
                            </w:object>
                            <w:t>,</w:t>
                          </w:r>
                        </w:p>
                        <w:p>
                          <w:pPr>
                            <w:tabs>
                              <w:tab w:val="left" w:pos="567"/>
                            </w:tabs>
                            <w:suppressAutoHyphens/>
                            <w:ind w:firstLine="709"/>
                            <w:rPr>
                              <w:lang w:eastAsia="lt-LT"/>
                            </w:rPr>
                          </w:pPr>
                          <w:r>
                            <w:rPr>
                              <w:lang w:eastAsia="lt-LT"/>
                            </w:rPr>
                            <w:t>tada</w:t>
                          </w:r>
                        </w:p>
                        <w:p>
                          <w:pPr>
                            <w:tabs>
                              <w:tab w:val="left" w:pos="567"/>
                            </w:tabs>
                            <w:suppressAutoHyphens/>
                            <w:jc w:val="center"/>
                            <w:rPr>
                              <w:lang w:eastAsia="lt-LT"/>
                            </w:rPr>
                          </w:pPr>
                          <w:r>
                            <w:rPr>
                              <w:lang w:eastAsia="lt-LT"/>
                            </w:rPr>
                            <w:object w:dxaOrig="6564" w:dyaOrig="1176">
                              <v:shape id="_x0000_i1807" type="#_x0000_t75" style="width:328.45pt;height:58.25pt" o:ole="">
                                <v:imagedata r:id="rId1913" o:title=""/>
                              </v:shape>
                              <o:OLEObject Type="Embed" ProgID="Equation.3" ShapeID="_x0000_i1807" DrawAspect="Content" ObjectID="_0000000001" r:id="rId1914"/>
                            </w:object>
                            <w:t>,</w:t>
                          </w:r>
                        </w:p>
                        <w:p>
                          <w:pPr>
                            <w:tabs>
                              <w:tab w:val="left" w:pos="567"/>
                            </w:tabs>
                            <w:suppressAutoHyphens/>
                            <w:jc w:val="center"/>
                            <w:rPr>
                              <w:lang w:eastAsia="lt-LT"/>
                            </w:rPr>
                          </w:pPr>
                        </w:p>
                        <w:p>
                          <w:pPr>
                            <w:tabs>
                              <w:tab w:val="left" w:pos="567"/>
                            </w:tabs>
                            <w:suppressAutoHyphens/>
                            <w:ind w:firstLine="567"/>
                            <w:jc w:val="both"/>
                            <w:rPr>
                              <w:i/>
                              <w:szCs w:val="24"/>
                              <w:lang w:eastAsia="lt-LT"/>
                            </w:rPr>
                          </w:pPr>
                          <w:r>
                            <w:rPr>
                              <w:i/>
                              <w:szCs w:val="24"/>
                              <w:lang w:eastAsia="lt-LT"/>
                            </w:rPr>
                            <w:t>τ</w:t>
                          </w:r>
                          <w:r>
                            <w:rPr>
                              <w:i/>
                              <w:szCs w:val="24"/>
                              <w:vertAlign w:val="subscript"/>
                              <w:lang w:eastAsia="lt-LT"/>
                            </w:rPr>
                            <w:t>H,m</w:t>
                          </w:r>
                          <w:r>
                            <w:rPr>
                              <w:szCs w:val="24"/>
                              <w:lang w:eastAsia="lt-LT"/>
                            </w:rPr>
                            <w:t xml:space="preserve"> – atitinkamą metų mėnesį iš pastato šildymo sistemos tiekiamos šiluminės energijos poreikio dalis nuo bendro pastato poreikio pastatui šildyti (vnt.). Apskaičiuojama pagal (2.570) formulę;</w:t>
                          </w:r>
                        </w:p>
                        <w:p>
                          <w:pPr>
                            <w:tabs>
                              <w:tab w:val="left" w:pos="567"/>
                            </w:tabs>
                            <w:suppressAutoHyphens/>
                            <w:ind w:firstLine="567"/>
                            <w:jc w:val="both"/>
                            <w:rPr>
                              <w:i/>
                              <w:szCs w:val="24"/>
                              <w:lang w:eastAsia="lt-LT"/>
                            </w:rPr>
                          </w:pPr>
                          <w:r>
                            <w:rPr>
                              <w:i/>
                              <w:szCs w:val="24"/>
                              <w:lang w:eastAsia="lt-LT"/>
                            </w:rPr>
                            <w:t>η</w:t>
                          </w:r>
                          <w:r>
                            <w:rPr>
                              <w:i/>
                              <w:szCs w:val="24"/>
                              <w:vertAlign w:val="subscript"/>
                              <w:lang w:eastAsia="lt-LT"/>
                            </w:rPr>
                            <w:t>2(hs1)</w:t>
                          </w:r>
                          <w:r>
                            <w:rPr>
                              <w:szCs w:val="24"/>
                              <w:lang w:eastAsia="lt-LT"/>
                            </w:rPr>
                            <w:t xml:space="preserve"> – pastato šildymo sistemos šilumos šaltinio skaičiuojamasis naudingumo koeficientas, (vnt.). </w:t>
                          </w:r>
                          <w:r>
                            <w:rPr>
                              <w:i/>
                              <w:szCs w:val="24"/>
                              <w:lang w:eastAsia="lt-LT"/>
                            </w:rPr>
                            <w:t>η</w:t>
                          </w:r>
                          <w:r>
                            <w:rPr>
                              <w:i/>
                              <w:szCs w:val="24"/>
                              <w:vertAlign w:val="subscript"/>
                              <w:lang w:eastAsia="lt-LT"/>
                            </w:rPr>
                            <w:t>2(hs1)</w:t>
                          </w:r>
                          <w:r>
                            <w:rPr>
                              <w:szCs w:val="24"/>
                              <w:lang w:eastAsia="lt-LT"/>
                            </w:rPr>
                            <w:t xml:space="preserve"> vertė nustatoma pagal Reglamento 1 priedo reikalavimus, </w:t>
                          </w:r>
                          <w:r>
                            <w:rPr>
                              <w:bCs/>
                              <w:szCs w:val="24"/>
                              <w:lang w:eastAsia="lt-LT"/>
                            </w:rPr>
                            <w:t>jei nėra</w:t>
                          </w:r>
                          <w:r>
                            <w:rPr>
                              <w:szCs w:val="24"/>
                              <w:lang w:eastAsia="lt-LT"/>
                            </w:rPr>
                            <w:t xml:space="preserve"> duomenų, imama iš 2.45 lentelės;</w:t>
                          </w:r>
                        </w:p>
                        <w:p>
                          <w:pPr>
                            <w:tabs>
                              <w:tab w:val="left" w:pos="567"/>
                            </w:tabs>
                            <w:suppressAutoHyphens/>
                            <w:ind w:firstLine="567"/>
                            <w:jc w:val="both"/>
                            <w:rPr>
                              <w:szCs w:val="24"/>
                              <w:lang w:eastAsia="lt-LT"/>
                            </w:rPr>
                          </w:pPr>
                          <w:r>
                            <w:rPr>
                              <w:i/>
                              <w:szCs w:val="24"/>
                              <w:lang w:eastAsia="lt-LT"/>
                            </w:rPr>
                            <w:t>η</w:t>
                          </w:r>
                          <w:r>
                            <w:rPr>
                              <w:i/>
                              <w:szCs w:val="24"/>
                              <w:vertAlign w:val="subscript"/>
                              <w:lang w:eastAsia="lt-LT"/>
                            </w:rPr>
                            <w:t>2(hs1.E)</w:t>
                          </w:r>
                          <w:r>
                            <w:rPr>
                              <w:szCs w:val="24"/>
                              <w:lang w:eastAsia="lt-LT"/>
                            </w:rPr>
                            <w:t xml:space="preserve"> – pastato šildymo sistemos šilumos šaltinio, kuris naudoja elektros energiją, skaičiuojamasis naudingumo koeficientas, (vnt.). </w:t>
                          </w:r>
                          <w:r>
                            <w:rPr>
                              <w:i/>
                              <w:szCs w:val="24"/>
                              <w:lang w:eastAsia="lt-LT"/>
                            </w:rPr>
                            <w:t>η</w:t>
                          </w:r>
                          <w:r>
                            <w:rPr>
                              <w:i/>
                              <w:szCs w:val="24"/>
                              <w:vertAlign w:val="subscript"/>
                              <w:lang w:eastAsia="lt-LT"/>
                            </w:rPr>
                            <w:t>2(hs1.E)</w:t>
                          </w:r>
                          <w:r>
                            <w:rPr>
                              <w:szCs w:val="24"/>
                              <w:lang w:eastAsia="lt-LT"/>
                            </w:rPr>
                            <w:t xml:space="preserve"> vertė nustatoma pagal Reglamento 1 priedo reikalavimus, </w:t>
                          </w:r>
                          <w:r>
                            <w:rPr>
                              <w:bCs/>
                              <w:szCs w:val="24"/>
                              <w:lang w:eastAsia="lt-LT"/>
                            </w:rPr>
                            <w:t>jei nėra</w:t>
                          </w:r>
                          <w:r>
                            <w:rPr>
                              <w:szCs w:val="24"/>
                              <w:lang w:eastAsia="lt-LT"/>
                            </w:rPr>
                            <w:t xml:space="preserve"> duomenų, imama iš 2.45 lentelės. Jei šilumos šaltinis elektros energijos nevartoja, imama </w:t>
                          </w:r>
                          <w:r>
                            <w:rPr>
                              <w:i/>
                              <w:szCs w:val="24"/>
                              <w:lang w:eastAsia="lt-LT"/>
                            </w:rPr>
                            <w:t>η</w:t>
                          </w:r>
                          <w:r>
                            <w:rPr>
                              <w:i/>
                              <w:szCs w:val="24"/>
                              <w:vertAlign w:val="subscript"/>
                              <w:lang w:eastAsia="lt-LT"/>
                            </w:rPr>
                            <w:t>2(hs1.E)</w:t>
                          </w:r>
                          <w:r>
                            <w:rPr>
                              <w:szCs w:val="24"/>
                              <w:lang w:eastAsia="lt-LT"/>
                            </w:rPr>
                            <w:t>=0;</w:t>
                          </w:r>
                        </w:p>
                        <w:p>
                          <w:pPr>
                            <w:tabs>
                              <w:tab w:val="left" w:pos="567"/>
                            </w:tabs>
                            <w:suppressAutoHyphens/>
                            <w:ind w:firstLine="567"/>
                            <w:jc w:val="both"/>
                            <w:rPr>
                              <w:szCs w:val="24"/>
                              <w:lang w:eastAsia="lt-LT"/>
                            </w:rPr>
                          </w:pPr>
                          <w:r>
                            <w:rPr>
                              <w:i/>
                              <w:szCs w:val="24"/>
                              <w:lang w:eastAsia="lt-LT"/>
                            </w:rPr>
                            <w:t>η</w:t>
                          </w:r>
                          <w:r>
                            <w:rPr>
                              <w:i/>
                              <w:szCs w:val="24"/>
                              <w:vertAlign w:val="subscript"/>
                              <w:lang w:eastAsia="lt-LT"/>
                            </w:rPr>
                            <w:t>mvH.E.air</w:t>
                          </w:r>
                          <w:r>
                            <w:rPr>
                              <w:szCs w:val="24"/>
                              <w:lang w:eastAsia="lt-LT"/>
                            </w:rPr>
                            <w:t xml:space="preserve">, </w:t>
                          </w:r>
                          <w:r>
                            <w:rPr>
                              <w:i/>
                              <w:szCs w:val="24"/>
                              <w:lang w:eastAsia="lt-LT"/>
                            </w:rPr>
                            <w:t>η</w:t>
                          </w:r>
                          <w:r>
                            <w:rPr>
                              <w:i/>
                              <w:szCs w:val="24"/>
                              <w:vertAlign w:val="subscript"/>
                              <w:lang w:eastAsia="lt-LT"/>
                            </w:rPr>
                            <w:t>reH.E.air</w:t>
                          </w:r>
                          <w:r>
                            <w:rPr>
                              <w:szCs w:val="24"/>
                              <w:lang w:eastAsia="lt-LT"/>
                            </w:rPr>
                            <w:t xml:space="preserve"> – pastato mechaninių vėdinimo sistemų,   pašildyti orui pašildyti naudoja elektros energiją, oro pašildymo įrenginių skaičiuojamieji naudingumo koeficientai (vnt.). Koeficientų vertės nustatomos pagal Reglamento 1 priedo reikalavimus, </w:t>
                          </w:r>
                          <w:r>
                            <w:rPr>
                              <w:bCs/>
                              <w:szCs w:val="24"/>
                              <w:lang w:eastAsia="lt-LT"/>
                            </w:rPr>
                            <w:t>jei nėra</w:t>
                          </w:r>
                          <w:r>
                            <w:rPr>
                              <w:szCs w:val="24"/>
                              <w:lang w:eastAsia="lt-LT"/>
                            </w:rPr>
                            <w:t xml:space="preserve"> duomenų, imamos iš 2.16 lentelės. Jei oro pašildymo įrenginiai elektros energijos nevartoja, koeficiento vertė imama =0;</w:t>
                          </w:r>
                        </w:p>
                        <w:p>
                          <w:pPr>
                            <w:tabs>
                              <w:tab w:val="left" w:pos="567"/>
                            </w:tabs>
                            <w:suppressAutoHyphens/>
                            <w:ind w:firstLine="567"/>
                            <w:jc w:val="both"/>
                            <w:rPr>
                              <w:rFonts w:eastAsia="Calibri"/>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=0 – jei atitinkamą „m“ mėnesį pastatui šildyti nenaudojamas šiluminis siurblys arba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=1 – jei atitinkamą „m“ mėnesį pastatui šildyti naudojamas šiluminis siurblys ir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&gt;2,2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mvh</w:t>
                          </w:r>
                          <w:r>
                            <w:rPr>
                              <w:color w:val="000000"/>
                              <w:szCs w:val="24"/>
                              <w:lang w:eastAsia="lt-LT"/>
                            </w:rPr>
                            <w:t xml:space="preserve">=0 – jei vėdinimo sistemoje nenaudojamas šiluminis siurblys arba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mvh</w:t>
                          </w:r>
                          <w:r>
                            <w:rPr>
                              <w:color w:val="000000"/>
                              <w:szCs w:val="24"/>
                              <w:lang w:eastAsia="lt-LT"/>
                            </w:rPr>
                            <w:t xml:space="preserve">=1 – jei vėdinimo sistemoje naudojamas šiluminis siurblys ir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&gt;2,2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reh</w:t>
                          </w:r>
                          <w:r>
                            <w:rPr>
                              <w:color w:val="000000"/>
                              <w:szCs w:val="24"/>
                              <w:lang w:eastAsia="lt-LT"/>
                            </w:rPr>
                            <w:t xml:space="preserve">=0 – jei vėdinimo sistemoje nenaudojamas šiluminis siurblys arba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reh</w:t>
                          </w:r>
                          <w:r>
                            <w:rPr>
                              <w:color w:val="000000"/>
                              <w:szCs w:val="24"/>
                              <w:lang w:eastAsia="lt-LT"/>
                            </w:rPr>
                            <w:t xml:space="preserve">=1 – jei vėdinimo sistemoje naudojamas šiluminis siurblys ir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&gt;2,2</w:t>
                          </w:r>
                          <w:r>
                            <w:rPr>
                              <w:color w:val="000000"/>
                              <w:szCs w:val="24"/>
                              <w:lang w:eastAsia="lt-LT"/>
                            </w:rPr>
                            <w:t>;</w:t>
                          </w:r>
                        </w:p>
                        <w:p>
                          <w:pPr>
                            <w:tabs>
                              <w:tab w:val="left" w:pos="567"/>
                            </w:tabs>
                            <w:suppressAutoHyphens/>
                            <w:ind w:firstLine="567"/>
                            <w:jc w:val="both"/>
                            <w:rPr>
                              <w:strike/>
                              <w:szCs w:val="24"/>
                              <w:lang w:eastAsia="lt-LT"/>
                            </w:rPr>
                          </w:pPr>
                          <w:r>
                            <w:rPr>
                              <w:i/>
                              <w:color w:val="000000"/>
                              <w:szCs w:val="24"/>
                              <w:lang w:eastAsia="lt-LT"/>
                            </w:rPr>
                            <w:t>η</w:t>
                          </w:r>
                          <w:r>
                            <w:rPr>
                              <w:i/>
                              <w:color w:val="000000"/>
                              <w:szCs w:val="24"/>
                              <w:vertAlign w:val="subscript"/>
                              <w:lang w:eastAsia="lt-LT"/>
                            </w:rPr>
                            <w:t>E</w:t>
                          </w:r>
                          <w:r>
                            <w:rPr>
                              <w:i/>
                              <w:color w:val="000000"/>
                              <w:szCs w:val="24"/>
                              <w:lang w:eastAsia="lt-LT"/>
                            </w:rPr>
                            <w:t xml:space="preserve">=0,455 – </w:t>
                          </w:r>
                          <w:r>
                            <w:rPr>
                              <w:color w:val="000000"/>
                              <w:szCs w:val="24"/>
                              <w:lang w:eastAsia="lt-LT"/>
                            </w:rPr>
                            <w:t>elektros energijos gamybos naudingumo koeficientas (Europos Sąjungos vidurkis);</w:t>
                          </w:r>
                        </w:p>
                      </w:sdtContent>
                    </w:sdt>
                    <w:sdt>
                      <w:sdtPr>
                        <w:alias w:val="77.2.2 pp."/>
                        <w:tag w:val="part_9d7f7afdf27c4a5c8e7564366d90f323"/>
                        <w:lock w:val="sdtLocked"/>
                        <w:richText/>
                      </w:sdtPr>
                      <w:sdtContent>
                        <w:p>
                          <w:pPr>
                            <w:tabs>
                              <w:tab w:val="left" w:pos="567"/>
                            </w:tabs>
                            <w:suppressAutoHyphens/>
                            <w:ind w:left="480" w:firstLine="87"/>
                            <w:jc w:val="both"/>
                            <w:rPr>
                              <w:color w:val="000000"/>
                              <w:szCs w:val="24"/>
                              <w:lang w:eastAsia="lt-LT"/>
                            </w:rPr>
                          </w:pPr>
                          <w:sdt>
                            <w:sdtPr>
                              <w:alias w:val="Numeris"/>
                              <w:tag w:val="nr_9d7f7afdf27c4a5c8e7564366d90f323"/>
                              <w:lock w:val="sdtLocked"/>
                              <w:richText/>
                            </w:sdtPr>
                            <w:sdtContent>
                              <w:r>
                                <w:rPr>
                                  <w:color w:val="000000"/>
                                  <w:szCs w:val="24"/>
                                  <w:lang w:eastAsia="lt-LT"/>
                                </w:rPr>
                                <w:t>77.2.2</w:t>
                              </w:r>
                            </w:sdtContent>
                          </w:sdt>
                          <w:r>
                            <w:rPr>
                              <w:color w:val="000000"/>
                              <w:szCs w:val="24"/>
                              <w:lang w:eastAsia="lt-LT"/>
                            </w:rPr>
                            <w:t>. jei pastato šildymo sistemoje pastatui šildyti naudojami du šilumos šaltiniai:</w:t>
                          </w:r>
                        </w:p>
                        <w:tbl>
                          <w:tblPr>
                            <w:tblW w:w="4927" w:type="pct"/>
                            <w:tblLook w:val="04A0" w:firstRow="1" w:lastRow="0" w:firstColumn="1" w:lastColumn="0" w:noHBand="0" w:noVBand="1"/>
                          </w:tblPr>
                          <w:tblGrid>
                            <w:gridCol w:w="8749"/>
                            <w:gridCol w:w="961"/>
                          </w:tblGrid>
                          <w:tr>
                            <w:tc>
                              <w:tcPr>
                                <w:tcW w:w="4505" w:type="pct"/>
                                <w:vAlign w:val="center"/>
                              </w:tcPr>
                              <w:p>
                                <w:pPr>
                                  <w:tabs>
                                    <w:tab w:val="left" w:pos="567"/>
                                  </w:tabs>
                                  <w:suppressAutoHyphens/>
                                  <w:jc w:val="center"/>
                                  <w:rPr>
                                    <w:strike/>
                                    <w:lang w:eastAsia="lt-LT"/>
                                  </w:rPr>
                                </w:pPr>
                              </w:p>
                            </w:tc>
                            <w:tc>
                              <w:tcPr>
                                <w:tcW w:w="495" w:type="pct"/>
                                <w:vAlign w:val="center"/>
                              </w:tcPr>
                              <w:p>
                                <w:pPr>
                                  <w:tabs>
                                    <w:tab w:val="left" w:pos="567"/>
                                  </w:tabs>
                                  <w:suppressAutoHyphens/>
                                  <w:jc w:val="right"/>
                                  <w:rPr>
                                    <w:strike/>
                                    <w:lang w:eastAsia="lt-LT"/>
                                  </w:rPr>
                                </w:pPr>
                              </w:p>
                            </w:tc>
                          </w:tr>
                          <w:tr>
                            <w:tc>
                              <w:tcPr>
                                <w:tcW w:w="4505" w:type="pct"/>
                                <w:vAlign w:val="center"/>
                              </w:tcPr>
                              <w:p>
                                <w:pPr>
                                  <w:tabs>
                                    <w:tab w:val="left" w:pos="567"/>
                                  </w:tabs>
                                  <w:suppressAutoHyphens/>
                                  <w:jc w:val="center"/>
                                  <w:rPr>
                                    <w:lang w:eastAsia="lt-LT"/>
                                  </w:rPr>
                                </w:pPr>
                                <w:r>
                                  <w:rPr>
                                    <w:lang w:eastAsia="lt-LT"/>
                                  </w:rPr>
                                  <w:object w:dxaOrig="6228" w:dyaOrig="432">
                                    <v:shape id="_x0000_i1808" type="#_x0000_t75" style="width:312.25pt;height:21.85pt" o:ole="">
                                      <v:imagedata r:id="rId1915" o:title=""/>
                                    </v:shape>
                                    <o:OLEObject Type="Embed" ProgID="Equation.3" ShapeID="_x0000_i1808" DrawAspect="Content" ObjectID="_0000000001" r:id="rId1916"/>
                                  </w:object>
                                  <w:t>;</w:t>
                                </w:r>
                              </w:p>
                            </w:tc>
                            <w:tc>
                              <w:tcPr>
                                <w:tcW w:w="495" w:type="pct"/>
                                <w:vAlign w:val="center"/>
                              </w:tcPr>
                              <w:p>
                                <w:pPr>
                                  <w:tabs>
                                    <w:tab w:val="left" w:pos="567"/>
                                  </w:tabs>
                                  <w:suppressAutoHyphens/>
                                  <w:jc w:val="right"/>
                                  <w:rPr>
                                    <w:lang w:eastAsia="lt-LT"/>
                                  </w:rPr>
                                </w:pPr>
                                <w:r>
                                  <w:rPr>
                                    <w:lang w:eastAsia="lt-LT"/>
                                  </w:rPr>
                                  <w:t>(2.599)</w:t>
                                </w:r>
                              </w:p>
                            </w:tc>
                          </w:tr>
                        </w:tbl>
                        <w:p>
                          <w:pPr>
                            <w:tabs>
                              <w:tab w:val="left" w:pos="567"/>
                              <w:tab w:val="left" w:pos="709"/>
                            </w:tabs>
                            <w:suppressAutoHyphens/>
                            <w:rPr>
                              <w:szCs w:val="24"/>
                              <w:lang w:eastAsia="lt-LT"/>
                            </w:rPr>
                          </w:pPr>
                        </w:p>
                        <w:p>
                          <w:pPr>
                            <w:tabs>
                              <w:tab w:val="left" w:pos="567"/>
                              <w:tab w:val="left" w:pos="709"/>
                            </w:tabs>
                            <w:suppressAutoHyphens/>
                            <w:rPr>
                              <w:szCs w:val="24"/>
                              <w:lang w:eastAsia="lt-LT"/>
                            </w:rPr>
                          </w:pPr>
                          <w:r>
                            <w:rPr>
                              <w:szCs w:val="24"/>
                              <w:lang w:eastAsia="lt-LT"/>
                            </w:rPr>
                            <w:t xml:space="preserve">čia: </w:t>
                            <w:tab/>
                          </w:r>
                          <w:r>
                            <w:rPr>
                              <w:i/>
                              <w:szCs w:val="24"/>
                              <w:lang w:eastAsia="lt-LT"/>
                            </w:rPr>
                            <w:t>Q</w:t>
                          </w:r>
                          <w:r>
                            <w:rPr>
                              <w:i/>
                              <w:szCs w:val="24"/>
                              <w:vertAlign w:val="subscript"/>
                              <w:lang w:eastAsia="lt-LT"/>
                            </w:rPr>
                            <w:t>PRr.H.hs1,m</w:t>
                          </w:r>
                          <w:r>
                            <w:rPr>
                              <w:szCs w:val="24"/>
                              <w:lang w:eastAsia="lt-LT"/>
                            </w:rPr>
                            <w:t xml:space="preserve"> – apskaičiuojamas pagal (2.599-1) formulę;</w:t>
                          </w:r>
                        </w:p>
                        <w:p>
                          <w:pPr>
                            <w:tabs>
                              <w:tab w:val="left" w:pos="567"/>
                            </w:tabs>
                            <w:suppressAutoHyphens/>
                            <w:ind w:firstLine="720"/>
                            <w:rPr>
                              <w:szCs w:val="24"/>
                              <w:lang w:eastAsia="lt-LT"/>
                            </w:rPr>
                          </w:pPr>
                          <w:r>
                            <w:rPr>
                              <w:i/>
                              <w:szCs w:val="24"/>
                              <w:lang w:eastAsia="lt-LT"/>
                            </w:rPr>
                            <w:t>Q</w:t>
                          </w:r>
                          <w:r>
                            <w:rPr>
                              <w:i/>
                              <w:szCs w:val="24"/>
                              <w:vertAlign w:val="subscript"/>
                              <w:lang w:eastAsia="lt-LT"/>
                            </w:rPr>
                            <w:t>PRr.H.hs2,m</w:t>
                          </w:r>
                          <w:r>
                            <w:rPr>
                              <w:szCs w:val="24"/>
                              <w:lang w:eastAsia="lt-LT"/>
                            </w:rPr>
                            <w:t xml:space="preserve"> – apskaičiuojamas pagal (2.599-2) formulę;</w:t>
                          </w:r>
                        </w:p>
                        <w:p>
                          <w:pPr>
                            <w:tabs>
                              <w:tab w:val="left" w:pos="567"/>
                            </w:tabs>
                            <w:suppressAutoHyphens/>
                            <w:ind w:firstLine="720"/>
                            <w:rPr>
                              <w:szCs w:val="24"/>
                              <w:lang w:eastAsia="lt-LT"/>
                            </w:rPr>
                          </w:pPr>
                          <w:r>
                            <w:rPr>
                              <w:i/>
                              <w:szCs w:val="24"/>
                              <w:lang w:eastAsia="lt-LT"/>
                            </w:rPr>
                            <w:t>Q</w:t>
                          </w:r>
                          <w:r>
                            <w:rPr>
                              <w:i/>
                              <w:szCs w:val="24"/>
                              <w:vertAlign w:val="subscript"/>
                              <w:lang w:eastAsia="lt-LT"/>
                            </w:rPr>
                            <w:t>PRr.H.mvH,m</w:t>
                          </w:r>
                          <w:r>
                            <w:rPr>
                              <w:szCs w:val="24"/>
                              <w:lang w:eastAsia="lt-LT"/>
                            </w:rPr>
                            <w:t xml:space="preserve"> – apskaičiuojamas pagal (2.598-2) formulę;</w:t>
                          </w:r>
                        </w:p>
                        <w:p>
                          <w:pPr>
                            <w:tabs>
                              <w:tab w:val="left" w:pos="567"/>
                            </w:tabs>
                            <w:suppressAutoHyphens/>
                            <w:ind w:firstLine="720"/>
                            <w:rPr>
                              <w:szCs w:val="24"/>
                              <w:lang w:eastAsia="lt-LT"/>
                            </w:rPr>
                          </w:pPr>
                          <w:r>
                            <w:rPr>
                              <w:i/>
                              <w:szCs w:val="24"/>
                              <w:lang w:eastAsia="lt-LT"/>
                            </w:rPr>
                            <w:t>Q</w:t>
                          </w:r>
                          <w:r>
                            <w:rPr>
                              <w:i/>
                              <w:szCs w:val="24"/>
                              <w:vertAlign w:val="subscript"/>
                              <w:lang w:eastAsia="lt-LT"/>
                            </w:rPr>
                            <w:t>PRr.H.reH,m</w:t>
                          </w:r>
                          <w:r>
                            <w:rPr>
                              <w:szCs w:val="24"/>
                              <w:lang w:eastAsia="lt-LT"/>
                            </w:rPr>
                            <w:t xml:space="preserve"> – apskaičiuojamas pagal (2.598-3) formulę;</w:t>
                          </w:r>
                        </w:p>
                        <w:p>
                          <w:pPr>
                            <w:tabs>
                              <w:tab w:val="left" w:pos="567"/>
                            </w:tabs>
                            <w:suppressAutoHyphens/>
                            <w:ind w:left="993" w:hanging="284"/>
                            <w:rPr>
                              <w:strike/>
                              <w:lang w:eastAsia="lt-LT"/>
                            </w:rPr>
                          </w:pPr>
                          <w:r>
                            <w:rPr>
                              <w:rFonts w:eastAsia="Calibri"/>
                              <w:szCs w:val="24"/>
                              <w:lang w:eastAsia="lt-LT"/>
                            </w:rPr>
                            <w:t>-</w:t>
                            <w:tab/>
                          </w:r>
                          <w:r>
                            <w:rPr>
                              <w:szCs w:val="24"/>
                              <w:lang w:eastAsia="lt-LT"/>
                            </w:rPr>
                            <w:t xml:space="preserve">jei  </w:t>
                          </w:r>
                          <w:r>
                            <w:rPr>
                              <w:position w:val="-14"/>
                              <w:lang w:eastAsia="lt-LT"/>
                            </w:rPr>
                            <w:object w:dxaOrig="5179" w:dyaOrig="380">
                              <v:shape id="_x0000_i1809" type="#_x0000_t75" style="width:258.05pt;height:19.4pt" o:ole="">
                                <v:imagedata r:id="rId1917" o:title=""/>
                              </v:shape>
                              <o:OLEObject Type="Embed" ProgID="Equation.3" ShapeID="_x0000_i1809" DrawAspect="Content" ObjectID="_0000000001" r:id="rId1918"/>
                            </w:object>
                          </w:r>
                          <w:r>
                            <w:rPr>
                              <w:lang w:eastAsia="lt-LT"/>
                            </w:rPr>
                            <w:t xml:space="preserve">, tada </w:t>
                          </w:r>
                        </w:p>
                        <w:p>
                          <w:pPr>
                            <w:tabs>
                              <w:tab w:val="left" w:pos="567"/>
                            </w:tabs>
                            <w:suppressAutoHyphens/>
                            <w:rPr>
                              <w:b/>
                              <w:color w:val="000000"/>
                              <w:lang w:eastAsia="lt-LT"/>
                            </w:rPr>
                          </w:pPr>
                          <w:r>
                            <w:rPr>
                              <w:b/>
                              <w:position w:val="-14"/>
                              <w:lang w:eastAsia="lt-LT"/>
                            </w:rPr>
                            <w:object w:dxaOrig="5172" w:dyaOrig="408">
                              <v:shape id="_x0000_i1810" type="#_x0000_t75" style="width:259.7pt;height:20.2pt" o:ole="">
                                <v:imagedata r:id="rId1919" o:title=""/>
                              </v:shape>
                              <o:OLEObject Type="Embed" ProgID="Equation.3" ShapeID="_x0000_i1810" DrawAspect="Content" ObjectID="_0000000001" r:id="rId1920"/>
                            </w:object>
                          </w:r>
                          <w:r>
                            <w:rPr>
                              <w:b/>
                              <w:color w:val="000000"/>
                              <w:lang w:eastAsia="lt-LT"/>
                            </w:rPr>
                            <w:t>;</w:t>
                          </w:r>
                        </w:p>
                        <w:p>
                          <w:pPr>
                            <w:tabs>
                              <w:tab w:val="left" w:pos="567"/>
                            </w:tabs>
                            <w:ind w:left="1080" w:hanging="371"/>
                            <w:jc w:val="both"/>
                            <w:rPr>
                              <w:color w:val="000000"/>
                              <w:sz w:val="22"/>
                              <w:szCs w:val="22"/>
                              <w:highlight w:val="yellow"/>
                            </w:rPr>
                          </w:pPr>
                          <w:r>
                            <w:rPr>
                              <w:color w:val="000000"/>
                            </w:rPr>
                            <w:t xml:space="preserve">- jei </w:t>
                          </w:r>
                          <w:r>
                            <w:rPr>
                              <w:color w:val="000000"/>
                              <w:sz w:val="22"/>
                              <w:szCs w:val="22"/>
                            </w:rPr>
                            <w:t xml:space="preserve">nenaudojamas dujinis katilas su absorbciniu šilumos siurbliu </w:t>
                          </w:r>
                          <w:r>
                            <w:rPr>
                              <w:color w:val="000000"/>
                              <w:szCs w:val="24"/>
                              <w:lang w:eastAsia="lt-LT"/>
                            </w:rPr>
                            <w:t>ir šis šaltinis yra „</w:t>
                          </w:r>
                          <w:r>
                            <w:rPr>
                              <w:i/>
                              <w:iCs/>
                              <w:color w:val="000000"/>
                              <w:szCs w:val="24"/>
                              <w:lang w:eastAsia="lt-LT"/>
                            </w:rPr>
                            <w:t>hs1“</w:t>
                          </w:r>
                          <w:r>
                            <w:rPr>
                              <w:color w:val="000000"/>
                              <w:szCs w:val="24"/>
                              <w:lang w:eastAsia="lt-LT"/>
                            </w:rPr>
                            <w:t xml:space="preserve">, </w:t>
                          </w:r>
                          <w:r>
                            <w:rPr>
                              <w:color w:val="000000"/>
                              <w:sz w:val="22"/>
                              <w:szCs w:val="22"/>
                            </w:rPr>
                            <w:t>tada:</w:t>
                          </w:r>
                        </w:p>
                        <w:p>
                          <w:pPr>
                            <w:tabs>
                              <w:tab w:val="left" w:pos="567"/>
                            </w:tabs>
                            <w:suppressAutoHyphens/>
                            <w:rPr>
                              <w:lang w:eastAsia="lt-LT"/>
                            </w:rPr>
                          </w:pPr>
                        </w:p>
                        <w:tbl>
                          <w:tblPr>
                            <w:tblW w:w="5000" w:type="pct"/>
                            <w:tblLook w:val="04A0" w:firstRow="1" w:lastRow="0" w:firstColumn="1" w:lastColumn="0" w:noHBand="0" w:noVBand="1"/>
                          </w:tblPr>
                          <w:tblGrid>
                            <w:gridCol w:w="8670"/>
                            <w:gridCol w:w="1184"/>
                          </w:tblGrid>
                          <w:tr>
                            <w:tc>
                              <w:tcPr>
                                <w:tcW w:w="4399" w:type="pct"/>
                                <w:vAlign w:val="center"/>
                                <w:hideMark/>
                              </w:tcPr>
                              <w:p>
                                <w:pPr>
                                  <w:tabs>
                                    <w:tab w:val="left" w:pos="567"/>
                                  </w:tabs>
                                  <w:suppressAutoHyphens/>
                                  <w:jc w:val="center"/>
                                  <w:rPr>
                                    <w:color w:val="000000"/>
                                    <w:szCs w:val="24"/>
                                  </w:rPr>
                                </w:pPr>
                                <w:r>
                                  <w:rPr>
                                    <w:color w:val="000000"/>
                                    <w:szCs w:val="24"/>
                                    <w:lang w:eastAsia="lt-LT"/>
                                  </w:rPr>
                                  <w:object w:dxaOrig="7956" w:dyaOrig="2244">
                                    <v:shape id="_x0000_i1811" type="#_x0000_t75" style="width:398pt;height:113.25pt" o:ole="">
                                      <v:imagedata r:id="rId1921" o:title=""/>
                                    </v:shape>
                                    <o:OLEObject Type="Embed" ProgID="Equation.3" ShapeID="_x0000_i1811" DrawAspect="Content" ObjectID="_0000000001" r:id="rId1922"/>
                                  </w:object>
                                  <w:t>;</w:t>
                                </w:r>
                              </w:p>
                            </w:tc>
                            <w:tc>
                              <w:tcPr>
                                <w:tcW w:w="601" w:type="pct"/>
                                <w:vAlign w:val="center"/>
                                <w:hideMark/>
                              </w:tcPr>
                              <w:p>
                                <w:pPr>
                                  <w:tabs>
                                    <w:tab w:val="left" w:pos="567"/>
                                  </w:tabs>
                                  <w:suppressAutoHyphens/>
                                  <w:jc w:val="right"/>
                                  <w:rPr>
                                    <w:color w:val="000000"/>
                                    <w:szCs w:val="24"/>
                                  </w:rPr>
                                </w:pPr>
                                <w:r>
                                  <w:rPr>
                                    <w:color w:val="000000"/>
                                    <w:szCs w:val="24"/>
                                  </w:rPr>
                                  <w:t>(2.599-1)</w:t>
                                </w:r>
                              </w:p>
                            </w:tc>
                          </w:tr>
                        </w:tbl>
                        <w:p>
                          <w:pPr>
                            <w:tabs>
                              <w:tab w:val="left" w:pos="567"/>
                            </w:tabs>
                            <w:suppressAutoHyphens/>
                            <w:ind w:left="567" w:hanging="567"/>
                            <w:jc w:val="both"/>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 w:val="left" w:pos="993"/>
                            </w:tabs>
                            <w:suppressAutoHyphens/>
                            <w:ind w:firstLine="720"/>
                            <w:jc w:val="both"/>
                            <w:rPr>
                              <w:lang w:eastAsia="lt-LT"/>
                            </w:rPr>
                          </w:pPr>
                          <w:r>
                            <w:t>-</w:t>
                            <w:tab/>
                          </w:r>
                          <w:r>
                            <w:rPr>
                              <w:lang w:eastAsia="lt-LT"/>
                            </w:rPr>
                            <w:t xml:space="preserve">jei šilumos šaltinis pastatui šildyti nenaudoja elektros energijos, tada imama </w:t>
                          </w:r>
                          <w:r>
                            <w:rPr>
                              <w:position w:val="-14"/>
                              <w:lang w:eastAsia="lt-LT"/>
                            </w:rPr>
                            <w:object w:dxaOrig="840" w:dyaOrig="384">
                              <v:shape id="_x0000_i1812" type="#_x0000_t75" style="width:43.7pt;height:19.4pt" o:ole="">
                                <v:imagedata r:id="rId1923" o:title=""/>
                              </v:shape>
                              <o:OLEObject Type="Embed" ProgID="Equation.3" ShapeID="_x0000_i1812" DrawAspect="Content" ObjectID="_0000000001" r:id="rId1924"/>
                            </w:object>
                          </w:r>
                          <w:r>
                            <w:rPr>
                              <w:lang w:eastAsia="lt-LT"/>
                            </w:rPr>
                            <w:t>;</w:t>
                          </w:r>
                        </w:p>
                        <w:p>
                          <w:pPr>
                            <w:tabs>
                              <w:tab w:val="left" w:pos="567"/>
                              <w:tab w:val="left" w:pos="993"/>
                              <w:tab w:val="left" w:pos="1134"/>
                            </w:tabs>
                            <w:suppressAutoHyphens/>
                            <w:ind w:firstLine="720"/>
                            <w:jc w:val="both"/>
                            <w:rPr>
                              <w:color w:val="000000"/>
                              <w:sz w:val="22"/>
                              <w:szCs w:val="22"/>
                              <w:lang w:eastAsia="lt-LT"/>
                            </w:rPr>
                          </w:pPr>
                          <w:r>
                            <w:rPr>
                              <w:color w:val="000000"/>
                              <w:sz w:val="22"/>
                              <w:szCs w:val="22"/>
                            </w:rPr>
                            <w:t>-</w:t>
                            <w:tab/>
                          </w:r>
                          <w:r>
                            <w:rPr>
                              <w:color w:val="000000"/>
                              <w:sz w:val="22"/>
                              <w:szCs w:val="22"/>
                              <w:lang w:eastAsia="lt-LT"/>
                            </w:rPr>
                            <w:t xml:space="preserve">jei naudojamas dujinis katilas su absorbciniu šilumos siurbliu </w:t>
                          </w:r>
                          <w:r>
                            <w:rPr>
                              <w:color w:val="000000"/>
                              <w:szCs w:val="24"/>
                              <w:lang w:eastAsia="lt-LT"/>
                            </w:rPr>
                            <w:t>ir šis šaltinis yra „</w:t>
                          </w:r>
                          <w:r>
                            <w:rPr>
                              <w:i/>
                              <w:iCs/>
                              <w:color w:val="000000"/>
                              <w:szCs w:val="24"/>
                              <w:lang w:eastAsia="lt-LT"/>
                            </w:rPr>
                            <w:t>hs1“</w:t>
                          </w:r>
                          <w:r>
                            <w:rPr>
                              <w:color w:val="000000"/>
                              <w:szCs w:val="24"/>
                              <w:lang w:eastAsia="lt-LT"/>
                            </w:rPr>
                            <w:t xml:space="preserve">, </w:t>
                          </w:r>
                          <w:r>
                            <w:rPr>
                              <w:color w:val="000000"/>
                              <w:sz w:val="22"/>
                              <w:szCs w:val="22"/>
                              <w:lang w:eastAsia="lt-LT"/>
                            </w:rPr>
                            <w:t>tada:</w:t>
                          </w:r>
                        </w:p>
                        <w:tbl>
                          <w:tblPr>
                            <w:tblW w:w="5000" w:type="pct"/>
                            <w:tblLook w:val="04A0" w:firstRow="1" w:lastRow="0" w:firstColumn="1" w:lastColumn="0" w:noHBand="0" w:noVBand="1"/>
                          </w:tblPr>
                          <w:tblGrid>
                            <w:gridCol w:w="8289"/>
                            <w:gridCol w:w="1565"/>
                          </w:tblGrid>
                          <w:tr>
                            <w:tc>
                              <w:tcPr>
                                <w:tcW w:w="4206" w:type="pct"/>
                                <w:vAlign w:val="center"/>
                                <w:hideMark/>
                              </w:tcPr>
                              <w:p>
                                <w:pPr>
                                  <w:tabs>
                                    <w:tab w:val="left" w:pos="567"/>
                                  </w:tabs>
                                  <w:suppressAutoHyphens/>
                                  <w:jc w:val="center"/>
                                  <w:rPr>
                                    <w:color w:val="000000"/>
                                    <w:szCs w:val="24"/>
                                  </w:rPr>
                                </w:pPr>
                                <w:r>
                                  <w:rPr>
                                    <w:color w:val="000000"/>
                                    <w:szCs w:val="24"/>
                                  </w:rPr>
                                  <w:object w:dxaOrig="7416" w:dyaOrig="2280">
                                    <v:shape id="_x0000_i1813" type="#_x0000_t75" style="width:369.7pt;height:114.05pt" o:ole="">
                                      <v:imagedata r:id="rId1925" o:title=""/>
                                    </v:shape>
                                    <o:OLEObject Type="Embed" ProgID="Equation.3" ShapeID="_x0000_i1813" DrawAspect="Content" ObjectID="_0000000001" r:id="rId1926"/>
                                  </w:object>
                                  <w:t>;</w:t>
                                </w:r>
                              </w:p>
                            </w:tc>
                            <w:tc>
                              <w:tcPr>
                                <w:tcW w:w="794" w:type="pct"/>
                                <w:vAlign w:val="center"/>
                                <w:hideMark/>
                              </w:tcPr>
                              <w:p>
                                <w:pPr>
                                  <w:tabs>
                                    <w:tab w:val="left" w:pos="567"/>
                                  </w:tabs>
                                  <w:suppressAutoHyphens/>
                                  <w:jc w:val="right"/>
                                  <w:rPr>
                                    <w:color w:val="000000"/>
                                    <w:szCs w:val="24"/>
                                  </w:rPr>
                                </w:pPr>
                                <w:r>
                                  <w:rPr>
                                    <w:color w:val="000000"/>
                                    <w:szCs w:val="24"/>
                                  </w:rPr>
                                  <w:t>(2.599-1-1)</w:t>
                                </w:r>
                              </w:p>
                            </w:tc>
                          </w:tr>
                        </w:tbl>
                        <w:p>
                          <w:pPr>
                            <w:tabs>
                              <w:tab w:val="left" w:pos="567"/>
                            </w:tabs>
                            <w:suppressAutoHyphens/>
                            <w:jc w:val="both"/>
                            <w:rPr>
                              <w:lang w:eastAsia="lt-LT"/>
                            </w:rPr>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 xml:space="preserve">H,m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suppressAutoHyphens/>
                            <w:ind w:firstLine="709"/>
                            <w:jc w:val="both"/>
                            <w:rPr>
                              <w:color w:val="000000"/>
                              <w:szCs w:val="24"/>
                              <w:lang w:eastAsia="lt-LT"/>
                            </w:rPr>
                          </w:pPr>
                          <w:r>
                            <w:rPr>
                              <w:i/>
                              <w:color w:val="000000"/>
                              <w:szCs w:val="24"/>
                              <w:lang w:eastAsia="lt-LT"/>
                            </w:rPr>
                            <w:t>Q</w:t>
                          </w:r>
                          <w:r>
                            <w:rPr>
                              <w:i/>
                              <w:color w:val="000000"/>
                              <w:szCs w:val="24"/>
                              <w:vertAlign w:val="subscript"/>
                              <w:lang w:eastAsia="lt-LT"/>
                            </w:rPr>
                            <w:t>H.E.GHP,m</w:t>
                          </w:r>
                          <w:r>
                            <w:rPr>
                              <w:color w:val="000000"/>
                              <w:szCs w:val="24"/>
                              <w:lang w:eastAsia="lt-LT"/>
                            </w:rPr>
                            <w:t xml:space="preserve">– </w:t>
                          </w:r>
                          <w:r>
                            <w:rPr>
                              <w:bCs/>
                              <w:szCs w:val="24"/>
                              <w:lang w:eastAsia="lt-LT"/>
                            </w:rPr>
                            <w:t xml:space="preserve">dujinio katilo su absorbciniu šilumos siurbliu elektros energijos sąnaudos </w:t>
                          </w:r>
                          <w:r>
                            <w:rPr>
                              <w:color w:val="000000"/>
                              <w:szCs w:val="24"/>
                              <w:lang w:eastAsia="lt-LT"/>
                            </w:rPr>
                            <w:t>(kWh/(m</w:t>
                          </w:r>
                          <w:r>
                            <w:rPr>
                              <w:color w:val="000000"/>
                              <w:szCs w:val="24"/>
                              <w:vertAlign w:val="superscript"/>
                              <w:lang w:eastAsia="lt-LT"/>
                            </w:rPr>
                            <w:t>2</w:t>
                          </w:r>
                          <w:r>
                            <w:rPr>
                              <w:color w:val="000000"/>
                              <w:szCs w:val="24"/>
                              <w:lang w:eastAsia="lt-LT"/>
                            </w:rPr>
                            <w:t>·mėn.))</w:t>
                          </w:r>
                          <w:r>
                            <w:rPr>
                              <w:bCs/>
                              <w:szCs w:val="24"/>
                              <w:lang w:eastAsia="lt-LT"/>
                            </w:rPr>
                            <w:t>, kurios apskaičiuojamos pagal (2.571-2) formulę;</w:t>
                          </w:r>
                        </w:p>
                        <w:p>
                          <w:pPr>
                            <w:tabs>
                              <w:tab w:val="left" w:pos="0"/>
                              <w:tab w:val="left" w:pos="567"/>
                              <w:tab w:val="left" w:pos="993"/>
                            </w:tabs>
                            <w:suppressAutoHyphens/>
                            <w:ind w:firstLine="709"/>
                            <w:jc w:val="both"/>
                            <w:rPr>
                              <w:color w:val="000000"/>
                              <w:szCs w:val="24"/>
                              <w:lang w:eastAsia="lt-LT"/>
                            </w:rPr>
                          </w:pPr>
                          <w:r>
                            <w:rPr>
                              <w:color w:val="000000"/>
                              <w:szCs w:val="24"/>
                            </w:rPr>
                            <w:t>-</w:t>
                            <w:tab/>
                          </w:r>
                          <w:r>
                            <w:rPr>
                              <w:color w:val="000000"/>
                              <w:szCs w:val="24"/>
                              <w:lang w:eastAsia="lt-LT"/>
                            </w:rPr>
                            <w:t>jeigu nenaudojamas dujinis katilas su absorbciniu šilumos siurbliu ir šis šaltinis yra „</w:t>
                          </w:r>
                          <w:r>
                            <w:rPr>
                              <w:i/>
                              <w:iCs/>
                              <w:color w:val="000000"/>
                              <w:szCs w:val="24"/>
                              <w:lang w:eastAsia="lt-LT"/>
                            </w:rPr>
                            <w:t>hs2“</w:t>
                          </w:r>
                          <w:r>
                            <w:rPr>
                              <w:color w:val="000000"/>
                              <w:szCs w:val="24"/>
                              <w:lang w:eastAsia="lt-LT"/>
                            </w:rPr>
                            <w:t>, tada:</w:t>
                          </w:r>
                        </w:p>
                        <w:tbl>
                          <w:tblPr>
                            <w:tblW w:w="5000" w:type="pct"/>
                            <w:tblLook w:val="04A0" w:firstRow="1" w:lastRow="0" w:firstColumn="1" w:lastColumn="0" w:noHBand="0" w:noVBand="1"/>
                          </w:tblPr>
                          <w:tblGrid>
                            <w:gridCol w:w="8656"/>
                            <w:gridCol w:w="1198"/>
                          </w:tblGrid>
                          <w:tr>
                            <w:tc>
                              <w:tcPr>
                                <w:tcW w:w="4392" w:type="pct"/>
                                <w:vAlign w:val="center"/>
                                <w:hideMark/>
                              </w:tcPr>
                              <w:p>
                                <w:pPr>
                                  <w:tabs>
                                    <w:tab w:val="left" w:pos="567"/>
                                  </w:tabs>
                                  <w:suppressAutoHyphens/>
                                  <w:ind w:firstLine="310"/>
                                  <w:jc w:val="center"/>
                                  <w:rPr>
                                    <w:color w:val="000000"/>
                                    <w:szCs w:val="24"/>
                                  </w:rPr>
                                </w:pPr>
                                <w:r>
                                  <w:rPr>
                                    <w:color w:val="000000"/>
                                    <w:szCs w:val="24"/>
                                    <w:lang w:eastAsia="lt-LT"/>
                                  </w:rPr>
                                  <w:object w:dxaOrig="7836" w:dyaOrig="2328">
                                    <v:shape id="_x0000_i1814" type="#_x0000_t75" style="width:392.35pt;height:116.5pt" o:ole="">
                                      <v:imagedata r:id="rId1927" o:title=""/>
                                    </v:shape>
                                    <o:OLEObject Type="Embed" ProgID="Equation.3" ShapeID="_x0000_i1814" DrawAspect="Content" ObjectID="_0000000001" r:id="rId1928"/>
                                  </w:object>
                                  <w:t>;</w:t>
                                </w:r>
                              </w:p>
                            </w:tc>
                            <w:tc>
                              <w:tcPr>
                                <w:tcW w:w="608" w:type="pct"/>
                                <w:vAlign w:val="center"/>
                                <w:hideMark/>
                              </w:tcPr>
                              <w:p>
                                <w:pPr>
                                  <w:tabs>
                                    <w:tab w:val="left" w:pos="567"/>
                                  </w:tabs>
                                  <w:suppressAutoHyphens/>
                                  <w:jc w:val="right"/>
                                  <w:rPr>
                                    <w:color w:val="000000"/>
                                    <w:szCs w:val="24"/>
                                  </w:rPr>
                                </w:pPr>
                                <w:r>
                                  <w:rPr>
                                    <w:color w:val="000000"/>
                                    <w:szCs w:val="24"/>
                                  </w:rPr>
                                  <w:t>(2.599-2)</w:t>
                                </w:r>
                              </w:p>
                            </w:tc>
                          </w:tr>
                        </w:tbl>
                        <w:p>
                          <w:pPr>
                            <w:tabs>
                              <w:tab w:val="left" w:pos="567"/>
                              <w:tab w:val="left" w:pos="1134"/>
                            </w:tabs>
                            <w:suppressAutoHyphens/>
                            <w:ind w:firstLine="567"/>
                            <w:jc w:val="both"/>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H,m</w:t>
                          </w:r>
                          <w:r>
                            <w:rPr>
                              <w:lang w:eastAsia="lt-LT"/>
                            </w:rPr>
                            <w:t xml:space="preserve">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p>
                        <w:p>
                          <w:pPr>
                            <w:tabs>
                              <w:tab w:val="left" w:pos="567"/>
                            </w:tabs>
                            <w:suppressAutoHyphens/>
                            <w:ind w:firstLine="567"/>
                            <w:jc w:val="both"/>
                            <w:rPr>
                              <w:lang w:eastAsia="lt-LT"/>
                            </w:rPr>
                          </w:pPr>
                          <w:r>
                            <w:t>-</w:t>
                            <w:tab/>
                          </w:r>
                          <w:r>
                            <w:rPr>
                              <w:lang w:eastAsia="lt-LT"/>
                            </w:rPr>
                            <w:t xml:space="preserve">jei šilumos šaltinis pastatui šildyti nenaudoja elektros energijos, tada imama </w:t>
                          </w:r>
                          <w:r>
                            <w:rPr>
                              <w:position w:val="-14"/>
                              <w:lang w:eastAsia="lt-LT"/>
                            </w:rPr>
                            <w:object w:dxaOrig="816" w:dyaOrig="384">
                              <v:shape id="_x0000_i1815" type="#_x0000_t75" style="width:40.45pt;height:19.4pt" o:ole="">
                                <v:imagedata r:id="rId1929" o:title=""/>
                              </v:shape>
                              <o:OLEObject Type="Embed" ProgID="Equation.3" ShapeID="_x0000_i1815" DrawAspect="Content" ObjectID="_0000000001" r:id="rId1930"/>
                            </w:object>
                          </w:r>
                          <w:r>
                            <w:rPr>
                              <w:lang w:eastAsia="lt-LT"/>
                            </w:rPr>
                            <w:t>;</w:t>
                          </w:r>
                        </w:p>
                        <w:p>
                          <w:pPr>
                            <w:tabs>
                              <w:tab w:val="left" w:pos="567"/>
                            </w:tabs>
                            <w:suppressAutoHyphens/>
                            <w:ind w:firstLine="567"/>
                            <w:jc w:val="both"/>
                            <w:rPr>
                              <w:color w:val="000000"/>
                              <w:sz w:val="22"/>
                              <w:szCs w:val="22"/>
                              <w:lang w:eastAsia="lt-LT"/>
                            </w:rPr>
                          </w:pPr>
                          <w:r>
                            <w:rPr>
                              <w:color w:val="000000"/>
                              <w:sz w:val="22"/>
                              <w:szCs w:val="22"/>
                            </w:rPr>
                            <w:t>-</w:t>
                            <w:tab/>
                          </w:r>
                          <w:r>
                            <w:rPr>
                              <w:color w:val="000000"/>
                              <w:sz w:val="22"/>
                              <w:szCs w:val="22"/>
                              <w:lang w:eastAsia="lt-LT"/>
                            </w:rPr>
                            <w:t xml:space="preserve">jei naudojamas dujinis katilas su absorbciniu šilumos siurbliu </w:t>
                          </w:r>
                          <w:r>
                            <w:rPr>
                              <w:color w:val="000000"/>
                              <w:szCs w:val="24"/>
                              <w:lang w:eastAsia="lt-LT"/>
                            </w:rPr>
                            <w:t>ir šis šaltinis yra „</w:t>
                          </w:r>
                          <w:r>
                            <w:rPr>
                              <w:i/>
                              <w:iCs/>
                              <w:color w:val="000000"/>
                              <w:szCs w:val="24"/>
                              <w:lang w:eastAsia="lt-LT"/>
                            </w:rPr>
                            <w:t>hs2“</w:t>
                          </w:r>
                          <w:r>
                            <w:rPr>
                              <w:color w:val="000000"/>
                              <w:szCs w:val="24"/>
                              <w:lang w:eastAsia="lt-LT"/>
                            </w:rPr>
                            <w:t xml:space="preserve">, </w:t>
                          </w:r>
                          <w:r>
                            <w:rPr>
                              <w:color w:val="000000"/>
                              <w:sz w:val="22"/>
                              <w:szCs w:val="22"/>
                              <w:lang w:eastAsia="lt-LT"/>
                            </w:rPr>
                            <w:t>tada:</w:t>
                          </w:r>
                        </w:p>
                        <w:p>
                          <w:pPr>
                            <w:tabs>
                              <w:tab w:val="left" w:pos="567"/>
                            </w:tabs>
                            <w:suppressAutoHyphens/>
                            <w:jc w:val="both"/>
                            <w:rPr>
                              <w:color w:val="000000"/>
                              <w:sz w:val="22"/>
                              <w:szCs w:val="22"/>
                              <w:lang w:eastAsia="lt-LT"/>
                            </w:rPr>
                          </w:pPr>
                        </w:p>
                        <w:tbl>
                          <w:tblPr>
                            <w:tblW w:w="5000" w:type="pct"/>
                            <w:tblLook w:val="04A0" w:firstRow="1" w:lastRow="0" w:firstColumn="1" w:lastColumn="0" w:noHBand="0" w:noVBand="1"/>
                          </w:tblPr>
                          <w:tblGrid>
                            <w:gridCol w:w="8289"/>
                            <w:gridCol w:w="1565"/>
                          </w:tblGrid>
                          <w:tr>
                            <w:tc>
                              <w:tcPr>
                                <w:tcW w:w="4206" w:type="pct"/>
                                <w:vAlign w:val="center"/>
                                <w:hideMark/>
                              </w:tcPr>
                              <w:p>
                                <w:pPr>
                                  <w:tabs>
                                    <w:tab w:val="left" w:pos="567"/>
                                  </w:tabs>
                                  <w:suppressAutoHyphens/>
                                  <w:jc w:val="center"/>
                                  <w:rPr>
                                    <w:color w:val="000000"/>
                                    <w:szCs w:val="24"/>
                                  </w:rPr>
                                </w:pPr>
                                <w:r>
                                  <w:rPr>
                                    <w:color w:val="000000"/>
                                    <w:szCs w:val="24"/>
                                    <w:lang w:eastAsia="lt-LT"/>
                                  </w:rPr>
                                  <w:object w:dxaOrig="7344" w:dyaOrig="2244">
                                    <v:shape id="_x0000_i1816" type="#_x0000_t75" style="width:368.9pt;height:113.25pt" o:ole="">
                                      <v:imagedata r:id="rId1931" o:title=""/>
                                    </v:shape>
                                    <o:OLEObject Type="Embed" ProgID="Equation.3" ShapeID="_x0000_i1816" DrawAspect="Content" ObjectID="_0000000001" r:id="rId1932"/>
                                  </w:object>
                                </w:r>
                                <w:r>
                                  <w:rPr>
                                    <w:color w:val="000000"/>
                                    <w:szCs w:val="24"/>
                                  </w:rPr>
                                  <w:t>;</w:t>
                                </w:r>
                              </w:p>
                            </w:tc>
                            <w:tc>
                              <w:tcPr>
                                <w:tcW w:w="794" w:type="pct"/>
                                <w:vAlign w:val="center"/>
                                <w:hideMark/>
                              </w:tcPr>
                              <w:p>
                                <w:pPr>
                                  <w:tabs>
                                    <w:tab w:val="left" w:pos="567"/>
                                  </w:tabs>
                                  <w:suppressAutoHyphens/>
                                  <w:jc w:val="right"/>
                                  <w:rPr>
                                    <w:color w:val="000000"/>
                                    <w:szCs w:val="24"/>
                                  </w:rPr>
                                </w:pPr>
                                <w:r>
                                  <w:rPr>
                                    <w:color w:val="000000"/>
                                    <w:szCs w:val="24"/>
                                  </w:rPr>
                                  <w:t>(2.599-2-1)</w:t>
                                </w:r>
                              </w:p>
                            </w:tc>
                          </w:tr>
                        </w:tbl>
                        <w:p>
                          <w:pPr>
                            <w:tabs>
                              <w:tab w:val="left" w:pos="567"/>
                            </w:tabs>
                            <w:suppressAutoHyphens/>
                            <w:jc w:val="both"/>
                            <w:rPr>
                              <w:color w:val="000000"/>
                              <w:szCs w:val="24"/>
                              <w:lang w:eastAsia="lt-LT"/>
                            </w:rPr>
                          </w:pPr>
                          <w:r>
                            <w:rPr>
                              <w:lang w:eastAsia="lt-LT"/>
                            </w:rPr>
                            <w:t xml:space="preserve">čia: </w:t>
                            <w:tab/>
                          </w:r>
                          <w:r>
                            <w:rPr>
                              <w:i/>
                              <w:color w:val="000000"/>
                              <w:szCs w:val="24"/>
                              <w:lang w:eastAsia="lt-LT"/>
                            </w:rPr>
                            <w:t>τ</w:t>
                          </w:r>
                          <w:r>
                            <w:rPr>
                              <w:i/>
                              <w:color w:val="000000"/>
                              <w:szCs w:val="24"/>
                              <w:vertAlign w:val="subscript"/>
                              <w:lang w:eastAsia="lt-LT"/>
                            </w:rPr>
                            <w:t>H2,m</w:t>
                          </w:r>
                          <w:r>
                            <w:rPr>
                              <w:lang w:eastAsia="lt-LT"/>
                            </w:rPr>
                            <w:t xml:space="preserve"> apskaičiuojamas analogiškai kaip </w:t>
                          </w:r>
                          <w:r>
                            <w:rPr>
                              <w:i/>
                              <w:color w:val="000000"/>
                              <w:szCs w:val="24"/>
                              <w:lang w:eastAsia="lt-LT"/>
                            </w:rPr>
                            <w:t>τ</w:t>
                          </w:r>
                          <w:r>
                            <w:rPr>
                              <w:i/>
                              <w:color w:val="000000"/>
                              <w:szCs w:val="24"/>
                              <w:vertAlign w:val="subscript"/>
                              <w:lang w:eastAsia="lt-LT"/>
                            </w:rPr>
                            <w:t xml:space="preserve">H,m </w:t>
                          </w:r>
                          <w:r>
                            <w:rPr>
                              <w:b/>
                              <w:lang w:eastAsia="lt-LT"/>
                            </w:rPr>
                            <w:t>–</w:t>
                          </w:r>
                          <w:r>
                            <w:rPr>
                              <w:lang w:eastAsia="lt-LT"/>
                            </w:rPr>
                            <w:t xml:space="preserve"> pagal (2.570) formulę. Pastato zonoje, kurioje vėdinimo įrenginiai nenaudoja elektros energijos orui pašildyti, imama </w:t>
                          </w:r>
                          <w:r>
                            <w:rPr>
                              <w:i/>
                              <w:color w:val="000000"/>
                              <w:szCs w:val="24"/>
                              <w:lang w:eastAsia="lt-LT"/>
                            </w:rPr>
                            <w:t>τ</w:t>
                          </w:r>
                          <w:r>
                            <w:rPr>
                              <w:i/>
                              <w:color w:val="000000"/>
                              <w:szCs w:val="24"/>
                              <w:vertAlign w:val="subscript"/>
                              <w:lang w:eastAsia="lt-LT"/>
                            </w:rPr>
                            <w:t>H2,m</w:t>
                          </w:r>
                          <w:r>
                            <w:rPr>
                              <w:lang w:eastAsia="lt-LT"/>
                            </w:rPr>
                            <w:t>=1;</w:t>
                          </w:r>
                          <w:r>
                            <w:rPr>
                              <w:color w:val="000000"/>
                              <w:szCs w:val="24"/>
                              <w:lang w:eastAsia="lt-LT"/>
                            </w:rPr>
                            <w:tab/>
                          </w:r>
                        </w:p>
                        <w:p>
                          <w:pPr>
                            <w:tabs>
                              <w:tab w:val="left" w:pos="567"/>
                            </w:tabs>
                            <w:suppressAutoHyphens/>
                            <w:jc w:val="both"/>
                            <w:rPr>
                              <w:color w:val="000000"/>
                              <w:szCs w:val="24"/>
                              <w:lang w:eastAsia="lt-LT"/>
                            </w:rPr>
                          </w:pPr>
                          <w:r>
                            <w:rPr>
                              <w:i/>
                              <w:color w:val="000000"/>
                              <w:szCs w:val="24"/>
                              <w:lang w:eastAsia="lt-LT"/>
                            </w:rPr>
                            <w:t>Q</w:t>
                          </w:r>
                          <w:r>
                            <w:rPr>
                              <w:i/>
                              <w:color w:val="000000"/>
                              <w:szCs w:val="24"/>
                              <w:vertAlign w:val="subscript"/>
                              <w:lang w:eastAsia="lt-LT"/>
                            </w:rPr>
                            <w:t xml:space="preserve">H.E.GHP,m </w:t>
                          </w:r>
                          <w:r>
                            <w:rPr>
                              <w:color w:val="000000"/>
                              <w:szCs w:val="24"/>
                              <w:lang w:eastAsia="lt-LT"/>
                            </w:rPr>
                            <w:t xml:space="preserve">– </w:t>
                          </w:r>
                          <w:r>
                            <w:rPr>
                              <w:bCs/>
                              <w:szCs w:val="24"/>
                              <w:lang w:eastAsia="lt-LT"/>
                            </w:rPr>
                            <w:t xml:space="preserve">dujinio katilo su absorbciniu šilumos siurbliu elektros energijos sąnaudos </w:t>
                          </w:r>
                          <w:r>
                            <w:rPr>
                              <w:color w:val="000000"/>
                              <w:szCs w:val="24"/>
                              <w:lang w:eastAsia="lt-LT"/>
                            </w:rPr>
                            <w:t>(kWh/(m</w:t>
                          </w:r>
                          <w:r>
                            <w:rPr>
                              <w:color w:val="000000"/>
                              <w:szCs w:val="24"/>
                              <w:vertAlign w:val="superscript"/>
                              <w:lang w:eastAsia="lt-LT"/>
                            </w:rPr>
                            <w:t>2</w:t>
                          </w:r>
                          <w:r>
                            <w:rPr>
                              <w:color w:val="000000"/>
                              <w:szCs w:val="24"/>
                              <w:lang w:eastAsia="lt-LT"/>
                            </w:rPr>
                            <w:t>·mėn.))</w:t>
                          </w:r>
                          <w:r>
                            <w:rPr>
                              <w:bCs/>
                              <w:szCs w:val="24"/>
                              <w:lang w:eastAsia="lt-LT"/>
                            </w:rPr>
                            <w:t>, kurios apskaičiuojamos taip</w:t>
                          </w:r>
                          <w:r>
                            <w:rPr>
                              <w:color w:val="000000"/>
                              <w:szCs w:val="24"/>
                              <w:lang w:eastAsia="lt-LT"/>
                            </w:rPr>
                            <w:t>:</w:t>
                          </w:r>
                        </w:p>
                        <w:p>
                          <w:pPr>
                            <w:tabs>
                              <w:tab w:val="left" w:pos="567"/>
                            </w:tabs>
                            <w:suppressAutoHyphens/>
                            <w:jc w:val="both"/>
                            <w:rPr>
                              <w:b/>
                              <w:bCs/>
                              <w:szCs w:val="24"/>
                              <w:lang w:eastAsia="lt-LT"/>
                            </w:rPr>
                          </w:pPr>
                        </w:p>
                        <w:tbl>
                          <w:tblPr>
                            <w:tblW w:w="5000" w:type="pct"/>
                            <w:tblLook w:val="01E0" w:firstRow="1" w:lastRow="1" w:firstColumn="1" w:lastColumn="1" w:noHBand="0" w:noVBand="0"/>
                          </w:tblPr>
                          <w:tblGrid>
                            <w:gridCol w:w="8494"/>
                            <w:gridCol w:w="1360"/>
                          </w:tblGrid>
                          <w:tr>
                            <w:tc>
                              <w:tcPr>
                                <w:tcW w:w="4310" w:type="pct"/>
                                <w:vAlign w:val="center"/>
                                <w:hideMark/>
                              </w:tcPr>
                              <w:p>
                                <w:pPr>
                                  <w:tabs>
                                    <w:tab w:val="left" w:pos="567"/>
                                  </w:tabs>
                                  <w:suppressAutoHyphens/>
                                  <w:spacing w:line="276" w:lineRule="auto"/>
                                  <w:jc w:val="center"/>
                                  <w:rPr>
                                    <w:rFonts w:eastAsia="Calibri"/>
                                    <w:szCs w:val="24"/>
                                    <w:lang w:eastAsia="lt-LT"/>
                                  </w:rPr>
                                </w:pPr>
                                <w:r>
                                  <w:rPr>
                                    <w:szCs w:val="24"/>
                                    <w:lang w:eastAsia="lt-LT"/>
                                  </w:rPr>
                                  <w:object w:dxaOrig="7008" w:dyaOrig="684">
                                    <v:shape id="_x0000_i1817" type="#_x0000_t75" style="width:350.3pt;height:34.8pt" o:ole="">
                                      <v:imagedata r:id="rId1933" o:title=""/>
                                    </v:shape>
                                    <o:OLEObject Type="Embed" ProgID="Equation.3" ShapeID="_x0000_i1817" DrawAspect="Content" ObjectID="_0000000001" r:id="rId1934"/>
                                  </w:object>
                                  <w:t>;</w:t>
                                </w:r>
                              </w:p>
                            </w:tc>
                            <w:tc>
                              <w:tcPr>
                                <w:tcW w:w="690" w:type="pct"/>
                                <w:vAlign w:val="center"/>
                                <w:hideMark/>
                              </w:tcPr>
                              <w:p>
                                <w:pPr>
                                  <w:tabs>
                                    <w:tab w:val="left" w:pos="567"/>
                                  </w:tabs>
                                  <w:suppressAutoHyphens/>
                                  <w:spacing w:line="276" w:lineRule="auto"/>
                                  <w:jc w:val="right"/>
                                  <w:rPr>
                                    <w:rFonts w:eastAsia="Calibri"/>
                                    <w:szCs w:val="24"/>
                                    <w:lang w:eastAsia="lt-LT"/>
                                  </w:rPr>
                                </w:pPr>
                                <w:r>
                                  <w:rPr>
                                    <w:szCs w:val="24"/>
                                    <w:lang w:eastAsia="lt-LT"/>
                                  </w:rPr>
                                  <w:t>(2.599-2-2)</w:t>
                                </w:r>
                              </w:p>
                            </w:tc>
                          </w:tr>
                        </w:tbl>
                        <w:p>
                          <w:pPr>
                            <w:tabs>
                              <w:tab w:val="left" w:pos="567"/>
                            </w:tabs>
                            <w:suppressAutoHyphens/>
                            <w:rPr>
                              <w:szCs w:val="24"/>
                              <w:lang w:eastAsia="lt-LT"/>
                            </w:rPr>
                          </w:pPr>
                        </w:p>
                        <w:p>
                          <w:pPr>
                            <w:tabs>
                              <w:tab w:val="left" w:pos="567"/>
                            </w:tabs>
                            <w:suppressAutoHyphens/>
                            <w:rPr>
                              <w:szCs w:val="24"/>
                              <w:lang w:eastAsia="lt-LT"/>
                            </w:rPr>
                          </w:pPr>
                          <w:r>
                            <w:rPr>
                              <w:szCs w:val="24"/>
                              <w:lang w:eastAsia="lt-LT"/>
                            </w:rPr>
                            <w:t>čia: (2.599-1) ir (2.599-2) formulėse:</w:t>
                            <w:tab/>
                          </w:r>
                        </w:p>
                        <w:p>
                          <w:pPr>
                            <w:tabs>
                              <w:tab w:val="left" w:pos="567"/>
                            </w:tabs>
                            <w:suppressAutoHyphens/>
                            <w:ind w:firstLine="709"/>
                            <w:rPr>
                              <w:szCs w:val="24"/>
                              <w:lang w:eastAsia="lt-LT"/>
                            </w:rPr>
                          </w:pPr>
                          <w:r>
                            <w:rPr>
                              <w:szCs w:val="24"/>
                              <w:lang w:eastAsia="lt-LT"/>
                            </w:rPr>
                            <w:t>jei</w:t>
                          </w:r>
                        </w:p>
                        <w:p>
                          <w:pPr>
                            <w:tabs>
                              <w:tab w:val="left" w:pos="567"/>
                            </w:tabs>
                            <w:suppressAutoHyphens/>
                            <w:jc w:val="center"/>
                            <w:rPr>
                              <w:lang w:eastAsia="lt-LT"/>
                            </w:rPr>
                          </w:pPr>
                          <w:r>
                            <w:rPr>
                              <w:position w:val="-30"/>
                              <w:lang w:eastAsia="lt-LT"/>
                            </w:rPr>
                            <w:object w:dxaOrig="3960" w:dyaOrig="720">
                              <v:shape id="_x0000_i1818" type="#_x0000_t75" style="width:199.8pt;height:37.2pt" o:ole="">
                                <v:imagedata r:id="rId1935" o:title=""/>
                              </v:shape>
                              <o:OLEObject Type="Embed" ProgID="Equation.3" ShapeID="_x0000_i1818" DrawAspect="Content" ObjectID="_0000000001" r:id="rId1936"/>
                            </w:object>
                          </w:r>
                          <w:r>
                            <w:rPr>
                              <w:lang w:eastAsia="lt-LT"/>
                            </w:rPr>
                            <w:t>,</w:t>
                          </w:r>
                        </w:p>
                        <w:p>
                          <w:pPr>
                            <w:tabs>
                              <w:tab w:val="left" w:pos="567"/>
                            </w:tabs>
                            <w:suppressAutoHyphens/>
                            <w:ind w:firstLine="720"/>
                            <w:rPr>
                              <w:lang w:eastAsia="lt-LT"/>
                            </w:rPr>
                          </w:pPr>
                          <w:r>
                            <w:rPr>
                              <w:lang w:eastAsia="lt-LT"/>
                            </w:rPr>
                            <w:t xml:space="preserve">tada </w:t>
                          </w:r>
                        </w:p>
                        <w:p>
                          <w:pPr>
                            <w:tabs>
                              <w:tab w:val="left" w:pos="567"/>
                            </w:tabs>
                            <w:suppressAutoHyphens/>
                            <w:jc w:val="center"/>
                            <w:rPr>
                              <w:szCs w:val="24"/>
                              <w:lang w:val="en-US" w:eastAsia="lt-LT"/>
                            </w:rPr>
                          </w:pPr>
                          <w:r>
                            <w:rPr>
                              <w:position w:val="-30"/>
                              <w:lang w:eastAsia="lt-LT"/>
                            </w:rPr>
                            <w:object w:dxaOrig="3900" w:dyaOrig="700">
                              <v:shape id="_x0000_i1819" type="#_x0000_t75" style="width:195.8pt;height:33.15pt" o:ole="">
                                <v:imagedata r:id="rId1937" o:title=""/>
                              </v:shape>
                              <o:OLEObject Type="Embed" ProgID="Equation.3" ShapeID="_x0000_i1819" DrawAspect="Content" ObjectID="_0000000001" r:id="rId1938"/>
                            </w:object>
                          </w:r>
                          <w:r>
                            <w:rPr>
                              <w:lang w:eastAsia="lt-LT"/>
                            </w:rPr>
                            <w:t>;</w:t>
                          </w:r>
                        </w:p>
                        <w:p>
                          <w:pPr>
                            <w:tabs>
                              <w:tab w:val="left" w:pos="567"/>
                            </w:tabs>
                            <w:suppressAutoHyphens/>
                            <w:ind w:firstLine="720"/>
                            <w:rPr>
                              <w:szCs w:val="24"/>
                              <w:lang w:eastAsia="lt-LT"/>
                            </w:rPr>
                          </w:pPr>
                          <w:r>
                            <w:rPr>
                              <w:szCs w:val="24"/>
                              <w:lang w:eastAsia="lt-LT"/>
                            </w:rPr>
                            <w:t>jei</w:t>
                          </w:r>
                        </w:p>
                        <w:p>
                          <w:pPr>
                            <w:tabs>
                              <w:tab w:val="left" w:pos="567"/>
                            </w:tabs>
                            <w:suppressAutoHyphens/>
                            <w:jc w:val="center"/>
                            <w:rPr>
                              <w:lang w:eastAsia="lt-LT"/>
                            </w:rPr>
                          </w:pPr>
                          <w:r>
                            <w:rPr>
                              <w:position w:val="-14"/>
                              <w:lang w:eastAsia="lt-LT"/>
                            </w:rPr>
                            <w:object w:dxaOrig="3840" w:dyaOrig="400">
                              <v:shape id="_x0000_i1820" type="#_x0000_t75" style="width:192.55pt;height:21.85pt" o:ole="">
                                <v:imagedata r:id="rId1939" o:title=""/>
                              </v:shape>
                              <o:OLEObject Type="Embed" ProgID="Equation.3" ShapeID="_x0000_i1820" DrawAspect="Content" ObjectID="_0000000001" r:id="rId1940"/>
                            </w:object>
                          </w:r>
                          <w:r>
                            <w:rPr>
                              <w:lang w:eastAsia="lt-LT"/>
                            </w:rPr>
                            <w:t>,</w:t>
                          </w:r>
                        </w:p>
                        <w:p>
                          <w:pPr>
                            <w:tabs>
                              <w:tab w:val="left" w:pos="567"/>
                            </w:tabs>
                            <w:suppressAutoHyphens/>
                            <w:ind w:firstLine="720"/>
                            <w:rPr>
                              <w:lang w:eastAsia="lt-LT"/>
                            </w:rPr>
                          </w:pPr>
                          <w:r>
                            <w:rPr>
                              <w:lang w:eastAsia="lt-LT"/>
                            </w:rPr>
                            <w:t xml:space="preserve">tada </w:t>
                          </w:r>
                        </w:p>
                        <w:p>
                          <w:pPr>
                            <w:tabs>
                              <w:tab w:val="left" w:pos="567"/>
                            </w:tabs>
                            <w:suppressAutoHyphens/>
                            <w:jc w:val="center"/>
                            <w:rPr>
                              <w:szCs w:val="24"/>
                              <w:lang w:val="en-US" w:eastAsia="lt-LT"/>
                            </w:rPr>
                          </w:pPr>
                          <w:r>
                            <w:rPr>
                              <w:position w:val="-14"/>
                              <w:lang w:eastAsia="lt-LT"/>
                            </w:rPr>
                            <w:object w:dxaOrig="3820" w:dyaOrig="400">
                              <v:shape id="_x0000_i1821" type="#_x0000_t75" style="width:191.75pt;height:21.85pt" o:ole="">
                                <v:imagedata r:id="rId1941" o:title=""/>
                              </v:shape>
                              <o:OLEObject Type="Embed" ProgID="Equation.3" ShapeID="_x0000_i1821" DrawAspect="Content" ObjectID="_0000000001" r:id="rId1942"/>
                            </w:object>
                          </w:r>
                          <w:r>
                            <w:rPr>
                              <w:lang w:eastAsia="lt-LT"/>
                            </w:rPr>
                            <w:t>;</w:t>
                          </w:r>
                        </w:p>
                        <w:p>
                          <w:pPr>
                            <w:tabs>
                              <w:tab w:val="left" w:pos="567"/>
                            </w:tabs>
                            <w:suppressAutoHyphens/>
                            <w:ind w:firstLine="720"/>
                            <w:rPr>
                              <w:szCs w:val="24"/>
                              <w:lang w:eastAsia="lt-LT"/>
                            </w:rPr>
                          </w:pPr>
                          <w:r>
                            <w:rPr>
                              <w:szCs w:val="24"/>
                              <w:lang w:eastAsia="lt-LT"/>
                            </w:rPr>
                            <w:t xml:space="preserve">jei </w:t>
                          </w:r>
                        </w:p>
                        <w:p>
                          <w:pPr>
                            <w:tabs>
                              <w:tab w:val="left" w:pos="567"/>
                            </w:tabs>
                            <w:suppressAutoHyphens/>
                            <w:jc w:val="center"/>
                            <w:rPr>
                              <w:lang w:eastAsia="lt-LT"/>
                            </w:rPr>
                          </w:pPr>
                          <w:r>
                            <w:rPr>
                              <w:color w:val="000000"/>
                              <w:position w:val="-52"/>
                            </w:rPr>
                            <w:object w:dxaOrig="5268" w:dyaOrig="1056">
                              <v:shape id="_x0000_i1822" type="#_x0000_t75" style="width:263.75pt;height:54.2pt" o:ole="">
                                <v:imagedata r:id="rId1943" o:title=""/>
                              </v:shape>
                              <o:OLEObject Type="Embed" ProgID="Equation.3" ShapeID="_x0000_i1822" DrawAspect="Content" ObjectID="_0000000001" r:id="rId1944"/>
                            </w:object>
                          </w:r>
                          <w:r>
                            <w:rPr>
                              <w:lang w:eastAsia="lt-LT"/>
                            </w:rPr>
                            <w:t>,</w:t>
                          </w:r>
                        </w:p>
                        <w:p>
                          <w:pPr>
                            <w:tabs>
                              <w:tab w:val="left" w:pos="567"/>
                            </w:tabs>
                            <w:suppressAutoHyphens/>
                            <w:ind w:firstLine="720"/>
                            <w:rPr>
                              <w:lang w:eastAsia="lt-LT"/>
                            </w:rPr>
                          </w:pPr>
                          <w:r>
                            <w:rPr>
                              <w:lang w:eastAsia="lt-LT"/>
                            </w:rPr>
                            <w:t>tada</w:t>
                          </w:r>
                        </w:p>
                        <w:p>
                          <w:pPr>
                            <w:tabs>
                              <w:tab w:val="left" w:pos="567"/>
                            </w:tabs>
                            <w:suppressAutoHyphens/>
                            <w:jc w:val="center"/>
                            <w:rPr>
                              <w:lang w:eastAsia="lt-LT"/>
                            </w:rPr>
                          </w:pPr>
                          <w:r>
                            <w:rPr>
                              <w:color w:val="000000"/>
                              <w:position w:val="-52"/>
                            </w:rPr>
                            <w:object w:dxaOrig="5268" w:dyaOrig="1056">
                              <v:shape id="_x0000_i1823" type="#_x0000_t75" style="width:263.75pt;height:54.2pt" o:ole="">
                                <v:imagedata r:id="rId1945" o:title=""/>
                              </v:shape>
                              <o:OLEObject Type="Embed" ProgID="Equation.3" ShapeID="_x0000_i1823" DrawAspect="Content" ObjectID="_0000000001" r:id="rId1946"/>
                            </w:object>
                          </w:r>
                          <w:r>
                            <w:rPr>
                              <w:lang w:eastAsia="lt-LT"/>
                            </w:rPr>
                            <w:t>;</w:t>
                          </w:r>
                        </w:p>
                        <w:p>
                          <w:pPr>
                            <w:tabs>
                              <w:tab w:val="left" w:pos="567"/>
                            </w:tabs>
                            <w:suppressAutoHyphens/>
                            <w:ind w:firstLine="720"/>
                            <w:rPr>
                              <w:szCs w:val="24"/>
                              <w:lang w:eastAsia="lt-LT"/>
                            </w:rPr>
                          </w:pPr>
                          <w:r>
                            <w:rPr>
                              <w:szCs w:val="24"/>
                              <w:lang w:eastAsia="lt-LT"/>
                            </w:rPr>
                            <w:t xml:space="preserve">jei </w:t>
                          </w:r>
                        </w:p>
                        <w:p>
                          <w:pPr>
                            <w:tabs>
                              <w:tab w:val="left" w:pos="567"/>
                            </w:tabs>
                            <w:suppressAutoHyphens/>
                            <w:jc w:val="center"/>
                            <w:rPr>
                              <w:strike/>
                              <w:lang w:eastAsia="lt-LT"/>
                            </w:rPr>
                          </w:pPr>
                        </w:p>
                        <w:p>
                          <w:pPr>
                            <w:tabs>
                              <w:tab w:val="left" w:pos="567"/>
                            </w:tabs>
                            <w:suppressAutoHyphens/>
                            <w:jc w:val="center"/>
                            <w:rPr>
                              <w:lang w:eastAsia="lt-LT"/>
                            </w:rPr>
                          </w:pPr>
                          <w:r>
                            <w:rPr>
                              <w:color w:val="000000"/>
                              <w:position w:val="-52"/>
                            </w:rPr>
                            <w:object w:dxaOrig="5736" w:dyaOrig="1056">
                              <v:shape id="_x0000_i1824" type="#_x0000_t75" style="width:286.4pt;height:54.2pt" o:ole="">
                                <v:imagedata r:id="rId1947" o:title=""/>
                              </v:shape>
                              <o:OLEObject Type="Embed" ProgID="Equation.3" ShapeID="_x0000_i1824" DrawAspect="Content" ObjectID="_0000000001" r:id="rId1948"/>
                            </w:object>
                          </w:r>
                          <w:r>
                            <w:rPr>
                              <w:lang w:eastAsia="lt-LT"/>
                            </w:rPr>
                            <w:t>,</w:t>
                          </w:r>
                        </w:p>
                        <w:p>
                          <w:pPr>
                            <w:tabs>
                              <w:tab w:val="left" w:pos="567"/>
                            </w:tabs>
                            <w:suppressAutoHyphens/>
                            <w:ind w:firstLine="720"/>
                            <w:rPr>
                              <w:lang w:eastAsia="lt-LT"/>
                            </w:rPr>
                          </w:pPr>
                          <w:r>
                            <w:rPr>
                              <w:lang w:eastAsia="lt-LT"/>
                            </w:rPr>
                            <w:t>tada</w:t>
                          </w:r>
                        </w:p>
                        <w:p>
                          <w:pPr>
                            <w:tabs>
                              <w:tab w:val="left" w:pos="567"/>
                            </w:tabs>
                            <w:suppressAutoHyphens/>
                            <w:jc w:val="center"/>
                            <w:rPr>
                              <w:lang w:eastAsia="lt-LT"/>
                            </w:rPr>
                          </w:pPr>
                          <w:r>
                            <w:rPr>
                              <w:color w:val="000000"/>
                            </w:rPr>
                            <w:object w:dxaOrig="5736" w:dyaOrig="1056">
                              <v:shape id="_x0000_i1825" type="#_x0000_t75" style="width:286.4pt;height:54.2pt" o:ole="">
                                <v:imagedata r:id="rId1949" o:title=""/>
                              </v:shape>
                              <o:OLEObject Type="Embed" ProgID="Equation.3" ShapeID="_x0000_i1825" DrawAspect="Content" ObjectID="_0000000001" r:id="rId1950"/>
                            </w:object>
                          </w:r>
                          <w:r>
                            <w:rPr>
                              <w:lang w:eastAsia="lt-LT"/>
                            </w:rPr>
                            <w:t>;</w:t>
                          </w:r>
                        </w:p>
                        <w:p>
                          <w:pPr>
                            <w:tabs>
                              <w:tab w:val="left" w:pos="567"/>
                            </w:tabs>
                            <w:suppressAutoHyphens/>
                            <w:ind w:firstLine="600"/>
                            <w:jc w:val="both"/>
                            <w:rPr>
                              <w:szCs w:val="24"/>
                              <w:lang w:eastAsia="lt-LT"/>
                            </w:rPr>
                          </w:pPr>
                          <w:r>
                            <w:rPr>
                              <w:i/>
                              <w:szCs w:val="24"/>
                              <w:lang w:eastAsia="lt-LT"/>
                            </w:rPr>
                            <w:t>τ</w:t>
                          </w:r>
                          <w:r>
                            <w:rPr>
                              <w:i/>
                              <w:szCs w:val="24"/>
                              <w:vertAlign w:val="subscript"/>
                              <w:lang w:eastAsia="lt-LT"/>
                            </w:rPr>
                            <w:t>1,m</w:t>
                          </w:r>
                          <w:r>
                            <w:rPr>
                              <w:i/>
                              <w:szCs w:val="24"/>
                              <w:lang w:eastAsia="lt-LT"/>
                            </w:rPr>
                            <w:t xml:space="preserve"> , τ</w:t>
                          </w:r>
                          <w:r>
                            <w:rPr>
                              <w:i/>
                              <w:szCs w:val="24"/>
                              <w:vertAlign w:val="subscript"/>
                              <w:lang w:eastAsia="lt-LT"/>
                            </w:rPr>
                            <w:t xml:space="preserve">2,m </w:t>
                          </w:r>
                          <w:r>
                            <w:rPr>
                              <w:szCs w:val="24"/>
                              <w:lang w:eastAsia="lt-LT"/>
                            </w:rPr>
                            <w:t xml:space="preserve">– kiekvieno mėnesio „m“ darbo laiko koeficientai atitinkamai pirmajam ir antrajam šilumos šaltiniui, kai pastatui šildyti naudojami du šilumos šaltiniai (vnt.). Imama iš 2.47 lentelės.  Jei šios lentelės 1–4, 20–23, 25–28 eilutėse išvardintų šilumos šaltinių šiluminė galia pastatui šildyti žinoma, jų darbo laiko koeficientus galima apskaičiuoti pagal Reglamento 15 priedo reikalavimus;</w:t>
                          </w:r>
                        </w:p>
                        <w:p>
                          <w:pPr>
                            <w:tabs>
                              <w:tab w:val="left" w:pos="567"/>
                            </w:tabs>
                            <w:suppressAutoHyphens/>
                            <w:ind w:firstLine="567"/>
                            <w:jc w:val="both"/>
                            <w:rPr>
                              <w:rFonts w:eastAsia="Calibri"/>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=0 – jei atitinkamą „m“ mėnesį pastatui šildyti pirmajam šilumos šaltiniui nenaudojamas šiluminis siurblys arba šildymo sistemos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1,m</w:t>
                          </w:r>
                          <w:r>
                            <w:rPr>
                              <w:color w:val="000000"/>
                              <w:szCs w:val="24"/>
                              <w:lang w:eastAsia="lt-LT"/>
                            </w:rPr>
                            <w:t xml:space="preserve">=1 – jei atitinkamą „m“ mėnesį pastatui šildyti pirmajam šilumos šaltiniui naudojamas šiluminis siurblys ir šildymo sistemos šiluminio siurblio </w:t>
                          </w:r>
                          <w:r>
                            <w:rPr>
                              <w:bCs/>
                              <w:i/>
                              <w:color w:val="000000"/>
                              <w:szCs w:val="24"/>
                              <w:lang w:val="en-US" w:eastAsia="lt-LT"/>
                            </w:rPr>
                            <w:t>η</w:t>
                          </w:r>
                          <w:r>
                            <w:rPr>
                              <w:bCs/>
                              <w:i/>
                              <w:color w:val="000000"/>
                              <w:szCs w:val="24"/>
                              <w:vertAlign w:val="subscript"/>
                              <w:lang w:eastAsia="lt-LT"/>
                            </w:rPr>
                            <w:t>2(hs1)</w:t>
                          </w:r>
                          <w:r>
                            <w:rPr>
                              <w:bCs/>
                              <w:color w:val="000000"/>
                              <w:szCs w:val="24"/>
                              <w:lang w:eastAsia="lt-LT"/>
                            </w:rPr>
                            <w:t>&gt;2,2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2,m</w:t>
                          </w:r>
                          <w:r>
                            <w:rPr>
                              <w:color w:val="000000"/>
                              <w:szCs w:val="24"/>
                              <w:lang w:eastAsia="lt-LT"/>
                            </w:rPr>
                            <w:t xml:space="preserve">=0 – jei atitinkamą „m“ mėnesį pastatui šildyti antrajam šilumos šaltiniui nenaudojamas šiluminis siurblys arba šildymo sistemos šiluminio siurblio </w:t>
                          </w:r>
                          <w:r>
                            <w:rPr>
                              <w:bCs/>
                              <w:i/>
                              <w:color w:val="000000"/>
                              <w:szCs w:val="24"/>
                              <w:lang w:val="en-US" w:eastAsia="lt-LT"/>
                            </w:rPr>
                            <w:t>η</w:t>
                          </w:r>
                          <w:r>
                            <w:rPr>
                              <w:bCs/>
                              <w:i/>
                              <w:color w:val="000000"/>
                              <w:szCs w:val="24"/>
                              <w:vertAlign w:val="subscript"/>
                              <w:lang w:eastAsia="lt-LT"/>
                            </w:rPr>
                            <w:t>2(hs2)</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2,m</w:t>
                          </w:r>
                          <w:r>
                            <w:rPr>
                              <w:color w:val="000000"/>
                              <w:szCs w:val="24"/>
                              <w:lang w:eastAsia="lt-LT"/>
                            </w:rPr>
                            <w:t xml:space="preserve">=1 – jei atitinkamą „m“ mėnesį pastatui šildyti antrajam šilumos šaltiniui naudojamas šiluminis siurblys ir šildymo sistemos šiluminio siurblio </w:t>
                          </w:r>
                          <w:r>
                            <w:rPr>
                              <w:bCs/>
                              <w:i/>
                              <w:color w:val="000000"/>
                              <w:szCs w:val="24"/>
                              <w:lang w:val="en-US" w:eastAsia="lt-LT"/>
                            </w:rPr>
                            <w:t>η</w:t>
                          </w:r>
                          <w:r>
                            <w:rPr>
                              <w:bCs/>
                              <w:i/>
                              <w:color w:val="000000"/>
                              <w:szCs w:val="24"/>
                              <w:vertAlign w:val="subscript"/>
                              <w:lang w:eastAsia="lt-LT"/>
                            </w:rPr>
                            <w:t>2(hs2)</w:t>
                          </w:r>
                          <w:r>
                            <w:rPr>
                              <w:bCs/>
                              <w:color w:val="000000"/>
                              <w:szCs w:val="24"/>
                              <w:lang w:eastAsia="lt-LT"/>
                            </w:rPr>
                            <w:t>&gt;2,2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3</w:t>
                          </w:r>
                          <w:r>
                            <w:rPr>
                              <w:color w:val="000000"/>
                              <w:szCs w:val="24"/>
                              <w:lang w:eastAsia="lt-LT"/>
                            </w:rPr>
                            <w:t xml:space="preserve">=0 – jei pastato vėdinimo sistemoje orui pašildyti nenaudojamas šiluminis siurblys arba vėdinimo sistemos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3</w:t>
                          </w:r>
                          <w:r>
                            <w:rPr>
                              <w:color w:val="000000"/>
                              <w:szCs w:val="24"/>
                              <w:lang w:eastAsia="lt-LT"/>
                            </w:rPr>
                            <w:t xml:space="preserve">=1 – jei pastato vėdinimo sistemoje orui pašildyti naudojamas šiluminis siurblys ir vėdinimo sistemos šiluminio siurblio </w:t>
                          </w:r>
                          <w:r>
                            <w:rPr>
                              <w:bCs/>
                              <w:i/>
                              <w:color w:val="000000"/>
                              <w:szCs w:val="24"/>
                              <w:lang w:val="en-US" w:eastAsia="lt-LT"/>
                            </w:rPr>
                            <w:t>η</w:t>
                          </w:r>
                          <w:r>
                            <w:rPr>
                              <w:bCs/>
                              <w:i/>
                              <w:color w:val="000000"/>
                              <w:szCs w:val="24"/>
                              <w:vertAlign w:val="subscript"/>
                              <w:lang w:eastAsia="lt-LT"/>
                            </w:rPr>
                            <w:t>mvH.air</w:t>
                          </w:r>
                          <w:r>
                            <w:rPr>
                              <w:bCs/>
                              <w:color w:val="000000"/>
                              <w:szCs w:val="24"/>
                              <w:lang w:eastAsia="lt-LT"/>
                            </w:rPr>
                            <w:t>&gt;2,2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4</w:t>
                          </w:r>
                          <w:r>
                            <w:rPr>
                              <w:color w:val="000000"/>
                              <w:szCs w:val="24"/>
                              <w:lang w:eastAsia="lt-LT"/>
                            </w:rPr>
                            <w:t xml:space="preserve">=0 – jei pastato vėdinimo sistemoje orui pašildyti nenaudojamas šiluminis siurblys arba vėdinimo sistemos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 xml:space="preserve"> ≤2,2</w:t>
                          </w:r>
                          <w:r>
                            <w:rPr>
                              <w:color w:val="000000"/>
                              <w:szCs w:val="24"/>
                              <w:lang w:eastAsia="lt-LT"/>
                            </w:rPr>
                            <w:t>;</w:t>
                          </w:r>
                        </w:p>
                        <w:p>
                          <w:pPr>
                            <w:tabs>
                              <w:tab w:val="left" w:pos="567"/>
                            </w:tabs>
                            <w:suppressAutoHyphens/>
                            <w:ind w:firstLine="567"/>
                            <w:jc w:val="both"/>
                            <w:rPr>
                              <w:color w:val="000000"/>
                              <w:szCs w:val="24"/>
                              <w:lang w:eastAsia="lt-LT"/>
                            </w:rPr>
                          </w:pPr>
                          <w:r>
                            <w:rPr>
                              <w:i/>
                              <w:color w:val="000000"/>
                              <w:szCs w:val="24"/>
                              <w:lang w:eastAsia="lt-LT"/>
                            </w:rPr>
                            <w:t>k</w:t>
                          </w:r>
                          <w:r>
                            <w:rPr>
                              <w:i/>
                              <w:color w:val="000000"/>
                              <w:szCs w:val="24"/>
                              <w:vertAlign w:val="subscript"/>
                              <w:lang w:eastAsia="lt-LT"/>
                            </w:rPr>
                            <w:t>4</w:t>
                          </w:r>
                          <w:r>
                            <w:rPr>
                              <w:color w:val="000000"/>
                              <w:szCs w:val="24"/>
                              <w:lang w:eastAsia="lt-LT"/>
                            </w:rPr>
                            <w:t xml:space="preserve">=1 – jei pastato vėdinimo sistemoje orui pašildyti naudojamas šiluminis siurblys ir vėdinimo sistemos šiluminio siurblio </w:t>
                          </w:r>
                          <w:r>
                            <w:rPr>
                              <w:bCs/>
                              <w:i/>
                              <w:color w:val="000000"/>
                              <w:szCs w:val="24"/>
                              <w:lang w:val="en-US" w:eastAsia="lt-LT"/>
                            </w:rPr>
                            <w:t>η</w:t>
                          </w:r>
                          <w:r>
                            <w:rPr>
                              <w:bCs/>
                              <w:i/>
                              <w:color w:val="000000"/>
                              <w:szCs w:val="24"/>
                              <w:vertAlign w:val="subscript"/>
                              <w:lang w:eastAsia="lt-LT"/>
                            </w:rPr>
                            <w:t>reH.air</w:t>
                          </w:r>
                          <w:r>
                            <w:rPr>
                              <w:bCs/>
                              <w:color w:val="000000"/>
                              <w:szCs w:val="24"/>
                              <w:lang w:eastAsia="lt-LT"/>
                            </w:rPr>
                            <w:t>&gt;2,2</w:t>
                          </w:r>
                          <w:r>
                            <w:rPr>
                              <w:color w:val="000000"/>
                              <w:szCs w:val="24"/>
                              <w:lang w:eastAsia="lt-LT"/>
                            </w:rPr>
                            <w:t>;</w:t>
                          </w:r>
                        </w:p>
                        <w:p>
                          <w:pPr>
                            <w:tabs>
                              <w:tab w:val="left" w:pos="567"/>
                            </w:tabs>
                            <w:suppressAutoHyphens/>
                            <w:ind w:firstLine="567"/>
                            <w:jc w:val="both"/>
                            <w:rPr>
                              <w:i/>
                              <w:color w:val="000000"/>
                              <w:szCs w:val="24"/>
                              <w:lang w:eastAsia="lt-LT"/>
                            </w:rPr>
                          </w:pPr>
                          <w:r>
                            <w:rPr>
                              <w:i/>
                              <w:color w:val="000000"/>
                              <w:szCs w:val="24"/>
                              <w:lang w:eastAsia="lt-LT"/>
                            </w:rPr>
                            <w:t>k</w:t>
                          </w:r>
                          <w:r>
                            <w:rPr>
                              <w:i/>
                              <w:color w:val="000000"/>
                              <w:szCs w:val="24"/>
                              <w:vertAlign w:val="subscript"/>
                              <w:lang w:eastAsia="lt-LT"/>
                            </w:rPr>
                            <w:t>hs1</w:t>
                          </w:r>
                          <w:r>
                            <w:rPr>
                              <w:color w:val="000000"/>
                              <w:szCs w:val="24"/>
                              <w:lang w:eastAsia="lt-LT"/>
                            </w:rPr>
                            <w:t xml:space="preserve">, </w:t>
                          </w:r>
                          <w:r>
                            <w:rPr>
                              <w:i/>
                              <w:color w:val="000000"/>
                              <w:szCs w:val="24"/>
                              <w:lang w:eastAsia="lt-LT"/>
                            </w:rPr>
                            <w:t>k</w:t>
                          </w:r>
                          <w:r>
                            <w:rPr>
                              <w:i/>
                              <w:color w:val="000000"/>
                              <w:szCs w:val="24"/>
                              <w:vertAlign w:val="subscript"/>
                              <w:lang w:eastAsia="lt-LT"/>
                            </w:rPr>
                            <w:t xml:space="preserve">hs2 </w:t>
                          </w:r>
                          <w:r>
                            <w:rPr>
                              <w:color w:val="000000"/>
                              <w:szCs w:val="24"/>
                              <w:lang w:eastAsia="lt-LT"/>
                            </w:rPr>
                            <w:t xml:space="preserve"> – koeficientai, įvertinantys elektros energijos iš atsinaujinančių išteklių panaudojimą pirmajam ir antrajam šilumos šaltiniui, kai pastatui šildyti naudojami du šilumos šaltiniai. Jei </w:t>
                          </w:r>
                          <w:r>
                            <w:rPr>
                              <w:i/>
                              <w:color w:val="000000"/>
                              <w:szCs w:val="24"/>
                              <w:lang w:eastAsia="lt-LT"/>
                            </w:rPr>
                            <w:t>η</w:t>
                          </w:r>
                          <w:r>
                            <w:rPr>
                              <w:i/>
                              <w:color w:val="000000"/>
                              <w:szCs w:val="24"/>
                              <w:vertAlign w:val="subscript"/>
                              <w:lang w:eastAsia="lt-LT"/>
                            </w:rPr>
                            <w:t xml:space="preserve">2(hs2.E) </w:t>
                          </w:r>
                          <w:r>
                            <w:rPr>
                              <w:color w:val="000000"/>
                              <w:szCs w:val="24"/>
                              <w:lang w:eastAsia="lt-LT"/>
                            </w:rPr>
                            <w:t xml:space="preserve"> =0, tai </w:t>
                          </w:r>
                          <w:r>
                            <w:rPr>
                              <w:i/>
                              <w:color w:val="000000"/>
                              <w:szCs w:val="24"/>
                              <w:lang w:eastAsia="lt-LT"/>
                            </w:rPr>
                            <w:t>k</w:t>
                          </w:r>
                          <w:r>
                            <w:rPr>
                              <w:i/>
                              <w:color w:val="000000"/>
                              <w:szCs w:val="24"/>
                              <w:vertAlign w:val="subscript"/>
                              <w:lang w:eastAsia="lt-LT"/>
                            </w:rPr>
                            <w:t>hs1</w:t>
                          </w:r>
                          <w:r>
                            <w:rPr>
                              <w:color w:val="000000"/>
                              <w:szCs w:val="24"/>
                              <w:lang w:eastAsia="lt-LT"/>
                            </w:rPr>
                            <w:t>=</w:t>
                          </w:r>
                          <w:r>
                            <w:rPr>
                              <w:i/>
                              <w:color w:val="000000"/>
                              <w:szCs w:val="24"/>
                              <w:lang w:eastAsia="lt-LT"/>
                            </w:rPr>
                            <w:t xml:space="preserve"> τ</w:t>
                          </w:r>
                          <w:r>
                            <w:rPr>
                              <w:i/>
                              <w:color w:val="000000"/>
                              <w:szCs w:val="24"/>
                              <w:vertAlign w:val="subscript"/>
                              <w:lang w:eastAsia="lt-LT"/>
                            </w:rPr>
                            <w:t>1,m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hs1</w:t>
                          </w:r>
                          <w:r>
                            <w:rPr>
                              <w:color w:val="000000"/>
                              <w:szCs w:val="24"/>
                              <w:lang w:eastAsia="lt-LT"/>
                            </w:rPr>
                            <w:t xml:space="preserve">=1. Jei </w:t>
                          </w:r>
                          <w:r>
                            <w:rPr>
                              <w:i/>
                              <w:color w:val="000000"/>
                              <w:szCs w:val="24"/>
                              <w:lang w:eastAsia="lt-LT"/>
                            </w:rPr>
                            <w:t>η</w:t>
                          </w:r>
                          <w:r>
                            <w:rPr>
                              <w:i/>
                              <w:color w:val="000000"/>
                              <w:szCs w:val="24"/>
                              <w:vertAlign w:val="subscript"/>
                              <w:lang w:eastAsia="lt-LT"/>
                            </w:rPr>
                            <w:t xml:space="preserve">2(hs1.E) </w:t>
                          </w:r>
                          <w:r>
                            <w:rPr>
                              <w:color w:val="000000"/>
                              <w:szCs w:val="24"/>
                              <w:lang w:eastAsia="lt-LT"/>
                            </w:rPr>
                            <w:t xml:space="preserve"> =0, tai </w:t>
                          </w:r>
                          <w:r>
                            <w:rPr>
                              <w:i/>
                              <w:color w:val="000000"/>
                              <w:szCs w:val="24"/>
                              <w:lang w:eastAsia="lt-LT"/>
                            </w:rPr>
                            <w:t>k</w:t>
                          </w:r>
                          <w:r>
                            <w:rPr>
                              <w:i/>
                              <w:color w:val="000000"/>
                              <w:szCs w:val="24"/>
                              <w:vertAlign w:val="subscript"/>
                              <w:lang w:eastAsia="lt-LT"/>
                            </w:rPr>
                            <w:t>hs2</w:t>
                          </w:r>
                          <w:r>
                            <w:rPr>
                              <w:color w:val="000000"/>
                              <w:szCs w:val="24"/>
                              <w:lang w:eastAsia="lt-LT"/>
                            </w:rPr>
                            <w:t>=</w:t>
                          </w:r>
                          <w:r>
                            <w:rPr>
                              <w:i/>
                              <w:color w:val="000000"/>
                              <w:szCs w:val="24"/>
                              <w:lang w:eastAsia="lt-LT"/>
                            </w:rPr>
                            <w:t xml:space="preserve"> τ</w:t>
                          </w:r>
                          <w:r>
                            <w:rPr>
                              <w:i/>
                              <w:color w:val="000000"/>
                              <w:szCs w:val="24"/>
                              <w:vertAlign w:val="subscript"/>
                              <w:lang w:eastAsia="lt-LT"/>
                            </w:rPr>
                            <w:t>2,m</w:t>
                          </w:r>
                          <w:r>
                            <w:rPr>
                              <w:color w:val="000000"/>
                              <w:szCs w:val="24"/>
                              <w:lang w:eastAsia="lt-LT"/>
                            </w:rPr>
                            <w:t xml:space="preserve">, kitu atveju </w:t>
                          </w:r>
                          <w:r>
                            <w:rPr>
                              <w:i/>
                              <w:color w:val="000000"/>
                              <w:szCs w:val="24"/>
                              <w:lang w:eastAsia="lt-LT"/>
                            </w:rPr>
                            <w:t>k</w:t>
                          </w:r>
                          <w:r>
                            <w:rPr>
                              <w:i/>
                              <w:color w:val="000000"/>
                              <w:szCs w:val="24"/>
                              <w:vertAlign w:val="subscript"/>
                              <w:lang w:eastAsia="lt-LT"/>
                            </w:rPr>
                            <w:t>hs2</w:t>
                          </w:r>
                          <w:r>
                            <w:rPr>
                              <w:color w:val="000000"/>
                              <w:szCs w:val="24"/>
                              <w:lang w:eastAsia="lt-LT"/>
                            </w:rPr>
                            <w:t xml:space="preserve">=1; </w:t>
                          </w:r>
                        </w:p>
                        <w:p>
                          <w:pPr>
                            <w:tabs>
                              <w:tab w:val="left" w:pos="0"/>
                            </w:tabs>
                            <w:suppressAutoHyphens/>
                            <w:ind w:firstLine="567"/>
                            <w:jc w:val="both"/>
                            <w:rPr>
                              <w:color w:val="000000"/>
                              <w:szCs w:val="24"/>
                              <w:lang w:eastAsia="lt-LT"/>
                            </w:rPr>
                          </w:pPr>
                          <w:r>
                            <w:rPr>
                              <w:i/>
                              <w:color w:val="000000"/>
                              <w:szCs w:val="24"/>
                              <w:lang w:eastAsia="lt-LT"/>
                            </w:rPr>
                            <w:t>η</w:t>
                          </w:r>
                          <w:r>
                            <w:rPr>
                              <w:i/>
                              <w:color w:val="000000"/>
                              <w:szCs w:val="24"/>
                              <w:vertAlign w:val="subscript"/>
                              <w:lang w:eastAsia="lt-LT"/>
                            </w:rPr>
                            <w:t>E</w:t>
                          </w:r>
                          <w:r>
                            <w:rPr>
                              <w:i/>
                              <w:color w:val="000000"/>
                              <w:szCs w:val="24"/>
                              <w:lang w:eastAsia="lt-LT"/>
                            </w:rPr>
                            <w:t xml:space="preserve">=0,455 – </w:t>
                          </w:r>
                          <w:r>
                            <w:rPr>
                              <w:color w:val="000000"/>
                              <w:szCs w:val="24"/>
                              <w:lang w:eastAsia="lt-LT"/>
                            </w:rPr>
                            <w:t>elektros energijos gamybos naudingumo koeficientas (Europos Sąjungos vidurkis);</w:t>
                          </w:r>
                        </w:p>
                        <w:p>
                          <w:pPr>
                            <w:tabs>
                              <w:tab w:val="left" w:pos="567"/>
                            </w:tabs>
                            <w:suppressAutoHyphens/>
                            <w:ind w:firstLine="567"/>
                            <w:jc w:val="both"/>
                            <w:rPr>
                              <w:szCs w:val="24"/>
                              <w:lang w:eastAsia="lt-LT"/>
                            </w:rPr>
                          </w:pPr>
                          <w:r>
                            <w:rPr>
                              <w:rFonts w:eastAsia="Calibri"/>
                              <w:szCs w:val="24"/>
                              <w:lang w:eastAsia="lt-LT"/>
                            </w:rPr>
                            <w:t>-</w:t>
                            <w:tab/>
                          </w:r>
                          <w:r>
                            <w:rPr>
                              <w:szCs w:val="24"/>
                              <w:lang w:eastAsia="lt-LT"/>
                            </w:rPr>
                            <w:t xml:space="preserve">jei pastatui šildyti pirmasis šilumos šaltinis yra dujinis katilas su absorbciniu šilumos siurbliu, tada vietoje </w:t>
                          </w:r>
                          <w:r>
                            <w:rPr>
                              <w:i/>
                              <w:iCs/>
                              <w:szCs w:val="24"/>
                              <w:lang w:eastAsia="lt-LT"/>
                            </w:rPr>
                            <w:t>f</w:t>
                          </w:r>
                          <w:r>
                            <w:rPr>
                              <w:i/>
                              <w:iCs/>
                              <w:szCs w:val="24"/>
                              <w:vertAlign w:val="subscript"/>
                              <w:lang w:eastAsia="lt-LT"/>
                            </w:rPr>
                            <w:t>PRr.hs1</w:t>
                          </w:r>
                          <w:r>
                            <w:rPr>
                              <w:szCs w:val="24"/>
                              <w:lang w:eastAsia="lt-LT"/>
                            </w:rPr>
                            <w:t xml:space="preserve"> skaičiuojant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pPr>
                            <w:tabs>
                              <w:tab w:val="left" w:pos="567"/>
                            </w:tabs>
                            <w:suppressAutoHyphens/>
                            <w:ind w:firstLine="567"/>
                            <w:jc w:val="both"/>
                            <w:rPr>
                              <w:szCs w:val="24"/>
                              <w:lang w:eastAsia="lt-LT"/>
                            </w:rPr>
                          </w:pPr>
                          <w:r>
                            <w:rPr>
                              <w:rFonts w:eastAsia="Calibri"/>
                              <w:szCs w:val="24"/>
                              <w:lang w:eastAsia="lt-LT"/>
                            </w:rPr>
                            <w:t>-</w:t>
                            <w:tab/>
                          </w:r>
                          <w:r>
                            <w:rPr>
                              <w:szCs w:val="24"/>
                              <w:lang w:eastAsia="lt-LT"/>
                            </w:rPr>
                            <w:t xml:space="preserve">jei pastatui šildyti antrasis šilumos šaltinis yra dujinis katilas su absorbciniu šilumos siurbliu, tada vietoje </w:t>
                          </w:r>
                          <w:r>
                            <w:rPr>
                              <w:i/>
                              <w:iCs/>
                              <w:szCs w:val="24"/>
                              <w:lang w:eastAsia="lt-LT"/>
                            </w:rPr>
                            <w:t>f</w:t>
                          </w:r>
                          <w:r>
                            <w:rPr>
                              <w:i/>
                              <w:iCs/>
                              <w:szCs w:val="24"/>
                              <w:vertAlign w:val="subscript"/>
                              <w:lang w:eastAsia="lt-LT"/>
                            </w:rPr>
                            <w:t>PRr.hs2</w:t>
                          </w:r>
                          <w:r>
                            <w:rPr>
                              <w:szCs w:val="24"/>
                              <w:lang w:eastAsia="lt-LT"/>
                            </w:rPr>
                            <w:t xml:space="preserve"> skaičiuojant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pPr>
                            <w:tabs>
                              <w:tab w:val="left" w:pos="567"/>
                            </w:tabs>
                            <w:suppressAutoHyphens/>
                            <w:ind w:firstLine="567"/>
                            <w:jc w:val="both"/>
                            <w:rPr>
                              <w:szCs w:val="24"/>
                              <w:lang w:eastAsia="lt-LT"/>
                            </w:rPr>
                          </w:pPr>
                          <w:r>
                            <w:rPr>
                              <w:rFonts w:eastAsia="Calibri"/>
                              <w:szCs w:val="24"/>
                              <w:lang w:eastAsia="lt-LT"/>
                            </w:rPr>
                            <w:t>-</w:t>
                            <w:tab/>
                          </w:r>
                          <w:r>
                            <w:rPr>
                              <w:szCs w:val="24"/>
                              <w:lang w:eastAsia="lt-LT"/>
                            </w:rPr>
                            <w:t xml:space="preserve">jei vėdinimo sistemoje be rekuperacijos orui pašildyti naudojamas dujinis katilas su absorbciniu šilumos siurbliu, tada vietoje </w:t>
                          </w:r>
                          <w:r>
                            <w:rPr>
                              <w:i/>
                              <w:iCs/>
                              <w:szCs w:val="24"/>
                              <w:lang w:eastAsia="lt-LT"/>
                            </w:rPr>
                            <w:t>f</w:t>
                          </w:r>
                          <w:r>
                            <w:rPr>
                              <w:i/>
                              <w:iCs/>
                              <w:szCs w:val="24"/>
                              <w:vertAlign w:val="subscript"/>
                              <w:lang w:eastAsia="lt-LT"/>
                            </w:rPr>
                            <w:t>PRr.mvh</w:t>
                          </w:r>
                          <w:r>
                            <w:rPr>
                              <w:szCs w:val="24"/>
                              <w:lang w:eastAsia="lt-LT"/>
                            </w:rPr>
                            <w:t xml:space="preserve"> skaičiuojant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p>
                          <w:pPr>
                            <w:tabs>
                              <w:tab w:val="left" w:pos="567"/>
                            </w:tabs>
                            <w:suppressAutoHyphens/>
                            <w:ind w:firstLine="567"/>
                            <w:jc w:val="both"/>
                            <w:rPr>
                              <w:szCs w:val="24"/>
                              <w:lang w:eastAsia="lt-LT"/>
                            </w:rPr>
                          </w:pPr>
                          <w:r>
                            <w:rPr>
                              <w:rFonts w:eastAsia="Calibri"/>
                              <w:szCs w:val="24"/>
                              <w:lang w:eastAsia="lt-LT"/>
                            </w:rPr>
                            <w:t>-</w:t>
                            <w:tab/>
                          </w:r>
                          <w:r>
                            <w:rPr>
                              <w:szCs w:val="24"/>
                              <w:lang w:eastAsia="lt-LT"/>
                            </w:rPr>
                            <w:t xml:space="preserve">jei vėdinimo sistemoje su rekuperacija orui pašildyti naudojamas dujinis katilas su absorbciniu šilumos siurbliu, tada vietoje </w:t>
                          </w:r>
                          <w:r>
                            <w:rPr>
                              <w:i/>
                              <w:iCs/>
                              <w:szCs w:val="24"/>
                              <w:lang w:eastAsia="lt-LT"/>
                            </w:rPr>
                            <w:t>f</w:t>
                          </w:r>
                          <w:r>
                            <w:rPr>
                              <w:i/>
                              <w:iCs/>
                              <w:szCs w:val="24"/>
                              <w:vertAlign w:val="subscript"/>
                              <w:lang w:eastAsia="lt-LT"/>
                            </w:rPr>
                            <w:t>PRr.reh</w:t>
                          </w:r>
                          <w:r>
                            <w:rPr>
                              <w:szCs w:val="24"/>
                              <w:lang w:eastAsia="lt-LT"/>
                            </w:rPr>
                            <w:t xml:space="preserve"> skaičiuojant turi būti </w:t>
                          </w:r>
                          <w:r>
                            <w:rPr>
                              <w:bCs/>
                              <w:szCs w:val="24"/>
                              <w:lang w:eastAsia="lt-LT"/>
                            </w:rPr>
                            <w:t xml:space="preserve">naudojama pagal (2.595-1) formulę apskaičiuota </w:t>
                          </w:r>
                          <w:r>
                            <w:rPr>
                              <w:i/>
                              <w:szCs w:val="24"/>
                              <w:lang w:eastAsia="lt-LT"/>
                            </w:rPr>
                            <w:t>f</w:t>
                          </w:r>
                          <w:r>
                            <w:rPr>
                              <w:i/>
                              <w:szCs w:val="24"/>
                              <w:vertAlign w:val="subscript"/>
                              <w:lang w:eastAsia="lt-LT"/>
                            </w:rPr>
                            <w:t xml:space="preserve">PRr.GHP.H </w:t>
                          </w:r>
                          <w:r>
                            <w:rPr>
                              <w:bCs/>
                              <w:szCs w:val="24"/>
                              <w:lang w:eastAsia="lt-LT"/>
                            </w:rPr>
                            <w:t xml:space="preserve"> vertė;</w:t>
                          </w:r>
                        </w:p>
                      </w:sdtContent>
                    </w:sdt>
                  </w:sdtContent>
                </w:sdt>
                <w:sdt>
                  <w:sdtPr>
                    <w:alias w:val="77.3 pp."/>
                    <w:tag w:val="part_5fe0c84c29f8451c83d84a80a518c051"/>
                    <w:lock w:val="sdtLocked"/>
                    <w:richText/>
                  </w:sdtPr>
                  <w:sdtContent>
                    <w:p>
                      <w:pPr>
                        <w:tabs>
                          <w:tab w:val="left" w:pos="567"/>
                        </w:tabs>
                        <w:suppressAutoHyphens/>
                        <w:ind w:firstLine="567"/>
                        <w:jc w:val="both"/>
                        <w:rPr>
                          <w:szCs w:val="24"/>
                          <w:lang w:eastAsia="lt-LT"/>
                        </w:rPr>
                      </w:pPr>
                      <w:sdt>
                        <w:sdtPr>
                          <w:alias w:val="Numeris"/>
                          <w:tag w:val="nr_5fe0c84c29f8451c83d84a80a518c051"/>
                          <w:lock w:val="sdtLocked"/>
                          <w:richText/>
                        </w:sdtPr>
                        <w:sdtContent>
                          <w:r>
                            <w:rPr>
                              <w:color w:val="000000"/>
                              <w:szCs w:val="24"/>
                              <w:lang w:eastAsia="lt-LT"/>
                            </w:rPr>
                            <w:t>77.3</w:t>
                          </w:r>
                        </w:sdtContent>
                      </w:sdt>
                      <w:r>
                        <w:rPr>
                          <w:color w:val="000000"/>
                          <w:szCs w:val="24"/>
                          <w:lang w:eastAsia="lt-LT"/>
                        </w:rPr>
                        <w:t xml:space="preserve">. </w:t>
                      </w:r>
                      <w:r>
                        <w:rPr>
                          <w:szCs w:val="24"/>
                          <w:lang w:eastAsia="lt-LT"/>
                        </w:rPr>
                        <w:t xml:space="preserve">kiekvieno mėnesio „m“ skaičiuojamosios atsinaujinančios pirminės energijos sąnaudos pastatui vėsinti </w:t>
                      </w:r>
                      <w:r>
                        <w:rPr>
                          <w:i/>
                          <w:szCs w:val="24"/>
                          <w:lang w:eastAsia="lt-LT"/>
                        </w:rPr>
                        <w:t>Q</w:t>
                      </w:r>
                      <w:r>
                        <w:rPr>
                          <w:i/>
                          <w:szCs w:val="24"/>
                          <w:vertAlign w:val="subscript"/>
                          <w:lang w:eastAsia="lt-LT"/>
                        </w:rPr>
                        <w:t>PRr.C,m</w:t>
                      </w:r>
                      <w:r>
                        <w:rPr>
                          <w:szCs w:val="24"/>
                          <w:lang w:eastAsia="lt-LT"/>
                        </w:rPr>
                        <w:t xml:space="preserve"> (kWh/(m</w:t>
                      </w:r>
                      <w:r>
                        <w:rPr>
                          <w:szCs w:val="24"/>
                          <w:vertAlign w:val="superscript"/>
                          <w:lang w:eastAsia="lt-LT"/>
                        </w:rPr>
                        <w:t>2</w:t>
                      </w:r>
                      <w:r>
                        <w:rPr>
                          <w:szCs w:val="24"/>
                          <w:lang w:eastAsia="lt-LT"/>
                        </w:rPr>
                        <w:t>·mėn)) apskaičiuojamos pagal 2 priedo XXI skyriaus reikalavimus.</w:t>
                      </w:r>
                    </w:p>
                  </w:sdtContent>
                </w:sdt>
                <w:sdt>
                  <w:sdtPr>
                    <w:alias w:val="77.4 pp."/>
                    <w:tag w:val="part_e036c003b893464b85043e18b5296b1c"/>
                    <w:lock w:val="sdtLocked"/>
                    <w:richText/>
                  </w:sdtPr>
                  <w:sdtContent>
                    <w:p>
                      <w:pPr>
                        <w:tabs>
                          <w:tab w:val="left" w:pos="567"/>
                        </w:tabs>
                        <w:suppressAutoHyphens/>
                        <w:ind w:firstLine="567"/>
                        <w:jc w:val="both"/>
                        <w:rPr>
                          <w:szCs w:val="24"/>
                          <w:lang w:eastAsia="lt-LT"/>
                        </w:rPr>
                      </w:pPr>
                      <w:sdt>
                        <w:sdtPr>
                          <w:alias w:val="Numeris"/>
                          <w:tag w:val="nr_e036c003b893464b85043e18b5296b1c"/>
                          <w:lock w:val="sdtLocked"/>
                          <w:richText/>
                        </w:sdtPr>
                        <w:sdtContent>
                          <w:r>
                            <w:rPr>
                              <w:szCs w:val="24"/>
                              <w:lang w:eastAsia="lt-LT"/>
                            </w:rPr>
                            <w:t>77.4</w:t>
                          </w:r>
                        </w:sdtContent>
                      </w:sdt>
                      <w:r>
                        <w:rPr>
                          <w:szCs w:val="24"/>
                          <w:lang w:eastAsia="lt-LT"/>
                        </w:rPr>
                        <w:t xml:space="preserve">. kiekvieno mėnesio „m“ skaičiuojamosios elektros energijos atsinaujinančios pirminės energijos sąnaudos </w:t>
                      </w:r>
                      <w:r>
                        <w:rPr>
                          <w:i/>
                          <w:szCs w:val="24"/>
                          <w:lang w:eastAsia="lt-LT"/>
                        </w:rPr>
                        <w:t>Q</w:t>
                      </w:r>
                      <w:r>
                        <w:rPr>
                          <w:i/>
                          <w:szCs w:val="24"/>
                          <w:vertAlign w:val="subscript"/>
                          <w:lang w:eastAsia="lt-LT"/>
                        </w:rPr>
                        <w:t>PRr.E,m</w:t>
                      </w:r>
                      <w:r>
                        <w:rPr>
                          <w:szCs w:val="24"/>
                          <w:lang w:eastAsia="lt-LT"/>
                        </w:rPr>
                        <w:t xml:space="preserve"> (kWh/(m</w:t>
                      </w:r>
                      <w:r>
                        <w:rPr>
                          <w:szCs w:val="24"/>
                          <w:vertAlign w:val="superscript"/>
                          <w:lang w:eastAsia="lt-LT"/>
                        </w:rPr>
                        <w:t>2</w:t>
                      </w:r>
                      <w:r>
                        <w:rPr>
                          <w:szCs w:val="24"/>
                          <w:lang w:eastAsia="lt-LT"/>
                        </w:rPr>
                        <w:t>·mėn)) apskaičiuojamos taip:</w:t>
                      </w:r>
                    </w:p>
                    <w:p>
                      <w:pPr>
                        <w:tabs>
                          <w:tab w:val="left" w:pos="567"/>
                        </w:tabs>
                        <w:suppressAutoHyphens/>
                        <w:rPr>
                          <w:lang w:eastAsia="lt-LT"/>
                        </w:rPr>
                      </w:pPr>
                    </w:p>
                    <w:tbl>
                      <w:tblPr>
                        <w:tblW w:w="5000" w:type="pct"/>
                        <w:tblLook w:val="04A0" w:firstRow="1" w:lastRow="0" w:firstColumn="1" w:lastColumn="0" w:noHBand="0" w:noVBand="1"/>
                      </w:tblPr>
                      <w:tblGrid>
                        <w:gridCol w:w="8624"/>
                        <w:gridCol w:w="1230"/>
                      </w:tblGrid>
                      <w:tr>
                        <w:tc>
                          <w:tcPr>
                            <w:tcW w:w="4376" w:type="pct"/>
                            <w:vAlign w:val="center"/>
                            <w:hideMark/>
                          </w:tcPr>
                          <w:p>
                            <w:pPr>
                              <w:tabs>
                                <w:tab w:val="left" w:pos="567"/>
                              </w:tabs>
                              <w:suppressAutoHyphens/>
                              <w:spacing w:line="276" w:lineRule="auto"/>
                              <w:jc w:val="center"/>
                              <w:rPr>
                                <w:rFonts w:eastAsia="Calibri"/>
                              </w:rPr>
                            </w:pPr>
                            <w:r>
                              <w:rPr>
                                <w:rFonts w:eastAsia="Calibri"/>
                                <w:position w:val="-32"/>
                              </w:rPr>
                              <w:object w:dxaOrig="8256" w:dyaOrig="780">
                                <v:shape id="_x0000_i1826" type="#_x0000_t75" style="width:412.6pt;height:39.65pt" o:ole="">
                                  <v:imagedata r:id="rId1951" o:title=""/>
                                </v:shape>
                                <o:OLEObject Type="Embed" ProgID="Equation.3" ShapeID="_x0000_i1826" DrawAspect="Content" ObjectID="_0000000001" r:id="rId1952"/>
                              </w:object>
                            </w:r>
                          </w:p>
                        </w:tc>
                        <w:tc>
                          <w:tcPr>
                            <w:tcW w:w="624" w:type="pct"/>
                            <w:vAlign w:val="center"/>
                            <w:hideMark/>
                          </w:tcPr>
                          <w:p>
                            <w:pPr>
                              <w:tabs>
                                <w:tab w:val="left" w:pos="567"/>
                              </w:tabs>
                              <w:suppressAutoHyphens/>
                              <w:spacing w:line="276" w:lineRule="auto"/>
                              <w:jc w:val="center"/>
                              <w:rPr>
                                <w:vertAlign w:val="superscript"/>
                              </w:rPr>
                            </w:pPr>
                            <w:r>
                              <w:rPr>
                                <w:lang w:eastAsia="lt-LT"/>
                              </w:rPr>
                              <w:t>(2.599-3)</w:t>
                            </w:r>
                          </w:p>
                        </w:tc>
                      </w:tr>
                    </w:tbl>
                    <w:p/>
                  </w:sdtContent>
                </w:sdt>
                <w:sdt>
                  <w:sdtPr>
                    <w:alias w:val="77.5 pp."/>
                    <w:tag w:val="part_a96748807d154ed992fdda13c2a4e80a"/>
                    <w:lock w:val="sdtLocked"/>
                    <w:richText/>
                  </w:sdtPr>
                  <w:sdtContent>
                    <w:p>
                      <w:pPr>
                        <w:tabs>
                          <w:tab w:val="left" w:pos="567"/>
                        </w:tabs>
                        <w:suppressAutoHyphens/>
                        <w:ind w:firstLine="567"/>
                        <w:jc w:val="both"/>
                      </w:pPr>
                      <w:sdt>
                        <w:sdtPr>
                          <w:alias w:val="Numeris"/>
                          <w:tag w:val="nr_a96748807d154ed992fdda13c2a4e80a"/>
                          <w:lock w:val="sdtLocked"/>
                          <w:richText/>
                        </w:sdtPr>
                        <w:sdtContent>
                          <w:r>
                            <w:rPr>
                              <w:szCs w:val="24"/>
                              <w:lang w:eastAsia="lt-LT"/>
                            </w:rPr>
                            <w:t>77.5</w:t>
                          </w:r>
                        </w:sdtContent>
                      </w:sdt>
                      <w:r>
                        <w:rPr>
                          <w:szCs w:val="24"/>
                          <w:lang w:eastAsia="lt-LT"/>
                        </w:rPr>
                        <w:t xml:space="preserve">. kiti pastato skaičiuojamųjų atsinaujinančios pirminės energijos sąnaudų skaičiavimai atliekami pagal auksčiau pateiktą tvarką ir formules, šiose formulėse, kuriose yra daugiklis </w:t>
                      </w:r>
                      <w:r>
                        <w:rPr>
                          <w:i/>
                          <w:szCs w:val="24"/>
                          <w:lang w:eastAsia="lt-LT"/>
                        </w:rPr>
                        <w:t>f</w:t>
                      </w:r>
                      <w:r>
                        <w:rPr>
                          <w:i/>
                          <w:szCs w:val="24"/>
                          <w:vertAlign w:val="subscript"/>
                          <w:lang w:eastAsia="lt-LT"/>
                        </w:rPr>
                        <w:t>PRn</w:t>
                      </w:r>
                      <w:r>
                        <w:rPr>
                          <w:szCs w:val="24"/>
                          <w:lang w:eastAsia="lt-LT"/>
                        </w:rPr>
                        <w:t xml:space="preserve">, vietoje atitinkamo energijos šaltinio </w:t>
                      </w:r>
                      <w:r>
                        <w:rPr>
                          <w:i/>
                          <w:szCs w:val="24"/>
                          <w:lang w:eastAsia="lt-LT"/>
                        </w:rPr>
                        <w:t>f</w:t>
                      </w:r>
                      <w:r>
                        <w:rPr>
                          <w:i/>
                          <w:szCs w:val="24"/>
                          <w:vertAlign w:val="subscript"/>
                          <w:lang w:eastAsia="lt-LT"/>
                        </w:rPr>
                        <w:t xml:space="preserve">PRn </w:t>
                      </w:r>
                      <w:r>
                        <w:rPr>
                          <w:szCs w:val="24"/>
                          <w:lang w:eastAsia="lt-LT"/>
                        </w:rPr>
                        <w:t xml:space="preserve">vertės naudojant šio energijos šaltinio atsinaujinančios pirminės energijos faktoriaus </w:t>
                      </w:r>
                      <w:r>
                        <w:rPr>
                          <w:i/>
                          <w:szCs w:val="24"/>
                          <w:lang w:eastAsia="lt-LT"/>
                        </w:rPr>
                        <w:t>f</w:t>
                      </w:r>
                      <w:r>
                        <w:rPr>
                          <w:i/>
                          <w:szCs w:val="24"/>
                          <w:vertAlign w:val="subscript"/>
                          <w:lang w:eastAsia="lt-LT"/>
                        </w:rPr>
                        <w:t xml:space="preserve">PRr </w:t>
                      </w:r>
                      <w:r>
                        <w:rPr>
                          <w:szCs w:val="24"/>
                          <w:lang w:eastAsia="lt-LT"/>
                        </w:rPr>
                        <w:t>vertę iš 2.18 lentelės.</w:t>
                      </w:r>
                      <w:r>
                        <w:t xml:space="preserve"> </w:t>
                      </w:r>
                    </w:p>
                    <w:p>
                      <w:pPr>
                        <w:tabs>
                          <w:tab w:val="left" w:pos="567"/>
                        </w:tabs>
                        <w:suppressAutoHyphens/>
                        <w:ind w:firstLine="567"/>
                        <w:jc w:val="both"/>
                      </w:pPr>
                    </w:p>
                    <w:p>
                      <w:pPr>
                        <w:tabs>
                          <w:tab w:val="left" w:pos="567"/>
                        </w:tabs>
                        <w:suppressAutoHyphens/>
                        <w:jc w:val="both"/>
                        <w:rPr>
                          <w:rFonts w:eastAsia="MS Mincho"/>
                          <w:i/>
                          <w:iCs/>
                          <w:sz w:val="20"/>
                        </w:rPr>
                      </w:pPr>
                      <w:r>
                        <w:rPr>
                          <w:rFonts w:eastAsia="MS Mincho"/>
                          <w:i/>
                          <w:iCs/>
                          <w:sz w:val="20"/>
                        </w:rPr>
                        <w:t>Skyriaus pakeitimai:</w:t>
                      </w:r>
                    </w:p>
                    <w:p>
                      <w:pPr>
                        <w:tabs>
                          <w:tab w:val="left" w:pos="567"/>
                        </w:tabs>
                        <w:suppressAutoHyphens/>
                        <w:jc w:val="both"/>
                      </w:pPr>
                      <w:r>
                        <w:rPr>
                          <w:rFonts w:eastAsia="MS Mincho"/>
                          <w:i/>
                          <w:iCs/>
                          <w:sz w:val="20"/>
                        </w:rPr>
                        <w:t xml:space="preserve">Nr. </w:t>
                      </w:r>
                      <w:hyperlink r:id="rId1953" w:history="1">
                        <w:r>
                          <w:rPr>
                            <w:rFonts w:eastAsia="MS Mincho"/>
                            <w:i/>
                            <w:iCs/>
                            <w:color w:val="0000FF"/>
                            <w:sz w:val="20"/>
                            <w:u w:val="single"/>
                          </w:rPr>
                          <w:t>D1-23</w:t>
                        </w:r>
                      </w:hyperlink>
                      <w:r>
                        <w:rPr>
                          <w:rFonts w:eastAsia="MS Mincho"/>
                          <w:i/>
                          <w:iCs/>
                          <w:sz w:val="20"/>
                        </w:rPr>
                        <w:t>, 2019-01-11, paskelbta TAR 2019-01-14, i. k. 2019-00444</w:t>
                      </w:r>
                    </w:p>
                    <w:p>
                      <w:pPr>
                        <w:tabs>
                          <w:tab w:val="left" w:pos="567"/>
                        </w:tabs>
                        <w:suppressAutoHyphens/>
                        <w:jc w:val="both"/>
                      </w:pPr>
                      <w:r>
                        <w:rPr>
                          <w:rFonts w:eastAsia="MS Mincho"/>
                          <w:i/>
                          <w:iCs/>
                          <w:sz w:val="20"/>
                        </w:rPr>
                        <w:t xml:space="preserve">Nr. </w:t>
                      </w:r>
                      <w:hyperlink r:id="rId1954" w:history="1">
                        <w:r>
                          <w:rPr>
                            <w:rFonts w:eastAsia="MS Mincho"/>
                            <w:i/>
                            <w:iCs/>
                            <w:color w:val="0000FF"/>
                            <w:sz w:val="20"/>
                            <w:u w:val="single"/>
                          </w:rPr>
                          <w:t>D1-576</w:t>
                        </w:r>
                      </w:hyperlink>
                      <w:r>
                        <w:rPr>
                          <w:rFonts w:eastAsia="MS Mincho"/>
                          <w:i/>
                          <w:iCs/>
                          <w:sz w:val="20"/>
                        </w:rPr>
                        <w:t>, 2020-09-28, paskelbta TAR 2020-09-28, i. k. 2020-20131</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7821d5262192457eba2368862b6112a3"/>
            <w:lock w:val="sdtLocked"/>
            <w:richText/>
          </w:sdtPr>
          <w:sdtContent>
            <w:p>
              <w:pPr>
                <w:keepNext/>
                <w:keepLines/>
                <w:jc w:val="center"/>
                <w:outlineLvl w:val="2"/>
                <w:rPr>
                  <w:b/>
                  <w:bCs/>
                </w:rPr>
              </w:pPr>
              <w:sdt>
                <w:sdtPr>
                  <w:alias w:val="Numeris"/>
                  <w:tag w:val="nr_7821d5262192457eba2368862b6112a3"/>
                  <w:lock w:val="sdtLocked"/>
                  <w:richText/>
                </w:sdtPr>
                <w:sdtContent>
                  <w:r>
                    <w:rPr>
                      <w:b/>
                      <w:bCs/>
                    </w:rPr>
                    <w:t>XXV</w:t>
                  </w:r>
                </w:sdtContent>
              </w:sdt>
              <w:r>
                <w:rPr>
                  <w:b/>
                  <w:bCs/>
                </w:rPr>
                <w:t xml:space="preserve"> skyrius</w:t>
              </w:r>
            </w:p>
            <w:p>
              <w:pPr>
                <w:keepNext/>
                <w:keepLines/>
                <w:jc w:val="center"/>
                <w:outlineLvl w:val="2"/>
                <w:rPr>
                  <w:b/>
                  <w:bCs/>
                  <w:color w:val="4F81BD"/>
                </w:rPr>
              </w:pPr>
              <w:sdt>
                <w:sdtPr>
                  <w:alias w:val="Pavadinimas"/>
                  <w:tag w:val="title_7821d5262192457eba2368862b6112a3"/>
                  <w:lock w:val="sdtLocked"/>
                  <w:richText/>
                </w:sdtPr>
                <w:sdtContent>
                  <w:r>
                    <w:rPr>
                      <w:b/>
                      <w:bCs/>
                    </w:rPr>
                    <w:t>Pastato metinio į aplinką išmetamo CO</w:t>
                  </w:r>
                  <w:r>
                    <w:rPr>
                      <w:b/>
                      <w:bCs/>
                      <w:vertAlign w:val="subscript"/>
                    </w:rPr>
                    <w:t xml:space="preserve">2 </w:t>
                  </w:r>
                  <w:r>
                    <w:rPr>
                      <w:b/>
                      <w:bCs/>
                    </w:rPr>
                    <w:t xml:space="preserve">kiekio skaičiavimas </w:t>
                  </w:r>
                </w:sdtContent>
              </w:sdt>
            </w:p>
            <w:p>
              <w:pPr>
                <w:ind w:firstLine="627"/>
              </w:pPr>
            </w:p>
            <w:sdt>
              <w:sdtPr>
                <w:alias w:val="2 pr. 78 p."/>
                <w:tag w:val="part_8255728d60ef4f9fb58e5085056be130"/>
                <w:lock w:val="sdtLocked"/>
                <w:richText/>
              </w:sdtPr>
              <w:sdtContent>
                <w:p>
                  <w:pPr>
                    <w:ind w:firstLine="627"/>
                    <w:jc w:val="both"/>
                    <w:rPr>
                      <w:color w:val="000000"/>
                    </w:rPr>
                  </w:pPr>
                  <w:sdt>
                    <w:sdtPr>
                      <w:alias w:val="Numeris"/>
                      <w:tag w:val="nr_8255728d60ef4f9fb58e5085056be130"/>
                      <w:lock w:val="sdtLocked"/>
                      <w:richText/>
                    </w:sdtPr>
                    <w:sdtContent>
                      <w:r>
                        <w:rPr>
                          <w:color w:val="000000"/>
                        </w:rPr>
                        <w:t>78</w:t>
                      </w:r>
                    </w:sdtContent>
                  </w:sdt>
                  <w:r>
                    <w:rPr>
                      <w:color w:val="000000"/>
                    </w:rPr>
                    <w:t>. Metinis į aplinką išmetamas CO</w:t>
                  </w:r>
                  <w:r>
                    <w:rPr>
                      <w:color w:val="000000"/>
                      <w:vertAlign w:val="subscript"/>
                    </w:rPr>
                    <w:t xml:space="preserve">2 </w:t>
                  </w:r>
                  <w:r>
                    <w:rPr>
                      <w:color w:val="000000"/>
                    </w:rPr>
                    <w:t xml:space="preserve">kiekis pastato šildomo ploto vienetui </w:t>
                  </w:r>
                  <w:r>
                    <w:rPr>
                      <w:i/>
                      <w:color w:val="000000"/>
                    </w:rPr>
                    <w:t>M</w:t>
                  </w:r>
                  <w:r>
                    <w:rPr>
                      <w:i/>
                      <w:color w:val="000000"/>
                      <w:vertAlign w:val="subscript"/>
                    </w:rPr>
                    <w:t>CO</w:t>
                  </w:r>
                  <w:r>
                    <w:rPr>
                      <w:i/>
                      <w:color w:val="000000"/>
                      <w:position w:val="-6"/>
                      <w:vertAlign w:val="subscript"/>
                    </w:rPr>
                    <w:t>2</w:t>
                  </w:r>
                  <w:r>
                    <w:rPr>
                      <w:color w:val="000000"/>
                    </w:rPr>
                    <w:t xml:space="preserve"> (</w:t>
                  </w:r>
                  <w:r>
                    <w:rPr>
                      <w:bCs/>
                      <w:color w:val="000000"/>
                    </w:rPr>
                    <w:t>kgCO</w:t>
                  </w:r>
                  <w:r>
                    <w:rPr>
                      <w:bCs/>
                      <w:color w:val="000000"/>
                      <w:sz w:val="16"/>
                      <w:szCs w:val="16"/>
                    </w:rPr>
                    <w:t>2</w:t>
                  </w:r>
                  <w:r>
                    <w:rPr>
                      <w:color w:val="000000"/>
                    </w:rPr>
                    <w:t>/(m</w:t>
                  </w:r>
                  <w:r>
                    <w:rPr>
                      <w:color w:val="000000"/>
                      <w:vertAlign w:val="superscript"/>
                    </w:rPr>
                    <w:t>2</w:t>
                  </w:r>
                  <w:r>
                    <w:rPr>
                      <w:color w:val="000000"/>
                    </w:rPr>
                    <w:t xml:space="preserve">·metai)) apskaičiuojamos pagal pateiktą tvarką ir formules, šiose formulėse, kuriose yra daugiklis </w:t>
                  </w:r>
                  <w:r>
                    <w:rPr>
                      <w:i/>
                      <w:color w:val="000000"/>
                    </w:rPr>
                    <w:t>f</w:t>
                  </w:r>
                  <w:r>
                    <w:rPr>
                      <w:i/>
                      <w:color w:val="000000"/>
                      <w:vertAlign w:val="subscript"/>
                    </w:rPr>
                    <w:t>PRn</w:t>
                  </w:r>
                  <w:r>
                    <w:rPr>
                      <w:color w:val="000000"/>
                    </w:rPr>
                    <w:t xml:space="preserve">, vietoje atitinkamo energijos šaltinio </w:t>
                  </w:r>
                  <w:r>
                    <w:rPr>
                      <w:i/>
                      <w:color w:val="000000"/>
                    </w:rPr>
                    <w:t>f</w:t>
                  </w:r>
                  <w:r>
                    <w:rPr>
                      <w:i/>
                      <w:color w:val="000000"/>
                      <w:vertAlign w:val="subscript"/>
                    </w:rPr>
                    <w:t>PRn</w:t>
                  </w:r>
                  <w:r>
                    <w:rPr>
                      <w:i/>
                      <w:color w:val="000000"/>
                    </w:rPr>
                    <w:t xml:space="preserve"> </w:t>
                  </w:r>
                  <w:r>
                    <w:rPr>
                      <w:color w:val="000000"/>
                    </w:rPr>
                    <w:t>vertės naudojant šio energijos šaltinio CO</w:t>
                  </w:r>
                  <w:r>
                    <w:rPr>
                      <w:color w:val="000000"/>
                      <w:vertAlign w:val="subscript"/>
                    </w:rPr>
                    <w:t>2</w:t>
                  </w:r>
                  <w:r>
                    <w:rPr>
                      <w:color w:val="000000"/>
                    </w:rPr>
                    <w:t xml:space="preserve"> emisijų faktoriaus </w:t>
                  </w:r>
                  <w:r>
                    <w:rPr>
                      <w:bCs/>
                      <w:i/>
                      <w:color w:val="000000"/>
                    </w:rPr>
                    <w:t>M</w:t>
                  </w:r>
                  <w:r>
                    <w:rPr>
                      <w:bCs/>
                      <w:i/>
                      <w:color w:val="000000"/>
                      <w:vertAlign w:val="subscript"/>
                    </w:rPr>
                    <w:t>CO2</w:t>
                  </w:r>
                  <w:r>
                    <w:rPr>
                      <w:bCs/>
                      <w:color w:val="000000"/>
                    </w:rPr>
                    <w:t xml:space="preserve"> (kgCO</w:t>
                  </w:r>
                  <w:r>
                    <w:rPr>
                      <w:bCs/>
                      <w:color w:val="000000"/>
                      <w:sz w:val="16"/>
                      <w:szCs w:val="16"/>
                    </w:rPr>
                    <w:t>2</w:t>
                  </w:r>
                  <w:r>
                    <w:rPr>
                      <w:bCs/>
                      <w:color w:val="000000"/>
                    </w:rPr>
                    <w:t>/kWh)</w:t>
                  </w:r>
                  <w:r>
                    <w:rPr>
                      <w:color w:val="000000"/>
                    </w:rPr>
                    <w:t xml:space="preserve"> vertę</w:t>
                  </w:r>
                  <w:r>
                    <w:rPr>
                      <w:i/>
                      <w:color w:val="000000"/>
                    </w:rPr>
                    <w:t xml:space="preserve"> </w:t>
                  </w:r>
                  <w:r>
                    <w:rPr>
                      <w:color w:val="000000"/>
                    </w:rPr>
                    <w:t>iš 2.18 lentelės.</w:t>
                  </w:r>
                </w:p>
                <w:p>
                  <w:pPr>
                    <w:rPr>
                      <w:color w:val="000000"/>
                    </w:rPr>
                  </w:pPr>
                </w:p>
              </w:sdtContent>
            </w:sdt>
          </w:sdtContent>
        </w:sdt>
        <w:sdt>
          <w:sdtPr>
            <w:alias w:val="skyrius"/>
            <w:tag w:val="part_4c26841f0bf34230b014d6f9e0e10832"/>
            <w:lock w:val="sdtLocked"/>
            <w:richText/>
          </w:sdtPr>
          <w:sdtContent>
            <w:p>
              <w:pPr>
                <w:keepNext/>
                <w:keepLines/>
                <w:jc w:val="center"/>
                <w:outlineLvl w:val="2"/>
                <w:rPr>
                  <w:b/>
                  <w:bCs/>
                </w:rPr>
              </w:pPr>
              <w:sdt>
                <w:sdtPr>
                  <w:alias w:val="Numeris"/>
                  <w:tag w:val="nr_4c26841f0bf34230b014d6f9e0e10832"/>
                  <w:lock w:val="sdtLocked"/>
                  <w:richText/>
                </w:sdtPr>
                <w:sdtContent>
                  <w:r>
                    <w:rPr>
                      <w:b/>
                      <w:bCs/>
                    </w:rPr>
                    <w:t>XXVI</w:t>
                  </w:r>
                </w:sdtContent>
              </w:sdt>
              <w:r>
                <w:rPr>
                  <w:b/>
                  <w:bCs/>
                </w:rPr>
                <w:t xml:space="preserve"> skyrius</w:t>
              </w:r>
            </w:p>
            <w:p>
              <w:pPr>
                <w:keepNext/>
                <w:keepLines/>
                <w:jc w:val="center"/>
                <w:outlineLvl w:val="2"/>
                <w:rPr>
                  <w:b/>
                  <w:bCs/>
                  <w:color w:val="4F81BD"/>
                </w:rPr>
              </w:pPr>
              <w:sdt>
                <w:sdtPr>
                  <w:alias w:val="Pavadinimas"/>
                  <w:tag w:val="title_4c26841f0bf34230b014d6f9e0e10832"/>
                  <w:lock w:val="sdtLocked"/>
                  <w:richText/>
                </w:sdtPr>
                <w:sdtContent>
                  <w:r>
                    <w:rPr>
                      <w:b/>
                      <w:bCs/>
                    </w:rPr>
                    <w:t xml:space="preserve">Pastato energinio naudingumo įvertinimas </w:t>
                  </w:r>
                </w:sdtContent>
              </w:sdt>
            </w:p>
            <w:p>
              <w:pPr>
                <w:ind w:firstLine="627"/>
              </w:pPr>
            </w:p>
            <w:sdt>
              <w:sdtPr>
                <w:alias w:val="2 pr. 79 p."/>
                <w:tag w:val="part_7d774a0f0b7e4bf0928c08d590b3fd07"/>
                <w:lock w:val="sdtLocked"/>
                <w:richText/>
              </w:sdtPr>
              <w:sdtContent>
                <w:p>
                  <w:pPr>
                    <w:ind w:firstLine="627"/>
                    <w:jc w:val="both"/>
                    <w:rPr>
                      <w:color w:val="000000"/>
                    </w:rPr>
                  </w:pPr>
                  <w:sdt>
                    <w:sdtPr>
                      <w:alias w:val="Numeris"/>
                      <w:tag w:val="nr_7d774a0f0b7e4bf0928c08d590b3fd07"/>
                      <w:lock w:val="sdtLocked"/>
                      <w:richText/>
                    </w:sdtPr>
                    <w:sdtContent>
                      <w:r>
                        <w:rPr>
                          <w:color w:val="000000"/>
                        </w:rPr>
                        <w:t>79</w:t>
                      </w:r>
                    </w:sdtContent>
                  </w:sdt>
                  <w:r>
                    <w:rPr>
                      <w:color w:val="000000"/>
                    </w:rPr>
                    <w:t xml:space="preserve">. E, F ir G energinio naudingumo klasės pastatai turi atitikti Reglamento 15 punkte nustatytus reikalavimus pastato energijos vartojimo efektyvumo rodiklio </w:t>
                  </w:r>
                  <w:r>
                    <w:rPr>
                      <w:i/>
                      <w:color w:val="000000"/>
                    </w:rPr>
                    <w:t>C</w:t>
                  </w:r>
                  <w:r>
                    <w:rPr>
                      <w:i/>
                      <w:color w:val="000000"/>
                      <w:vertAlign w:val="subscript"/>
                    </w:rPr>
                    <w:t>1</w:t>
                  </w:r>
                  <w:r>
                    <w:rPr>
                      <w:color w:val="000000"/>
                    </w:rPr>
                    <w:t xml:space="preserve"> vertę.</w:t>
                  </w:r>
                </w:p>
              </w:sdtContent>
            </w:sdt>
            <w:sdt>
              <w:sdtPr>
                <w:alias w:val="2 pr. 80 p."/>
                <w:tag w:val="part_d294580017f84428b9e4cc48170b17b9"/>
                <w:lock w:val="sdtLocked"/>
                <w:richText/>
              </w:sdtPr>
              <w:sdtContent>
                <w:p>
                  <w:pPr>
                    <w:ind w:firstLine="627"/>
                    <w:jc w:val="both"/>
                    <w:rPr>
                      <w:color w:val="000000"/>
                    </w:rPr>
                  </w:pPr>
                  <w:sdt>
                    <w:sdtPr>
                      <w:alias w:val="Numeris"/>
                      <w:tag w:val="nr_d294580017f84428b9e4cc48170b17b9"/>
                      <w:lock w:val="sdtLocked"/>
                      <w:richText/>
                    </w:sdtPr>
                    <w:sdtContent>
                      <w:r>
                        <w:rPr>
                          <w:color w:val="000000"/>
                        </w:rPr>
                        <w:t>80</w:t>
                      </w:r>
                    </w:sdtContent>
                  </w:sdt>
                  <w:r>
                    <w:rPr>
                      <w:color w:val="000000"/>
                    </w:rPr>
                    <w:t>. D, C, B, A, A+ ir A++ energinio naudingumo klasės pastatams priskiriamos, jei šie pastatai atitinka visus Reglamento 1 lentelėje išvardintus reikalavimus:</w:t>
                  </w:r>
                </w:p>
              </w:sdtContent>
            </w:sdt>
            <w:sdt>
              <w:sdtPr>
                <w:alias w:val="2 pr. 81 p."/>
                <w:tag w:val="part_02c2cfe5f9804398b5d64d74de5a32d1"/>
                <w:lock w:val="sdtLocked"/>
                <w:richText/>
              </w:sdtPr>
              <w:sdtContent>
                <w:p>
                  <w:pPr>
                    <w:tabs>
                      <w:tab w:val="left" w:pos="567"/>
                    </w:tabs>
                    <w:suppressAutoHyphens/>
                    <w:ind w:firstLine="567"/>
                    <w:rPr>
                      <w:color w:val="000000"/>
                      <w:lang w:eastAsia="lt-LT"/>
                    </w:rPr>
                  </w:pPr>
                  <w:sdt>
                    <w:sdtPr>
                      <w:alias w:val="Numeris"/>
                      <w:tag w:val="nr_02c2cfe5f9804398b5d64d74de5a32d1"/>
                      <w:lock w:val="sdtLocked"/>
                      <w:richText/>
                    </w:sdtPr>
                    <w:sdtContent>
                      <w:r>
                        <w:rPr>
                          <w:color w:val="000000"/>
                          <w:lang w:eastAsia="lt-LT"/>
                        </w:rPr>
                        <w:t>81</w:t>
                      </w:r>
                    </w:sdtContent>
                  </w:sdt>
                  <w:r>
                    <w:rPr>
                      <w:color w:val="000000"/>
                      <w:lang w:eastAsia="lt-LT"/>
                    </w:rPr>
                    <w:t xml:space="preserve">. Pastato energijos vartojimo efektyvumo rodiklio </w:t>
                  </w:r>
                  <w:r>
                    <w:rPr>
                      <w:i/>
                      <w:color w:val="000000"/>
                      <w:lang w:eastAsia="lt-LT"/>
                    </w:rPr>
                    <w:t>C</w:t>
                  </w:r>
                  <w:r>
                    <w:rPr>
                      <w:i/>
                      <w:color w:val="000000"/>
                      <w:vertAlign w:val="subscript"/>
                      <w:lang w:eastAsia="lt-LT"/>
                    </w:rPr>
                    <w:t>1</w:t>
                  </w:r>
                  <w:r>
                    <w:rPr>
                      <w:color w:val="000000"/>
                      <w:lang w:eastAsia="lt-LT"/>
                    </w:rPr>
                    <w:t xml:space="preserve"> vertė apskaičiuojama taip:</w:t>
                  </w:r>
                </w:p>
                <w:tbl>
                  <w:tblPr>
                    <w:tblW w:w="0" w:type="auto"/>
                    <w:tblLook w:val="01E0" w:firstRow="1" w:lastRow="1" w:firstColumn="1" w:lastColumn="1" w:noHBand="0" w:noVBand="0"/>
                  </w:tblPr>
                  <w:tblGrid>
                    <w:gridCol w:w="8568"/>
                    <w:gridCol w:w="1002"/>
                  </w:tblGrid>
                  <w:tr>
                    <w:tc>
                      <w:tcPr>
                        <w:tcW w:w="8568" w:type="dxa"/>
                        <w:hideMark/>
                      </w:tcPr>
                      <w:p>
                        <w:pPr>
                          <w:tabs>
                            <w:tab w:val="left" w:pos="567"/>
                            <w:tab w:val="left" w:pos="1843"/>
                            <w:tab w:val="left" w:pos="2100"/>
                          </w:tabs>
                          <w:suppressAutoHyphens/>
                          <w:spacing w:line="276" w:lineRule="auto"/>
                          <w:ind w:firstLine="709"/>
                          <w:rPr>
                            <w:rFonts w:eastAsia="Calibri"/>
                            <w:bCs/>
                            <w:color w:val="000000"/>
                            <w:szCs w:val="22"/>
                          </w:rPr>
                        </w:pPr>
                        <w:r>
                          <w:rPr>
                            <w:color w:val="000000"/>
                            <w:lang w:eastAsia="lt-LT"/>
                          </w:rPr>
                          <w:t xml:space="preserve">jei                    </w:t>
                        </w:r>
                        <w:r>
                          <w:rPr>
                            <w:rFonts w:eastAsia="Calibri"/>
                            <w:color w:val="000000"/>
                            <w:szCs w:val="22"/>
                          </w:rPr>
                          <w:object w:dxaOrig="3984" w:dyaOrig="1224">
                            <v:shape id="_x0000_i1827" type="#_x0000_t75" style="width:199.8pt;height:61.5pt" o:ole="">
                              <v:imagedata r:id="rId1619" o:title=""/>
                            </v:shape>
                            <o:OLEObject Type="Embed" ProgID="Equation.3" ShapeID="_x0000_i1827" DrawAspect="Content" ObjectID="_0000000001" r:id="rId1620"/>
                          </w:object>
                        </w:r>
                        <w:r>
                          <w:rPr>
                            <w:color w:val="000000"/>
                            <w:lang w:eastAsia="lt-LT"/>
                          </w:rPr>
                          <w:t xml:space="preserve">, </w:t>
                        </w:r>
                      </w:p>
                    </w:tc>
                    <w:tc>
                      <w:tcPr>
                        <w:tcW w:w="1002" w:type="dxa"/>
                        <w:vAlign w:val="center"/>
                        <w:hideMark/>
                      </w:tcPr>
                      <w:p>
                        <w:pPr>
                          <w:tabs>
                            <w:tab w:val="left" w:pos="567"/>
                          </w:tabs>
                          <w:suppressAutoHyphens/>
                          <w:spacing w:line="276" w:lineRule="auto"/>
                          <w:ind w:firstLine="62"/>
                          <w:jc w:val="both"/>
                          <w:rPr>
                            <w:rFonts w:eastAsia="Calibri"/>
                            <w:bCs/>
                            <w:color w:val="000000"/>
                            <w:szCs w:val="22"/>
                          </w:rPr>
                        </w:pPr>
                        <w:r>
                          <w:rPr>
                            <w:color w:val="000000"/>
                            <w:lang w:eastAsia="lt-LT"/>
                          </w:rPr>
                          <w:t>(2.600)</w:t>
                        </w:r>
                      </w:p>
                    </w:tc>
                  </w:tr>
                </w:tbl>
                <w:p>
                  <w:pPr>
                    <w:tabs>
                      <w:tab w:val="left" w:pos="567"/>
                    </w:tabs>
                    <w:suppressAutoHyphens/>
                    <w:ind w:left="567"/>
                    <w:jc w:val="right"/>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ind w:firstLine="709"/>
                          <w:rPr>
                            <w:rFonts w:eastAsia="Calibri"/>
                            <w:bCs/>
                            <w:color w:val="000000"/>
                            <w:szCs w:val="22"/>
                          </w:rPr>
                        </w:pPr>
                        <w:r>
                          <w:rPr>
                            <w:color w:val="000000"/>
                            <w:lang w:eastAsia="lt-LT"/>
                          </w:rPr>
                          <w:t xml:space="preserve">tai                  </w:t>
                          <w:object w:dxaOrig="4224" w:dyaOrig="1224">
                            <v:shape id="_x0000_i1828" type="#_x0000_t75" style="width:210.35pt;height:61.5pt" o:ole="">
                              <v:imagedata r:id="rId1621" o:title=""/>
                            </v:shape>
                            <o:OLEObject Type="Embed" ProgID="Equation.3" ShapeID="_x0000_i1828" DrawAspect="Content" ObjectID="_0000000001" r:id="rId1622"/>
                          </w:object>
                          <w:t>;</w:t>
                        </w:r>
                      </w:p>
                    </w:tc>
                    <w:tc>
                      <w:tcPr>
                        <w:tcW w:w="1002" w:type="dxa"/>
                        <w:vAlign w:val="center"/>
                        <w:hideMark/>
                      </w:tcPr>
                      <w:p>
                        <w:pPr>
                          <w:tabs>
                            <w:tab w:val="left" w:pos="567"/>
                          </w:tabs>
                          <w:suppressAutoHyphens/>
                          <w:spacing w:line="276" w:lineRule="auto"/>
                          <w:ind w:firstLine="62"/>
                          <w:jc w:val="both"/>
                          <w:rPr>
                            <w:rFonts w:eastAsia="Calibri"/>
                            <w:bCs/>
                            <w:color w:val="000000"/>
                            <w:szCs w:val="22"/>
                          </w:rPr>
                        </w:pPr>
                        <w:r>
                          <w:rPr>
                            <w:color w:val="000000"/>
                            <w:lang w:eastAsia="lt-LT"/>
                          </w:rPr>
                          <w:t>(2.601)</w:t>
                        </w:r>
                      </w:p>
                    </w:tc>
                  </w:tr>
                </w:tbl>
                <w:p>
                  <w:pPr>
                    <w:tabs>
                      <w:tab w:val="left" w:pos="567"/>
                    </w:tabs>
                    <w:suppressAutoHyphens/>
                    <w:ind w:left="567"/>
                    <w:jc w:val="right"/>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ind w:firstLine="709"/>
                          <w:rPr>
                            <w:rFonts w:eastAsia="Calibri"/>
                            <w:bCs/>
                            <w:color w:val="000000"/>
                            <w:szCs w:val="22"/>
                          </w:rPr>
                        </w:pPr>
                        <w:r>
                          <w:rPr>
                            <w:color w:val="000000"/>
                            <w:lang w:eastAsia="lt-LT"/>
                          </w:rPr>
                          <w:t xml:space="preserve">jei                       </w:t>
                        </w:r>
                        <w:r>
                          <w:rPr>
                            <w:rFonts w:eastAsia="Calibri"/>
                            <w:color w:val="000000"/>
                            <w:szCs w:val="22"/>
                          </w:rPr>
                          <w:object w:dxaOrig="3924" w:dyaOrig="1224">
                            <v:shape id="_x0000_i1829" type="#_x0000_t75" style="width:197.4pt;height:61.5pt" o:ole="">
                              <v:imagedata r:id="rId1623" o:title=""/>
                            </v:shape>
                            <o:OLEObject Type="Embed" ProgID="Equation.3" ShapeID="_x0000_i1829" DrawAspect="Content" ObjectID="_0000000001" r:id="rId1624"/>
                          </w:object>
                        </w:r>
                        <w:r>
                          <w:rPr>
                            <w:color w:val="000000"/>
                            <w:lang w:eastAsia="lt-LT"/>
                          </w:rPr>
                          <w:t>,</w:t>
                        </w:r>
                      </w:p>
                    </w:tc>
                    <w:tc>
                      <w:tcPr>
                        <w:tcW w:w="1002" w:type="dxa"/>
                        <w:vAlign w:val="center"/>
                        <w:hideMark/>
                      </w:tcPr>
                      <w:p>
                        <w:pPr>
                          <w:tabs>
                            <w:tab w:val="left" w:pos="567"/>
                          </w:tabs>
                          <w:suppressAutoHyphens/>
                          <w:spacing w:line="276" w:lineRule="auto"/>
                          <w:ind w:firstLine="62"/>
                          <w:jc w:val="both"/>
                          <w:rPr>
                            <w:rFonts w:eastAsia="Calibri"/>
                            <w:bCs/>
                            <w:color w:val="000000"/>
                            <w:szCs w:val="22"/>
                          </w:rPr>
                        </w:pPr>
                        <w:r>
                          <w:rPr>
                            <w:color w:val="000000"/>
                            <w:lang w:eastAsia="lt-LT"/>
                          </w:rPr>
                          <w:t>(2.602)</w:t>
                        </w:r>
                      </w:p>
                    </w:tc>
                  </w:tr>
                </w:tbl>
                <w:p>
                  <w:pPr>
                    <w:tabs>
                      <w:tab w:val="left" w:pos="567"/>
                    </w:tabs>
                    <w:suppressAutoHyphens/>
                    <w:ind w:left="567"/>
                    <w:jc w:val="right"/>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ind w:firstLine="709"/>
                          <w:rPr>
                            <w:rFonts w:eastAsia="Calibri"/>
                            <w:bCs/>
                            <w:color w:val="000000"/>
                            <w:szCs w:val="22"/>
                          </w:rPr>
                        </w:pPr>
                        <w:r>
                          <w:rPr>
                            <w:color w:val="000000"/>
                            <w:lang w:eastAsia="lt-LT"/>
                          </w:rPr>
                          <w:t xml:space="preserve">Tai                      </w:t>
                          <w:object w:dxaOrig="4368" w:dyaOrig="1224">
                            <v:shape id="_x0000_i1830" type="#_x0000_t75" style="width:217.6pt;height:61.5pt" o:ole="">
                              <v:imagedata r:id="rId1625" o:title=""/>
                            </v:shape>
                            <o:OLEObject Type="Embed" ProgID="Equation.3" ShapeID="_x0000_i1830" DrawAspect="Content" ObjectID="_0000000001" r:id="rId1626"/>
                          </w:object>
                          <w:t>;</w:t>
                        </w:r>
                      </w:p>
                    </w:tc>
                    <w:tc>
                      <w:tcPr>
                        <w:tcW w:w="1002" w:type="dxa"/>
                        <w:vAlign w:val="center"/>
                        <w:hideMark/>
                      </w:tcPr>
                      <w:p>
                        <w:pPr>
                          <w:tabs>
                            <w:tab w:val="left" w:pos="567"/>
                          </w:tabs>
                          <w:suppressAutoHyphens/>
                          <w:spacing w:line="276" w:lineRule="auto"/>
                          <w:ind w:firstLine="62"/>
                          <w:jc w:val="both"/>
                          <w:rPr>
                            <w:rFonts w:eastAsia="Calibri"/>
                            <w:bCs/>
                            <w:color w:val="000000"/>
                            <w:szCs w:val="22"/>
                          </w:rPr>
                        </w:pPr>
                        <w:r>
                          <w:rPr>
                            <w:color w:val="000000"/>
                            <w:lang w:eastAsia="lt-LT"/>
                          </w:rPr>
                          <w:t>(2.603)</w:t>
                        </w:r>
                      </w:p>
                    </w:tc>
                  </w:tr>
                </w:tbl>
                <w:p>
                  <w:pPr>
                    <w:tabs>
                      <w:tab w:val="left" w:pos="567"/>
                    </w:tabs>
                    <w:suppressAutoHyphens/>
                    <w:ind w:left="567"/>
                    <w:jc w:val="right"/>
                    <w:rPr>
                      <w:rFonts w:eastAsia="Calibri"/>
                      <w:color w:val="000000"/>
                      <w:szCs w:val="22"/>
                    </w:rPr>
                  </w:pPr>
                </w:p>
                <w:tbl>
                  <w:tblPr>
                    <w:tblW w:w="0" w:type="auto"/>
                    <w:tblLook w:val="01E0" w:firstRow="1" w:lastRow="1" w:firstColumn="1" w:lastColumn="1" w:noHBand="0" w:noVBand="0"/>
                  </w:tblPr>
                  <w:tblGrid>
                    <w:gridCol w:w="8568"/>
                    <w:gridCol w:w="1002"/>
                  </w:tblGrid>
                  <w:tr>
                    <w:tc>
                      <w:tcPr>
                        <w:tcW w:w="8568" w:type="dxa"/>
                        <w:hideMark/>
                      </w:tcPr>
                      <w:p>
                        <w:pPr>
                          <w:tabs>
                            <w:tab w:val="left" w:pos="567"/>
                          </w:tabs>
                          <w:suppressAutoHyphens/>
                          <w:spacing w:line="276" w:lineRule="auto"/>
                          <w:rPr>
                            <w:rFonts w:eastAsia="Calibri"/>
                            <w:bCs/>
                            <w:color w:val="000000"/>
                            <w:szCs w:val="22"/>
                          </w:rPr>
                        </w:pPr>
                        <w:r>
                          <w:rPr>
                            <w:color w:val="000000"/>
                            <w:lang w:eastAsia="lt-LT"/>
                          </w:rPr>
                          <w:t xml:space="preserve">kitais atvejais  </w:t>
                          <w:object w:dxaOrig="5868" w:dyaOrig="1224">
                            <v:shape id="_x0000_i1831" type="#_x0000_t75" style="width:293.65pt;height:61.5pt" o:ole="">
                              <v:imagedata r:id="rId1627" o:title=""/>
                            </v:shape>
                            <o:OLEObject Type="Embed" ProgID="Equation.3" ShapeID="_x0000_i1831" DrawAspect="Content" ObjectID="_0000000001" r:id="rId1628"/>
                          </w:object>
                          <w:t>;</w:t>
                        </w:r>
                      </w:p>
                    </w:tc>
                    <w:tc>
                      <w:tcPr>
                        <w:tcW w:w="1002" w:type="dxa"/>
                        <w:vAlign w:val="center"/>
                        <w:hideMark/>
                      </w:tcPr>
                      <w:p>
                        <w:pPr>
                          <w:tabs>
                            <w:tab w:val="left" w:pos="567"/>
                          </w:tabs>
                          <w:suppressAutoHyphens/>
                          <w:spacing w:line="276" w:lineRule="auto"/>
                          <w:jc w:val="right"/>
                          <w:rPr>
                            <w:rFonts w:eastAsia="Calibri"/>
                            <w:color w:val="000000"/>
                            <w:szCs w:val="22"/>
                          </w:rPr>
                        </w:pPr>
                        <w:r>
                          <w:rPr>
                            <w:color w:val="000000"/>
                            <w:lang w:eastAsia="lt-LT"/>
                          </w:rPr>
                          <w:t>(2.604)</w:t>
                        </w:r>
                      </w:p>
                    </w:tc>
                  </w:tr>
                </w:tbl>
                <w:p>
                  <w:pPr>
                    <w:tabs>
                      <w:tab w:val="left" w:pos="567"/>
                    </w:tabs>
                    <w:suppressAutoHyphens/>
                    <w:ind w:left="567" w:hanging="567"/>
                    <w:rPr>
                      <w:rFonts w:eastAsia="Calibri"/>
                      <w:color w:val="000000"/>
                      <w:szCs w:val="22"/>
                    </w:rPr>
                  </w:pPr>
                  <w:r>
                    <w:rPr>
                      <w:color w:val="000000"/>
                      <w:lang w:eastAsia="lt-LT"/>
                    </w:rPr>
                    <w:t xml:space="preserve">čia: </w:t>
                    <w:tab/>
                  </w:r>
                  <w:r>
                    <w:rPr>
                      <w:i/>
                      <w:color w:val="000000"/>
                      <w:lang w:eastAsia="lt-LT"/>
                    </w:rPr>
                    <w:t>Q</w:t>
                  </w:r>
                  <w:r>
                    <w:rPr>
                      <w:i/>
                      <w:color w:val="000000"/>
                      <w:vertAlign w:val="subscript"/>
                      <w:lang w:eastAsia="lt-LT"/>
                    </w:rPr>
                    <w:t>N.PRn.H,m</w:t>
                  </w:r>
                  <w:r>
                    <w:rPr>
                      <w:color w:val="000000"/>
                      <w:lang w:eastAsia="lt-LT"/>
                    </w:rPr>
                    <w:t xml:space="preserve"> – apskaičiuojama pagal (2.567) formulę;</w:t>
                  </w:r>
                </w:p>
                <w:p>
                  <w:pPr>
                    <w:tabs>
                      <w:tab w:val="left" w:pos="567"/>
                    </w:tabs>
                    <w:suppressAutoHyphens/>
                    <w:ind w:left="600"/>
                    <w:rPr>
                      <w:color w:val="000000"/>
                      <w:lang w:eastAsia="lt-LT"/>
                    </w:rPr>
                  </w:pPr>
                  <w:r>
                    <w:rPr>
                      <w:i/>
                      <w:color w:val="000000"/>
                      <w:lang w:eastAsia="lt-LT"/>
                    </w:rPr>
                    <w:t>Q</w:t>
                  </w:r>
                  <w:r>
                    <w:rPr>
                      <w:i/>
                      <w:color w:val="000000"/>
                      <w:vertAlign w:val="subscript"/>
                      <w:lang w:eastAsia="lt-LT"/>
                    </w:rPr>
                    <w:t>R.PRn.H,m</w:t>
                  </w:r>
                  <w:r>
                    <w:rPr>
                      <w:color w:val="000000"/>
                      <w:lang w:eastAsia="lt-LT"/>
                    </w:rPr>
                    <w:t xml:space="preserve"> – apskaičiuojama pagal (2.568) formulę;</w:t>
                  </w:r>
                </w:p>
                <w:p>
                  <w:pPr>
                    <w:tabs>
                      <w:tab w:val="left" w:pos="567"/>
                    </w:tabs>
                    <w:suppressAutoHyphens/>
                    <w:ind w:left="600"/>
                    <w:rPr>
                      <w:color w:val="000000"/>
                      <w:lang w:eastAsia="lt-LT"/>
                    </w:rPr>
                  </w:pPr>
                  <w:r>
                    <w:rPr>
                      <w:i/>
                      <w:color w:val="000000"/>
                      <w:lang w:eastAsia="lt-LT"/>
                    </w:rPr>
                    <w:t>Q</w:t>
                  </w:r>
                  <w:r>
                    <w:rPr>
                      <w:i/>
                      <w:color w:val="000000"/>
                      <w:vertAlign w:val="subscript"/>
                      <w:lang w:eastAsia="lt-LT"/>
                    </w:rPr>
                    <w:t>PRn.H,m</w:t>
                  </w:r>
                  <w:r>
                    <w:rPr>
                      <w:color w:val="000000"/>
                      <w:lang w:eastAsia="lt-LT"/>
                    </w:rPr>
                    <w:t xml:space="preserve"> – apskaičiuojama pagal (2.569)–(2.571) formules;</w:t>
                  </w:r>
                </w:p>
                <w:p>
                  <w:pPr>
                    <w:tabs>
                      <w:tab w:val="left" w:pos="567"/>
                    </w:tabs>
                    <w:suppressAutoHyphens/>
                    <w:ind w:left="600"/>
                    <w:rPr>
                      <w:color w:val="000000"/>
                      <w:lang w:eastAsia="lt-LT"/>
                    </w:rPr>
                  </w:pPr>
                  <w:r>
                    <w:rPr>
                      <w:i/>
                      <w:color w:val="000000"/>
                      <w:lang w:eastAsia="lt-LT"/>
                    </w:rPr>
                    <w:t>Q</w:t>
                  </w:r>
                  <w:r>
                    <w:rPr>
                      <w:i/>
                      <w:color w:val="000000"/>
                      <w:vertAlign w:val="subscript"/>
                      <w:lang w:eastAsia="lt-LT"/>
                    </w:rPr>
                    <w:t>N.E.lg,m</w:t>
                  </w:r>
                  <w:r>
                    <w:rPr>
                      <w:color w:val="000000"/>
                      <w:lang w:eastAsia="lt-LT"/>
                    </w:rPr>
                    <w:t xml:space="preserve"> , </w:t>
                  </w:r>
                  <w:r>
                    <w:rPr>
                      <w:i/>
                      <w:color w:val="000000"/>
                      <w:lang w:eastAsia="lt-LT"/>
                    </w:rPr>
                    <w:t>Q</w:t>
                  </w:r>
                  <w:r>
                    <w:rPr>
                      <w:i/>
                      <w:color w:val="000000"/>
                      <w:vertAlign w:val="subscript"/>
                      <w:lang w:eastAsia="lt-LT"/>
                    </w:rPr>
                    <w:t xml:space="preserve">R.E.lg,m </w:t>
                  </w:r>
                  <w:r>
                    <w:rPr>
                      <w:color w:val="000000"/>
                      <w:lang w:eastAsia="lt-LT"/>
                    </w:rPr>
                    <w:t xml:space="preserve">, </w:t>
                  </w:r>
                  <w:r>
                    <w:rPr>
                      <w:i/>
                      <w:color w:val="000000"/>
                      <w:lang w:eastAsia="lt-LT"/>
                    </w:rPr>
                    <w:t>f</w:t>
                  </w:r>
                  <w:r>
                    <w:rPr>
                      <w:i/>
                      <w:color w:val="000000"/>
                      <w:vertAlign w:val="subscript"/>
                      <w:lang w:eastAsia="lt-LT"/>
                    </w:rPr>
                    <w:t>N.PRn.E</w:t>
                  </w:r>
                  <w:r>
                    <w:rPr>
                      <w:i/>
                      <w:color w:val="000000"/>
                      <w:lang w:eastAsia="lt-LT"/>
                    </w:rPr>
                    <w:t xml:space="preserve"> , f</w:t>
                  </w:r>
                  <w:r>
                    <w:rPr>
                      <w:i/>
                      <w:color w:val="000000"/>
                      <w:vertAlign w:val="subscript"/>
                      <w:lang w:eastAsia="lt-LT"/>
                    </w:rPr>
                    <w:t>R.PRn.E</w:t>
                  </w:r>
                  <w:r>
                    <w:rPr>
                      <w:color w:val="000000"/>
                      <w:lang w:eastAsia="lt-LT"/>
                    </w:rPr>
                    <w:t xml:space="preserve"> – apskaičiuojama pagal 36 punkto reikalavimus;</w:t>
                  </w:r>
                </w:p>
                <w:p>
                  <w:pPr>
                    <w:tabs>
                      <w:tab w:val="left" w:pos="567"/>
                    </w:tabs>
                    <w:suppressAutoHyphens/>
                    <w:ind w:left="600"/>
                    <w:rPr>
                      <w:color w:val="000000"/>
                      <w:lang w:eastAsia="lt-LT"/>
                    </w:rPr>
                  </w:pPr>
                  <w:r>
                    <w:rPr>
                      <w:i/>
                      <w:color w:val="000000"/>
                      <w:lang w:eastAsia="lt-LT"/>
                    </w:rPr>
                    <w:t>Q</w:t>
                  </w:r>
                  <w:r>
                    <w:rPr>
                      <w:i/>
                      <w:color w:val="000000"/>
                      <w:vertAlign w:val="superscript"/>
                      <w:lang w:eastAsia="lt-LT"/>
                    </w:rPr>
                    <w:t>I</w:t>
                  </w:r>
                  <w:r>
                    <w:rPr>
                      <w:i/>
                      <w:color w:val="000000"/>
                      <w:vertAlign w:val="subscript"/>
                      <w:lang w:eastAsia="lt-LT"/>
                    </w:rPr>
                    <w:t>PRn.E</w:t>
                  </w:r>
                  <w:r>
                    <w:rPr>
                      <w:color w:val="000000"/>
                      <w:lang w:eastAsia="lt-LT"/>
                    </w:rPr>
                    <w:t xml:space="preserve"> – apskaičiuojama taip:</w:t>
                  </w:r>
                </w:p>
                <w:tbl>
                  <w:tblPr>
                    <w:tblW w:w="5000" w:type="pct"/>
                    <w:tblLook w:val="01E0" w:firstRow="1" w:lastRow="1" w:firstColumn="1" w:lastColumn="1" w:noHBand="0" w:noVBand="0"/>
                  </w:tblPr>
                  <w:tblGrid>
                    <w:gridCol w:w="8906"/>
                    <w:gridCol w:w="948"/>
                  </w:tblGrid>
                  <w:tr>
                    <w:tc>
                      <w:tcPr>
                        <w:tcW w:w="4519" w:type="pct"/>
                      </w:tcPr>
                      <w:p>
                        <w:pPr>
                          <w:tabs>
                            <w:tab w:val="left" w:pos="567"/>
                          </w:tabs>
                          <w:suppressAutoHyphens/>
                          <w:spacing w:line="276" w:lineRule="auto"/>
                          <w:jc w:val="center"/>
                          <w:rPr>
                            <w:rFonts w:eastAsia="Calibri"/>
                            <w:bCs/>
                            <w:strike/>
                            <w:color w:val="000000"/>
                            <w:szCs w:val="22"/>
                          </w:rPr>
                        </w:pPr>
                      </w:p>
                    </w:tc>
                    <w:tc>
                      <w:tcPr>
                        <w:tcW w:w="481" w:type="pct"/>
                        <w:vAlign w:val="center"/>
                      </w:tcPr>
                      <w:p>
                        <w:pPr>
                          <w:tabs>
                            <w:tab w:val="left" w:pos="567"/>
                          </w:tabs>
                          <w:suppressAutoHyphens/>
                          <w:spacing w:line="276" w:lineRule="auto"/>
                          <w:ind w:left="-25"/>
                          <w:jc w:val="right"/>
                          <w:rPr>
                            <w:rFonts w:eastAsia="Calibri"/>
                            <w:bCs/>
                            <w:strike/>
                            <w:color w:val="000000"/>
                            <w:szCs w:val="22"/>
                          </w:rPr>
                        </w:pPr>
                      </w:p>
                    </w:tc>
                  </w:tr>
                  <w:tr>
                    <w:tc>
                      <w:tcPr>
                        <w:tcW w:w="4519" w:type="pct"/>
                        <w:hideMark/>
                      </w:tcPr>
                      <w:p>
                        <w:pPr>
                          <w:tabs>
                            <w:tab w:val="left" w:pos="567"/>
                          </w:tabs>
                          <w:suppressAutoHyphens/>
                          <w:spacing w:line="276" w:lineRule="auto"/>
                          <w:jc w:val="center"/>
                          <w:rPr>
                            <w:rFonts w:eastAsia="Calibri"/>
                            <w:color w:val="000000"/>
                            <w:szCs w:val="22"/>
                          </w:rPr>
                        </w:pPr>
                        <w:r>
                          <w:rPr>
                            <w:rFonts w:eastAsia="Calibri"/>
                            <w:color w:val="000000"/>
                            <w:szCs w:val="22"/>
                          </w:rPr>
                          <w:object w:dxaOrig="1992" w:dyaOrig="684">
                            <v:shape id="_x0000_i1832" type="#_x0000_t75" style="width:100.3pt;height:34.8pt" o:ole="">
                              <v:imagedata r:id="rId1629" o:title=""/>
                            </v:shape>
                            <o:OLEObject Type="Embed" ProgID="Equation.3" ShapeID="_x0000_i1832" DrawAspect="Content" ObjectID="_0000000001" r:id="rId1630"/>
                          </w:object>
                          <w:t>,</w:t>
                        </w:r>
                      </w:p>
                      <w:p>
                        <w:pPr>
                          <w:tabs>
                            <w:tab w:val="left" w:pos="567"/>
                          </w:tabs>
                          <w:suppressAutoHyphens/>
                          <w:spacing w:line="276" w:lineRule="auto"/>
                          <w:jc w:val="center"/>
                          <w:rPr>
                            <w:rFonts w:eastAsia="Calibri"/>
                            <w:color w:val="000000"/>
                            <w:szCs w:val="22"/>
                          </w:rPr>
                        </w:pPr>
                        <w:r>
                          <w:rPr>
                            <w:rFonts w:eastAsia="Calibri"/>
                            <w:color w:val="000000"/>
                            <w:szCs w:val="22"/>
                          </w:rPr>
                          <w:object w:dxaOrig="6732" w:dyaOrig="1176">
                            <v:shape id="_x0000_i1833" type="#_x0000_t75" style="width:336.55pt;height:58.25pt" o:ole="">
                              <v:imagedata r:id="rId1631" o:title=""/>
                            </v:shape>
                            <o:OLEObject Type="Embed" ProgID="Equation.3" ShapeID="_x0000_i1833" DrawAspect="Content" ObjectID="_0000000001" r:id="rId1632"/>
                          </w:object>
                          <w:t xml:space="preserve"> </w:t>
                        </w:r>
                      </w:p>
                      <w:p>
                        <w:pPr>
                          <w:tabs>
                            <w:tab w:val="left" w:pos="567"/>
                          </w:tabs>
                          <w:suppressAutoHyphens/>
                          <w:spacing w:line="276" w:lineRule="auto"/>
                          <w:jc w:val="center"/>
                          <w:rPr>
                            <w:color w:val="000000"/>
                            <w:lang w:eastAsia="lt-LT"/>
                          </w:rPr>
                        </w:pPr>
                        <w:r>
                          <w:rPr>
                            <w:color w:val="000000"/>
                            <w:lang w:eastAsia="lt-LT"/>
                          </w:rPr>
                          <w:t xml:space="preserve">ir jei </w:t>
                        </w:r>
                        <w:r>
                          <w:rPr>
                            <w:i/>
                            <w:color w:val="000000"/>
                            <w:lang w:eastAsia="lt-LT"/>
                          </w:rPr>
                          <w:t>Q</w:t>
                        </w:r>
                        <w:r>
                          <w:rPr>
                            <w:i/>
                            <w:color w:val="000000"/>
                            <w:vertAlign w:val="superscript"/>
                            <w:lang w:eastAsia="lt-LT"/>
                          </w:rPr>
                          <w:t>I</w:t>
                        </w:r>
                        <w:r>
                          <w:rPr>
                            <w:i/>
                            <w:color w:val="000000"/>
                            <w:vertAlign w:val="subscript"/>
                            <w:lang w:eastAsia="lt-LT"/>
                          </w:rPr>
                          <w:t>PRn.E,m</w:t>
                        </w:r>
                        <w:r>
                          <w:rPr>
                            <w:color w:val="000000"/>
                            <w:lang w:eastAsia="lt-LT"/>
                          </w:rPr>
                          <w:t xml:space="preserve">&lt;0, turi būti imama </w:t>
                        </w:r>
                        <w:r>
                          <w:rPr>
                            <w:i/>
                            <w:color w:val="000000"/>
                            <w:lang w:eastAsia="lt-LT"/>
                          </w:rPr>
                          <w:t>Q</w:t>
                        </w:r>
                        <w:r>
                          <w:rPr>
                            <w:i/>
                            <w:color w:val="000000"/>
                            <w:vertAlign w:val="superscript"/>
                            <w:lang w:eastAsia="lt-LT"/>
                          </w:rPr>
                          <w:t>I</w:t>
                        </w:r>
                        <w:r>
                          <w:rPr>
                            <w:i/>
                            <w:color w:val="000000"/>
                            <w:vertAlign w:val="subscript"/>
                            <w:lang w:eastAsia="lt-LT"/>
                          </w:rPr>
                          <w:t>PRn.E,m</w:t>
                        </w:r>
                        <w:r>
                          <w:rPr>
                            <w:color w:val="000000"/>
                            <w:lang w:eastAsia="lt-LT"/>
                          </w:rPr>
                          <w:t>=0;</w:t>
                        </w:r>
                      </w:p>
                      <w:p>
                        <w:pPr>
                          <w:tabs>
                            <w:tab w:val="left" w:pos="567"/>
                          </w:tabs>
                          <w:suppressAutoHyphens/>
                          <w:spacing w:line="276" w:lineRule="auto"/>
                          <w:jc w:val="center"/>
                          <w:rPr>
                            <w:rFonts w:eastAsia="Calibri"/>
                            <w:color w:val="000000"/>
                            <w:szCs w:val="22"/>
                          </w:rPr>
                        </w:pPr>
                      </w:p>
                    </w:tc>
                    <w:tc>
                      <w:tcPr>
                        <w:tcW w:w="481" w:type="pct"/>
                        <w:vAlign w:val="center"/>
                        <w:hideMark/>
                      </w:tcPr>
                      <w:p>
                        <w:pPr>
                          <w:tabs>
                            <w:tab w:val="left" w:pos="567"/>
                          </w:tabs>
                          <w:suppressAutoHyphens/>
                          <w:spacing w:line="276" w:lineRule="auto"/>
                          <w:ind w:left="-25"/>
                          <w:jc w:val="right"/>
                          <w:rPr>
                            <w:color w:val="000000"/>
                            <w:lang w:eastAsia="lt-LT"/>
                          </w:rPr>
                        </w:pPr>
                        <w:r>
                          <w:rPr>
                            <w:color w:val="000000"/>
                            <w:lang w:eastAsia="lt-LT"/>
                          </w:rPr>
                          <w:t>(2.605)</w:t>
                        </w:r>
                      </w:p>
                    </w:tc>
                  </w:tr>
                </w:tbl>
                <w:p>
                  <w:pPr>
                    <w:tabs>
                      <w:tab w:val="left" w:pos="567"/>
                    </w:tabs>
                    <w:suppressAutoHyphens/>
                    <w:ind w:left="567" w:hanging="567"/>
                    <w:jc w:val="both"/>
                    <w:rPr>
                      <w:rFonts w:eastAsia="Calibri"/>
                      <w:color w:val="000000"/>
                      <w:szCs w:val="22"/>
                    </w:rPr>
                  </w:pPr>
                  <w:r>
                    <w:rPr>
                      <w:color w:val="000000"/>
                      <w:lang w:eastAsia="lt-LT"/>
                    </w:rPr>
                    <w:t xml:space="preserve">čia: </w:t>
                    <w:tab/>
                  </w:r>
                  <w:r>
                    <w:rPr>
                      <w:i/>
                      <w:color w:val="000000"/>
                      <w:lang w:eastAsia="lt-LT"/>
                    </w:rPr>
                    <w:t>Q</w:t>
                  </w:r>
                  <w:r>
                    <w:rPr>
                      <w:i/>
                      <w:color w:val="000000"/>
                      <w:vertAlign w:val="subscript"/>
                      <w:lang w:eastAsia="lt-LT"/>
                    </w:rPr>
                    <w:t>E.lg,m</w:t>
                  </w:r>
                  <w:r>
                    <w:rPr>
                      <w:color w:val="000000"/>
                      <w:lang w:eastAsia="lt-LT"/>
                    </w:rPr>
                    <w:t xml:space="preserve"> – apskaičiuojama pagal (2.129) formulę;</w:t>
                  </w:r>
                </w:p>
                <w:p>
                  <w:pPr>
                    <w:tabs>
                      <w:tab w:val="left" w:pos="567"/>
                    </w:tabs>
                    <w:suppressAutoHyphens/>
                    <w:ind w:left="600"/>
                    <w:jc w:val="both"/>
                    <w:rPr>
                      <w:color w:val="000000"/>
                      <w:lang w:eastAsia="lt-LT"/>
                    </w:rPr>
                  </w:pPr>
                  <w:r>
                    <w:rPr>
                      <w:i/>
                      <w:color w:val="000000"/>
                      <w:lang w:eastAsia="lt-LT"/>
                    </w:rPr>
                    <w:t>Q</w:t>
                  </w:r>
                  <w:r>
                    <w:rPr>
                      <w:i/>
                      <w:color w:val="000000"/>
                      <w:vertAlign w:val="subscript"/>
                      <w:lang w:eastAsia="lt-LT"/>
                    </w:rPr>
                    <w:t>E.vent,m</w:t>
                  </w:r>
                  <w:r>
                    <w:rPr>
                      <w:color w:val="000000"/>
                      <w:lang w:eastAsia="lt-LT"/>
                    </w:rPr>
                    <w:t xml:space="preserve"> – apskaičiuojama pagal 38 punkto reikalavimus;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C.E,m</w:t>
                  </w:r>
                  <w:r>
                    <w:rPr>
                      <w:color w:val="000000"/>
                      <w:lang w:eastAsia="lt-LT"/>
                    </w:rPr>
                    <w:t xml:space="preserve"> – apskaičiuojama pagal (2.566) formulę. Skaičiavimams pagal (2.605) formulę sandėliavimo, garažų, gamybos ir pramonės paskirties pastatams imama </w:t>
                  </w:r>
                  <w:r>
                    <w:rPr>
                      <w:i/>
                      <w:color w:val="000000"/>
                      <w:lang w:eastAsia="lt-LT"/>
                    </w:rPr>
                    <w:t>Q</w:t>
                  </w:r>
                  <w:r>
                    <w:rPr>
                      <w:i/>
                      <w:color w:val="000000"/>
                      <w:vertAlign w:val="subscript"/>
                      <w:lang w:eastAsia="lt-LT"/>
                    </w:rPr>
                    <w:t>C.E,m</w:t>
                  </w:r>
                  <w:r>
                    <w:rPr>
                      <w:color w:val="000000"/>
                      <w:lang w:val="en-US" w:eastAsia="lt-LT"/>
                    </w:rPr>
                    <w:t xml:space="preserve"> =0</w:t>
                  </w:r>
                  <w:r>
                    <w:rPr>
                      <w:color w:val="000000"/>
                      <w:lang w:eastAsia="lt-LT"/>
                    </w:rPr>
                    <w:t>;</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 xml:space="preserve">E.SK+WE+HE,m </w:t>
                  </w:r>
                  <w:r>
                    <w:rPr>
                      <w:color w:val="000000"/>
                      <w:lang w:eastAsia="lt-LT"/>
                    </w:rPr>
                    <w:t>– apskaičiuojama pagal (2.562) formulę;</w:t>
                  </w:r>
                </w:p>
                <w:p>
                  <w:pPr>
                    <w:tabs>
                      <w:tab w:val="left" w:pos="567"/>
                    </w:tabs>
                    <w:suppressAutoHyphens/>
                    <w:ind w:left="600"/>
                    <w:jc w:val="both"/>
                    <w:rPr>
                      <w:color w:val="000000"/>
                      <w:lang w:eastAsia="lt-LT"/>
                    </w:rPr>
                  </w:pPr>
                  <w:r>
                    <w:rPr>
                      <w:i/>
                      <w:color w:val="000000"/>
                      <w:lang w:eastAsia="lt-LT"/>
                    </w:rPr>
                    <w:t>Q</w:t>
                  </w:r>
                  <w:r>
                    <w:rPr>
                      <w:i/>
                      <w:color w:val="000000"/>
                      <w:vertAlign w:val="subscript"/>
                      <w:lang w:eastAsia="lt-LT"/>
                    </w:rPr>
                    <w:t xml:space="preserve">PRn.E.SK+WE+HE,m </w:t>
                  </w:r>
                  <w:r>
                    <w:rPr>
                      <w:color w:val="000000"/>
                      <w:lang w:eastAsia="lt-LT"/>
                    </w:rPr>
                    <w:t>– apskaičiuojama pagal (2.563) formulę;</w:t>
                  </w:r>
                </w:p>
                <w:p>
                  <w:pPr>
                    <w:tabs>
                      <w:tab w:val="left" w:pos="567"/>
                    </w:tabs>
                    <w:suppressAutoHyphens/>
                    <w:ind w:firstLine="600"/>
                    <w:jc w:val="both"/>
                    <w:rPr>
                      <w:color w:val="000000"/>
                    </w:rPr>
                  </w:pPr>
                  <w:r>
                    <w:rPr>
                      <w:i/>
                      <w:color w:val="000000"/>
                      <w:lang w:eastAsia="lt-LT"/>
                    </w:rPr>
                    <w:t>f</w:t>
                  </w:r>
                  <w:r>
                    <w:rPr>
                      <w:i/>
                      <w:color w:val="000000"/>
                      <w:vertAlign w:val="subscript"/>
                      <w:lang w:eastAsia="lt-LT"/>
                    </w:rPr>
                    <w:t>PRn.E</w:t>
                  </w:r>
                  <w:r>
                    <w:rPr>
                      <w:color w:val="000000"/>
                      <w:lang w:eastAsia="lt-LT"/>
                    </w:rPr>
                    <w:t xml:space="preserve"> – </w:t>
                  </w:r>
                  <w:r>
                    <w:rPr>
                      <w:bCs/>
                      <w:color w:val="000000"/>
                      <w:lang w:eastAsia="lt-LT"/>
                    </w:rPr>
                    <w:t>pirminės energijos faktorius elektros energijai. Vertė imama iš 2.18 lentelės 10</w:t>
                  </w:r>
                  <w:r>
                    <w:rPr>
                      <w:b/>
                      <w:bCs/>
                      <w:color w:val="000000"/>
                      <w:lang w:eastAsia="lt-LT"/>
                    </w:rPr>
                    <w:t xml:space="preserve"> </w:t>
                  </w:r>
                  <w:r>
                    <w:rPr>
                      <w:bCs/>
                      <w:color w:val="000000"/>
                      <w:lang w:eastAsia="lt-LT"/>
                    </w:rPr>
                    <w:t>eilutės (elektros įvairių gamybos būdų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82 p."/>
                <w:tag w:val="part_135f4f21115340719ddc95fd2e231aad"/>
                <w:lock w:val="sdtLocked"/>
                <w:richText/>
              </w:sdtPr>
              <w:sdtContent>
                <w:p>
                  <w:pPr>
                    <w:ind w:firstLine="627"/>
                  </w:pPr>
                  <w:sdt>
                    <w:sdtPr>
                      <w:alias w:val="Numeris"/>
                      <w:tag w:val="nr_135f4f21115340719ddc95fd2e231aad"/>
                      <w:lock w:val="sdtLocked"/>
                      <w:richText/>
                    </w:sdtPr>
                    <w:sdtContent>
                      <w:r>
                        <w:t>82</w:t>
                      </w:r>
                    </w:sdtContent>
                  </w:sdt>
                  <w:r>
                    <w:t xml:space="preserve">. Pastato energijos vartojimo efektyvumo rodiklio </w:t>
                  </w:r>
                  <w:r>
                    <w:rPr>
                      <w:i/>
                    </w:rPr>
                    <w:t>C</w:t>
                  </w:r>
                  <w:r>
                    <w:rPr>
                      <w:i/>
                      <w:vertAlign w:val="subscript"/>
                    </w:rPr>
                    <w:t>2</w:t>
                  </w:r>
                  <w:r>
                    <w:t xml:space="preserve"> vertė apskaičiuojama taip:</w:t>
                  </w:r>
                </w:p>
                <w:tbl>
                  <w:tblPr>
                    <w:tblW w:w="0" w:type="auto"/>
                    <w:tblLook w:val="01E0" w:firstRow="1" w:lastRow="1" w:firstColumn="1" w:lastColumn="1" w:noHBand="0" w:noVBand="0"/>
                  </w:tblPr>
                  <w:tblGrid>
                    <w:gridCol w:w="8568"/>
                    <w:gridCol w:w="1002"/>
                  </w:tblGrid>
                  <w:tr>
                    <w:tc>
                      <w:tcPr>
                        <w:tcW w:w="8568" w:type="dxa"/>
                        <w:hideMark/>
                      </w:tcPr>
                      <w:p>
                        <w:pPr>
                          <w:spacing w:line="276" w:lineRule="auto"/>
                          <w:jc w:val="center"/>
                          <w:rPr>
                            <w:rFonts w:eastAsia="Calibri"/>
                            <w:bCs/>
                            <w:szCs w:val="22"/>
                          </w:rPr>
                        </w:pPr>
                        <w:r>
                          <w:rPr>
                            <w:rFonts w:eastAsia="Calibri"/>
                            <w:szCs w:val="22"/>
                          </w:rPr>
                          <w:object w:dxaOrig="1950" w:dyaOrig="1160">
                            <v:shape id="_x0000_i1834" type="#_x0000_t75" style="width:97.9pt;height:57.45pt" o:ole="">
                              <v:imagedata r:id="rId1633" o:title=""/>
                            </v:shape>
                            <o:OLEObject Type="Embed" ProgID="Equation.3" ShapeID="_x0000_i1834" DrawAspect="Content" ObjectID="_0000000001" r:id="rId1634"/>
                          </w:object>
                        </w:r>
                        <w:r>
                          <w:t>;</w:t>
                        </w:r>
                      </w:p>
                    </w:tc>
                    <w:tc>
                      <w:tcPr>
                        <w:tcW w:w="1002" w:type="dxa"/>
                        <w:vAlign w:val="center"/>
                        <w:hideMark/>
                      </w:tcPr>
                      <w:p>
                        <w:pPr>
                          <w:spacing w:line="276" w:lineRule="auto"/>
                          <w:ind w:firstLine="62"/>
                          <w:jc w:val="both"/>
                          <w:rPr>
                            <w:rFonts w:eastAsia="Calibri"/>
                            <w:bCs/>
                            <w:szCs w:val="22"/>
                          </w:rPr>
                        </w:pPr>
                        <w:r>
                          <w:t>(2.606)</w:t>
                        </w:r>
                      </w:p>
                    </w:tc>
                  </w:tr>
                </w:tbl>
                <w:p>
                  <w:pPr>
                    <w:ind w:left="567" w:hanging="567"/>
                    <w:rPr>
                      <w:rFonts w:eastAsia="Calibri"/>
                      <w:szCs w:val="22"/>
                    </w:rPr>
                  </w:pPr>
                  <w:r>
                    <w:t xml:space="preserve">čia: </w:t>
                    <w:tab/>
                  </w:r>
                  <w:r>
                    <w:rPr>
                      <w:i/>
                    </w:rPr>
                    <w:t>Q</w:t>
                  </w:r>
                  <w:r>
                    <w:rPr>
                      <w:i/>
                      <w:vertAlign w:val="subscript"/>
                    </w:rPr>
                    <w:t>N.PRn.hw,m</w:t>
                  </w:r>
                  <w:r>
                    <w:t xml:space="preserve"> – apskaičiuojama pagal (2.132) formulę;</w:t>
                  </w:r>
                </w:p>
                <w:p>
                  <w:pPr>
                    <w:ind w:left="600"/>
                  </w:pPr>
                  <w:r>
                    <w:rPr>
                      <w:i/>
                    </w:rPr>
                    <w:t>Q</w:t>
                  </w:r>
                  <w:r>
                    <w:rPr>
                      <w:i/>
                      <w:vertAlign w:val="subscript"/>
                    </w:rPr>
                    <w:t>PRn.hw,m</w:t>
                  </w:r>
                  <w:r>
                    <w:t xml:space="preserve"> – apskaičiuojama pagal (2.134)–(2.136) formules.</w:t>
                  </w:r>
                </w:p>
                <w:p>
                  <w:pPr>
                    <w:ind w:left="600"/>
                  </w:pPr>
                </w:p>
              </w:sdtContent>
            </w:sdt>
            <w:sdt>
              <w:sdtPr>
                <w:alias w:val="2 pr. 83 p."/>
                <w:tag w:val="part_4320c5b9163f4885be36259d47ae8a63"/>
                <w:lock w:val="sdtLocked"/>
                <w:richText/>
              </w:sdtPr>
              <w:sdtContent>
                <w:p>
                  <w:pPr>
                    <w:ind w:firstLine="600"/>
                    <w:rPr>
                      <w:color w:val="000000"/>
                      <w:spacing w:val="-6"/>
                    </w:rPr>
                  </w:pPr>
                  <w:sdt>
                    <w:sdtPr>
                      <w:alias w:val="Numeris"/>
                      <w:tag w:val="nr_4320c5b9163f4885be36259d47ae8a63"/>
                      <w:lock w:val="sdtLocked"/>
                      <w:richText/>
                    </w:sdtPr>
                    <w:sdtContent>
                      <w:r>
                        <w:rPr>
                          <w:color w:val="000000"/>
                        </w:rPr>
                        <w:t>83</w:t>
                      </w:r>
                    </w:sdtContent>
                  </w:sdt>
                  <w:r>
                    <w:rPr>
                      <w:color w:val="000000"/>
                    </w:rPr>
                    <w:t xml:space="preserve">. Pastato atitvarų skaičiuojamieji savitieji šilumos nuostoliai </w:t>
                  </w:r>
                  <w:r>
                    <w:rPr>
                      <w:i/>
                      <w:color w:val="000000"/>
                      <w:spacing w:val="-6"/>
                    </w:rPr>
                    <w:t>H</w:t>
                  </w:r>
                  <w:r>
                    <w:rPr>
                      <w:i/>
                      <w:color w:val="000000"/>
                      <w:spacing w:val="-6"/>
                      <w:vertAlign w:val="subscript"/>
                    </w:rPr>
                    <w:t>env</w:t>
                  </w:r>
                  <w:r>
                    <w:rPr>
                      <w:color w:val="000000"/>
                      <w:spacing w:val="-6"/>
                    </w:rPr>
                    <w:t xml:space="preserve">  (W/K) apskaičiuojami taip:</w:t>
                  </w:r>
                </w:p>
                <w:tbl>
                  <w:tblPr>
                    <w:tblW w:w="5000" w:type="pct"/>
                    <w:tblLook w:val="01E0" w:firstRow="1" w:lastRow="1" w:firstColumn="1" w:lastColumn="1" w:noHBand="0" w:noVBand="0"/>
                  </w:tblPr>
                  <w:tblGrid>
                    <w:gridCol w:w="8863"/>
                    <w:gridCol w:w="991"/>
                  </w:tblGrid>
                  <w:tr>
                    <w:tc>
                      <w:tcPr>
                        <w:tcW w:w="4497" w:type="pct"/>
                        <w:vAlign w:val="center"/>
                        <w:hideMark/>
                      </w:tcPr>
                      <w:p>
                        <w:pPr>
                          <w:jc w:val="center"/>
                          <w:rPr>
                            <w:color w:val="000000"/>
                            <w:szCs w:val="24"/>
                          </w:rPr>
                        </w:pPr>
                        <w:r>
                          <w:rPr>
                            <w:color w:val="000000"/>
                            <w:szCs w:val="24"/>
                          </w:rPr>
                          <w:object w:dxaOrig="8100" w:dyaOrig="4870">
                            <v:shape id="_x0000_i1835" type="#_x0000_t75" style="width:405.3pt;height:243.5pt" o:ole="">
                              <v:imagedata r:id="rId1635" o:title=""/>
                            </v:shape>
                            <o:OLEObject Type="Embed" ProgID="Equation.3" ShapeID="_x0000_i1835" DrawAspect="Content" ObjectID="_0000000001" r:id="rId1636"/>
                          </w:object>
                        </w:r>
                      </w:p>
                    </w:tc>
                    <w:tc>
                      <w:tcPr>
                        <w:tcW w:w="503" w:type="pct"/>
                        <w:vAlign w:val="center"/>
                        <w:hideMark/>
                      </w:tcPr>
                      <w:p>
                        <w:pPr>
                          <w:jc w:val="right"/>
                          <w:rPr>
                            <w:color w:val="000000"/>
                            <w:szCs w:val="24"/>
                          </w:rPr>
                        </w:pPr>
                        <w:r>
                          <w:rPr>
                            <w:color w:val="000000"/>
                            <w:szCs w:val="24"/>
                          </w:rPr>
                          <w:t>(2.607)</w:t>
                        </w:r>
                      </w:p>
                    </w:tc>
                  </w:tr>
                </w:tbl>
                <w:p>
                  <w:pPr>
                    <w:rPr>
                      <w:rFonts w:eastAsia="Calibri"/>
                      <w:color w:val="000000"/>
                      <w:szCs w:val="22"/>
                    </w:rPr>
                  </w:pPr>
                </w:p>
                <w:p>
                  <w:pPr>
                    <w:tabs>
                      <w:tab w:val="left" w:pos="567"/>
                    </w:tabs>
                    <w:jc w:val="both"/>
                    <w:rPr>
                      <w:color w:val="000000"/>
                    </w:rPr>
                  </w:pPr>
                  <w:r>
                    <w:rPr>
                      <w:color w:val="000000"/>
                    </w:rPr>
                    <w:t xml:space="preserve">čia: </w:t>
                    <w:tab/>
                    <w:t xml:space="preserve">jei koeficientų </w:t>
                  </w:r>
                  <w:r>
                    <w:rPr>
                      <w:i/>
                      <w:color w:val="000000"/>
                    </w:rPr>
                    <w:t>k</w:t>
                  </w:r>
                  <w:r>
                    <w:rPr>
                      <w:color w:val="000000"/>
                    </w:rPr>
                    <w:t xml:space="preserve"> vertės apskaičiuojamos pagal Reglamento 14 priedo reikalavimus, atitvarų ir ilginių šiluminių tiltelių tarp šildomų ir nešildomų patalpų savitųjų šilumos nuostolių skaičiavimams pagal šią formulę turi būti naudojamos vertės, apskaičiuotos pagal Reglamento 14 priedo (14.6) formulę. </w:t>
                  </w:r>
                </w:p>
                <w:p>
                  <w:pPr>
                    <w:ind w:firstLine="600"/>
                    <w:rPr>
                      <w:color w:val="000000"/>
                    </w:rPr>
                  </w:pPr>
                </w:p>
              </w:sdtContent>
            </w:sdt>
            <w:sdt>
              <w:sdtPr>
                <w:alias w:val="2 pr. 84 p."/>
                <w:tag w:val="part_cfb5faccdf844d568ba74dfe7154e7bc"/>
                <w:lock w:val="sdtLocked"/>
                <w:richText/>
              </w:sdtPr>
              <w:sdtContent>
                <w:p>
                  <w:pPr>
                    <w:tabs>
                      <w:tab w:val="left" w:pos="567"/>
                    </w:tabs>
                    <w:suppressAutoHyphens/>
                    <w:ind w:firstLine="567"/>
                    <w:jc w:val="both"/>
                    <w:rPr>
                      <w:color w:val="000000"/>
                      <w:spacing w:val="-6"/>
                      <w:lang w:eastAsia="lt-LT"/>
                    </w:rPr>
                  </w:pPr>
                  <w:sdt>
                    <w:sdtPr>
                      <w:alias w:val="Numeris"/>
                      <w:tag w:val="nr_cfb5faccdf844d568ba74dfe7154e7bc"/>
                      <w:lock w:val="sdtLocked"/>
                      <w:richText/>
                    </w:sdtPr>
                    <w:sdtContent>
                      <w:r>
                        <w:rPr>
                          <w:color w:val="000000"/>
                          <w:lang w:eastAsia="lt-LT"/>
                        </w:rPr>
                        <w:t>84</w:t>
                      </w:r>
                    </w:sdtContent>
                  </w:sdt>
                  <w:r>
                    <w:rPr>
                      <w:color w:val="000000"/>
                      <w:lang w:eastAsia="lt-LT"/>
                    </w:rPr>
                    <w:t xml:space="preserve">. D ir E energinio naudingumo klasės pastatų (jų dalių) atitvarų skaičiuojamieji savitieji šilumos nuostoliai turi būti ne didesni už šios energinio naudingumo klasės pastatų atitvarų norminius savituosius šilumos nuostolius </w:t>
                  </w:r>
                  <w:r>
                    <w:rPr>
                      <w:i/>
                      <w:color w:val="000000"/>
                      <w:spacing w:val="-6"/>
                      <w:lang w:eastAsia="lt-LT"/>
                    </w:rPr>
                    <w:t>H</w:t>
                  </w:r>
                  <w:r>
                    <w:rPr>
                      <w:i/>
                      <w:color w:val="000000"/>
                      <w:spacing w:val="-6"/>
                      <w:vertAlign w:val="subscript"/>
                      <w:lang w:eastAsia="lt-LT"/>
                    </w:rPr>
                    <w:t>env.R</w:t>
                  </w:r>
                  <w:r>
                    <w:rPr>
                      <w:color w:val="000000"/>
                      <w:spacing w:val="-6"/>
                      <w:lang w:eastAsia="lt-LT"/>
                    </w:rPr>
                    <w:t xml:space="preserve">  (W/K), kurie skaičiuojami taip:</w:t>
                  </w:r>
                </w:p>
                <w:tbl>
                  <w:tblPr>
                    <w:tblW w:w="0" w:type="auto"/>
                    <w:tblLook w:val="01E0" w:firstRow="1" w:lastRow="1" w:firstColumn="1" w:lastColumn="1" w:noHBand="0" w:noVBand="0"/>
                  </w:tblPr>
                  <w:tblGrid>
                    <w:gridCol w:w="7881"/>
                    <w:gridCol w:w="1689"/>
                  </w:tblGrid>
                  <w:tr>
                    <w:tc>
                      <w:tcPr>
                        <w:tcW w:w="7881" w:type="dxa"/>
                        <w:vAlign w:val="center"/>
                        <w:hideMark/>
                      </w:tcPr>
                      <w:p>
                        <w:pPr>
                          <w:tabs>
                            <w:tab w:val="left" w:pos="567"/>
                          </w:tabs>
                          <w:suppressAutoHyphens/>
                          <w:jc w:val="center"/>
                          <w:rPr>
                            <w:color w:val="000000"/>
                            <w:szCs w:val="24"/>
                          </w:rPr>
                        </w:pPr>
                        <w:r>
                          <w:rPr>
                            <w:color w:val="000000"/>
                            <w:szCs w:val="24"/>
                          </w:rPr>
                          <w:object w:dxaOrig="6948" w:dyaOrig="1044">
                            <v:shape id="_x0000_i1836" type="#_x0000_t75" style="width:347.05pt;height:52.6pt" o:ole="">
                              <v:imagedata r:id="rId1637" o:title=""/>
                            </v:shape>
                            <o:OLEObject Type="Embed" ProgID="Equation.3" ShapeID="_x0000_i1836" DrawAspect="Content" ObjectID="_0000000001" r:id="rId1638"/>
                          </w:object>
                        </w:r>
                        <w:r>
                          <w:rPr>
                            <w:color w:val="000000"/>
                            <w:szCs w:val="24"/>
                            <w:lang w:eastAsia="lt-LT"/>
                          </w:rPr>
                          <w:t>;</w:t>
                        </w:r>
                      </w:p>
                    </w:tc>
                    <w:tc>
                      <w:tcPr>
                        <w:tcW w:w="1689" w:type="dxa"/>
                        <w:vAlign w:val="center"/>
                        <w:hideMark/>
                      </w:tcPr>
                      <w:p>
                        <w:pPr>
                          <w:tabs>
                            <w:tab w:val="left" w:pos="567"/>
                          </w:tabs>
                          <w:suppressAutoHyphens/>
                          <w:jc w:val="right"/>
                          <w:rPr>
                            <w:color w:val="000000"/>
                            <w:szCs w:val="24"/>
                          </w:rPr>
                        </w:pPr>
                        <w:r>
                          <w:rPr>
                            <w:color w:val="000000"/>
                            <w:szCs w:val="24"/>
                            <w:lang w:eastAsia="lt-LT"/>
                          </w:rPr>
                          <w:t>(2.608)</w:t>
                        </w:r>
                      </w:p>
                    </w:tc>
                  </w:tr>
                </w:tbl>
                <w:p>
                  <w:pPr>
                    <w:tabs>
                      <w:tab w:val="left" w:pos="567"/>
                    </w:tabs>
                    <w:suppressAutoHyphens/>
                    <w:jc w:val="both"/>
                    <w:rPr>
                      <w:color w:val="000000"/>
                      <w:szCs w:val="24"/>
                      <w:lang w:eastAsia="lt-LT"/>
                    </w:rPr>
                  </w:pPr>
                  <w:r>
                    <w:rPr>
                      <w:color w:val="000000"/>
                      <w:szCs w:val="24"/>
                      <w:lang w:eastAsia="lt-LT"/>
                    </w:rPr>
                    <w:t>čia:</w:t>
                    <w:tab/>
                  </w:r>
                  <w:r>
                    <w:rPr>
                      <w:i/>
                      <w:color w:val="000000"/>
                      <w:szCs w:val="24"/>
                      <w:lang w:eastAsia="lt-LT"/>
                    </w:rPr>
                    <w:t>K</w:t>
                  </w:r>
                  <w:r>
                    <w:rPr>
                      <w:i/>
                      <w:color w:val="000000"/>
                      <w:szCs w:val="24"/>
                      <w:vertAlign w:val="subscript"/>
                      <w:lang w:eastAsia="lt-LT"/>
                    </w:rPr>
                    <w:t>ds</w:t>
                  </w:r>
                  <w:r>
                    <w:rPr>
                      <w:color w:val="000000"/>
                      <w:szCs w:val="24"/>
                      <w:lang w:eastAsia="lt-LT"/>
                    </w:rPr>
                    <w:t xml:space="preserve"> – atitvarų šilumos perdavimo koeficientų leistinas skaičiavimų paklaidas ir galimus nedidelius skirtumus tarp pastato projekte  numatytų ir faktiškai pastate įrengtų atitvarų šilumos perdavimo koeficientų verčių įvertinantis koeficientas.  Imama </w:t>
                  </w:r>
                  <w:r>
                    <w:rPr>
                      <w:i/>
                      <w:color w:val="000000"/>
                      <w:szCs w:val="24"/>
                      <w:lang w:eastAsia="lt-LT"/>
                    </w:rPr>
                    <w:t>K</w:t>
                  </w:r>
                  <w:r>
                    <w:rPr>
                      <w:i/>
                      <w:color w:val="000000"/>
                      <w:szCs w:val="24"/>
                      <w:vertAlign w:val="subscript"/>
                      <w:lang w:eastAsia="lt-LT"/>
                    </w:rPr>
                    <w:t>ds</w:t>
                  </w:r>
                  <w:r>
                    <w:rPr>
                      <w:color w:val="000000"/>
                      <w:szCs w:val="24"/>
                      <w:lang w:eastAsia="lt-LT"/>
                    </w:rPr>
                    <w:t>= 1,05;</w:t>
                  </w:r>
                </w:p>
                <w:p>
                  <w:pPr>
                    <w:tabs>
                      <w:tab w:val="left" w:pos="567"/>
                    </w:tabs>
                    <w:suppressAutoHyphens/>
                    <w:ind w:firstLine="567"/>
                    <w:jc w:val="both"/>
                    <w:rPr>
                      <w:color w:val="000000"/>
                      <w:szCs w:val="24"/>
                      <w:lang w:eastAsia="lt-LT"/>
                    </w:rPr>
                  </w:pPr>
                  <w:r>
                    <w:rPr>
                      <w:i/>
                      <w:color w:val="000000"/>
                      <w:szCs w:val="24"/>
                      <w:lang w:eastAsia="lt-LT"/>
                    </w:rPr>
                    <w:t xml:space="preserve">wda – </w:t>
                  </w:r>
                  <w:r>
                    <w:rPr>
                      <w:color w:val="000000"/>
                      <w:szCs w:val="24"/>
                      <w:lang w:eastAsia="lt-LT"/>
                    </w:rPr>
                    <w:t>poraidis nusako atitvarų grupę, kurią sudaro langai, stoglangiai, švieslangiai ir kitos skaidrios atitvaros;</w:t>
                  </w:r>
                </w:p>
                <w:p>
                  <w:pPr>
                    <w:tabs>
                      <w:tab w:val="left" w:pos="567"/>
                    </w:tabs>
                    <w:suppressAutoHyphens/>
                    <w:ind w:firstLine="567"/>
                    <w:jc w:val="both"/>
                    <w:rPr>
                      <w:color w:val="000000"/>
                    </w:rPr>
                  </w:pPr>
                  <w:r>
                    <w:rPr>
                      <w:color w:val="000000"/>
                      <w:szCs w:val="24"/>
                      <w:lang w:eastAsia="lt-LT"/>
                    </w:rPr>
                    <w:t xml:space="preserve">- atitinkamų atitvarų šilumos perdavimo koeficientai </w:t>
                  </w:r>
                  <w:r>
                    <w:rPr>
                      <w:i/>
                      <w:color w:val="000000"/>
                      <w:szCs w:val="24"/>
                      <w:lang w:eastAsia="lt-LT"/>
                    </w:rPr>
                    <w:t>U</w:t>
                  </w:r>
                  <w:r>
                    <w:rPr>
                      <w:i/>
                      <w:color w:val="000000"/>
                      <w:szCs w:val="24"/>
                      <w:vertAlign w:val="subscript"/>
                      <w:lang w:eastAsia="lt-LT"/>
                    </w:rPr>
                    <w:t>R</w:t>
                  </w:r>
                  <w:r>
                    <w:rPr>
                      <w:color w:val="000000"/>
                      <w:szCs w:val="24"/>
                      <w:lang w:eastAsia="lt-LT"/>
                    </w:rPr>
                    <w:t xml:space="preserve"> (W/(m</w:t>
                  </w:r>
                  <w:r>
                    <w:rPr>
                      <w:color w:val="000000"/>
                      <w:szCs w:val="24"/>
                      <w:vertAlign w:val="superscript"/>
                      <w:lang w:eastAsia="lt-LT"/>
                    </w:rPr>
                    <w:t>2</w:t>
                  </w:r>
                  <w:r>
                    <w:rPr>
                      <w:color w:val="000000"/>
                      <w:szCs w:val="24"/>
                      <w:lang w:eastAsia="lt-LT"/>
                    </w:rPr>
                    <w:t xml:space="preserve">·K)) ir ilginių šiluminių tiltelių šilumos perdavimo koeficientai </w:t>
                  </w:r>
                  <w:r>
                    <w:rPr>
                      <w:i/>
                      <w:color w:val="000000"/>
                      <w:szCs w:val="24"/>
                      <w:lang w:eastAsia="lt-LT"/>
                    </w:rPr>
                    <w:t>Ψ</w:t>
                  </w:r>
                  <w:r>
                    <w:rPr>
                      <w:i/>
                      <w:color w:val="000000"/>
                      <w:szCs w:val="24"/>
                      <w:vertAlign w:val="subscript"/>
                      <w:lang w:eastAsia="lt-LT"/>
                    </w:rPr>
                    <w:t>R</w:t>
                  </w:r>
                  <w:r>
                    <w:rPr>
                      <w:i/>
                      <w:color w:val="000000"/>
                      <w:szCs w:val="24"/>
                      <w:lang w:eastAsia="lt-LT"/>
                    </w:rPr>
                    <w:t xml:space="preserve"> </w:t>
                  </w:r>
                  <w:r>
                    <w:rPr>
                      <w:color w:val="000000"/>
                      <w:szCs w:val="24"/>
                      <w:lang w:eastAsia="lt-LT"/>
                    </w:rPr>
                    <w:t>(W/(m·K)).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2 pr. 85 p."/>
                <w:tag w:val="part_fcf45439ce564b24bf2363887a24923d"/>
                <w:lock w:val="sdtLocked"/>
                <w:richText/>
              </w:sdtPr>
              <w:sdtContent>
                <w:p>
                  <w:pPr>
                    <w:ind w:firstLine="600"/>
                    <w:jc w:val="both"/>
                    <w:rPr>
                      <w:color w:val="000000"/>
                      <w:spacing w:val="-6"/>
                    </w:rPr>
                  </w:pPr>
                  <w:sdt>
                    <w:sdtPr>
                      <w:alias w:val="Numeris"/>
                      <w:tag w:val="nr_fcf45439ce564b24bf2363887a24923d"/>
                      <w:lock w:val="sdtLocked"/>
                      <w:richText/>
                    </w:sdtPr>
                    <w:sdtContent>
                      <w:r>
                        <w:rPr>
                          <w:color w:val="000000"/>
                        </w:rPr>
                        <w:t>85</w:t>
                      </w:r>
                    </w:sdtContent>
                  </w:sdt>
                  <w:r>
                    <w:rPr>
                      <w:color w:val="000000"/>
                    </w:rPr>
                    <w:t>. C ir B energinio naudingumo klasės pastatų (jų dalių) atitvarų savitieji šilumos nuostoliai turi būti ne didesni už šios energinio naudingumo klasės pastatų atitvarų norminius savituosius šilumos nuostolius</w:t>
                  </w:r>
                  <w:r>
                    <w:rPr>
                      <w:i/>
                      <w:color w:val="000000"/>
                      <w:spacing w:val="-6"/>
                    </w:rPr>
                    <w:t xml:space="preserve"> H</w:t>
                  </w:r>
                  <w:r>
                    <w:rPr>
                      <w:i/>
                      <w:color w:val="000000"/>
                      <w:spacing w:val="-6"/>
                      <w:vertAlign w:val="subscript"/>
                    </w:rPr>
                    <w:t>env.N(C,B)</w:t>
                  </w:r>
                  <w:r>
                    <w:rPr>
                      <w:color w:val="000000"/>
                      <w:spacing w:val="-6"/>
                    </w:rPr>
                    <w:t xml:space="preserve"> (W/K), kurie skaičiuojami taip:</w:t>
                  </w:r>
                </w:p>
                <w:tbl>
                  <w:tblPr>
                    <w:tblW w:w="0" w:type="auto"/>
                    <w:tblLook w:val="01E0" w:firstRow="1" w:lastRow="1" w:firstColumn="1" w:lastColumn="1" w:noHBand="0" w:noVBand="0"/>
                  </w:tblPr>
                  <w:tblGrid>
                    <w:gridCol w:w="7881"/>
                    <w:gridCol w:w="1689"/>
                  </w:tblGrid>
                  <w:tr>
                    <w:tc>
                      <w:tcPr>
                        <w:tcW w:w="7881" w:type="dxa"/>
                        <w:vAlign w:val="center"/>
                        <w:hideMark/>
                      </w:tcPr>
                      <w:p>
                        <w:pPr>
                          <w:jc w:val="center"/>
                          <w:rPr>
                            <w:color w:val="000000"/>
                            <w:szCs w:val="24"/>
                          </w:rPr>
                        </w:pPr>
                        <w:r>
                          <w:rPr>
                            <w:color w:val="000000"/>
                            <w:szCs w:val="24"/>
                          </w:rPr>
                          <w:object w:dxaOrig="6610" w:dyaOrig="1570">
                            <v:shape id="_x0000_i1837" type="#_x0000_t75" style="width:331.7pt;height:77.65pt" o:ole="">
                              <v:imagedata r:id="rId1639" o:title=""/>
                            </v:shape>
                            <o:OLEObject Type="Embed" ProgID="Equation.3" ShapeID="_x0000_i1837" DrawAspect="Content" ObjectID="_0000000001" r:id="rId1640"/>
                          </w:object>
                        </w:r>
                      </w:p>
                    </w:tc>
                    <w:tc>
                      <w:tcPr>
                        <w:tcW w:w="1689" w:type="dxa"/>
                        <w:vAlign w:val="center"/>
                        <w:hideMark/>
                      </w:tcPr>
                      <w:p>
                        <w:pPr>
                          <w:jc w:val="right"/>
                          <w:rPr>
                            <w:color w:val="000000"/>
                            <w:szCs w:val="24"/>
                          </w:rPr>
                        </w:pPr>
                        <w:r>
                          <w:rPr>
                            <w:color w:val="000000"/>
                            <w:szCs w:val="24"/>
                          </w:rPr>
                          <w:t>(2.609)</w:t>
                        </w:r>
                      </w:p>
                    </w:tc>
                  </w:tr>
                </w:tbl>
                <w:p>
                  <w:pPr>
                    <w:tabs>
                      <w:tab w:val="left" w:pos="567"/>
                    </w:tabs>
                    <w:jc w:val="both"/>
                    <w:rPr>
                      <w:color w:val="000000"/>
                      <w:szCs w:val="24"/>
                    </w:rPr>
                  </w:pPr>
                  <w:r>
                    <w:rPr>
                      <w:color w:val="000000"/>
                      <w:szCs w:val="24"/>
                      <w:lang w:eastAsia="lt-LT"/>
                    </w:rPr>
                    <w:t>čia:</w:t>
                    <w:tab/>
                    <w:t xml:space="preserve"> atitinkamų atitvarų šilumos perdavimo koeficientai </w:t>
                  </w:r>
                  <w:r>
                    <w:rPr>
                      <w:i/>
                      <w:color w:val="000000"/>
                      <w:szCs w:val="24"/>
                      <w:lang w:eastAsia="lt-LT"/>
                    </w:rPr>
                    <w:t>U</w:t>
                  </w:r>
                  <w:r>
                    <w:rPr>
                      <w:i/>
                      <w:color w:val="000000"/>
                      <w:szCs w:val="24"/>
                      <w:vertAlign w:val="subscript"/>
                      <w:lang w:eastAsia="lt-LT"/>
                    </w:rPr>
                    <w:t>(C,B)</w:t>
                  </w:r>
                  <w:r>
                    <w:rPr>
                      <w:color w:val="000000"/>
                      <w:szCs w:val="24"/>
                      <w:lang w:eastAsia="lt-LT"/>
                    </w:rPr>
                    <w:t xml:space="preserve"> (W/(m</w:t>
                  </w:r>
                  <w:r>
                    <w:rPr>
                      <w:color w:val="000000"/>
                      <w:szCs w:val="24"/>
                      <w:vertAlign w:val="superscript"/>
                      <w:lang w:eastAsia="lt-LT"/>
                    </w:rPr>
                    <w:t>2</w:t>
                  </w:r>
                  <w:r>
                    <w:rPr>
                      <w:color w:val="000000"/>
                      <w:szCs w:val="24"/>
                      <w:lang w:eastAsia="lt-LT"/>
                    </w:rPr>
                    <w:t xml:space="preserve">·K)) ir ilginių šiluminių tiltelių šilumos perdavimo koeficientai </w:t>
                  </w:r>
                  <w:r>
                    <w:rPr>
                      <w:i/>
                      <w:color w:val="000000"/>
                      <w:szCs w:val="24"/>
                      <w:lang w:eastAsia="lt-LT"/>
                    </w:rPr>
                    <w:t>Ψ</w:t>
                  </w:r>
                  <w:r>
                    <w:rPr>
                      <w:i/>
                      <w:color w:val="000000"/>
                      <w:szCs w:val="24"/>
                      <w:vertAlign w:val="subscript"/>
                      <w:lang w:eastAsia="lt-LT"/>
                    </w:rPr>
                    <w:t>(C,B)</w:t>
                  </w:r>
                  <w:r>
                    <w:rPr>
                      <w:i/>
                      <w:color w:val="000000"/>
                      <w:szCs w:val="24"/>
                      <w:lang w:eastAsia="lt-LT"/>
                    </w:rPr>
                    <w:t xml:space="preserve"> </w:t>
                  </w:r>
                  <w:r>
                    <w:rPr>
                      <w:color w:val="000000"/>
                      <w:szCs w:val="24"/>
                      <w:lang w:eastAsia="lt-LT"/>
                    </w:rPr>
                    <w:t>(W/(m·K)) imami iš Reglamento 3 ir 7 lentelių.</w:t>
                  </w:r>
                </w:p>
                <w:p>
                  <w:pPr>
                    <w:ind w:firstLine="600"/>
                    <w:rPr>
                      <w:color w:val="000000"/>
                    </w:rPr>
                  </w:pPr>
                </w:p>
              </w:sdtContent>
            </w:sdt>
            <w:sdt>
              <w:sdtPr>
                <w:alias w:val="2 pr. 86 p."/>
                <w:tag w:val="part_2a62ef9223204f679f8ff2db17ff0ae5"/>
                <w:lock w:val="sdtLocked"/>
                <w:richText/>
              </w:sdtPr>
              <w:sdtContent>
                <w:p>
                  <w:pPr>
                    <w:ind w:firstLine="567"/>
                    <w:jc w:val="both"/>
                    <w:rPr>
                      <w:color w:val="000000"/>
                      <w:spacing w:val="-6"/>
                    </w:rPr>
                  </w:pPr>
                  <w:sdt>
                    <w:sdtPr>
                      <w:alias w:val="Numeris"/>
                      <w:tag w:val="nr_2a62ef9223204f679f8ff2db17ff0ae5"/>
                      <w:lock w:val="sdtLocked"/>
                      <w:richText/>
                    </w:sdtPr>
                    <w:sdtContent>
                      <w:r>
                        <w:rPr>
                          <w:color w:val="000000"/>
                        </w:rPr>
                        <w:t>86</w:t>
                      </w:r>
                    </w:sdtContent>
                  </w:sdt>
                  <w:r>
                    <w:rPr>
                      <w:color w:val="000000"/>
                    </w:rPr>
                    <w:t xml:space="preserve">. A energinio naudingumo klasės pastatų atitvarų savitieji šilumos nuostoliai turi būti ne didesni už šios energinio naudingumo klasės pastatų atitvarų norminius savituosius šilumos nuostolius </w:t>
                  </w:r>
                  <w:r>
                    <w:rPr>
                      <w:i/>
                      <w:color w:val="000000"/>
                      <w:spacing w:val="-6"/>
                    </w:rPr>
                    <w:t>H</w:t>
                  </w:r>
                  <w:r>
                    <w:rPr>
                      <w:i/>
                      <w:color w:val="000000"/>
                      <w:spacing w:val="-6"/>
                      <w:vertAlign w:val="subscript"/>
                    </w:rPr>
                    <w:t>env.(A)</w:t>
                  </w:r>
                  <w:r>
                    <w:rPr>
                      <w:color w:val="000000"/>
                      <w:spacing w:val="-6"/>
                    </w:rPr>
                    <w:t xml:space="preserve">  (W/K), kurie skaičiuojami taip</w:t>
                  </w:r>
                  <w:r>
                    <w:rPr>
                      <w:color w:val="000000"/>
                    </w:rPr>
                    <w:t xml:space="preserve">: </w:t>
                  </w:r>
                </w:p>
                <w:tbl>
                  <w:tblPr>
                    <w:tblW w:w="0" w:type="auto"/>
                    <w:tblLook w:val="01E0" w:firstRow="1" w:lastRow="1" w:firstColumn="1" w:lastColumn="1" w:noHBand="0" w:noVBand="0"/>
                  </w:tblPr>
                  <w:tblGrid>
                    <w:gridCol w:w="8508"/>
                    <w:gridCol w:w="1062"/>
                  </w:tblGrid>
                  <w:tr>
                    <w:tc>
                      <w:tcPr>
                        <w:tcW w:w="8508" w:type="dxa"/>
                        <w:vAlign w:val="center"/>
                        <w:hideMark/>
                      </w:tcPr>
                      <w:p>
                        <w:pPr>
                          <w:jc w:val="center"/>
                          <w:rPr>
                            <w:strike/>
                            <w:color w:val="000000"/>
                            <w:szCs w:val="24"/>
                          </w:rPr>
                        </w:pPr>
                        <w:r>
                          <w:rPr>
                            <w:szCs w:val="24"/>
                          </w:rPr>
                          <w:object w:dxaOrig="6600" w:dyaOrig="2370">
                            <v:shape id="_x0000_i1838" type="#_x0000_t75" style="width:330.05pt;height:118.1pt" o:ole="">
                              <v:imagedata r:id="rId1641" o:title=""/>
                            </v:shape>
                            <o:OLEObject Type="Embed" ProgID="Equation.3" ShapeID="_x0000_i1838" DrawAspect="Content" ObjectID="_0000000001" r:id="rId1642"/>
                          </w:object>
                        </w:r>
                      </w:p>
                    </w:tc>
                    <w:tc>
                      <w:tcPr>
                        <w:tcW w:w="1062" w:type="dxa"/>
                        <w:vAlign w:val="center"/>
                        <w:hideMark/>
                      </w:tcPr>
                      <w:p>
                        <w:pPr>
                          <w:jc w:val="right"/>
                          <w:rPr>
                            <w:color w:val="000000"/>
                            <w:szCs w:val="24"/>
                          </w:rPr>
                        </w:pPr>
                        <w:r>
                          <w:rPr>
                            <w:color w:val="000000"/>
                            <w:szCs w:val="24"/>
                          </w:rPr>
                          <w:t>(2.610)</w:t>
                        </w:r>
                      </w:p>
                    </w:tc>
                  </w:tr>
                </w:tbl>
                <w:p>
                  <w:pPr>
                    <w:tabs>
                      <w:tab w:val="num" w:pos="567"/>
                    </w:tabs>
                    <w:jc w:val="both"/>
                    <w:rPr>
                      <w:color w:val="000000"/>
                      <w:szCs w:val="24"/>
                      <w:lang w:eastAsia="lt-LT"/>
                    </w:rPr>
                  </w:pPr>
                </w:p>
                <w:p>
                  <w:pPr>
                    <w:tabs>
                      <w:tab w:val="num" w:pos="567"/>
                    </w:tabs>
                    <w:jc w:val="both"/>
                    <w:rPr>
                      <w:color w:val="000000"/>
                    </w:rPr>
                  </w:pPr>
                  <w:r>
                    <w:rPr>
                      <w:color w:val="000000"/>
                      <w:szCs w:val="24"/>
                      <w:lang w:eastAsia="lt-LT"/>
                    </w:rPr>
                    <w:t xml:space="preserve">čia: atitinkamų atitvarų šilumos perdavimo koeficientai </w:t>
                  </w:r>
                  <w:r>
                    <w:rPr>
                      <w:i/>
                      <w:color w:val="000000"/>
                      <w:szCs w:val="24"/>
                      <w:lang w:eastAsia="lt-LT"/>
                    </w:rPr>
                    <w:t>U</w:t>
                  </w:r>
                  <w:r>
                    <w:rPr>
                      <w:i/>
                      <w:color w:val="000000"/>
                      <w:szCs w:val="24"/>
                      <w:vertAlign w:val="subscript"/>
                      <w:lang w:eastAsia="lt-LT"/>
                    </w:rPr>
                    <w:t>(A)</w:t>
                  </w:r>
                  <w:r>
                    <w:rPr>
                      <w:color w:val="000000"/>
                      <w:szCs w:val="24"/>
                      <w:lang w:eastAsia="lt-LT"/>
                    </w:rPr>
                    <w:t xml:space="preserve"> (W/(m</w:t>
                  </w:r>
                  <w:r>
                    <w:rPr>
                      <w:color w:val="000000"/>
                      <w:szCs w:val="24"/>
                      <w:vertAlign w:val="superscript"/>
                      <w:lang w:eastAsia="lt-LT"/>
                    </w:rPr>
                    <w:t>2</w:t>
                  </w:r>
                  <w:r>
                    <w:rPr>
                      <w:color w:val="000000"/>
                      <w:szCs w:val="24"/>
                      <w:lang w:eastAsia="lt-LT"/>
                    </w:rPr>
                    <w:t xml:space="preserve">·K)) ir ilginių šiluminių tiltelių šilumos perdavimo koeficientai </w:t>
                  </w:r>
                  <w:r>
                    <w:rPr>
                      <w:i/>
                      <w:color w:val="000000"/>
                      <w:szCs w:val="24"/>
                      <w:lang w:eastAsia="lt-LT"/>
                    </w:rPr>
                    <w:t>Ψ</w:t>
                  </w:r>
                  <w:r>
                    <w:rPr>
                      <w:i/>
                      <w:color w:val="000000"/>
                      <w:szCs w:val="24"/>
                      <w:vertAlign w:val="subscript"/>
                      <w:lang w:eastAsia="lt-LT"/>
                    </w:rPr>
                    <w:t>(A)</w:t>
                  </w:r>
                  <w:r>
                    <w:rPr>
                      <w:i/>
                      <w:color w:val="000000"/>
                      <w:szCs w:val="24"/>
                      <w:lang w:eastAsia="lt-LT"/>
                    </w:rPr>
                    <w:t xml:space="preserve"> </w:t>
                  </w:r>
                  <w:r>
                    <w:rPr>
                      <w:color w:val="000000"/>
                      <w:szCs w:val="24"/>
                      <w:lang w:eastAsia="lt-LT"/>
                    </w:rPr>
                    <w:t>(W/(m·K)), imami iš Reglamento 4 ir 7 lentelių.</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643"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87 p."/>
                <w:tag w:val="part_ba8eb42d148742e58aadb9b1e2df0c3f"/>
                <w:lock w:val="sdtLocked"/>
                <w:richText/>
              </w:sdtPr>
              <w:sdtContent>
                <w:p>
                  <w:pPr>
                    <w:ind w:firstLine="567"/>
                    <w:jc w:val="both"/>
                    <w:rPr>
                      <w:color w:val="000000"/>
                      <w:szCs w:val="24"/>
                      <w:lang w:eastAsia="lt-LT"/>
                    </w:rPr>
                  </w:pPr>
                  <w:sdt>
                    <w:sdtPr>
                      <w:alias w:val="Numeris"/>
                      <w:tag w:val="nr_ba8eb42d148742e58aadb9b1e2df0c3f"/>
                      <w:lock w:val="sdtLocked"/>
                      <w:richText/>
                    </w:sdtPr>
                    <w:sdtContent>
                      <w:r>
                        <w:rPr>
                          <w:color w:val="000000"/>
                          <w:szCs w:val="24"/>
                          <w:lang w:eastAsia="lt-LT"/>
                        </w:rPr>
                        <w:t>87</w:t>
                      </w:r>
                    </w:sdtContent>
                  </w:sdt>
                  <w:r>
                    <w:rPr>
                      <w:color w:val="000000"/>
                      <w:szCs w:val="24"/>
                      <w:lang w:eastAsia="lt-LT"/>
                    </w:rPr>
                    <w:t>. A+ energinio naudingumo klasės pastatų atitvarų savitieji šilumos nuostoliai turi būti ne didesni už šios energinio naudingumo klasės pastatų atitvarų norminius savituosius šilumos nuostolius</w:t>
                  </w:r>
                  <w:r>
                    <w:rPr>
                      <w:i/>
                      <w:color w:val="000000"/>
                      <w:spacing w:val="-6"/>
                      <w:szCs w:val="24"/>
                      <w:lang w:eastAsia="lt-LT"/>
                    </w:rPr>
                    <w:t xml:space="preserve"> H</w:t>
                  </w:r>
                  <w:r>
                    <w:rPr>
                      <w:i/>
                      <w:color w:val="000000"/>
                      <w:spacing w:val="-6"/>
                      <w:szCs w:val="24"/>
                      <w:vertAlign w:val="subscript"/>
                      <w:lang w:eastAsia="lt-LT"/>
                    </w:rPr>
                    <w:t>env.(A+)</w:t>
                  </w:r>
                  <w:r>
                    <w:rPr>
                      <w:color w:val="000000"/>
                      <w:spacing w:val="-6"/>
                      <w:szCs w:val="24"/>
                      <w:lang w:eastAsia="lt-LT"/>
                    </w:rPr>
                    <w:t xml:space="preserve">  (W/K), kurie skaičiuojami taip</w:t>
                  </w:r>
                  <w:r>
                    <w:rPr>
                      <w:color w:val="000000"/>
                      <w:szCs w:val="24"/>
                      <w:lang w:eastAsia="lt-LT"/>
                    </w:rPr>
                    <w:t>:</w:t>
                  </w:r>
                </w:p>
                <w:tbl>
                  <w:tblPr>
                    <w:tblW w:w="0" w:type="auto"/>
                    <w:tblLook w:val="01E0" w:firstRow="1" w:lastRow="1" w:firstColumn="1" w:lastColumn="1" w:noHBand="0" w:noVBand="0"/>
                  </w:tblPr>
                  <w:tblGrid>
                    <w:gridCol w:w="8568"/>
                    <w:gridCol w:w="1002"/>
                  </w:tblGrid>
                  <w:tr>
                    <w:tc>
                      <w:tcPr>
                        <w:tcW w:w="8568" w:type="dxa"/>
                        <w:vAlign w:val="center"/>
                        <w:hideMark/>
                      </w:tcPr>
                      <w:p>
                        <w:pPr>
                          <w:jc w:val="center"/>
                          <w:rPr>
                            <w:strike/>
                            <w:color w:val="000000"/>
                            <w:szCs w:val="24"/>
                          </w:rPr>
                        </w:pPr>
                        <w:r>
                          <w:rPr>
                            <w:szCs w:val="24"/>
                            <w:lang w:eastAsia="lt-LT"/>
                          </w:rPr>
                          <w:object w:dxaOrig="6610" w:dyaOrig="2370">
                            <v:shape id="_x0000_i1839" type="#_x0000_t75" style="width:331.7pt;height:118.1pt" o:ole="">
                              <v:imagedata r:id="rId1644" o:title=""/>
                            </v:shape>
                            <o:OLEObject Type="Embed" ProgID="Equation.3" ShapeID="_x0000_i1839" DrawAspect="Content" ObjectID="_0000000001" r:id="rId1645"/>
                          </w:object>
                        </w:r>
                      </w:p>
                    </w:tc>
                    <w:tc>
                      <w:tcPr>
                        <w:tcW w:w="1002" w:type="dxa"/>
                        <w:vAlign w:val="center"/>
                        <w:hideMark/>
                      </w:tcPr>
                      <w:p>
                        <w:pPr>
                          <w:jc w:val="right"/>
                          <w:rPr>
                            <w:color w:val="000000"/>
                            <w:szCs w:val="24"/>
                          </w:rPr>
                        </w:pPr>
                        <w:r>
                          <w:rPr>
                            <w:color w:val="000000"/>
                            <w:szCs w:val="24"/>
                          </w:rPr>
                          <w:t>(2.611)</w:t>
                        </w:r>
                      </w:p>
                    </w:tc>
                  </w:tr>
                </w:tbl>
                <w:p>
                  <w:pPr>
                    <w:tabs>
                      <w:tab w:val="left" w:pos="567"/>
                    </w:tabs>
                    <w:jc w:val="both"/>
                    <w:rPr>
                      <w:color w:val="000000"/>
                      <w:szCs w:val="24"/>
                      <w:lang w:eastAsia="lt-LT"/>
                    </w:rPr>
                  </w:pPr>
                </w:p>
                <w:p>
                  <w:pPr>
                    <w:tabs>
                      <w:tab w:val="left" w:pos="567"/>
                    </w:tabs>
                    <w:jc w:val="both"/>
                    <w:rPr>
                      <w:color w:val="000000"/>
                      <w:szCs w:val="24"/>
                      <w:lang w:eastAsia="lt-LT"/>
                    </w:rPr>
                  </w:pPr>
                </w:p>
                <w:p>
                  <w:pPr>
                    <w:tabs>
                      <w:tab w:val="left" w:pos="567"/>
                    </w:tabs>
                    <w:jc w:val="both"/>
                    <w:rPr>
                      <w:color w:val="000000"/>
                    </w:rPr>
                  </w:pPr>
                  <w:r>
                    <w:rPr>
                      <w:color w:val="000000"/>
                      <w:szCs w:val="24"/>
                      <w:lang w:eastAsia="lt-LT"/>
                    </w:rPr>
                    <w:t xml:space="preserve">čia: atitinkamų atitvarų šilumos perdavimo koeficientai </w:t>
                  </w:r>
                  <w:r>
                    <w:rPr>
                      <w:i/>
                      <w:color w:val="000000"/>
                      <w:szCs w:val="24"/>
                      <w:lang w:eastAsia="lt-LT"/>
                    </w:rPr>
                    <w:t>U</w:t>
                  </w:r>
                  <w:r>
                    <w:rPr>
                      <w:i/>
                      <w:color w:val="000000"/>
                      <w:szCs w:val="24"/>
                      <w:vertAlign w:val="subscript"/>
                      <w:lang w:eastAsia="lt-LT"/>
                    </w:rPr>
                    <w:t>(A+)</w:t>
                  </w:r>
                  <w:r>
                    <w:rPr>
                      <w:color w:val="000000"/>
                      <w:szCs w:val="24"/>
                      <w:lang w:eastAsia="lt-LT"/>
                    </w:rPr>
                    <w:t xml:space="preserve"> (W/(m</w:t>
                  </w:r>
                  <w:r>
                    <w:rPr>
                      <w:color w:val="000000"/>
                      <w:szCs w:val="24"/>
                      <w:vertAlign w:val="superscript"/>
                      <w:lang w:eastAsia="lt-LT"/>
                    </w:rPr>
                    <w:t>2</w:t>
                  </w:r>
                  <w:r>
                    <w:rPr>
                      <w:color w:val="000000"/>
                      <w:szCs w:val="24"/>
                      <w:lang w:eastAsia="lt-LT"/>
                    </w:rPr>
                    <w:t xml:space="preserve">·K)) ir ilginių šiluminių tiltelių šilumos perdavimo koeficientai </w:t>
                  </w:r>
                  <w:r>
                    <w:rPr>
                      <w:i/>
                      <w:color w:val="000000"/>
                      <w:szCs w:val="24"/>
                      <w:lang w:eastAsia="lt-LT"/>
                    </w:rPr>
                    <w:t>Ψ</w:t>
                  </w:r>
                  <w:r>
                    <w:rPr>
                      <w:i/>
                      <w:color w:val="000000"/>
                      <w:szCs w:val="24"/>
                      <w:vertAlign w:val="subscript"/>
                      <w:lang w:eastAsia="lt-LT"/>
                    </w:rPr>
                    <w:t>(A+)</w:t>
                  </w:r>
                  <w:r>
                    <w:rPr>
                      <w:i/>
                      <w:color w:val="000000"/>
                      <w:szCs w:val="24"/>
                      <w:lang w:eastAsia="lt-LT"/>
                    </w:rPr>
                    <w:t xml:space="preserve"> </w:t>
                  </w:r>
                  <w:r>
                    <w:rPr>
                      <w:color w:val="000000"/>
                      <w:szCs w:val="24"/>
                      <w:lang w:eastAsia="lt-LT"/>
                    </w:rPr>
                    <w:t>(W/(m·K)), imami iš Reglamento 5 ir 7 lentelių.</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646"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88 p."/>
                <w:tag w:val="part_e4d0bb8ea6b04e48aeb6ec6b9b56879a"/>
                <w:lock w:val="sdtLocked"/>
                <w:richText/>
              </w:sdtPr>
              <w:sdtContent>
                <w:p>
                  <w:pPr>
                    <w:ind w:firstLine="567"/>
                    <w:jc w:val="both"/>
                  </w:pPr>
                  <w:sdt>
                    <w:sdtPr>
                      <w:alias w:val="Numeris"/>
                      <w:tag w:val="nr_e4d0bb8ea6b04e48aeb6ec6b9b56879a"/>
                      <w:lock w:val="sdtLocked"/>
                      <w:richText/>
                    </w:sdtPr>
                    <w:sdtContent>
                      <w:r>
                        <w:t>88</w:t>
                      </w:r>
                    </w:sdtContent>
                  </w:sdt>
                  <w:r>
                    <w:t>. A++ energinio naudingumo klasės pastatų atitvarų savitieji šilumos nuostoliai turi būti ne didesni už šios energinio naudingumo klasės pastatų atitvarų norminius savituosius šilumos nuostolius</w:t>
                  </w:r>
                  <w:r>
                    <w:rPr>
                      <w:i/>
                      <w:spacing w:val="-6"/>
                    </w:rPr>
                    <w:t xml:space="preserve"> H</w:t>
                  </w:r>
                  <w:r>
                    <w:rPr>
                      <w:i/>
                      <w:spacing w:val="-6"/>
                      <w:vertAlign w:val="subscript"/>
                    </w:rPr>
                    <w:t>env.(A++)</w:t>
                  </w:r>
                  <w:r>
                    <w:rPr>
                      <w:spacing w:val="-6"/>
                    </w:rPr>
                    <w:t xml:space="preserve">  (W/K), kurie skaičiuojami taip</w:t>
                  </w:r>
                  <w:r>
                    <w:t>:</w:t>
                  </w:r>
                </w:p>
                <w:tbl>
                  <w:tblPr>
                    <w:tblW w:w="0" w:type="auto"/>
                    <w:tblLook w:val="01E0" w:firstRow="1" w:lastRow="1" w:firstColumn="1" w:lastColumn="1" w:noHBand="0" w:noVBand="0"/>
                  </w:tblPr>
                  <w:tblGrid>
                    <w:gridCol w:w="8568"/>
                    <w:gridCol w:w="1002"/>
                  </w:tblGrid>
                  <w:tr>
                    <w:tc>
                      <w:tcPr>
                        <w:tcW w:w="8568" w:type="dxa"/>
                        <w:vAlign w:val="center"/>
                        <w:hideMark/>
                      </w:tcPr>
                      <w:p>
                        <w:pPr>
                          <w:jc w:val="center"/>
                          <w:rPr>
                            <w:strike/>
                            <w:szCs w:val="24"/>
                          </w:rPr>
                        </w:pPr>
                        <w:r>
                          <w:rPr>
                            <w:strike/>
                            <w:szCs w:val="24"/>
                          </w:rPr>
                          <w:object w:dxaOrig="6790" w:dyaOrig="2370">
                            <v:shape id="_x0000_i1840" type="#_x0000_t75" style="width:339.8pt;height:118.1pt" o:ole="">
                              <v:imagedata r:id="rId1647" o:title=""/>
                            </v:shape>
                            <o:OLEObject Type="Embed" ProgID="Equation.3" ShapeID="_x0000_i1840" DrawAspect="Content" ObjectID="_0000000001" r:id="rId1648"/>
                          </w:object>
                        </w:r>
                      </w:p>
                    </w:tc>
                    <w:tc>
                      <w:tcPr>
                        <w:tcW w:w="1002" w:type="dxa"/>
                        <w:vAlign w:val="center"/>
                        <w:hideMark/>
                      </w:tcPr>
                      <w:p>
                        <w:pPr>
                          <w:jc w:val="right"/>
                          <w:rPr>
                            <w:szCs w:val="24"/>
                          </w:rPr>
                        </w:pPr>
                        <w:r>
                          <w:rPr>
                            <w:szCs w:val="24"/>
                          </w:rPr>
                          <w:t>(2.612)</w:t>
                        </w:r>
                      </w:p>
                    </w:tc>
                  </w:tr>
                </w:tbl>
                <w:p>
                  <w:pPr>
                    <w:tabs>
                      <w:tab w:val="left" w:pos="567"/>
                    </w:tabs>
                    <w:jc w:val="both"/>
                    <w:rPr>
                      <w:szCs w:val="24"/>
                      <w:lang w:eastAsia="lt-LT"/>
                    </w:rPr>
                  </w:pPr>
                </w:p>
                <w:p>
                  <w:pPr>
                    <w:tabs>
                      <w:tab w:val="left" w:pos="567"/>
                    </w:tabs>
                    <w:jc w:val="both"/>
                    <w:rPr>
                      <w:szCs w:val="24"/>
                      <w:lang w:eastAsia="lt-LT"/>
                    </w:rPr>
                  </w:pPr>
                </w:p>
                <w:p>
                  <w:pPr>
                    <w:tabs>
                      <w:tab w:val="left" w:pos="567"/>
                    </w:tabs>
                    <w:jc w:val="both"/>
                  </w:pPr>
                  <w:r>
                    <w:rPr>
                      <w:szCs w:val="24"/>
                      <w:lang w:eastAsia="lt-LT"/>
                    </w:rPr>
                    <w:t xml:space="preserve">čia: atitinkamų atitvarų šilumos perdavimo koeficientai </w:t>
                  </w:r>
                  <w:r>
                    <w:rPr>
                      <w:i/>
                      <w:szCs w:val="24"/>
                      <w:lang w:eastAsia="lt-LT"/>
                    </w:rPr>
                    <w:t>U</w:t>
                  </w:r>
                  <w:r>
                    <w:rPr>
                      <w:i/>
                      <w:szCs w:val="24"/>
                      <w:vertAlign w:val="subscript"/>
                      <w:lang w:eastAsia="lt-LT"/>
                    </w:rPr>
                    <w:t>(A++)</w:t>
                  </w:r>
                  <w:r>
                    <w:rPr>
                      <w:szCs w:val="24"/>
                      <w:lang w:eastAsia="lt-LT"/>
                    </w:rPr>
                    <w:t xml:space="preserve"> (W/(m</w:t>
                  </w:r>
                  <w:r>
                    <w:rPr>
                      <w:szCs w:val="24"/>
                      <w:vertAlign w:val="superscript"/>
                      <w:lang w:eastAsia="lt-LT"/>
                    </w:rPr>
                    <w:t>2</w:t>
                  </w:r>
                  <w:r>
                    <w:rPr>
                      <w:szCs w:val="24"/>
                      <w:lang w:eastAsia="lt-LT"/>
                    </w:rPr>
                    <w:t xml:space="preserve">·K)) ir ilginių šiluminių tiltelių šilumos perdavimo koeficientai </w:t>
                  </w:r>
                  <w:r>
                    <w:rPr>
                      <w:i/>
                      <w:szCs w:val="24"/>
                      <w:lang w:eastAsia="lt-LT"/>
                    </w:rPr>
                    <w:t>Ψ</w:t>
                  </w:r>
                  <w:r>
                    <w:rPr>
                      <w:i/>
                      <w:szCs w:val="24"/>
                      <w:vertAlign w:val="subscript"/>
                      <w:lang w:eastAsia="lt-LT"/>
                    </w:rPr>
                    <w:t>(A++)</w:t>
                  </w:r>
                  <w:r>
                    <w:rPr>
                      <w:i/>
                      <w:szCs w:val="24"/>
                      <w:lang w:eastAsia="lt-LT"/>
                    </w:rPr>
                    <w:t xml:space="preserve"> </w:t>
                  </w:r>
                  <w:r>
                    <w:rPr>
                      <w:szCs w:val="24"/>
                      <w:lang w:eastAsia="lt-LT"/>
                    </w:rPr>
                    <w:t>(W/(m·K)), imami iš Reglamento 6 ir 7 lentelių.</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649" w:history="1">
                    <w:r>
                      <w:rPr>
                        <w:rFonts w:eastAsia="MS Mincho"/>
                        <w:i/>
                        <w:iCs/>
                        <w:color w:val="0000FF"/>
                        <w:sz w:val="20"/>
                        <w:u w:val="single"/>
                      </w:rPr>
                      <w:t>D1-23</w:t>
                    </w:r>
                  </w:hyperlink>
                  <w:r>
                    <w:rPr>
                      <w:rFonts w:eastAsia="MS Mincho"/>
                      <w:i/>
                      <w:iCs/>
                      <w:sz w:val="20"/>
                    </w:rPr>
                    <w:t>, 2019-01-11, paskelbta TAR 2019-01-14, i. k. 2019-00444</w:t>
                  </w:r>
                </w:p>
                <w:p/>
              </w:sdtContent>
            </w:sdt>
            <w:sdt>
              <w:sdtPr>
                <w:alias w:val="2 pr. 89 p."/>
                <w:tag w:val="part_4aedf5cccc314f56a7714837ba5b85d4"/>
                <w:lock w:val="sdtLocked"/>
                <w:richText/>
              </w:sdtPr>
              <w:sdtContent>
                <w:p>
                  <w:pPr>
                    <w:tabs>
                      <w:tab w:val="left" w:pos="567"/>
                    </w:tabs>
                    <w:suppressAutoHyphens/>
                    <w:ind w:firstLine="567"/>
                    <w:jc w:val="both"/>
                    <w:rPr>
                      <w:color w:val="000000"/>
                      <w:szCs w:val="24"/>
                      <w:lang w:eastAsia="lt-LT"/>
                    </w:rPr>
                  </w:pPr>
                  <w:sdt>
                    <w:sdtPr>
                      <w:alias w:val="Numeris"/>
                      <w:tag w:val="nr_4aedf5cccc314f56a7714837ba5b85d4"/>
                      <w:lock w:val="sdtLocked"/>
                      <w:richText/>
                    </w:sdtPr>
                    <w:sdtContent>
                      <w:r>
                        <w:rPr>
                          <w:color w:val="000000"/>
                          <w:szCs w:val="24"/>
                          <w:lang w:eastAsia="lt-LT"/>
                        </w:rPr>
                        <w:t>89</w:t>
                      </w:r>
                    </w:sdtContent>
                  </w:sdt>
                  <w:r>
                    <w:rPr>
                      <w:color w:val="000000"/>
                      <w:szCs w:val="24"/>
                      <w:lang w:eastAsia="lt-LT"/>
                    </w:rPr>
                    <w:t xml:space="preserve">. A++ klasės pastatuose didžiąją sunaudojamos energijos dalį turi sudaryti energija iš atsinaujinančių išteklių. Pastate sunaudota energijos dalis </w:t>
                  </w:r>
                  <w:r>
                    <w:rPr>
                      <w:i/>
                      <w:color w:val="000000"/>
                      <w:szCs w:val="24"/>
                      <w:lang w:eastAsia="lt-LT"/>
                    </w:rPr>
                    <w:t>K</w:t>
                  </w:r>
                  <w:r>
                    <w:rPr>
                      <w:i/>
                      <w:color w:val="000000"/>
                      <w:szCs w:val="24"/>
                      <w:vertAlign w:val="subscript"/>
                      <w:lang w:eastAsia="lt-LT"/>
                    </w:rPr>
                    <w:t>ers</w:t>
                  </w:r>
                  <w:r>
                    <w:rPr>
                      <w:color w:val="000000"/>
                      <w:szCs w:val="24"/>
                      <w:lang w:eastAsia="lt-LT"/>
                    </w:rPr>
                    <w:t xml:space="preserve"> (vnt.) iš atsinaujinančių išteklių turi būti didesnė už 1 ir apskaičiuota taip:</w:t>
                  </w:r>
                </w:p>
                <w:p>
                  <w:pPr>
                    <w:tabs>
                      <w:tab w:val="left" w:pos="567"/>
                    </w:tabs>
                    <w:suppressAutoHyphens/>
                    <w:ind w:left="600" w:hanging="600"/>
                    <w:jc w:val="both"/>
                    <w:rPr>
                      <w:color w:val="000000"/>
                      <w:szCs w:val="24"/>
                      <w:lang w:eastAsia="lt-LT"/>
                    </w:rPr>
                  </w:pPr>
                </w:p>
                <w:p>
                  <w:pPr>
                    <w:tabs>
                      <w:tab w:val="left" w:pos="567"/>
                    </w:tabs>
                    <w:suppressAutoHyphens/>
                    <w:jc w:val="both"/>
                    <w:rPr>
                      <w:color w:val="000000"/>
                      <w:szCs w:val="24"/>
                      <w:lang w:eastAsia="lt-LT"/>
                    </w:rPr>
                  </w:pPr>
                </w:p>
                <w:tbl>
                  <w:tblPr>
                    <w:tblW w:w="5000" w:type="pct"/>
                    <w:tblLook w:val="04A0" w:firstRow="1" w:lastRow="0" w:firstColumn="1" w:lastColumn="0" w:noHBand="0" w:noVBand="1"/>
                  </w:tblPr>
                  <w:tblGrid>
                    <w:gridCol w:w="8938"/>
                    <w:gridCol w:w="916"/>
                  </w:tblGrid>
                  <w:tr>
                    <w:tc>
                      <w:tcPr>
                        <w:tcW w:w="4540" w:type="pct"/>
                        <w:hideMark/>
                      </w:tcPr>
                      <w:p>
                        <w:pPr>
                          <w:tabs>
                            <w:tab w:val="left" w:pos="567"/>
                            <w:tab w:val="left" w:pos="8296"/>
                          </w:tabs>
                          <w:suppressAutoHyphens/>
                          <w:jc w:val="right"/>
                          <w:rPr>
                            <w:rFonts w:eastAsia="Calibri"/>
                          </w:rPr>
                        </w:pPr>
                        <w:r>
                          <w:rPr>
                            <w:szCs w:val="24"/>
                            <w:lang w:eastAsia="lt-LT"/>
                          </w:rPr>
                          <w:object w:dxaOrig="8352" w:dyaOrig="996">
                            <v:shape id="_x0000_i1841" type="#_x0000_t75" style="width:418.25pt;height:50.15pt" o:ole="">
                              <v:imagedata r:id="rId1650" o:title=""/>
                            </v:shape>
                            <o:OLEObject Type="Embed" ProgID="Equation.3" ShapeID="_x0000_i1841" DrawAspect="Content" ObjectID="_0000000001" r:id="rId1651"/>
                          </w:object>
                          <w:t>;</w:t>
                        </w:r>
                      </w:p>
                    </w:tc>
                    <w:tc>
                      <w:tcPr>
                        <w:tcW w:w="460" w:type="pct"/>
                        <w:vAlign w:val="center"/>
                        <w:hideMark/>
                      </w:tcPr>
                      <w:p>
                        <w:pPr>
                          <w:tabs>
                            <w:tab w:val="left" w:pos="567"/>
                            <w:tab w:val="left" w:pos="8296"/>
                          </w:tabs>
                          <w:suppressAutoHyphens/>
                          <w:jc w:val="right"/>
                          <w:rPr>
                            <w:rFonts w:eastAsia="Calibri"/>
                            <w:szCs w:val="24"/>
                          </w:rPr>
                        </w:pPr>
                        <w:r>
                          <w:rPr>
                            <w:szCs w:val="24"/>
                          </w:rPr>
                          <w:t>(2.613)</w:t>
                        </w:r>
                      </w:p>
                    </w:tc>
                  </w:tr>
                </w:tbl>
                <w:p>
                  <w:pPr>
                    <w:tabs>
                      <w:tab w:val="left" w:pos="567"/>
                    </w:tabs>
                    <w:suppressAutoHyphens/>
                    <w:jc w:val="both"/>
                    <w:rPr>
                      <w:color w:val="000000"/>
                      <w:szCs w:val="24"/>
                      <w:lang w:eastAsia="lt-LT"/>
                    </w:rPr>
                  </w:pPr>
                </w:p>
                <w:p>
                  <w:pPr>
                    <w:tabs>
                      <w:tab w:val="left" w:pos="567"/>
                    </w:tabs>
                    <w:suppressAutoHyphens/>
                    <w:jc w:val="both"/>
                    <w:rPr>
                      <w:color w:val="000000"/>
                      <w:szCs w:val="24"/>
                      <w:lang w:eastAsia="lt-LT"/>
                    </w:rPr>
                  </w:pPr>
                  <w:r>
                    <w:rPr>
                      <w:color w:val="000000"/>
                      <w:szCs w:val="24"/>
                      <w:lang w:eastAsia="lt-LT"/>
                    </w:rPr>
                    <w:t xml:space="preserve">čia: </w:t>
                    <w:tab/>
                  </w:r>
                  <w:r>
                    <w:rPr>
                      <w:i/>
                      <w:color w:val="000000"/>
                      <w:szCs w:val="24"/>
                      <w:lang w:eastAsia="lt-LT"/>
                    </w:rPr>
                    <w:t>Q</w:t>
                  </w:r>
                  <w:r>
                    <w:rPr>
                      <w:i/>
                      <w:color w:val="000000"/>
                      <w:szCs w:val="24"/>
                      <w:vertAlign w:val="subscript"/>
                      <w:lang w:eastAsia="lt-LT"/>
                    </w:rPr>
                    <w:t>PRr(H)</w:t>
                  </w:r>
                  <w:r>
                    <w:rPr>
                      <w:color w:val="000000"/>
                      <w:szCs w:val="24"/>
                      <w:vertAlign w:val="subscript"/>
                      <w:lang w:eastAsia="lt-LT"/>
                    </w:rPr>
                    <w:t xml:space="preserve"> </w:t>
                  </w:r>
                  <w:r>
                    <w:rPr>
                      <w:color w:val="000000"/>
                      <w:szCs w:val="24"/>
                      <w:lang w:eastAsia="lt-LT"/>
                    </w:rPr>
                    <w:t>– nenaudingai pastate sunaudota energija iš atsinaujinančių išteklių, kai nereikia energijos pastatui vėsinti (kWh/(m</w:t>
                  </w:r>
                  <w:r>
                    <w:rPr>
                      <w:color w:val="000000"/>
                      <w:szCs w:val="24"/>
                      <w:vertAlign w:val="superscript"/>
                      <w:lang w:eastAsia="lt-LT"/>
                    </w:rPr>
                    <w:t>2</w:t>
                  </w:r>
                  <w:r>
                    <w:rPr>
                      <w:color w:val="000000"/>
                      <w:szCs w:val="24"/>
                      <w:lang w:eastAsia="lt-LT"/>
                    </w:rPr>
                    <w:t>·metai)). Šis energijos kiekis apskaičiuojamas pagal atitinkamų mėnesių „m“, kai nereikia energijos pastatui vėsinti (kai Q</w:t>
                  </w:r>
                  <w:r>
                    <w:rPr>
                      <w:color w:val="000000"/>
                      <w:szCs w:val="24"/>
                      <w:vertAlign w:val="subscript"/>
                      <w:lang w:eastAsia="lt-LT"/>
                    </w:rPr>
                    <w:t>C,m</w:t>
                  </w:r>
                  <w:r>
                    <w:rPr>
                      <w:color w:val="000000"/>
                      <w:szCs w:val="24"/>
                      <w:lang w:eastAsia="lt-LT"/>
                    </w:rPr>
                    <w:t>=0), duomenis. Kai pastatui šildyti naudojamas vienas šilumos šaltinis – apskaičiuojama pagal (2.614) formulę, kai naudojami du šilumos šaltiniai – pagal (2.615) formulę;</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PRr(C)</w:t>
                  </w:r>
                  <w:r>
                    <w:rPr>
                      <w:color w:val="000000"/>
                      <w:vertAlign w:val="subscript"/>
                      <w:lang w:eastAsia="lt-LT"/>
                    </w:rPr>
                    <w:t xml:space="preserve"> </w:t>
                  </w:r>
                  <w:r>
                    <w:rPr>
                      <w:color w:val="000000"/>
                      <w:lang w:eastAsia="lt-LT"/>
                    </w:rPr>
                    <w:t>– nenaudingai pastate sunaudota energija iš atsinaujinančių išteklių, kai reikia energijos pastatui vėsinti (kWh/(m</w:t>
                  </w:r>
                  <w:r>
                    <w:rPr>
                      <w:color w:val="000000"/>
                      <w:vertAlign w:val="superscript"/>
                      <w:lang w:eastAsia="lt-LT"/>
                    </w:rPr>
                    <w:t>2</w:t>
                  </w:r>
                  <w:r>
                    <w:rPr>
                      <w:color w:val="000000"/>
                      <w:lang w:eastAsia="lt-LT"/>
                    </w:rPr>
                    <w:t>·metai)). Šis energijos kiekis apskaičiuojamas pagal (2.616) formulę pagal atitinkamų mėnesių „m“, kai reikia energijos pastatui vėsinti (kai Q</w:t>
                  </w:r>
                  <w:r>
                    <w:rPr>
                      <w:color w:val="000000"/>
                      <w:vertAlign w:val="subscript"/>
                      <w:lang w:eastAsia="lt-LT"/>
                    </w:rPr>
                    <w:t>C,m</w:t>
                  </w:r>
                  <w:r>
                    <w:rPr>
                      <w:color w:val="000000"/>
                      <w:lang w:eastAsia="lt-LT"/>
                    </w:rPr>
                    <w:t>&gt;0), duomenis;</w:t>
                  </w:r>
                </w:p>
                <w:p>
                  <w:pPr>
                    <w:tabs>
                      <w:tab w:val="left" w:pos="567"/>
                    </w:tabs>
                    <w:suppressAutoHyphens/>
                    <w:ind w:firstLine="567"/>
                    <w:jc w:val="both"/>
                    <w:rPr>
                      <w:color w:val="000000"/>
                      <w:lang w:eastAsia="lt-LT"/>
                    </w:rPr>
                  </w:pPr>
                  <w:r>
                    <w:rPr>
                      <w:i/>
                      <w:color w:val="000000"/>
                      <w:lang w:eastAsia="lt-LT"/>
                    </w:rPr>
                    <w:t>Q</w:t>
                  </w:r>
                  <w:r>
                    <w:rPr>
                      <w:i/>
                      <w:color w:val="000000"/>
                      <w:vertAlign w:val="subscript"/>
                      <w:lang w:eastAsia="lt-LT"/>
                    </w:rPr>
                    <w:t>E.vent,m,</w:t>
                  </w:r>
                  <w:r>
                    <w:rPr>
                      <w:color w:val="000000"/>
                      <w:vertAlign w:val="subscript"/>
                      <w:lang w:eastAsia="lt-LT"/>
                    </w:rPr>
                    <w:t xml:space="preserve"> </w:t>
                  </w:r>
                  <w:r>
                    <w:rPr>
                      <w:color w:val="000000"/>
                      <w:lang w:eastAsia="lt-LT"/>
                    </w:rPr>
                    <w:t>– pastato vėdinimo sistemos mėnesinės elektros energijos sąnaudos (kWh/(m</w:t>
                  </w:r>
                  <w:r>
                    <w:rPr>
                      <w:color w:val="000000"/>
                      <w:vertAlign w:val="superscript"/>
                      <w:lang w:eastAsia="lt-LT"/>
                    </w:rPr>
                    <w:t>2</w:t>
                  </w:r>
                  <w:r>
                    <w:rPr>
                      <w:color w:val="000000"/>
                      <w:lang w:eastAsia="lt-LT"/>
                    </w:rPr>
                    <w:t xml:space="preserve">·mėn.)). Apskaičiuojama pagal (2.131) formulę; </w:t>
                  </w:r>
                </w:p>
                <w:p>
                  <w:pPr>
                    <w:tabs>
                      <w:tab w:val="left" w:pos="567"/>
                    </w:tabs>
                    <w:suppressAutoHyphens/>
                    <w:ind w:firstLine="567"/>
                    <w:jc w:val="both"/>
                    <w:rPr>
                      <w:lang w:eastAsia="lt-LT"/>
                    </w:rPr>
                  </w:pPr>
                  <w:r>
                    <w:rPr>
                      <w:i/>
                      <w:iCs/>
                      <w:lang w:eastAsia="lt-LT"/>
                    </w:rPr>
                    <w:t>Q</w:t>
                  </w:r>
                  <w:r>
                    <w:rPr>
                      <w:i/>
                      <w:iCs/>
                      <w:vertAlign w:val="subscript"/>
                      <w:lang w:eastAsia="lt-LT"/>
                    </w:rPr>
                    <w:t>E.EP,m</w:t>
                  </w:r>
                  <w:r>
                    <w:rPr>
                      <w:lang w:eastAsia="lt-LT"/>
                    </w:rPr>
                    <w:t xml:space="preserve"> – elektros energijos poreikis elektros prietaisams ir vėsinimui (kWh/(m</w:t>
                  </w:r>
                  <w:r>
                    <w:rPr>
                      <w:vertAlign w:val="superscript"/>
                      <w:lang w:eastAsia="lt-LT"/>
                    </w:rPr>
                    <w:t>2</w:t>
                  </w:r>
                  <w:r>
                    <w:rPr>
                      <w:lang w:eastAsia="lt-LT"/>
                    </w:rPr>
                    <w:t xml:space="preserve">·mėn.)). Apskaičiuojama taip: </w:t>
                  </w:r>
                </w:p>
                <w:tbl>
                  <w:tblPr>
                    <w:tblW w:w="5000" w:type="pct"/>
                    <w:tblLook w:val="04A0" w:firstRow="1" w:lastRow="0" w:firstColumn="1" w:lastColumn="0" w:noHBand="0" w:noVBand="1"/>
                  </w:tblPr>
                  <w:tblGrid>
                    <w:gridCol w:w="8516"/>
                    <w:gridCol w:w="1338"/>
                  </w:tblGrid>
                  <w:tr>
                    <w:tc>
                      <w:tcPr>
                        <w:tcW w:w="4321" w:type="pct"/>
                        <w:hideMark/>
                      </w:tcPr>
                      <w:p>
                        <w:pPr>
                          <w:tabs>
                            <w:tab w:val="left" w:pos="567"/>
                          </w:tabs>
                          <w:suppressAutoHyphens/>
                          <w:jc w:val="center"/>
                          <w:rPr>
                            <w:bCs/>
                            <w:szCs w:val="24"/>
                          </w:rPr>
                        </w:pPr>
                        <w:r>
                          <w:rPr>
                            <w:szCs w:val="24"/>
                            <w:lang w:eastAsia="lt-LT"/>
                          </w:rPr>
                          <w:object w:dxaOrig="5172" w:dyaOrig="840">
                            <v:shape id="_x0000_i1842" type="#_x0000_t75" style="width:259.7pt;height:43.7pt" o:ole="">
                              <v:imagedata r:id="rId1652" o:title=""/>
                            </v:shape>
                            <o:OLEObject Type="Embed" ProgID="Equation.3" ShapeID="_x0000_i1842" DrawAspect="Content" ObjectID="_0000000001" r:id="rId1653"/>
                          </w:object>
                          <w:t>;</w:t>
                        </w:r>
                      </w:p>
                    </w:tc>
                    <w:tc>
                      <w:tcPr>
                        <w:tcW w:w="679" w:type="pct"/>
                        <w:vAlign w:val="center"/>
                        <w:hideMark/>
                      </w:tcPr>
                      <w:p>
                        <w:pPr>
                          <w:tabs>
                            <w:tab w:val="left" w:pos="567"/>
                          </w:tabs>
                          <w:suppressAutoHyphens/>
                          <w:jc w:val="right"/>
                          <w:rPr>
                            <w:bCs/>
                            <w:szCs w:val="24"/>
                          </w:rPr>
                        </w:pPr>
                        <w:r>
                          <w:rPr>
                            <w:szCs w:val="24"/>
                          </w:rPr>
                          <w:t>(2.613-1)</w:t>
                        </w:r>
                      </w:p>
                    </w:tc>
                  </w:tr>
                </w:tbl>
                <w:p>
                  <w:pPr>
                    <w:tabs>
                      <w:tab w:val="left" w:pos="567"/>
                    </w:tabs>
                    <w:suppressAutoHyphens/>
                    <w:ind w:firstLine="567"/>
                    <w:jc w:val="both"/>
                    <w:rPr>
                      <w:color w:val="000000"/>
                      <w:lang w:eastAsia="lt-LT"/>
                    </w:rPr>
                  </w:pPr>
                </w:p>
                <w:p>
                  <w:pPr>
                    <w:tabs>
                      <w:tab w:val="left" w:pos="567"/>
                    </w:tabs>
                    <w:suppressAutoHyphens/>
                    <w:ind w:firstLine="567"/>
                    <w:jc w:val="both"/>
                    <w:rPr>
                      <w:color w:val="000000"/>
                      <w:lang w:eastAsia="lt-LT"/>
                    </w:rPr>
                  </w:pPr>
                  <w:r>
                    <w:rPr>
                      <w:color w:val="000000"/>
                      <w:lang w:eastAsia="lt-LT"/>
                    </w:rPr>
                    <w:t>- jei kurį nors metų mėnesį (</w:t>
                  </w:r>
                  <w:r>
                    <w:rPr>
                      <w:i/>
                      <w:color w:val="000000"/>
                      <w:lang w:eastAsia="lt-LT"/>
                    </w:rPr>
                    <w:t>Q</w:t>
                  </w:r>
                  <w:r>
                    <w:rPr>
                      <w:i/>
                      <w:color w:val="000000"/>
                      <w:vertAlign w:val="subscript"/>
                      <w:lang w:eastAsia="lt-LT"/>
                    </w:rPr>
                    <w:t>E.vent,m</w:t>
                  </w:r>
                  <w:r>
                    <w:rPr>
                      <w:color w:val="000000"/>
                      <w:lang w:eastAsia="lt-LT"/>
                    </w:rPr>
                    <w:t xml:space="preserve"> –</w:t>
                  </w:r>
                  <w:r>
                    <w:rPr>
                      <w:i/>
                      <w:color w:val="000000"/>
                      <w:lang w:eastAsia="lt-LT"/>
                    </w:rPr>
                    <w:t xml:space="preserve"> Q</w:t>
                  </w:r>
                  <w:r>
                    <w:rPr>
                      <w:i/>
                      <w:color w:val="000000"/>
                      <w:vertAlign w:val="subscript"/>
                      <w:lang w:eastAsia="lt-LT"/>
                    </w:rPr>
                    <w:t>E.SK+WE+HE,m</w:t>
                  </w:r>
                  <w:r>
                    <w:rPr>
                      <w:color w:val="000000"/>
                      <w:lang w:eastAsia="lt-LT"/>
                    </w:rPr>
                    <w:t>)&lt;0, imama (</w:t>
                  </w:r>
                  <w:r>
                    <w:rPr>
                      <w:i/>
                      <w:color w:val="000000"/>
                      <w:lang w:eastAsia="lt-LT"/>
                    </w:rPr>
                    <w:t>Q</w:t>
                  </w:r>
                  <w:r>
                    <w:rPr>
                      <w:i/>
                      <w:color w:val="000000"/>
                      <w:vertAlign w:val="subscript"/>
                      <w:lang w:eastAsia="lt-LT"/>
                    </w:rPr>
                    <w:t>E.vent,m</w:t>
                  </w:r>
                  <w:r>
                    <w:rPr>
                      <w:color w:val="000000"/>
                      <w:lang w:eastAsia="lt-LT"/>
                    </w:rPr>
                    <w:t xml:space="preserve"> –</w:t>
                  </w:r>
                  <w:r>
                    <w:rPr>
                      <w:i/>
                      <w:color w:val="000000"/>
                      <w:lang w:eastAsia="lt-LT"/>
                    </w:rPr>
                    <w:t xml:space="preserve"> Q</w:t>
                  </w:r>
                  <w:r>
                    <w:rPr>
                      <w:i/>
                      <w:color w:val="000000"/>
                      <w:vertAlign w:val="subscript"/>
                      <w:lang w:eastAsia="lt-LT"/>
                    </w:rPr>
                    <w:t>E.SK+WE+HE,m</w:t>
                  </w:r>
                  <w:r>
                    <w:rPr>
                      <w:color w:val="000000"/>
                      <w:lang w:eastAsia="lt-LT"/>
                    </w:rPr>
                    <w:t>)=0;</w:t>
                  </w:r>
                </w:p>
                <w:p>
                  <w:pPr>
                    <w:tabs>
                      <w:tab w:val="left" w:pos="567"/>
                    </w:tabs>
                    <w:suppressAutoHyphens/>
                    <w:ind w:firstLine="567"/>
                    <w:rPr>
                      <w:color w:val="000000"/>
                      <w:lang w:eastAsia="lt-LT"/>
                    </w:rPr>
                  </w:pPr>
                  <w:r>
                    <w:rPr>
                      <w:i/>
                      <w:color w:val="000000"/>
                      <w:lang w:eastAsia="lt-LT"/>
                    </w:rPr>
                    <w:t>f</w:t>
                  </w:r>
                  <w:r>
                    <w:rPr>
                      <w:i/>
                      <w:color w:val="000000"/>
                      <w:vertAlign w:val="subscript"/>
                      <w:lang w:eastAsia="lt-LT"/>
                    </w:rPr>
                    <w:t>PRn.E</w:t>
                  </w:r>
                  <w:r>
                    <w:rPr>
                      <w:color w:val="000000"/>
                      <w:vertAlign w:val="subscript"/>
                      <w:lang w:eastAsia="lt-LT"/>
                    </w:rPr>
                    <w:t xml:space="preserve"> </w:t>
                  </w:r>
                  <w:r>
                    <w:rPr>
                      <w:color w:val="000000"/>
                      <w:lang w:eastAsia="lt-LT"/>
                    </w:rPr>
                    <w:t xml:space="preserve">– neatsinaujinančios pirminės energijos faktorius elektros energijai. Imama 2,3. </w:t>
                  </w:r>
                </w:p>
                <w:p>
                  <w:pPr>
                    <w:tabs>
                      <w:tab w:val="left" w:pos="567"/>
                    </w:tabs>
                    <w:suppressAutoHyphens/>
                    <w:ind w:left="567"/>
                    <w:rPr>
                      <w:bCs/>
                      <w:color w:val="000000"/>
                      <w:lang w:eastAsia="lt-LT"/>
                    </w:rPr>
                  </w:pPr>
                </w:p>
                <w:p>
                  <w:pPr>
                    <w:tabs>
                      <w:tab w:val="left" w:pos="567"/>
                      <w:tab w:val="left" w:pos="8555"/>
                    </w:tabs>
                    <w:suppressAutoHyphens/>
                    <w:spacing w:line="276" w:lineRule="auto"/>
                    <w:ind w:left="108"/>
                    <w:rPr>
                      <w:rFonts w:eastAsia="Calibri"/>
                      <w:bCs/>
                      <w:color w:val="000000"/>
                      <w:szCs w:val="22"/>
                      <w:lang w:eastAsia="lt-LT"/>
                    </w:rPr>
                  </w:pPr>
                  <w:r>
                    <w:rPr>
                      <w:rFonts w:eastAsia="Calibri"/>
                      <w:color w:val="000000"/>
                      <w:szCs w:val="22"/>
                      <w:lang w:eastAsia="lt-LT"/>
                    </w:rPr>
                    <w:object w:dxaOrig="7812" w:dyaOrig="6012">
                      <v:shape id="_x0000_i1843" type="#_x0000_t75" style="width:390.75pt;height:301.75pt" o:ole="">
                        <v:imagedata r:id="rId1654" o:title=""/>
                      </v:shape>
                      <o:OLEObject Type="Embed" ProgID="Equation.3" ShapeID="_x0000_i1843" DrawAspect="Content" ObjectID="_0000000001" r:id="rId1655"/>
                    </w:object>
                    <w:tab/>
                  </w:r>
                  <w:r>
                    <w:rPr>
                      <w:color w:val="000000"/>
                      <w:lang w:eastAsia="lt-LT"/>
                    </w:rPr>
                    <w:t>(2.614)</w:t>
                  </w:r>
                </w:p>
                <w:p>
                  <w:pPr>
                    <w:tabs>
                      <w:tab w:val="left" w:pos="567"/>
                    </w:tabs>
                    <w:suppressAutoHyphens/>
                    <w:jc w:val="both"/>
                    <w:rPr>
                      <w:color w:val="000000"/>
                      <w:lang w:eastAsia="lt-LT"/>
                    </w:rPr>
                  </w:pPr>
                </w:p>
                <w:p>
                  <w:pPr>
                    <w:tabs>
                      <w:tab w:val="left" w:pos="567"/>
                    </w:tabs>
                    <w:suppressAutoHyphens/>
                    <w:jc w:val="both"/>
                    <w:rPr>
                      <w:rFonts w:eastAsia="Calibri"/>
                      <w:color w:val="000000"/>
                      <w:szCs w:val="22"/>
                      <w:lang w:eastAsia="lt-LT"/>
                    </w:rPr>
                  </w:pPr>
                  <w:r>
                    <w:rPr>
                      <w:color w:val="000000"/>
                      <w:lang w:eastAsia="lt-LT"/>
                    </w:rPr>
                    <w:t xml:space="preserve">čia: </w:t>
                    <w:tab/>
                    <w:t xml:space="preserve">jei kuris nors iš formulę (2.614) sudarančių 7 narių mažesnis už 0, šis narys prilyginamas nuliui. </w:t>
                  </w:r>
                </w:p>
                <w:p>
                  <w:pPr>
                    <w:tabs>
                      <w:tab w:val="left" w:pos="567"/>
                      <w:tab w:val="left" w:pos="8555"/>
                    </w:tabs>
                    <w:suppressAutoHyphens/>
                    <w:spacing w:line="276" w:lineRule="auto"/>
                    <w:ind w:left="108"/>
                    <w:rPr>
                      <w:rFonts w:eastAsia="Calibri"/>
                      <w:bCs/>
                      <w:color w:val="000000"/>
                      <w:szCs w:val="22"/>
                      <w:lang w:eastAsia="lt-LT"/>
                    </w:rPr>
                  </w:pPr>
                  <w:r>
                    <w:rPr>
                      <w:rFonts w:eastAsia="Calibri"/>
                      <w:color w:val="000000"/>
                      <w:szCs w:val="22"/>
                      <w:lang w:eastAsia="lt-LT"/>
                    </w:rPr>
                    <w:object w:dxaOrig="7404" w:dyaOrig="6264">
                      <v:shape id="_x0000_i1844" type="#_x0000_t75" style="width:372.15pt;height:314.7pt" o:ole="">
                        <v:imagedata r:id="rId1656" o:title=""/>
                      </v:shape>
                      <o:OLEObject Type="Embed" ProgID="Equation.3" ShapeID="_x0000_i1844" DrawAspect="Content" ObjectID="_0000000001" r:id="rId1657"/>
                    </w:object>
                    <w:tab/>
                  </w:r>
                  <w:r>
                    <w:rPr>
                      <w:color w:val="000000"/>
                      <w:lang w:eastAsia="lt-LT"/>
                    </w:rPr>
                    <w:t>(2.615)</w:t>
                  </w:r>
                </w:p>
                <w:p>
                  <w:pPr>
                    <w:tabs>
                      <w:tab w:val="left" w:pos="567"/>
                    </w:tabs>
                    <w:suppressAutoHyphens/>
                    <w:jc w:val="both"/>
                    <w:rPr>
                      <w:color w:val="000000"/>
                      <w:lang w:eastAsia="lt-LT"/>
                    </w:rPr>
                  </w:pPr>
                </w:p>
                <w:p>
                  <w:pPr>
                    <w:tabs>
                      <w:tab w:val="left" w:pos="567"/>
                    </w:tabs>
                    <w:suppressAutoHyphens/>
                    <w:jc w:val="both"/>
                    <w:rPr>
                      <w:rFonts w:eastAsia="Calibri"/>
                      <w:color w:val="000000"/>
                      <w:szCs w:val="22"/>
                      <w:lang w:eastAsia="lt-LT"/>
                    </w:rPr>
                  </w:pPr>
                  <w:r>
                    <w:rPr>
                      <w:color w:val="000000"/>
                      <w:lang w:eastAsia="lt-LT"/>
                    </w:rPr>
                    <w:t xml:space="preserve">čia: </w:t>
                    <w:tab/>
                    <w:t xml:space="preserve"> jei kuris nors iš formulę (2.615) sudarančių 8 narių mažesnis už 0, šis narys prilyginamas nuliui. </w:t>
                  </w:r>
                </w:p>
                <w:p>
                  <w:pPr>
                    <w:tabs>
                      <w:tab w:val="left" w:pos="567"/>
                    </w:tabs>
                    <w:suppressAutoHyphens/>
                    <w:rPr>
                      <w:color w:val="000000"/>
                      <w:lang w:eastAsia="lt-LT"/>
                    </w:rPr>
                  </w:pPr>
                </w:p>
                <w:p>
                  <w:pPr>
                    <w:tabs>
                      <w:tab w:val="left" w:pos="567"/>
                      <w:tab w:val="left" w:pos="8364"/>
                    </w:tabs>
                    <w:suppressAutoHyphens/>
                    <w:spacing w:line="276" w:lineRule="auto"/>
                    <w:ind w:left="108"/>
                    <w:rPr>
                      <w:rFonts w:eastAsia="Calibri"/>
                      <w:bCs/>
                      <w:color w:val="000000"/>
                      <w:szCs w:val="22"/>
                      <w:lang w:eastAsia="lt-LT"/>
                    </w:rPr>
                  </w:pPr>
                  <w:r>
                    <w:rPr>
                      <w:rFonts w:eastAsia="Calibri"/>
                      <w:color w:val="000000"/>
                      <w:szCs w:val="22"/>
                      <w:lang w:eastAsia="lt-LT"/>
                    </w:rPr>
                    <w:object w:dxaOrig="7920" w:dyaOrig="3708">
                      <v:shape id="_x0000_i1845" type="#_x0000_t75" style="width:397.2pt;height:186.05pt" o:ole="">
                        <v:imagedata r:id="rId1658" o:title=""/>
                      </v:shape>
                      <o:OLEObject Type="Embed" ProgID="Equation.3" ShapeID="_x0000_i1845" DrawAspect="Content" ObjectID="_0000000001" r:id="rId1659"/>
                    </w:object>
                    <w:tab/>
                  </w:r>
                  <w:r>
                    <w:rPr>
                      <w:color w:val="000000"/>
                      <w:lang w:eastAsia="lt-LT"/>
                    </w:rPr>
                    <w:t>(2.616)</w:t>
                  </w:r>
                </w:p>
                <w:p>
                  <w:pPr>
                    <w:tabs>
                      <w:tab w:val="left" w:pos="567"/>
                    </w:tabs>
                    <w:suppressAutoHyphens/>
                    <w:jc w:val="both"/>
                    <w:rPr>
                      <w:rFonts w:eastAsia="Calibri"/>
                      <w:color w:val="000000"/>
                      <w:szCs w:val="22"/>
                      <w:lang w:eastAsia="lt-LT"/>
                    </w:rPr>
                  </w:pPr>
                  <w:r>
                    <w:rPr>
                      <w:color w:val="000000"/>
                      <w:lang w:eastAsia="lt-LT"/>
                    </w:rPr>
                    <w:t xml:space="preserve">čia: </w:t>
                    <w:tab/>
                  </w:r>
                  <w:r>
                    <w:rPr>
                      <w:i/>
                      <w:color w:val="000000"/>
                      <w:lang w:eastAsia="lt-LT"/>
                    </w:rPr>
                    <w:t>Q</w:t>
                  </w:r>
                  <w:r>
                    <w:rPr>
                      <w:i/>
                      <w:color w:val="000000"/>
                      <w:vertAlign w:val="subscript"/>
                      <w:lang w:eastAsia="lt-LT"/>
                    </w:rPr>
                    <w:t>hw.PRr.SK+WE+HE,m</w:t>
                  </w:r>
                  <w:r>
                    <w:rPr>
                      <w:i/>
                      <w:color w:val="000000"/>
                      <w:lang w:eastAsia="lt-LT"/>
                    </w:rPr>
                    <w:t xml:space="preserve"> </w:t>
                  </w:r>
                  <w:r>
                    <w:rPr>
                      <w:color w:val="000000"/>
                      <w:lang w:eastAsia="lt-LT"/>
                    </w:rPr>
                    <w:t xml:space="preserve">(kWh/(m²·mėn.)) – apskaičiuojama pagal (2.559) formulę taip: (2.559) formulėje ir skaičiuojant jos dedamąsias pagal kitas formules, kuriose yra daugiklis </w:t>
                  </w:r>
                  <w:r>
                    <w:rPr>
                      <w:i/>
                      <w:color w:val="000000"/>
                      <w:lang w:eastAsia="lt-LT"/>
                    </w:rPr>
                    <w:t>f</w:t>
                  </w:r>
                  <w:r>
                    <w:rPr>
                      <w:i/>
                      <w:color w:val="000000"/>
                      <w:vertAlign w:val="subscript"/>
                      <w:lang w:eastAsia="lt-LT"/>
                    </w:rPr>
                    <w:t>PRn</w:t>
                  </w:r>
                  <w:r>
                    <w:rPr>
                      <w:color w:val="000000"/>
                      <w:lang w:eastAsia="lt-LT"/>
                    </w:rPr>
                    <w:t xml:space="preserve">, vietoje atitinkamo energijos šaltinio </w:t>
                  </w:r>
                  <w:r>
                    <w:rPr>
                      <w:i/>
                      <w:color w:val="000000"/>
                      <w:lang w:eastAsia="lt-LT"/>
                    </w:rPr>
                    <w:t>f</w:t>
                  </w:r>
                  <w:r>
                    <w:rPr>
                      <w:i/>
                      <w:color w:val="000000"/>
                      <w:vertAlign w:val="subscript"/>
                      <w:lang w:eastAsia="lt-LT"/>
                    </w:rPr>
                    <w:t>PRn</w:t>
                  </w:r>
                  <w:r>
                    <w:rPr>
                      <w:i/>
                      <w:color w:val="000000"/>
                      <w:lang w:eastAsia="lt-LT"/>
                    </w:rPr>
                    <w:t xml:space="preserve"> </w:t>
                  </w:r>
                  <w:r>
                    <w:rPr>
                      <w:color w:val="000000"/>
                      <w:lang w:eastAsia="lt-LT"/>
                    </w:rPr>
                    <w:t xml:space="preserve">vertės naudojant šio energijos šaltinio atsinaujinančios pirminės energijos faktoriaus </w:t>
                  </w:r>
                  <w:r>
                    <w:rPr>
                      <w:i/>
                      <w:color w:val="000000"/>
                      <w:lang w:eastAsia="lt-LT"/>
                    </w:rPr>
                    <w:t>f</w:t>
                  </w:r>
                  <w:r>
                    <w:rPr>
                      <w:i/>
                      <w:color w:val="000000"/>
                      <w:vertAlign w:val="subscript"/>
                      <w:lang w:eastAsia="lt-LT"/>
                    </w:rPr>
                    <w:t>PRr</w:t>
                  </w:r>
                  <w:r>
                    <w:rPr>
                      <w:i/>
                      <w:color w:val="000000"/>
                      <w:lang w:eastAsia="lt-LT"/>
                    </w:rPr>
                    <w:t xml:space="preserve"> </w:t>
                  </w:r>
                  <w:r>
                    <w:rPr>
                      <w:color w:val="000000"/>
                      <w:lang w:eastAsia="lt-LT"/>
                    </w:rPr>
                    <w:t>vertę</w:t>
                  </w:r>
                  <w:r>
                    <w:rPr>
                      <w:i/>
                      <w:color w:val="000000"/>
                      <w:lang w:eastAsia="lt-LT"/>
                    </w:rPr>
                    <w:t xml:space="preserve"> </w:t>
                  </w:r>
                  <w:r>
                    <w:rPr>
                      <w:color w:val="000000"/>
                      <w:lang w:eastAsia="lt-LT"/>
                    </w:rPr>
                    <w:t>iš 2.18 lentelės (kWh/(m²·mėn.));</w:t>
                  </w:r>
                </w:p>
                <w:p>
                  <w:pPr>
                    <w:tabs>
                      <w:tab w:val="left" w:pos="567"/>
                    </w:tabs>
                    <w:suppressAutoHyphens/>
                    <w:ind w:firstLine="567"/>
                    <w:jc w:val="both"/>
                    <w:rPr>
                      <w:color w:val="000000"/>
                      <w:lang w:eastAsia="lt-LT"/>
                    </w:rPr>
                  </w:pPr>
                  <w:r>
                    <w:rPr>
                      <w:color w:val="000000"/>
                      <w:lang w:eastAsia="lt-LT"/>
                    </w:rPr>
                    <w:t xml:space="preserve">- jei kuris nors iš formulę sudarančių 4 narių mažesnis už 0, šis narys prilyginamas nuliui; </w:t>
                  </w:r>
                </w:p>
                <w:p>
                  <w:pPr>
                    <w:tabs>
                      <w:tab w:val="left" w:pos="567"/>
                    </w:tabs>
                    <w:suppressAutoHyphens/>
                    <w:ind w:firstLine="567"/>
                    <w:jc w:val="both"/>
                  </w:pPr>
                  <w:r>
                    <w:rPr>
                      <w:color w:val="000000"/>
                      <w:lang w:eastAsia="lt-LT"/>
                    </w:rPr>
                    <w:t>- kiti (2.614) ir (2.615) formulių dedamųjų paaiškinimai pateikti XV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
          <w:sdtPr>
            <w:alias w:val="skyrius"/>
            <w:tag w:val="part_460f1ac7eee84a308b4369d21be53d5b"/>
            <w:lock w:val="sdtLocked"/>
            <w:richText/>
          </w:sdtPr>
          <w:sdtContent>
            <w:p>
              <w:pPr>
                <w:keepNext/>
                <w:keepLines/>
                <w:jc w:val="center"/>
                <w:outlineLvl w:val="2"/>
                <w:rPr>
                  <w:b/>
                  <w:bCs/>
                </w:rPr>
              </w:pPr>
              <w:sdt>
                <w:sdtPr>
                  <w:alias w:val="Numeris"/>
                  <w:tag w:val="nr_460f1ac7eee84a308b4369d21be53d5b"/>
                  <w:lock w:val="sdtLocked"/>
                  <w:richText/>
                </w:sdtPr>
                <w:sdtContent>
                  <w:r>
                    <w:rPr>
                      <w:b/>
                      <w:bCs/>
                    </w:rPr>
                    <w:t>XXVII</w:t>
                  </w:r>
                </w:sdtContent>
              </w:sdt>
              <w:r>
                <w:rPr>
                  <w:b/>
                  <w:bCs/>
                </w:rPr>
                <w:t xml:space="preserve"> skyrius</w:t>
              </w:r>
            </w:p>
            <w:p>
              <w:pPr>
                <w:keepNext/>
                <w:keepLines/>
                <w:jc w:val="center"/>
                <w:outlineLvl w:val="2"/>
                <w:rPr>
                  <w:b/>
                  <w:bCs/>
                  <w:color w:val="4F81BD"/>
                </w:rPr>
              </w:pPr>
              <w:sdt>
                <w:sdtPr>
                  <w:alias w:val="Pavadinimas"/>
                  <w:tag w:val="title_460f1ac7eee84a308b4369d21be53d5b"/>
                  <w:lock w:val="sdtLocked"/>
                  <w:richText/>
                </w:sdtPr>
                <w:sdtContent>
                  <w:r>
                    <w:rPr>
                      <w:b/>
                      <w:bCs/>
                    </w:rPr>
                    <w:t>Pastatų sandarumo matavimo reikalavimai</w:t>
                  </w:r>
                </w:sdtContent>
              </w:sdt>
            </w:p>
            <w:p>
              <w:pPr>
                <w:ind w:firstLine="600"/>
              </w:pPr>
            </w:p>
            <w:sdt>
              <w:sdtPr>
                <w:alias w:val="2 pr. 90 p."/>
                <w:tag w:val="part_31601007dbaf42fdae78367737d60f1a"/>
                <w:lock w:val="sdtLocked"/>
                <w:richText/>
              </w:sdtPr>
              <w:sdtContent>
                <w:p>
                  <w:pPr>
                    <w:ind w:firstLine="600"/>
                  </w:pPr>
                  <w:sdt>
                    <w:sdtPr>
                      <w:alias w:val="Numeris"/>
                      <w:tag w:val="nr_31601007dbaf42fdae78367737d60f1a"/>
                      <w:lock w:val="sdtLocked"/>
                      <w:richText/>
                    </w:sdtPr>
                    <w:sdtContent>
                      <w:r>
                        <w:t>90</w:t>
                      </w:r>
                    </w:sdtContent>
                  </w:sdt>
                  <w:r>
                    <w:t>. Pastato sandarumas matuojamas taip:</w:t>
                  </w:r>
                </w:p>
                <w:sdt>
                  <w:sdtPr>
                    <w:alias w:val="2 pr. 90.1 pp."/>
                    <w:tag w:val="part_e6dee899de964ef1a584084372e157bb"/>
                    <w:lock w:val="sdtLocked"/>
                    <w:richText/>
                  </w:sdtPr>
                  <w:sdtContent>
                    <w:p>
                      <w:pPr>
                        <w:ind w:firstLine="600"/>
                        <w:jc w:val="both"/>
                        <w:rPr>
                          <w:color w:val="000000"/>
                        </w:rPr>
                      </w:pPr>
                      <w:sdt>
                        <w:sdtPr>
                          <w:alias w:val="Numeris"/>
                          <w:tag w:val="nr_e6dee899de964ef1a584084372e157bb"/>
                          <w:lock w:val="sdtLocked"/>
                          <w:richText/>
                        </w:sdtPr>
                        <w:sdtContent>
                          <w:r>
                            <w:rPr>
                              <w:color w:val="000000"/>
                            </w:rPr>
                            <w:t>90.1</w:t>
                          </w:r>
                        </w:sdtContent>
                      </w:sdt>
                      <w:r>
                        <w:rPr>
                          <w:color w:val="000000"/>
                        </w:rPr>
                        <w:t>. jei atliekamas atskiro buto arba pastato dalies energinio naudingumo sertifikavimas, kurio pagrindu išduodamas A, A+ arba A++ energinio naudingumo klasės sertifikatas šiam butui ar pastato daliai, turi būti išmatuotas viso pastato arba šio buto ar pastato dalies sandarumas;</w:t>
                      </w:r>
                    </w:p>
                  </w:sdtContent>
                </w:sdt>
                <w:sdt>
                  <w:sdtPr>
                    <w:alias w:val="2 pr. 90.2 pp."/>
                    <w:tag w:val="part_a027409696f2406198783612c7b282ba"/>
                    <w:lock w:val="sdtLocked"/>
                    <w:richText/>
                  </w:sdtPr>
                  <w:sdtContent>
                    <w:p>
                      <w:pPr>
                        <w:tabs>
                          <w:tab w:val="left" w:pos="567"/>
                        </w:tabs>
                        <w:suppressAutoHyphens/>
                        <w:ind w:firstLine="567"/>
                        <w:jc w:val="both"/>
                        <w:rPr>
                          <w:color w:val="000000"/>
                          <w:lang w:eastAsia="lt-LT"/>
                        </w:rPr>
                      </w:pPr>
                      <w:sdt>
                        <w:sdtPr>
                          <w:alias w:val="Numeris"/>
                          <w:tag w:val="nr_a027409696f2406198783612c7b282ba"/>
                          <w:lock w:val="sdtLocked"/>
                          <w:richText/>
                        </w:sdtPr>
                        <w:sdtContent>
                          <w:r>
                            <w:rPr>
                              <w:color w:val="000000"/>
                              <w:lang w:eastAsia="lt-LT"/>
                            </w:rPr>
                            <w:t>90.2</w:t>
                          </w:r>
                        </w:sdtContent>
                      </w:sdt>
                      <w:r>
                        <w:rPr>
                          <w:color w:val="000000"/>
                          <w:lang w:eastAsia="lt-LT"/>
                        </w:rPr>
                        <w:t>. kitais, negu išvardinta 90.1 papunktyje, atvejais, kai išduodamas A, A+ arba A++ energinio naudingumo klasės sertifikatas, turi būti išmatuotas viso pastato sandarumas. Išimtis sudaro 90.3 ir 90.4 punktuose išvardinti atvejai ir atvejai, kai dėl pastato išplanavimo ypatumų vienu metu išmatuoti viso pastato sandarumo neįmanoma (atskiri pastato korpusai tarpusavyje sujungti nešildomomis galerijomis, į atskiras pastato patalpas patenkama tik iš išorės ir pan.). Šiais atvejais, kai įmanoma išmatuoti tik atskirų pastato (jo dalių) patalpų sandarumą, viso pastato (jo dalies) sandarumas pagal šiuos matavimo rezultatus turi būti įvertintas taip:</w:t>
                      </w:r>
                    </w:p>
                    <w:p>
                      <w:pPr>
                        <w:tabs>
                          <w:tab w:val="left" w:pos="567"/>
                        </w:tabs>
                        <w:suppressAutoHyphens/>
                        <w:rPr>
                          <w:color w:val="000000"/>
                          <w:lang w:eastAsia="lt-LT"/>
                        </w:rPr>
                      </w:pPr>
                    </w:p>
                    <w:tbl>
                      <w:tblPr>
                        <w:tblW w:w="0" w:type="auto"/>
                        <w:tblLook w:val="01E0" w:firstRow="1" w:lastRow="1" w:firstColumn="1" w:lastColumn="1" w:noHBand="0" w:noVBand="0"/>
                      </w:tblPr>
                      <w:tblGrid>
                        <w:gridCol w:w="8568"/>
                        <w:gridCol w:w="1002"/>
                      </w:tblGrid>
                      <w:tr>
                        <w:tc>
                          <w:tcPr>
                            <w:tcW w:w="8568" w:type="dxa"/>
                            <w:vAlign w:val="center"/>
                            <w:hideMark/>
                          </w:tcPr>
                          <w:p>
                            <w:pPr>
                              <w:tabs>
                                <w:tab w:val="left" w:pos="567"/>
                              </w:tabs>
                              <w:suppressAutoHyphens/>
                              <w:jc w:val="center"/>
                              <w:rPr>
                                <w:color w:val="000000"/>
                                <w:szCs w:val="24"/>
                              </w:rPr>
                            </w:pPr>
                            <w:r>
                              <w:rPr>
                                <w:color w:val="000000"/>
                                <w:szCs w:val="24"/>
                                <w:lang w:eastAsia="lt-LT"/>
                              </w:rPr>
                              <w:object w:dxaOrig="2040" w:dyaOrig="1332">
                                <v:shape id="_x0000_i1846" type="#_x0000_t75" style="width:101.95pt;height:67.95pt" o:ole="">
                                  <v:imagedata r:id="rId1660" o:title=""/>
                                </v:shape>
                                <o:OLEObject Type="Embed" ProgID="Equation.3" ShapeID="_x0000_i1846" DrawAspect="Content" ObjectID="_0000000001" r:id="rId1661"/>
                              </w:object>
                              <w:t>;</w:t>
                            </w:r>
                          </w:p>
                        </w:tc>
                        <w:tc>
                          <w:tcPr>
                            <w:tcW w:w="1002" w:type="dxa"/>
                            <w:vAlign w:val="center"/>
                            <w:hideMark/>
                          </w:tcPr>
                          <w:p>
                            <w:pPr>
                              <w:tabs>
                                <w:tab w:val="left" w:pos="567"/>
                              </w:tabs>
                              <w:suppressAutoHyphens/>
                              <w:jc w:val="right"/>
                              <w:rPr>
                                <w:color w:val="000000"/>
                                <w:szCs w:val="24"/>
                              </w:rPr>
                            </w:pPr>
                            <w:r>
                              <w:rPr>
                                <w:color w:val="000000"/>
                                <w:szCs w:val="24"/>
                                <w:lang w:eastAsia="lt-LT"/>
                              </w:rPr>
                              <w:t>(2.617)</w:t>
                            </w:r>
                          </w:p>
                        </w:tc>
                      </w:tr>
                    </w:tbl>
                    <w:p>
                      <w:pPr>
                        <w:tabs>
                          <w:tab w:val="left" w:pos="567"/>
                        </w:tabs>
                        <w:suppressAutoHyphens/>
                        <w:jc w:val="both"/>
                        <w:rPr>
                          <w:rFonts w:eastAsia="Calibri"/>
                          <w:color w:val="000000"/>
                          <w:szCs w:val="22"/>
                        </w:rPr>
                      </w:pPr>
                      <w:r>
                        <w:rPr>
                          <w:color w:val="000000"/>
                          <w:lang w:eastAsia="lt-LT"/>
                        </w:rPr>
                        <w:t>čia:</w:t>
                        <w:tab/>
                      </w:r>
                      <w:r>
                        <w:rPr>
                          <w:i/>
                          <w:color w:val="000000"/>
                          <w:lang w:eastAsia="lt-LT"/>
                        </w:rPr>
                        <w:t>n</w:t>
                      </w:r>
                      <w:r>
                        <w:rPr>
                          <w:i/>
                          <w:color w:val="000000"/>
                          <w:vertAlign w:val="subscript"/>
                          <w:lang w:eastAsia="lt-LT"/>
                        </w:rPr>
                        <w:t>50</w:t>
                      </w:r>
                      <w:r>
                        <w:rPr>
                          <w:color w:val="000000"/>
                          <w:lang w:eastAsia="lt-LT"/>
                        </w:rPr>
                        <w:t xml:space="preserve"> – pastato (jo dalies) sandarumas esant 50 Pa slėgių skirtumui tarp pastato vidaus ir išorės (h</w:t>
                      </w:r>
                      <w:r>
                        <w:rPr>
                          <w:color w:val="000000"/>
                          <w:vertAlign w:val="superscript"/>
                          <w:lang w:eastAsia="lt-LT"/>
                        </w:rPr>
                        <w:t>-1</w:t>
                      </w:r>
                      <w:r>
                        <w:rPr>
                          <w:color w:val="000000"/>
                          <w:lang w:eastAsia="lt-LT"/>
                        </w:rPr>
                        <w:t>);</w:t>
                      </w:r>
                    </w:p>
                    <w:p>
                      <w:pPr>
                        <w:tabs>
                          <w:tab w:val="left" w:pos="567"/>
                        </w:tabs>
                        <w:suppressAutoHyphens/>
                        <w:ind w:firstLine="567"/>
                        <w:jc w:val="both"/>
                        <w:rPr>
                          <w:color w:val="000000"/>
                          <w:lang w:eastAsia="lt-LT"/>
                        </w:rPr>
                      </w:pPr>
                      <w:r>
                        <w:rPr>
                          <w:i/>
                          <w:color w:val="000000"/>
                          <w:lang w:eastAsia="lt-LT"/>
                        </w:rPr>
                        <w:t>n</w:t>
                      </w:r>
                      <w:r>
                        <w:rPr>
                          <w:i/>
                          <w:color w:val="000000"/>
                          <w:vertAlign w:val="subscript"/>
                          <w:lang w:eastAsia="lt-LT"/>
                        </w:rPr>
                        <w:t>50,x</w:t>
                      </w:r>
                      <w:r>
                        <w:rPr>
                          <w:color w:val="000000"/>
                          <w:lang w:eastAsia="lt-LT"/>
                        </w:rPr>
                        <w:t xml:space="preserve"> – bandymais pagal LST EN ISO 9972:2015 [3.19] reikalavimus nustatytas atitinkamos „x“ patalpos pastate (jo dalyje) sandarumas (h</w:t>
                      </w:r>
                      <w:r>
                        <w:rPr>
                          <w:color w:val="000000"/>
                          <w:vertAlign w:val="superscript"/>
                          <w:lang w:eastAsia="lt-LT"/>
                        </w:rPr>
                        <w:t>-1</w:t>
                      </w:r>
                      <w:r>
                        <w:rPr>
                          <w:color w:val="000000"/>
                          <w:lang w:eastAsia="lt-LT"/>
                        </w:rPr>
                        <w:t>);</w:t>
                      </w:r>
                    </w:p>
                    <w:p>
                      <w:pPr>
                        <w:tabs>
                          <w:tab w:val="left" w:pos="567"/>
                        </w:tabs>
                        <w:suppressAutoHyphens/>
                        <w:ind w:firstLine="567"/>
                        <w:jc w:val="both"/>
                      </w:pPr>
                      <w:r>
                        <w:rPr>
                          <w:i/>
                          <w:color w:val="000000"/>
                          <w:lang w:eastAsia="lt-LT"/>
                        </w:rPr>
                        <w:t>V</w:t>
                      </w:r>
                      <w:r>
                        <w:rPr>
                          <w:i/>
                          <w:color w:val="000000"/>
                          <w:vertAlign w:val="subscript"/>
                          <w:lang w:eastAsia="lt-LT"/>
                        </w:rPr>
                        <w:t>n50,x</w:t>
                      </w:r>
                      <w:r>
                        <w:rPr>
                          <w:color w:val="000000"/>
                          <w:lang w:eastAsia="lt-LT"/>
                        </w:rPr>
                        <w:t xml:space="preserve"> – atitinkamos „x“ patalpos pastate (jo dalyje) tūris (m</w:t>
                      </w:r>
                      <w:r>
                        <w:rPr>
                          <w:color w:val="000000"/>
                          <w:vertAlign w:val="superscript"/>
                          <w:lang w:eastAsia="lt-LT"/>
                        </w:rPr>
                        <w:t>3</w:t>
                      </w:r>
                      <w:r>
                        <w:rPr>
                          <w:color w:val="000000"/>
                          <w:lang w:eastAsia="lt-LT"/>
                        </w:rPr>
                        <w:t>), nustatytas pagal LST EN ISO 9972:2015 [3.19] reikalavimus;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90.3 pp."/>
                    <w:tag w:val="part_cc77448c4c78499484010fbc1705ef11"/>
                    <w:lock w:val="sdtLocked"/>
                    <w:richText/>
                  </w:sdtPr>
                  <w:sdtContent>
                    <w:p>
                      <w:pPr>
                        <w:tabs>
                          <w:tab w:val="left" w:pos="567"/>
                          <w:tab w:val="left" w:pos="993"/>
                        </w:tabs>
                        <w:suppressAutoHyphens/>
                        <w:ind w:firstLine="567"/>
                        <w:jc w:val="both"/>
                      </w:pPr>
                      <w:sdt>
                        <w:sdtPr>
                          <w:alias w:val="Numeris"/>
                          <w:tag w:val="nr_cc77448c4c78499484010fbc1705ef11"/>
                          <w:lock w:val="sdtLocked"/>
                          <w:richText/>
                        </w:sdtPr>
                        <w:sdtContent>
                          <w:r>
                            <w:rPr>
                              <w:color w:val="000000"/>
                              <w:lang w:eastAsia="lt-LT"/>
                            </w:rPr>
                            <w:t>90.3</w:t>
                          </w:r>
                        </w:sdtContent>
                      </w:sdt>
                      <w:r>
                        <w:rPr>
                          <w:color w:val="000000"/>
                          <w:lang w:eastAsia="lt-LT"/>
                        </w:rPr>
                        <w:t xml:space="preserve">. </w:t>
                      </w:r>
                      <w:r>
                        <w:rPr>
                          <w:color w:val="000000"/>
                          <w:szCs w:val="24"/>
                          <w:lang w:eastAsia="lt-LT"/>
                        </w:rPr>
                        <w:t xml:space="preserve">Jeigu pastato sandarumo bandymų metu negalima patekti į dalį patalpų, t. y. dalies pastato šildomų patalpų sandarumo išmatuoti neįmanoma, šių neišmatuotų patalpų tūris neturi sudaryti daugiau kaip 20 % visų šildomų pastato patalpų tūrio. Šildomų garažų sandarumas privalo būti išmatuotas. Patalpos, kurių sandarumas neišmatuotas, turi būti išvardytos sandarumo bandymų protokole. Skaičiuojant pastato energinį naudingumą, minėtos patalpos, kurių sandarumas neišmatuotas, turi būti išskirtos į atskirą zoną ir šiai pastato zonai turi būti priskirta pagal (2.97) formulę apskaičiuota </w:t>
                      </w:r>
                      <w:r>
                        <w:rPr>
                          <w:i/>
                          <w:color w:val="000000"/>
                          <w:szCs w:val="24"/>
                          <w:lang w:eastAsia="lt-LT"/>
                        </w:rPr>
                        <w:t>n</w:t>
                      </w:r>
                      <w:r>
                        <w:rPr>
                          <w:i/>
                          <w:color w:val="000000"/>
                          <w:szCs w:val="24"/>
                          <w:vertAlign w:val="subscript"/>
                          <w:lang w:eastAsia="lt-LT"/>
                        </w:rPr>
                        <w:t>50</w:t>
                      </w:r>
                      <w:r>
                        <w:rPr>
                          <w:color w:val="000000"/>
                          <w:szCs w:val="24"/>
                          <w:lang w:eastAsia="lt-LT"/>
                        </w:rPr>
                        <w:t xml:space="preserve"> sandarumo vertė. Viso pastato (patalpų, kurių sandarumas neišmatuotas ir kurių išmatuotas) sandarumas turi būti apskaičiuojamas pagal (2.617) formulę;</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90.4 pp."/>
                    <w:tag w:val="part_b9edf6378fc24168a91940426980afc6"/>
                    <w:lock w:val="sdtLocked"/>
                    <w:richText/>
                  </w:sdtPr>
                  <w:sdtContent>
                    <w:p>
                      <w:pPr>
                        <w:tabs>
                          <w:tab w:val="left" w:pos="567"/>
                          <w:tab w:val="left" w:pos="993"/>
                        </w:tabs>
                        <w:suppressAutoHyphens/>
                        <w:ind w:firstLine="567"/>
                        <w:jc w:val="both"/>
                      </w:pPr>
                      <w:sdt>
                        <w:sdtPr>
                          <w:alias w:val="Numeris"/>
                          <w:tag w:val="nr_b9edf6378fc24168a91940426980afc6"/>
                          <w:lock w:val="sdtLocked"/>
                          <w:richText/>
                        </w:sdtPr>
                        <w:sdtContent>
                          <w:r>
                            <w:rPr>
                              <w:color w:val="000000"/>
                              <w:lang w:eastAsia="lt-LT"/>
                            </w:rPr>
                            <w:t>90.4</w:t>
                          </w:r>
                        </w:sdtContent>
                      </w:sdt>
                      <w:r>
                        <w:rPr>
                          <w:color w:val="000000"/>
                          <w:lang w:eastAsia="lt-LT"/>
                        </w:rPr>
                        <w:t xml:space="preserve">. </w:t>
                      </w:r>
                      <w:r>
                        <w:rPr>
                          <w:color w:val="000000"/>
                          <w:szCs w:val="24"/>
                          <w:lang w:eastAsia="lt-LT"/>
                        </w:rPr>
                        <w:t xml:space="preserve">Bendro naudojimo šildomų patalpų, kuriose neįmanoma užtikrinti sandarumo bandymams atlikti reikiamų sąlygų, sandarumas gali būti nematuojamas. Minėtos bendro naudojimo patalpos, kurių sandarumas neišmatuotas, turi būti išvardytos sandarumo bandymų protokole. Protokole taip pat turi būti išvardytos priežastys, kodėl neįmanoma užtikrinti sandarumo bandymams atlikti reikiamų sąlygų. Skaičiuojant pastato energinį naudingumą, minėtos patalpos, kurių sandarumas neišmatuotas, turi būti išskirtos į atskirą zoną ir šiai pastato zonai turi būti priskirta pagal (2.97) formulę apskaičiuota </w:t>
                      </w:r>
                      <w:r>
                        <w:rPr>
                          <w:i/>
                          <w:color w:val="000000"/>
                          <w:szCs w:val="24"/>
                          <w:lang w:eastAsia="lt-LT"/>
                        </w:rPr>
                        <w:t>n</w:t>
                      </w:r>
                      <w:r>
                        <w:rPr>
                          <w:i/>
                          <w:color w:val="000000"/>
                          <w:szCs w:val="24"/>
                          <w:vertAlign w:val="subscript"/>
                          <w:lang w:eastAsia="lt-LT"/>
                        </w:rPr>
                        <w:t>50</w:t>
                      </w:r>
                      <w:r>
                        <w:rPr>
                          <w:color w:val="000000"/>
                          <w:szCs w:val="24"/>
                          <w:lang w:eastAsia="lt-LT"/>
                        </w:rPr>
                        <w:t xml:space="preserve"> sandarumo vertė. Viso pastato (patalpų, kurių sandarumas neišmatuotas ir kurių išmatuotas) sandarumas turi būti apskaičiuojamas pagal (2.617) formulę;</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90.5 pp."/>
                    <w:tag w:val="part_dc710d7298ff45b493c804989891b1ce"/>
                    <w:lock w:val="sdtLocked"/>
                    <w:richText/>
                  </w:sdtPr>
                  <w:sdtContent>
                    <w:p>
                      <w:pPr>
                        <w:ind w:firstLine="567"/>
                        <w:jc w:val="both"/>
                      </w:pPr>
                      <w:sdt>
                        <w:sdtPr>
                          <w:alias w:val="Numeris"/>
                          <w:tag w:val="nr_dc710d7298ff45b493c804989891b1ce"/>
                          <w:lock w:val="sdtLocked"/>
                          <w:richText/>
                        </w:sdtPr>
                        <w:sdtContent>
                          <w:r>
                            <w:rPr>
                              <w:szCs w:val="24"/>
                            </w:rPr>
                            <w:t>90.5</w:t>
                          </w:r>
                        </w:sdtContent>
                      </w:sdt>
                      <w:r>
                        <w:rPr>
                          <w:szCs w:val="24"/>
                        </w:rPr>
                        <w:t>. jei atliekamas pastato priestato, kurio šildoma erdvė neturi pertvaros su greta esančio pastato šildoma erdve, energinio naudingumo sertifikavimas ir įmanoma išmatuoti tik pastato kartu su priestatu sandarumą, priestato sandarumui vertinti turi būti išmatuotas viso pastato su priestatu sandarumas;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90.6 pp."/>
                    <w:tag w:val="part_6cc0ea9cde68417aaef49f1c906cd450"/>
                    <w:lock w:val="sdtLocked"/>
                    <w:richText/>
                  </w:sdtPr>
                  <w:sdtContent>
                    <w:p>
                      <w:pPr>
                        <w:ind w:firstLine="567"/>
                        <w:jc w:val="both"/>
                      </w:pPr>
                      <w:sdt>
                        <w:sdtPr>
                          <w:alias w:val="Numeris"/>
                          <w:tag w:val="nr_6cc0ea9cde68417aaef49f1c906cd450"/>
                          <w:lock w:val="sdtLocked"/>
                          <w:richText/>
                        </w:sdtPr>
                        <w:sdtContent>
                          <w:r>
                            <w:rPr>
                              <w:szCs w:val="24"/>
                            </w:rPr>
                            <w:t>90.6</w:t>
                          </w:r>
                        </w:sdtContent>
                      </w:sdt>
                      <w:r>
                        <w:rPr>
                          <w:szCs w:val="24"/>
                        </w:rPr>
                        <w:t>. jei atliekamas pastato priestato, kurio šildoma erdvė neturi pertvaros su greta esančio pastato šildoma erdve, energinio naudingumo sertifikavimas ir viso pastato su priestatu sandarumo išmatuoti neįmanoma dėl kažkuriame iš jų vykstančios nenutrūkstamos veiklos sustabdymo, turint tikslą sudaryti tinkamas sąlygas sandarumo bandymams, priestato sandarumui vertinti turi būti naudojamas priestato skaičiuojamasis sandarumas. Norminiai reikalavimai priestato sandarumui nekeliami, o pastato energinio naudingumo sertifikavimas, naudojant skaičiuojamąjį sandarumą, turi būti suderintas su pastatų energinio naudingumo sertifikavimo procesą prižiūrinčia institucija. Ši išlyga netaikoma gyvenamiesiems pastatams;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90.7 pp."/>
                    <w:tag w:val="part_c7e938b438ce47baa72105aa228c3e0d"/>
                    <w:lock w:val="sdtLocked"/>
                    <w:richText/>
                  </w:sdtPr>
                  <w:sdtContent>
                    <w:p>
                      <w:pPr>
                        <w:ind w:firstLine="567"/>
                        <w:jc w:val="both"/>
                        <w:rPr>
                          <w:color w:val="000000"/>
                        </w:rPr>
                      </w:pPr>
                      <w:sdt>
                        <w:sdtPr>
                          <w:alias w:val="Numeris"/>
                          <w:tag w:val="nr_c7e938b438ce47baa72105aa228c3e0d"/>
                          <w:lock w:val="sdtLocked"/>
                          <w:richText/>
                        </w:sdtPr>
                        <w:sdtContent>
                          <w:r>
                            <w:rPr>
                              <w:szCs w:val="24"/>
                            </w:rPr>
                            <w:t>90.7</w:t>
                          </w:r>
                        </w:sdtContent>
                      </w:sdt>
                      <w:r>
                        <w:rPr>
                          <w:szCs w:val="24"/>
                        </w:rPr>
                        <w:t>. jei atliekamas pastato, kurio sandarumo išmatuoti neįmanoma dėl jame vykstančios nenutrūkstamos veiklos sustabdymo, turint tikslą sudaryti tinkamas sąlygas sandarumo bandymams, energinio naudingumo sertifikavimas, pastato sandarumui vertinti turi būti naudojamas skaičiuojamasis sandarumas. Šiuo atveju norminiai reikalavimai pastato sandarumui nekeliami, o pastato energinio naudingumo sertifikavimas, naudojant skaičiuojamąjį sandarumą, turi būti suderintas su pastatų energinio naudingumo sertifikavimo procesą prižiūrinčia institucija. Ši išlyga netaikoma gyvenamiesiems pastatams.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Content>
        </w:sdt>
        <w:sdt>
          <w:sdtPr>
            <w:alias w:val="skyrius"/>
            <w:tag w:val="part_84fd469baafd40af8e714b7c57f9e0c7"/>
            <w:lock w:val="sdtLocked"/>
            <w:richText/>
          </w:sdtPr>
          <w:sdtContent>
            <w:p>
              <w:pPr>
                <w:keepNext/>
                <w:keepLines/>
                <w:jc w:val="center"/>
                <w:outlineLvl w:val="2"/>
                <w:rPr>
                  <w:b/>
                  <w:bCs/>
                </w:rPr>
              </w:pPr>
              <w:sdt>
                <w:sdtPr>
                  <w:alias w:val="Numeris"/>
                  <w:tag w:val="nr_84fd469baafd40af8e714b7c57f9e0c7"/>
                  <w:lock w:val="sdtLocked"/>
                  <w:richText/>
                </w:sdtPr>
                <w:sdtContent>
                  <w:r>
                    <w:rPr>
                      <w:b/>
                      <w:bCs/>
                    </w:rPr>
                    <w:t>XXVIII</w:t>
                  </w:r>
                </w:sdtContent>
              </w:sdt>
              <w:r>
                <w:rPr>
                  <w:b/>
                  <w:bCs/>
                </w:rPr>
                <w:t xml:space="preserve"> skyrius</w:t>
              </w:r>
            </w:p>
            <w:p>
              <w:pPr>
                <w:keepNext/>
                <w:keepLines/>
                <w:jc w:val="center"/>
                <w:outlineLvl w:val="2"/>
                <w:rPr>
                  <w:b/>
                  <w:bCs/>
                </w:rPr>
              </w:pPr>
              <w:sdt>
                <w:sdtPr>
                  <w:alias w:val="Pavadinimas"/>
                  <w:tag w:val="title_84fd469baafd40af8e714b7c57f9e0c7"/>
                  <w:lock w:val="sdtLocked"/>
                  <w:richText/>
                </w:sdtPr>
                <w:sdtContent>
                  <w:r>
                    <w:rPr>
                      <w:b/>
                      <w:bCs/>
                    </w:rPr>
                    <w:t xml:space="preserve">Pastato dalies energinio naudingumo įvertinimas </w:t>
                  </w:r>
                </w:sdtContent>
              </w:sdt>
            </w:p>
            <w:p>
              <w:pPr>
                <w:ind w:firstLine="570"/>
              </w:pPr>
            </w:p>
            <w:sdt>
              <w:sdtPr>
                <w:alias w:val="2 pr. 91 p."/>
                <w:tag w:val="part_663a2118d16a4c0eaf13479a7aa3c126"/>
                <w:lock w:val="sdtLocked"/>
                <w:richText/>
              </w:sdtPr>
              <w:sdtContent>
                <w:p>
                  <w:pPr>
                    <w:ind w:firstLine="570"/>
                    <w:jc w:val="both"/>
                    <w:rPr>
                      <w:color w:val="000000"/>
                    </w:rPr>
                  </w:pPr>
                  <w:sdt>
                    <w:sdtPr>
                      <w:alias w:val="Numeris"/>
                      <w:tag w:val="nr_663a2118d16a4c0eaf13479a7aa3c126"/>
                      <w:lock w:val="sdtLocked"/>
                      <w:richText/>
                    </w:sdtPr>
                    <w:sdtContent>
                      <w:r>
                        <w:rPr>
                          <w:color w:val="000000"/>
                        </w:rPr>
                        <w:t>91</w:t>
                      </w:r>
                    </w:sdtContent>
                  </w:sdt>
                  <w:r>
                    <w:rPr>
                      <w:color w:val="000000"/>
                    </w:rPr>
                    <w:t>. Jei pastato dalis, kuriai atliekamas energinio naudingumo įvertinimas, neturi bendro naudojimo su kitomis pastato dalimis šildomų patalpų, šios pastato dalies energinis naudingumas įvertinamas ta pačia tvarka kaip ir viso pastato, skaičiuojant pagal IV–XXVI skyriuose nurodytas formules, vietoj viso pastato šildomo ploto naudojamas atitinkamos pastato dalies šildomas plotas. Pastato dalies energinis naudingumas įvertinamas pagal XXVI skyriaus nuostatas.</w:t>
                  </w:r>
                </w:p>
              </w:sdtContent>
            </w:sdt>
            <w:sdt>
              <w:sdtPr>
                <w:alias w:val="2 pr. 92 p."/>
                <w:tag w:val="part_8af873ce915d4c0eb967b00f90a25fda"/>
                <w:lock w:val="sdtLocked"/>
                <w:richText/>
              </w:sdtPr>
              <w:sdtContent>
                <w:p>
                  <w:pPr>
                    <w:ind w:firstLine="570"/>
                    <w:jc w:val="both"/>
                    <w:rPr>
                      <w:color w:val="000000"/>
                    </w:rPr>
                  </w:pPr>
                  <w:sdt>
                    <w:sdtPr>
                      <w:alias w:val="Numeris"/>
                      <w:tag w:val="nr_8af873ce915d4c0eb967b00f90a25fda"/>
                      <w:lock w:val="sdtLocked"/>
                      <w:richText/>
                    </w:sdtPr>
                    <w:sdtContent>
                      <w:r>
                        <w:rPr>
                          <w:color w:val="000000"/>
                        </w:rPr>
                        <w:t>92</w:t>
                      </w:r>
                    </w:sdtContent>
                  </w:sdt>
                  <w:r>
                    <w:rPr>
                      <w:color w:val="000000"/>
                    </w:rPr>
                    <w:t>. Jei pastato dalis, kuriai atliekamas energinio naudingumo įvertinimas, turi bendro naudojimo su kitomis pastato dalimis šildomų patalpų (šildomų koridorių, šildomų galerijų, liftų šachtų ir pan.), turi būti įvertintas suminis pastato dalies ir šiai pastato daliai priskirtas bendro naudojimo su kitomis pastato dalimis šildomų patalpų plotas. Pastato daliai priskirtas bendro naudojimo su kitomis pastato dalimis šildomų patalpų plotas apskaičiuojamas proporcingai pastato dalies ir viso pastato, be bendro naudojimo šildomų patalpų, plotui. Tuo pačiu proporcingumo principu pastato daliai turi būti priskirta dalis bendro naudojimo šildomų patalpų atitvarų plotų. Šios pastato dalies energinis naudingumas įvertinamas ta pačia tvarka kaip ir viso pastato, tik skaičiavimuose pagal IV–XXVI skyriuose nurodytas formules vietoj viso pastato šildomo ploto naudojamas suminis pastato dalies ir šiai pastato daliai priskirtas bendro naudojimo su kitomis pastato dalimis šildomų patalpų plotas. Pastato dalies energinis naudingumas įvertinamas pagal XXVI skyriaus nuostatas.</w:t>
                  </w:r>
                </w:p>
                <w:p>
                  <w:pPr>
                    <w:ind w:firstLine="570"/>
                    <w:rPr>
                      <w:color w:val="000000"/>
                    </w:rPr>
                  </w:pPr>
                </w:p>
              </w:sdtContent>
            </w:sdt>
          </w:sdtContent>
        </w:sdt>
        <w:sdt>
          <w:sdtPr>
            <w:alias w:val="skyrius"/>
            <w:tag w:val="part_0e9087b1c1f240bda2035369eae93588"/>
            <w:lock w:val="sdtLocked"/>
            <w:richText/>
          </w:sdtPr>
          <w:sdtContent>
            <w:p>
              <w:pPr>
                <w:keepNext/>
                <w:keepLines/>
                <w:suppressAutoHyphens/>
                <w:jc w:val="center"/>
                <w:outlineLvl w:val="2"/>
                <w:rPr>
                  <w:b/>
                  <w:bCs/>
                  <w:lang w:eastAsia="lt-LT"/>
                </w:rPr>
              </w:pPr>
              <w:sdt>
                <w:sdtPr>
                  <w:alias w:val="Numeris"/>
                  <w:tag w:val="nr_0e9087b1c1f240bda2035369eae93588"/>
                  <w:lock w:val="sdtLocked"/>
                  <w:richText/>
                </w:sdtPr>
                <w:sdtContent>
                  <w:r>
                    <w:rPr>
                      <w:b/>
                      <w:bCs/>
                      <w:lang w:eastAsia="lt-LT"/>
                    </w:rPr>
                    <w:t>XXIX</w:t>
                  </w:r>
                </w:sdtContent>
              </w:sdt>
              <w:r>
                <w:rPr>
                  <w:b/>
                  <w:bCs/>
                  <w:lang w:eastAsia="lt-LT"/>
                </w:rPr>
                <w:t xml:space="preserve"> skyrius</w:t>
              </w:r>
            </w:p>
            <w:p>
              <w:pPr>
                <w:keepNext/>
                <w:suppressAutoHyphens/>
                <w:jc w:val="center"/>
                <w:outlineLvl w:val="1"/>
                <w:rPr>
                  <w:b/>
                  <w:lang w:eastAsia="lt-LT"/>
                </w:rPr>
              </w:pPr>
              <w:sdt>
                <w:sdtPr>
                  <w:alias w:val="Pavadinimas"/>
                  <w:tag w:val="title_0e9087b1c1f240bda2035369eae93588"/>
                  <w:lock w:val="sdtLocked"/>
                  <w:richText/>
                </w:sdtPr>
                <w:sdtContent>
                  <w:r>
                    <w:rPr>
                      <w:b/>
                      <w:bCs/>
                      <w:lang w:eastAsia="lt-LT"/>
                    </w:rPr>
                    <w:t xml:space="preserve">Norminės šiluminės energijos sąnaudos pastatui šildyti </w:t>
                  </w:r>
                  <w:r>
                    <w:rPr>
                      <w:b/>
                      <w:lang w:eastAsia="lt-LT"/>
                    </w:rPr>
                    <w:t>ir pastato norminės pirminės energijos sąnaudos</w:t>
                  </w:r>
                </w:sdtContent>
              </w:sdt>
            </w:p>
            <w:p>
              <w:pPr>
                <w:keepNext/>
                <w:keepLines/>
                <w:suppressAutoHyphens/>
                <w:jc w:val="center"/>
                <w:outlineLvl w:val="2"/>
                <w:rPr>
                  <w:b/>
                  <w:bCs/>
                  <w:lang w:eastAsia="lt-LT"/>
                </w:rPr>
              </w:pPr>
            </w:p>
            <w:sdt>
              <w:sdtPr>
                <w:alias w:val="2 pr. 93 p."/>
                <w:tag w:val="part_95ed58da8bb34173820c193bf78a1f6b"/>
                <w:lock w:val="sdtLocked"/>
                <w:richText/>
              </w:sdtPr>
              <w:sdtContent>
                <w:p>
                  <w:pPr>
                    <w:suppressAutoHyphens/>
                    <w:ind w:firstLine="567"/>
                    <w:jc w:val="both"/>
                    <w:rPr>
                      <w:szCs w:val="24"/>
                      <w:lang w:eastAsia="lt-LT"/>
                    </w:rPr>
                  </w:pPr>
                  <w:sdt>
                    <w:sdtPr>
                      <w:alias w:val="Numeris"/>
                      <w:tag w:val="nr_95ed58da8bb34173820c193bf78a1f6b"/>
                      <w:lock w:val="sdtLocked"/>
                      <w:richText/>
                    </w:sdtPr>
                    <w:sdtContent>
                      <w:r>
                        <w:rPr>
                          <w:szCs w:val="24"/>
                          <w:lang w:eastAsia="lt-LT"/>
                        </w:rPr>
                        <w:t>93</w:t>
                      </w:r>
                    </w:sdtContent>
                  </w:sdt>
                  <w:r>
                    <w:rPr>
                      <w:szCs w:val="24"/>
                      <w:lang w:eastAsia="lt-LT"/>
                    </w:rPr>
                    <w:t xml:space="preserve">. </w:t>
                  </w:r>
                  <w:r>
                    <w:rPr>
                      <w:lang w:eastAsia="lt-LT"/>
                    </w:rPr>
                    <w:t>Norminės metinės šiluminės energijos sąnaudos pastatui šildyti ir pastato norminės metinės pirminės energijos sąnaudos turi būti apskaičiuotos taip:</w:t>
                  </w:r>
                </w:p>
                <w:sdt>
                  <w:sdtPr>
                    <w:alias w:val="2 pr. 93.1 pp."/>
                    <w:tag w:val="part_70bede52a4a74361a2f75c645aa45dbb"/>
                    <w:lock w:val="sdtLocked"/>
                    <w:richText/>
                  </w:sdtPr>
                  <w:sdtContent>
                    <w:p>
                      <w:pPr>
                        <w:suppressAutoHyphens/>
                        <w:ind w:firstLine="567"/>
                        <w:jc w:val="both"/>
                        <w:rPr>
                          <w:szCs w:val="24"/>
                          <w:lang w:eastAsia="lt-LT"/>
                        </w:rPr>
                      </w:pPr>
                      <w:sdt>
                        <w:sdtPr>
                          <w:alias w:val="Numeris"/>
                          <w:tag w:val="nr_70bede52a4a74361a2f75c645aa45dbb"/>
                          <w:lock w:val="sdtLocked"/>
                          <w:richText/>
                        </w:sdtPr>
                        <w:sdtContent>
                          <w:r>
                            <w:rPr>
                              <w:szCs w:val="24"/>
                              <w:lang w:eastAsia="lt-LT"/>
                            </w:rPr>
                            <w:t>93.1</w:t>
                          </w:r>
                        </w:sdtContent>
                      </w:sdt>
                      <w:r>
                        <w:rPr>
                          <w:szCs w:val="24"/>
                          <w:lang w:eastAsia="lt-LT"/>
                        </w:rPr>
                        <w:t xml:space="preserve">. B, A, A+ arba A++ energinio naudingumo klasės pastatų (jų dalių) metinės šiluminės energijos sąnaudos pastatui (jo daliai) šildyti </w:t>
                      </w:r>
                      <w:r>
                        <w:rPr>
                          <w:i/>
                          <w:szCs w:val="24"/>
                          <w:lang w:eastAsia="lt-LT"/>
                        </w:rPr>
                        <w:t>Q</w:t>
                      </w:r>
                      <w:r>
                        <w:rPr>
                          <w:i/>
                          <w:szCs w:val="24"/>
                          <w:vertAlign w:val="superscript"/>
                          <w:lang w:eastAsia="lt-LT"/>
                        </w:rPr>
                        <w:t>I</w:t>
                      </w:r>
                      <w:r>
                        <w:rPr>
                          <w:i/>
                          <w:szCs w:val="24"/>
                          <w:vertAlign w:val="subscript"/>
                          <w:lang w:eastAsia="lt-LT"/>
                        </w:rPr>
                        <w:t>H</w:t>
                      </w:r>
                      <w:r>
                        <w:rPr>
                          <w:szCs w:val="24"/>
                          <w:lang w:eastAsia="lt-LT"/>
                        </w:rPr>
                        <w:t xml:space="preserve"> (kWh/(m</w:t>
                      </w:r>
                      <w:r>
                        <w:rPr>
                          <w:szCs w:val="24"/>
                          <w:vertAlign w:val="superscript"/>
                          <w:lang w:eastAsia="lt-LT"/>
                        </w:rPr>
                        <w:t>2</w:t>
                      </w:r>
                      <w:r>
                        <w:rPr>
                          <w:szCs w:val="24"/>
                          <w:lang w:eastAsia="lt-LT"/>
                        </w:rPr>
                        <w:t xml:space="preserve">·metai)) turi neviršyti 2.49 lentelėje nurodytų norminių sąnaudų [3.7]. </w:t>
                      </w:r>
                      <w:r>
                        <w:rPr>
                          <w:i/>
                          <w:szCs w:val="24"/>
                          <w:lang w:eastAsia="lt-LT"/>
                        </w:rPr>
                        <w:t>Q</w:t>
                      </w:r>
                      <w:r>
                        <w:rPr>
                          <w:i/>
                          <w:szCs w:val="24"/>
                          <w:vertAlign w:val="superscript"/>
                          <w:lang w:eastAsia="lt-LT"/>
                        </w:rPr>
                        <w:t>I</w:t>
                      </w:r>
                      <w:r>
                        <w:rPr>
                          <w:i/>
                          <w:szCs w:val="24"/>
                          <w:vertAlign w:val="subscript"/>
                          <w:lang w:eastAsia="lt-LT"/>
                        </w:rPr>
                        <w:t>H</w:t>
                      </w:r>
                      <w:r>
                        <w:rPr>
                          <w:szCs w:val="24"/>
                          <w:lang w:eastAsia="lt-LT"/>
                        </w:rPr>
                        <w:t xml:space="preserve"> (kWh/(m</w:t>
                      </w:r>
                      <w:r>
                        <w:rPr>
                          <w:szCs w:val="24"/>
                          <w:vertAlign w:val="superscript"/>
                          <w:lang w:eastAsia="lt-LT"/>
                        </w:rPr>
                        <w:t>2</w:t>
                      </w:r>
                      <w:r>
                        <w:rPr>
                          <w:szCs w:val="24"/>
                          <w:lang w:eastAsia="lt-LT"/>
                        </w:rPr>
                        <w:t>·metai)) apskaičiuojama pagal 73 punkto reikalavimus. C, D, E, F ir G energinio naudingumo klasės pastatams metinėms šiluminės energijos sąnaudoms pastatui šildyti reikalavimai nekeliami.</w:t>
                      </w:r>
                    </w:p>
                    <w:p>
                      <w:pPr>
                        <w:suppressAutoHyphens/>
                        <w:ind w:firstLine="567"/>
                        <w:jc w:val="both"/>
                        <w:rPr>
                          <w:szCs w:val="24"/>
                          <w:lang w:eastAsia="lt-LT"/>
                        </w:rPr>
                      </w:pPr>
                    </w:p>
                    <w:p>
                      <w:pPr>
                        <w:suppressAutoHyphens/>
                        <w:jc w:val="center"/>
                        <w:rPr>
                          <w:b/>
                        </w:rPr>
                      </w:pPr>
                      <w:r>
                        <w:rPr>
                          <w:b/>
                          <w:lang w:eastAsia="lt-LT"/>
                        </w:rPr>
                        <w:t>B, A, A+ ir A++ energinio naudingumo klasės pastatų (jų dalių) norminės šiluminės energijos sąnaudos pastatui (jo daliai) šildyti</w:t>
                      </w:r>
                    </w:p>
                    <w:p>
                      <w:pPr>
                        <w:tabs>
                          <w:tab w:val="num" w:pos="360"/>
                        </w:tabs>
                        <w:suppressAutoHyphens/>
                        <w:jc w:val="right"/>
                        <w:rPr>
                          <w:lang w:eastAsia="lt-LT"/>
                        </w:rPr>
                      </w:pPr>
                      <w:r>
                        <w:rPr>
                          <w:lang w:eastAsia="lt-LT"/>
                        </w:rPr>
                        <w:t>2.49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2233"/>
                        <w:gridCol w:w="1748"/>
                        <w:gridCol w:w="1748"/>
                        <w:gridCol w:w="1750"/>
                        <w:gridCol w:w="1752"/>
                      </w:tblGrid>
                      <w:tr>
                        <w:trPr>
                          <w:trHeight w:val="20"/>
                          <w:tblHeader/>
                        </w:trPr>
                        <w:tc>
                          <w:tcPr>
                            <w:tcW w:w="316" w:type="pct"/>
                            <w:vMerge w:val="restar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lang w:eastAsia="lt-LT"/>
                              </w:rPr>
                            </w:pPr>
                            <w:r>
                              <w:rPr>
                                <w:szCs w:val="24"/>
                                <w:lang w:eastAsia="lt-LT"/>
                              </w:rPr>
                              <w:t>Eil.</w:t>
                            </w:r>
                          </w:p>
                          <w:p>
                            <w:pPr>
                              <w:suppressAutoHyphens/>
                              <w:spacing w:line="276" w:lineRule="auto"/>
                              <w:jc w:val="center"/>
                              <w:rPr>
                                <w:rFonts w:eastAsia="Calibri"/>
                                <w:szCs w:val="24"/>
                              </w:rPr>
                            </w:pPr>
                            <w:r>
                              <w:rPr>
                                <w:szCs w:val="24"/>
                                <w:lang w:eastAsia="lt-LT"/>
                              </w:rPr>
                              <w:t>Nr.</w:t>
                            </w:r>
                          </w:p>
                        </w:tc>
                        <w:tc>
                          <w:tcPr>
                            <w:tcW w:w="1133"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Pastato paskirtis</w:t>
                            </w:r>
                          </w:p>
                        </w:tc>
                        <w:tc>
                          <w:tcPr>
                            <w:tcW w:w="3551" w:type="pct"/>
                            <w:gridSpan w:val="4"/>
                            <w:tcBorders>
                              <w:top w:val="single" w:sz="4" w:space="0" w:color="auto"/>
                              <w:left w:val="single" w:sz="4" w:space="0" w:color="auto"/>
                              <w:bottom w:val="single" w:sz="4" w:space="0" w:color="auto"/>
                              <w:right w:val="single" w:sz="4" w:space="0" w:color="auto"/>
                            </w:tcBorders>
                            <w:hideMark/>
                          </w:tcPr>
                          <w:p>
                            <w:pPr>
                              <w:suppressAutoHyphens/>
                              <w:spacing w:line="276" w:lineRule="auto"/>
                              <w:ind w:left="-57" w:right="-57"/>
                              <w:jc w:val="center"/>
                              <w:rPr>
                                <w:rFonts w:eastAsia="Calibri"/>
                                <w:i/>
                                <w:szCs w:val="24"/>
                              </w:rPr>
                            </w:pPr>
                            <w:r>
                              <w:rPr>
                                <w:szCs w:val="24"/>
                                <w:lang w:eastAsia="lt-LT"/>
                              </w:rPr>
                              <w:t>B, A, A+ ir A++ energinio naudingumo klasių pastatų norminės šiluminės energijos sąnaudos pastatui (jo daliai) šildyti, kWh/(m² metai)</w:t>
                            </w:r>
                          </w:p>
                        </w:tc>
                      </w:tr>
                      <w:tr>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887"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57" w:right="-57"/>
                              <w:jc w:val="center"/>
                              <w:rPr>
                                <w:rFonts w:eastAsia="Calibri"/>
                                <w:szCs w:val="24"/>
                              </w:rPr>
                            </w:pPr>
                            <w:r>
                              <w:rPr>
                                <w:szCs w:val="24"/>
                                <w:lang w:eastAsia="lt-LT"/>
                              </w:rPr>
                              <w:t>B</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Gyvenamosios paskirties vieno ir dviejų butų pastatai (namai)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·864·A</w:t>
                            </w:r>
                            <w:r>
                              <w:rPr>
                                <w:i/>
                                <w:szCs w:val="24"/>
                                <w:vertAlign w:val="subscript"/>
                                <w:lang w:eastAsia="lt-LT"/>
                              </w:rPr>
                              <w:t>p</w:t>
                            </w:r>
                            <w:r>
                              <w:rPr>
                                <w:i/>
                                <w:szCs w:val="24"/>
                                <w:vertAlign w:val="superscript"/>
                                <w:lang w:eastAsia="lt-LT"/>
                              </w:rPr>
                              <w:t xml:space="preserve">-0,36 </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·568A</w:t>
                            </w:r>
                            <w:r>
                              <w:rPr>
                                <w:i/>
                                <w:szCs w:val="24"/>
                                <w:vertAlign w:val="subscript"/>
                                <w:lang w:eastAsia="lt-LT"/>
                              </w:rPr>
                              <w:t>p</w:t>
                            </w:r>
                            <w:r>
                              <w:rPr>
                                <w:i/>
                                <w:szCs w:val="24"/>
                                <w:vertAlign w:val="superscript"/>
                                <w:lang w:eastAsia="lt-LT"/>
                              </w:rPr>
                              <w:t>-0,37</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·516·A</w:t>
                            </w:r>
                            <w:r>
                              <w:rPr>
                                <w:i/>
                                <w:szCs w:val="24"/>
                                <w:vertAlign w:val="subscript"/>
                                <w:lang w:eastAsia="lt-LT"/>
                              </w:rPr>
                              <w:t>p</w:t>
                            </w:r>
                            <w:r>
                              <w:rPr>
                                <w:i/>
                                <w:szCs w:val="24"/>
                                <w:vertAlign w:val="superscript"/>
                                <w:lang w:eastAsia="lt-LT"/>
                              </w:rPr>
                              <w:t>-0,39</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·451·A</w:t>
                            </w:r>
                            <w:r>
                              <w:rPr>
                                <w:i/>
                                <w:szCs w:val="24"/>
                                <w:vertAlign w:val="subscript"/>
                                <w:lang w:eastAsia="lt-LT"/>
                              </w:rPr>
                              <w:t>p</w:t>
                            </w:r>
                            <w:r>
                              <w:rPr>
                                <w:i/>
                                <w:szCs w:val="24"/>
                                <w:vertAlign w:val="superscript"/>
                                <w:lang w:eastAsia="lt-LT"/>
                              </w:rPr>
                              <w:t>-0,39</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2.</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Kiti gyvenamosios paskirties pastatai (namai)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·433·A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·265·A</w:t>
                            </w:r>
                            <w:r>
                              <w:rPr>
                                <w:i/>
                                <w:szCs w:val="24"/>
                                <w:vertAlign w:val="subscript"/>
                                <w:lang w:eastAsia="lt-LT"/>
                              </w:rPr>
                              <w:t>p</w:t>
                            </w:r>
                            <w:r>
                              <w:rPr>
                                <w:i/>
                                <w:szCs w:val="24"/>
                                <w:vertAlign w:val="superscript"/>
                                <w:lang w:eastAsia="lt-LT"/>
                              </w:rPr>
                              <w:t>-0,24</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·215·A</w:t>
                            </w:r>
                            <w:r>
                              <w:rPr>
                                <w:i/>
                                <w:szCs w:val="24"/>
                                <w:vertAlign w:val="subscript"/>
                                <w:lang w:eastAsia="lt-LT"/>
                              </w:rPr>
                              <w:t>p</w:t>
                            </w:r>
                            <w:r>
                              <w:rPr>
                                <w:i/>
                                <w:szCs w:val="24"/>
                                <w:vertAlign w:val="superscript"/>
                                <w:lang w:eastAsia="lt-LT"/>
                              </w:rPr>
                              <w:t>-0,23</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·197·A</w:t>
                            </w:r>
                            <w:r>
                              <w:rPr>
                                <w:i/>
                                <w:szCs w:val="24"/>
                                <w:vertAlign w:val="subscript"/>
                                <w:lang w:eastAsia="lt-LT"/>
                              </w:rPr>
                              <w:t>p</w:t>
                            </w:r>
                            <w:r>
                              <w:rPr>
                                <w:i/>
                                <w:szCs w:val="24"/>
                                <w:vertAlign w:val="superscript"/>
                                <w:lang w:eastAsia="lt-LT"/>
                              </w:rPr>
                              <w:t>-0,23</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3.</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Administracinės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·396·A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·280·A</w:t>
                            </w:r>
                            <w:r>
                              <w:rPr>
                                <w:i/>
                                <w:szCs w:val="24"/>
                                <w:vertAlign w:val="subscript"/>
                                <w:lang w:eastAsia="lt-LT"/>
                              </w:rPr>
                              <w:t>p</w:t>
                            </w:r>
                            <w:r>
                              <w:rPr>
                                <w:i/>
                                <w:szCs w:val="24"/>
                                <w:vertAlign w:val="superscript"/>
                                <w:lang w:eastAsia="lt-LT"/>
                              </w:rPr>
                              <w:t>-0,26</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·258·A</w:t>
                            </w:r>
                            <w:r>
                              <w:rPr>
                                <w:i/>
                                <w:szCs w:val="24"/>
                                <w:vertAlign w:val="subscript"/>
                                <w:lang w:eastAsia="lt-LT"/>
                              </w:rPr>
                              <w:t>p</w:t>
                            </w:r>
                            <w:r>
                              <w:rPr>
                                <w:i/>
                                <w:szCs w:val="24"/>
                                <w:vertAlign w:val="superscript"/>
                                <w:lang w:eastAsia="lt-LT"/>
                              </w:rPr>
                              <w:t>-0,27</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·221·A</w:t>
                            </w:r>
                            <w:r>
                              <w:rPr>
                                <w:i/>
                                <w:szCs w:val="24"/>
                                <w:vertAlign w:val="subscript"/>
                                <w:lang w:eastAsia="lt-LT"/>
                              </w:rPr>
                              <w:t>p</w:t>
                            </w:r>
                            <w:r>
                              <w:rPr>
                                <w:i/>
                                <w:szCs w:val="24"/>
                                <w:vertAlign w:val="superscript"/>
                                <w:lang w:eastAsia="lt-LT"/>
                              </w:rPr>
                              <w:t>-0,28</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4.</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Mokslo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·1175·A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·833·A</w:t>
                            </w:r>
                            <w:r>
                              <w:rPr>
                                <w:i/>
                                <w:szCs w:val="24"/>
                                <w:vertAlign w:val="subscript"/>
                                <w:lang w:eastAsia="lt-LT"/>
                              </w:rPr>
                              <w:t>p</w:t>
                            </w:r>
                            <w:r>
                              <w:rPr>
                                <w:i/>
                                <w:szCs w:val="24"/>
                                <w:vertAlign w:val="superscript"/>
                                <w:lang w:eastAsia="lt-LT"/>
                              </w:rPr>
                              <w:t>-0,38</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·802·A</w:t>
                            </w:r>
                            <w:r>
                              <w:rPr>
                                <w:i/>
                                <w:szCs w:val="24"/>
                                <w:vertAlign w:val="subscript"/>
                                <w:lang w:eastAsia="lt-LT"/>
                              </w:rPr>
                              <w:t>p</w:t>
                            </w:r>
                            <w:r>
                              <w:rPr>
                                <w:i/>
                                <w:szCs w:val="24"/>
                                <w:vertAlign w:val="superscript"/>
                                <w:lang w:eastAsia="lt-LT"/>
                              </w:rPr>
                              <w:t>-0,4</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·707·A</w:t>
                            </w:r>
                            <w:r>
                              <w:rPr>
                                <w:i/>
                                <w:szCs w:val="24"/>
                                <w:vertAlign w:val="subscript"/>
                                <w:lang w:eastAsia="lt-LT"/>
                              </w:rPr>
                              <w:t>p</w:t>
                            </w:r>
                            <w:r>
                              <w:rPr>
                                <w:i/>
                                <w:szCs w:val="24"/>
                                <w:vertAlign w:val="superscript"/>
                                <w:lang w:eastAsia="lt-LT"/>
                              </w:rPr>
                              <w:t>-0,41</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5.</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Gydymo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·1469·A</w:t>
                            </w:r>
                            <w:r>
                              <w:rPr>
                                <w:i/>
                                <w:szCs w:val="24"/>
                                <w:vertAlign w:val="subscript"/>
                                <w:lang w:eastAsia="lt-LT"/>
                              </w:rPr>
                              <w:t>p</w:t>
                            </w:r>
                            <w:r>
                              <w:rPr>
                                <w:i/>
                                <w:szCs w:val="24"/>
                                <w:vertAlign w:val="superscript"/>
                                <w:lang w:eastAsia="lt-LT"/>
                              </w:rPr>
                              <w:t>-0,38</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·1055·A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trike/>
                                <w:szCs w:val="24"/>
                              </w:rPr>
                            </w:pPr>
                            <w:r>
                              <w:rPr>
                                <w:i/>
                                <w:szCs w:val="24"/>
                                <w:lang w:eastAsia="lt-LT"/>
                              </w:rPr>
                              <w:t>k</w:t>
                            </w:r>
                            <w:r>
                              <w:rPr>
                                <w:i/>
                                <w:szCs w:val="24"/>
                                <w:vertAlign w:val="subscript"/>
                                <w:lang w:eastAsia="lt-LT"/>
                              </w:rPr>
                              <w:t>h</w:t>
                            </w:r>
                            <w:r>
                              <w:rPr>
                                <w:i/>
                                <w:szCs w:val="24"/>
                                <w:lang w:eastAsia="lt-LT"/>
                              </w:rPr>
                              <w:t>·1051·A</w:t>
                            </w:r>
                            <w:r>
                              <w:rPr>
                                <w:i/>
                                <w:szCs w:val="24"/>
                                <w:vertAlign w:val="subscript"/>
                                <w:lang w:eastAsia="lt-LT"/>
                              </w:rPr>
                              <w:t>p</w:t>
                            </w:r>
                            <w:r>
                              <w:rPr>
                                <w:i/>
                                <w:szCs w:val="24"/>
                                <w:vertAlign w:val="superscript"/>
                                <w:lang w:eastAsia="lt-LT"/>
                              </w:rPr>
                              <w:t>-0,43</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·941·A</w:t>
                            </w:r>
                            <w:r>
                              <w:rPr>
                                <w:i/>
                                <w:szCs w:val="24"/>
                                <w:vertAlign w:val="subscript"/>
                                <w:lang w:eastAsia="lt-LT"/>
                              </w:rPr>
                              <w:t>p</w:t>
                            </w:r>
                            <w:r>
                              <w:rPr>
                                <w:i/>
                                <w:szCs w:val="24"/>
                                <w:vertAlign w:val="superscript"/>
                                <w:lang w:eastAsia="lt-LT"/>
                              </w:rPr>
                              <w:t>-0,44</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6.</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Maitinimo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·1153·A</w:t>
                            </w:r>
                            <w:r>
                              <w:rPr>
                                <w:i/>
                                <w:szCs w:val="24"/>
                                <w:vertAlign w:val="subscript"/>
                                <w:lang w:eastAsia="lt-LT"/>
                              </w:rPr>
                              <w:t>p</w:t>
                            </w:r>
                            <w:r>
                              <w:rPr>
                                <w:i/>
                                <w:szCs w:val="24"/>
                                <w:vertAlign w:val="superscript"/>
                                <w:lang w:eastAsia="lt-LT"/>
                              </w:rPr>
                              <w:t>-0,38</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·702·A</w:t>
                            </w:r>
                            <w:r>
                              <w:rPr>
                                <w:i/>
                                <w:szCs w:val="24"/>
                                <w:vertAlign w:val="subscript"/>
                                <w:lang w:eastAsia="lt-LT"/>
                              </w:rPr>
                              <w:t>p</w:t>
                            </w:r>
                            <w:r>
                              <w:rPr>
                                <w:i/>
                                <w:szCs w:val="24"/>
                                <w:vertAlign w:val="superscript"/>
                                <w:lang w:eastAsia="lt-LT"/>
                              </w:rPr>
                              <w:t>-0,38</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·684·A</w:t>
                            </w:r>
                            <w:r>
                              <w:rPr>
                                <w:i/>
                                <w:szCs w:val="24"/>
                                <w:vertAlign w:val="subscript"/>
                                <w:lang w:eastAsia="lt-LT"/>
                              </w:rPr>
                              <w:t>p</w:t>
                            </w:r>
                            <w:r>
                              <w:rPr>
                                <w:i/>
                                <w:szCs w:val="24"/>
                                <w:vertAlign w:val="superscript"/>
                                <w:lang w:eastAsia="lt-LT"/>
                              </w:rPr>
                              <w:t>-0,4</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·600·A</w:t>
                            </w:r>
                            <w:r>
                              <w:rPr>
                                <w:i/>
                                <w:szCs w:val="24"/>
                                <w:vertAlign w:val="subscript"/>
                                <w:lang w:eastAsia="lt-LT"/>
                              </w:rPr>
                              <w:t>p</w:t>
                            </w:r>
                            <w:r>
                              <w:rPr>
                                <w:i/>
                                <w:szCs w:val="24"/>
                                <w:vertAlign w:val="superscript"/>
                                <w:lang w:eastAsia="lt-LT"/>
                              </w:rPr>
                              <w:t>-0,41</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7.</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 xml:space="preserve">Prekybos paskirties pastatai </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·556·A</w:t>
                            </w:r>
                            <w:r>
                              <w:rPr>
                                <w:i/>
                                <w:szCs w:val="24"/>
                                <w:vertAlign w:val="subscript"/>
                                <w:lang w:eastAsia="lt-LT"/>
                              </w:rPr>
                              <w:t>p</w:t>
                            </w:r>
                            <w:r>
                              <w:rPr>
                                <w:i/>
                                <w:szCs w:val="24"/>
                                <w:vertAlign w:val="superscript"/>
                                <w:lang w:eastAsia="lt-LT"/>
                              </w:rPr>
                              <w:t>-0,24</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·300·A</w:t>
                            </w:r>
                            <w:r>
                              <w:rPr>
                                <w:i/>
                                <w:szCs w:val="24"/>
                                <w:vertAlign w:val="subscript"/>
                                <w:lang w:eastAsia="lt-LT"/>
                              </w:rPr>
                              <w:t>p</w:t>
                            </w:r>
                            <w:r>
                              <w:rPr>
                                <w:i/>
                                <w:szCs w:val="24"/>
                                <w:vertAlign w:val="superscript"/>
                                <w:lang w:eastAsia="lt-LT"/>
                              </w:rPr>
                              <w:t>-0,22</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·282·A</w:t>
                            </w:r>
                            <w:r>
                              <w:rPr>
                                <w:i/>
                                <w:szCs w:val="24"/>
                                <w:vertAlign w:val="subscript"/>
                                <w:lang w:eastAsia="lt-LT"/>
                              </w:rPr>
                              <w:t>p</w:t>
                            </w:r>
                            <w:r>
                              <w:rPr>
                                <w:i/>
                                <w:szCs w:val="24"/>
                                <w:vertAlign w:val="superscript"/>
                                <w:lang w:eastAsia="lt-LT"/>
                              </w:rPr>
                              <w:t>-0,24</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·240·A</w:t>
                            </w:r>
                            <w:r>
                              <w:rPr>
                                <w:i/>
                                <w:szCs w:val="24"/>
                                <w:vertAlign w:val="subscript"/>
                                <w:lang w:eastAsia="lt-LT"/>
                              </w:rPr>
                              <w:t>p</w:t>
                            </w:r>
                            <w:r>
                              <w:rPr>
                                <w:i/>
                                <w:szCs w:val="24"/>
                                <w:vertAlign w:val="superscript"/>
                                <w:lang w:eastAsia="lt-LT"/>
                              </w:rPr>
                              <w:t>-0,24</w:t>
                            </w:r>
                          </w:p>
                        </w:tc>
                      </w:tr>
                      <w:tr>
                        <w:trPr>
                          <w:cantSplit/>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8.</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Sporto paskirties pastatai, išskyrus baseinus</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·1117·A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·724·A</w:t>
                            </w:r>
                            <w:r>
                              <w:rPr>
                                <w:i/>
                                <w:szCs w:val="24"/>
                                <w:vertAlign w:val="subscript"/>
                                <w:lang w:eastAsia="lt-LT"/>
                              </w:rPr>
                              <w:t>p</w:t>
                            </w:r>
                            <w:r>
                              <w:rPr>
                                <w:i/>
                                <w:szCs w:val="24"/>
                                <w:vertAlign w:val="superscript"/>
                                <w:lang w:eastAsia="lt-LT"/>
                              </w:rPr>
                              <w:t>-0,36</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·757·A</w:t>
                            </w:r>
                            <w:r>
                              <w:rPr>
                                <w:i/>
                                <w:szCs w:val="24"/>
                                <w:vertAlign w:val="subscript"/>
                                <w:lang w:eastAsia="lt-LT"/>
                              </w:rPr>
                              <w:t>p</w:t>
                            </w:r>
                            <w:r>
                              <w:rPr>
                                <w:i/>
                                <w:szCs w:val="24"/>
                                <w:vertAlign w:val="superscript"/>
                                <w:lang w:eastAsia="lt-LT"/>
                              </w:rPr>
                              <w:t>-0,38</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·647·A</w:t>
                            </w:r>
                            <w:r>
                              <w:rPr>
                                <w:i/>
                                <w:szCs w:val="24"/>
                                <w:vertAlign w:val="subscript"/>
                                <w:lang w:eastAsia="lt-LT"/>
                              </w:rPr>
                              <w:t>p</w:t>
                            </w:r>
                            <w:r>
                              <w:rPr>
                                <w:i/>
                                <w:szCs w:val="24"/>
                                <w:vertAlign w:val="superscript"/>
                                <w:lang w:eastAsia="lt-LT"/>
                              </w:rPr>
                              <w:t>-0,39</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9.</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Baseinai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·2474·A</w:t>
                            </w:r>
                            <w:r>
                              <w:rPr>
                                <w:i/>
                                <w:szCs w:val="24"/>
                                <w:vertAlign w:val="subscript"/>
                                <w:lang w:eastAsia="lt-LT"/>
                              </w:rPr>
                              <w:t>p</w:t>
                            </w:r>
                            <w:r>
                              <w:rPr>
                                <w:i/>
                                <w:szCs w:val="24"/>
                                <w:vertAlign w:val="superscript"/>
                                <w:lang w:eastAsia="lt-LT"/>
                              </w:rPr>
                              <w:t>-0,4</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·1897·A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·2185·A</w:t>
                            </w:r>
                            <w:r>
                              <w:rPr>
                                <w:i/>
                                <w:szCs w:val="24"/>
                                <w:vertAlign w:val="subscript"/>
                                <w:lang w:eastAsia="lt-LT"/>
                              </w:rPr>
                              <w:t>p</w:t>
                            </w:r>
                            <w:r>
                              <w:rPr>
                                <w:i/>
                                <w:szCs w:val="24"/>
                                <w:vertAlign w:val="superscript"/>
                                <w:lang w:eastAsia="lt-LT"/>
                              </w:rPr>
                              <w:t>-0,46</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·1969·A</w:t>
                            </w:r>
                            <w:r>
                              <w:rPr>
                                <w:i/>
                                <w:szCs w:val="24"/>
                                <w:vertAlign w:val="subscript"/>
                                <w:lang w:eastAsia="lt-LT"/>
                              </w:rPr>
                              <w:t>p</w:t>
                            </w:r>
                            <w:r>
                              <w:rPr>
                                <w:i/>
                                <w:szCs w:val="24"/>
                                <w:vertAlign w:val="superscript"/>
                                <w:lang w:eastAsia="lt-LT"/>
                              </w:rPr>
                              <w:t>-0,47</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10.</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Kultūros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·1214·A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·751·A</w:t>
                            </w:r>
                            <w:r>
                              <w:rPr>
                                <w:i/>
                                <w:szCs w:val="24"/>
                                <w:vertAlign w:val="subscript"/>
                                <w:lang w:eastAsia="lt-LT"/>
                              </w:rPr>
                              <w:t>p</w:t>
                            </w:r>
                            <w:r>
                              <w:rPr>
                                <w:i/>
                                <w:szCs w:val="24"/>
                                <w:vertAlign w:val="superscript"/>
                                <w:lang w:eastAsia="lt-LT"/>
                              </w:rPr>
                              <w:t>-0,36</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·797·A</w:t>
                            </w:r>
                            <w:r>
                              <w:rPr>
                                <w:i/>
                                <w:szCs w:val="24"/>
                                <w:vertAlign w:val="subscript"/>
                                <w:lang w:eastAsia="lt-LT"/>
                              </w:rPr>
                              <w:t>p</w:t>
                            </w:r>
                            <w:r>
                              <w:rPr>
                                <w:i/>
                                <w:szCs w:val="24"/>
                                <w:vertAlign w:val="superscript"/>
                                <w:lang w:eastAsia="lt-LT"/>
                              </w:rPr>
                              <w:t>-0,39</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vertAlign w:val="superscript"/>
                              </w:rPr>
                            </w:pPr>
                            <w:r>
                              <w:rPr>
                                <w:i/>
                                <w:szCs w:val="24"/>
                                <w:lang w:eastAsia="lt-LT"/>
                              </w:rPr>
                              <w:t>k</w:t>
                            </w:r>
                            <w:r>
                              <w:rPr>
                                <w:i/>
                                <w:szCs w:val="24"/>
                                <w:vertAlign w:val="subscript"/>
                                <w:lang w:eastAsia="lt-LT"/>
                              </w:rPr>
                              <w:t>h</w:t>
                            </w:r>
                            <w:r>
                              <w:rPr>
                                <w:i/>
                                <w:szCs w:val="24"/>
                                <w:lang w:eastAsia="lt-LT"/>
                              </w:rPr>
                              <w:t>·685·A</w:t>
                            </w:r>
                            <w:r>
                              <w:rPr>
                                <w:i/>
                                <w:szCs w:val="24"/>
                                <w:vertAlign w:val="subscript"/>
                                <w:lang w:eastAsia="lt-LT"/>
                              </w:rPr>
                              <w:t>p</w:t>
                            </w:r>
                            <w:r>
                              <w:rPr>
                                <w:i/>
                                <w:szCs w:val="24"/>
                                <w:vertAlign w:val="superscript"/>
                                <w:lang w:eastAsia="lt-LT"/>
                              </w:rPr>
                              <w:t>-0,4</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11.</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Garažų, gamybos ir pramonės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·545·A</w:t>
                            </w:r>
                            <w:r>
                              <w:rPr>
                                <w:i/>
                                <w:szCs w:val="24"/>
                                <w:vertAlign w:val="subscript"/>
                                <w:lang w:eastAsia="lt-LT"/>
                              </w:rPr>
                              <w:t>p</w:t>
                            </w:r>
                            <w:r>
                              <w:rPr>
                                <w:i/>
                                <w:szCs w:val="24"/>
                                <w:vertAlign w:val="superscript"/>
                                <w:lang w:eastAsia="lt-LT"/>
                              </w:rPr>
                              <w:t>-0,21</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·327·A</w:t>
                            </w:r>
                            <w:r>
                              <w:rPr>
                                <w:i/>
                                <w:szCs w:val="24"/>
                                <w:vertAlign w:val="subscript"/>
                                <w:lang w:eastAsia="lt-LT"/>
                              </w:rPr>
                              <w:t>p</w:t>
                            </w:r>
                            <w:r>
                              <w:rPr>
                                <w:i/>
                                <w:szCs w:val="24"/>
                                <w:vertAlign w:val="superscript"/>
                                <w:lang w:eastAsia="lt-LT"/>
                              </w:rPr>
                              <w:t>-0,18</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·250·A</w:t>
                            </w:r>
                            <w:r>
                              <w:rPr>
                                <w:i/>
                                <w:szCs w:val="24"/>
                                <w:vertAlign w:val="subscript"/>
                                <w:lang w:eastAsia="lt-LT"/>
                              </w:rPr>
                              <w:t>p</w:t>
                            </w:r>
                            <w:r>
                              <w:rPr>
                                <w:i/>
                                <w:szCs w:val="24"/>
                                <w:vertAlign w:val="superscript"/>
                                <w:lang w:eastAsia="lt-LT"/>
                              </w:rPr>
                              <w:t>-0,17</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·251·A</w:t>
                            </w:r>
                            <w:r>
                              <w:rPr>
                                <w:i/>
                                <w:szCs w:val="24"/>
                                <w:vertAlign w:val="subscript"/>
                                <w:lang w:eastAsia="lt-LT"/>
                              </w:rPr>
                              <w:t>p</w:t>
                            </w:r>
                            <w:r>
                              <w:rPr>
                                <w:i/>
                                <w:szCs w:val="24"/>
                                <w:vertAlign w:val="superscript"/>
                                <w:lang w:eastAsia="lt-LT"/>
                              </w:rPr>
                              <w:t>-0,19</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12.</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Sandėliavimo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·475·A</w:t>
                            </w:r>
                            <w:r>
                              <w:rPr>
                                <w:i/>
                                <w:szCs w:val="24"/>
                                <w:vertAlign w:val="subscript"/>
                                <w:lang w:eastAsia="lt-LT"/>
                              </w:rPr>
                              <w:t>p</w:t>
                            </w:r>
                            <w:r>
                              <w:rPr>
                                <w:i/>
                                <w:szCs w:val="24"/>
                                <w:vertAlign w:val="superscript"/>
                                <w:lang w:eastAsia="lt-LT"/>
                              </w:rPr>
                              <w:t>-0,2</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·290·A</w:t>
                            </w:r>
                            <w:r>
                              <w:rPr>
                                <w:i/>
                                <w:szCs w:val="24"/>
                                <w:vertAlign w:val="subscript"/>
                                <w:lang w:eastAsia="lt-LT"/>
                              </w:rPr>
                              <w:t>p</w:t>
                            </w:r>
                            <w:r>
                              <w:rPr>
                                <w:i/>
                                <w:szCs w:val="24"/>
                                <w:vertAlign w:val="superscript"/>
                                <w:lang w:eastAsia="lt-LT"/>
                              </w:rPr>
                              <w:t>-0,17</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·226·A</w:t>
                            </w:r>
                            <w:r>
                              <w:rPr>
                                <w:i/>
                                <w:szCs w:val="24"/>
                                <w:vertAlign w:val="subscript"/>
                                <w:lang w:eastAsia="lt-LT"/>
                              </w:rPr>
                              <w:t>p</w:t>
                            </w:r>
                            <w:r>
                              <w:rPr>
                                <w:i/>
                                <w:szCs w:val="24"/>
                                <w:vertAlign w:val="superscript"/>
                                <w:lang w:eastAsia="lt-LT"/>
                              </w:rPr>
                              <w:t>-0,16</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·225·A</w:t>
                            </w:r>
                            <w:r>
                              <w:rPr>
                                <w:i/>
                                <w:szCs w:val="24"/>
                                <w:vertAlign w:val="subscript"/>
                                <w:lang w:eastAsia="lt-LT"/>
                              </w:rPr>
                              <w:t>p</w:t>
                            </w:r>
                            <w:r>
                              <w:rPr>
                                <w:i/>
                                <w:szCs w:val="24"/>
                                <w:vertAlign w:val="superscript"/>
                                <w:lang w:eastAsia="lt-LT"/>
                              </w:rPr>
                              <w:t>-0,17</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13.</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Viešbučių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·660·A</w:t>
                            </w:r>
                            <w:r>
                              <w:rPr>
                                <w:i/>
                                <w:szCs w:val="24"/>
                                <w:vertAlign w:val="subscript"/>
                                <w:lang w:eastAsia="lt-LT"/>
                              </w:rPr>
                              <w:t>p</w:t>
                            </w:r>
                            <w:r>
                              <w:rPr>
                                <w:i/>
                                <w:szCs w:val="24"/>
                                <w:vertAlign w:val="superscript"/>
                                <w:lang w:eastAsia="lt-LT"/>
                              </w:rPr>
                              <w:t>-0,29</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·469·A</w:t>
                            </w:r>
                            <w:r>
                              <w:rPr>
                                <w:i/>
                                <w:szCs w:val="24"/>
                                <w:vertAlign w:val="subscript"/>
                                <w:lang w:eastAsia="lt-LT"/>
                              </w:rPr>
                              <w:t>p</w:t>
                            </w:r>
                            <w:r>
                              <w:rPr>
                                <w:i/>
                                <w:szCs w:val="24"/>
                                <w:vertAlign w:val="superscript"/>
                                <w:lang w:eastAsia="lt-LT"/>
                              </w:rPr>
                              <w:t>-0,31</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·457·A</w:t>
                            </w:r>
                            <w:r>
                              <w:rPr>
                                <w:i/>
                                <w:szCs w:val="24"/>
                                <w:vertAlign w:val="subscript"/>
                                <w:lang w:eastAsia="lt-LT"/>
                              </w:rPr>
                              <w:t>p</w:t>
                            </w:r>
                            <w:r>
                              <w:rPr>
                                <w:i/>
                                <w:szCs w:val="24"/>
                                <w:vertAlign w:val="superscript"/>
                                <w:lang w:eastAsia="lt-LT"/>
                              </w:rPr>
                              <w:t>-0,33</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·407·A</w:t>
                            </w:r>
                            <w:r>
                              <w:rPr>
                                <w:i/>
                                <w:szCs w:val="24"/>
                                <w:vertAlign w:val="subscript"/>
                                <w:lang w:eastAsia="lt-LT"/>
                              </w:rPr>
                              <w:t>p</w:t>
                            </w:r>
                            <w:r>
                              <w:rPr>
                                <w:i/>
                                <w:szCs w:val="24"/>
                                <w:vertAlign w:val="superscript"/>
                                <w:lang w:eastAsia="lt-LT"/>
                              </w:rPr>
                              <w:t>-0,34</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14.</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Paslaugų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·1079·A</w:t>
                            </w:r>
                            <w:r>
                              <w:rPr>
                                <w:i/>
                                <w:szCs w:val="24"/>
                                <w:vertAlign w:val="subscript"/>
                                <w:lang w:eastAsia="lt-LT"/>
                              </w:rPr>
                              <w:t>p</w:t>
                            </w:r>
                            <w:r>
                              <w:rPr>
                                <w:i/>
                                <w:szCs w:val="24"/>
                                <w:vertAlign w:val="superscript"/>
                                <w:lang w:eastAsia="lt-LT"/>
                              </w:rPr>
                              <w:t>-0,34</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-0,31</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·543·A</w:t>
                            </w:r>
                            <w:r>
                              <w:rPr>
                                <w:i/>
                                <w:szCs w:val="24"/>
                                <w:vertAlign w:val="subscript"/>
                                <w:lang w:eastAsia="lt-LT"/>
                              </w:rPr>
                              <w:t>p</w:t>
                            </w:r>
                            <w:r>
                              <w:rPr>
                                <w:i/>
                                <w:szCs w:val="24"/>
                                <w:vertAlign w:val="superscript"/>
                                <w:lang w:eastAsia="lt-LT"/>
                              </w:rPr>
                              <w:t>-0,31</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·448·A</w:t>
                            </w:r>
                            <w:r>
                              <w:rPr>
                                <w:i/>
                                <w:szCs w:val="24"/>
                                <w:vertAlign w:val="subscript"/>
                                <w:lang w:eastAsia="lt-LT"/>
                              </w:rPr>
                              <w:t>p</w:t>
                            </w:r>
                            <w:r>
                              <w:rPr>
                                <w:i/>
                                <w:szCs w:val="24"/>
                                <w:vertAlign w:val="superscript"/>
                                <w:lang w:eastAsia="lt-LT"/>
                              </w:rPr>
                              <w:t>-0,3</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15.</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Transporto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·1065·A</w:t>
                            </w:r>
                            <w:r>
                              <w:rPr>
                                <w:i/>
                                <w:szCs w:val="24"/>
                                <w:vertAlign w:val="subscript"/>
                                <w:lang w:eastAsia="lt-LT"/>
                              </w:rPr>
                              <w:t>p</w:t>
                            </w:r>
                            <w:r>
                              <w:rPr>
                                <w:i/>
                                <w:szCs w:val="24"/>
                                <w:vertAlign w:val="superscript"/>
                                <w:lang w:eastAsia="lt-LT"/>
                              </w:rPr>
                              <w:t>-0,36</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·653·A</w:t>
                            </w:r>
                            <w:r>
                              <w:rPr>
                                <w:i/>
                                <w:szCs w:val="24"/>
                                <w:vertAlign w:val="subscript"/>
                                <w:lang w:eastAsia="lt-LT"/>
                              </w:rPr>
                              <w:t>p</w:t>
                            </w:r>
                            <w:r>
                              <w:rPr>
                                <w:i/>
                                <w:szCs w:val="24"/>
                                <w:vertAlign w:val="superscript"/>
                                <w:lang w:eastAsia="lt-LT"/>
                              </w:rPr>
                              <w:t>-0,35</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·650·A</w:t>
                            </w:r>
                            <w:r>
                              <w:rPr>
                                <w:i/>
                                <w:szCs w:val="24"/>
                                <w:vertAlign w:val="subscript"/>
                                <w:lang w:eastAsia="lt-LT"/>
                              </w:rPr>
                              <w:t>p</w:t>
                            </w:r>
                            <w:r>
                              <w:rPr>
                                <w:i/>
                                <w:szCs w:val="24"/>
                                <w:vertAlign w:val="superscript"/>
                                <w:lang w:eastAsia="lt-LT"/>
                              </w:rPr>
                              <w:t>-0,37</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·563·A</w:t>
                            </w:r>
                            <w:r>
                              <w:rPr>
                                <w:i/>
                                <w:szCs w:val="24"/>
                                <w:vertAlign w:val="subscript"/>
                                <w:lang w:eastAsia="lt-LT"/>
                              </w:rPr>
                              <w:t>p</w:t>
                            </w:r>
                            <w:r>
                              <w:rPr>
                                <w:i/>
                                <w:szCs w:val="24"/>
                                <w:vertAlign w:val="superscript"/>
                                <w:lang w:eastAsia="lt-LT"/>
                              </w:rPr>
                              <w:t>-0,38</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16.</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Poilsio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·644·A</w:t>
                            </w:r>
                            <w:r>
                              <w:rPr>
                                <w:i/>
                                <w:szCs w:val="24"/>
                                <w:vertAlign w:val="subscript"/>
                                <w:lang w:eastAsia="lt-LT"/>
                              </w:rPr>
                              <w:t>p</w:t>
                            </w:r>
                            <w:r>
                              <w:rPr>
                                <w:i/>
                                <w:szCs w:val="24"/>
                                <w:vertAlign w:val="superscript"/>
                                <w:lang w:eastAsia="lt-LT"/>
                              </w:rPr>
                              <w:t>-0,3</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·396·A</w:t>
                            </w:r>
                            <w:r>
                              <w:rPr>
                                <w:i/>
                                <w:szCs w:val="24"/>
                                <w:vertAlign w:val="subscript"/>
                                <w:lang w:eastAsia="lt-LT"/>
                              </w:rPr>
                              <w:t>p</w:t>
                            </w:r>
                            <w:r>
                              <w:rPr>
                                <w:i/>
                                <w:szCs w:val="24"/>
                                <w:vertAlign w:val="superscript"/>
                                <w:lang w:eastAsia="lt-LT"/>
                              </w:rPr>
                              <w:t>-0,3</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·365·A</w:t>
                            </w:r>
                            <w:r>
                              <w:rPr>
                                <w:i/>
                                <w:szCs w:val="24"/>
                                <w:vertAlign w:val="subscript"/>
                                <w:lang w:eastAsia="lt-LT"/>
                              </w:rPr>
                              <w:t>p</w:t>
                            </w:r>
                            <w:r>
                              <w:rPr>
                                <w:i/>
                                <w:szCs w:val="24"/>
                                <w:vertAlign w:val="superscript"/>
                                <w:lang w:eastAsia="lt-LT"/>
                              </w:rPr>
                              <w:t>-0,31</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·314·A</w:t>
                            </w:r>
                            <w:r>
                              <w:rPr>
                                <w:i/>
                                <w:szCs w:val="24"/>
                                <w:vertAlign w:val="subscript"/>
                                <w:lang w:eastAsia="lt-LT"/>
                              </w:rPr>
                              <w:t>p</w:t>
                            </w:r>
                            <w:r>
                              <w:rPr>
                                <w:i/>
                                <w:szCs w:val="24"/>
                                <w:vertAlign w:val="superscript"/>
                                <w:lang w:eastAsia="lt-LT"/>
                              </w:rPr>
                              <w:t>-0,32</w:t>
                            </w:r>
                          </w:p>
                        </w:tc>
                      </w:tr>
                      <w:tr>
                        <w:trPr>
                          <w:trHeight w:val="20"/>
                        </w:trPr>
                        <w:tc>
                          <w:tcPr>
                            <w:tcW w:w="316" w:type="pct"/>
                            <w:tcBorders>
                              <w:top w:val="single" w:sz="4" w:space="0" w:color="auto"/>
                              <w:left w:val="single" w:sz="4" w:space="0" w:color="auto"/>
                              <w:bottom w:val="single" w:sz="4" w:space="0" w:color="auto"/>
                              <w:right w:val="single" w:sz="4" w:space="0" w:color="auto"/>
                            </w:tcBorders>
                            <w:noWrap/>
                            <w:vAlign w:val="center"/>
                            <w:hideMark/>
                          </w:tcPr>
                          <w:p>
                            <w:pPr>
                              <w:suppressAutoHyphens/>
                              <w:spacing w:line="276" w:lineRule="auto"/>
                              <w:jc w:val="center"/>
                              <w:rPr>
                                <w:rFonts w:eastAsia="Calibri"/>
                                <w:szCs w:val="24"/>
                              </w:rPr>
                            </w:pPr>
                            <w:r>
                              <w:rPr>
                                <w:szCs w:val="24"/>
                                <w:lang w:eastAsia="lt-LT"/>
                              </w:rPr>
                              <w:t>17.</w:t>
                            </w:r>
                          </w:p>
                        </w:tc>
                        <w:tc>
                          <w:tcPr>
                            <w:tcW w:w="1133"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Specialiosios paskirties pastatai</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·1351·A</w:t>
                            </w:r>
                            <w:r>
                              <w:rPr>
                                <w:i/>
                                <w:szCs w:val="24"/>
                                <w:vertAlign w:val="subscript"/>
                                <w:lang w:eastAsia="lt-LT"/>
                              </w:rPr>
                              <w:t>p</w:t>
                            </w:r>
                            <w:r>
                              <w:rPr>
                                <w:i/>
                                <w:szCs w:val="24"/>
                                <w:vertAlign w:val="superscript"/>
                                <w:lang w:eastAsia="lt-LT"/>
                              </w:rPr>
                              <w:t>-0,41</w:t>
                            </w:r>
                          </w:p>
                        </w:tc>
                        <w:tc>
                          <w:tcPr>
                            <w:tcW w:w="887"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·887·A</w:t>
                            </w:r>
                            <w:r>
                              <w:rPr>
                                <w:i/>
                                <w:szCs w:val="24"/>
                                <w:vertAlign w:val="subscript"/>
                                <w:lang w:eastAsia="lt-LT"/>
                              </w:rPr>
                              <w:t>p</w:t>
                            </w:r>
                            <w:r>
                              <w:rPr>
                                <w:i/>
                                <w:szCs w:val="24"/>
                                <w:vertAlign w:val="superscript"/>
                                <w:lang w:eastAsia="lt-LT"/>
                              </w:rPr>
                              <w:t>-0,41</w:t>
                            </w:r>
                          </w:p>
                        </w:tc>
                        <w:tc>
                          <w:tcPr>
                            <w:tcW w:w="888"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·884·A</w:t>
                            </w:r>
                            <w:r>
                              <w:rPr>
                                <w:i/>
                                <w:szCs w:val="24"/>
                                <w:vertAlign w:val="subscript"/>
                                <w:lang w:eastAsia="lt-LT"/>
                              </w:rPr>
                              <w:t>p</w:t>
                            </w:r>
                            <w:r>
                              <w:rPr>
                                <w:i/>
                                <w:szCs w:val="24"/>
                                <w:vertAlign w:val="superscript"/>
                                <w:lang w:eastAsia="lt-LT"/>
                              </w:rPr>
                              <w:t>-0,44</w:t>
                            </w:r>
                          </w:p>
                        </w:tc>
                        <w:tc>
                          <w:tcPr>
                            <w:tcW w:w="88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k</w:t>
                            </w:r>
                            <w:r>
                              <w:rPr>
                                <w:i/>
                                <w:szCs w:val="24"/>
                                <w:vertAlign w:val="subscript"/>
                                <w:lang w:eastAsia="lt-LT"/>
                              </w:rPr>
                              <w:t>h</w:t>
                            </w:r>
                            <w:r>
                              <w:rPr>
                                <w:i/>
                                <w:szCs w:val="24"/>
                                <w:lang w:eastAsia="lt-LT"/>
                              </w:rPr>
                              <w:t>·789·A</w:t>
                            </w:r>
                            <w:r>
                              <w:rPr>
                                <w:i/>
                                <w:szCs w:val="24"/>
                                <w:vertAlign w:val="subscript"/>
                                <w:lang w:eastAsia="lt-LT"/>
                              </w:rPr>
                              <w:t>p</w:t>
                            </w:r>
                            <w:r>
                              <w:rPr>
                                <w:i/>
                                <w:szCs w:val="24"/>
                                <w:vertAlign w:val="superscript"/>
                                <w:lang w:eastAsia="lt-LT"/>
                              </w:rPr>
                              <w:t>-0,45</w:t>
                            </w:r>
                          </w:p>
                        </w:tc>
                      </w:tr>
                    </w:tbl>
                    <w:p>
                      <w:pPr>
                        <w:suppressAutoHyphens/>
                        <w:rPr>
                          <w:rFonts w:eastAsia="Calibri"/>
                          <w:szCs w:val="22"/>
                        </w:rPr>
                      </w:pPr>
                    </w:p>
                    <w:p>
                      <w:pPr>
                        <w:suppressAutoHyphens/>
                        <w:jc w:val="center"/>
                        <w:rPr>
                          <w:b/>
                          <w:lang w:eastAsia="lt-LT"/>
                        </w:rPr>
                      </w:pPr>
                      <w:r>
                        <w:rPr>
                          <w:b/>
                          <w:lang w:eastAsia="lt-LT"/>
                        </w:rPr>
                        <w:t xml:space="preserve">Pataisos koeficientas </w:t>
                      </w:r>
                      <w:r>
                        <w:rPr>
                          <w:b/>
                          <w:i/>
                          <w:lang w:eastAsia="lt-LT"/>
                        </w:rPr>
                        <w:t>k</w:t>
                      </w:r>
                      <w:r>
                        <w:rPr>
                          <w:b/>
                          <w:i/>
                          <w:vertAlign w:val="subscript"/>
                          <w:lang w:eastAsia="lt-LT"/>
                        </w:rPr>
                        <w:t>h</w:t>
                      </w:r>
                      <w:r>
                        <w:rPr>
                          <w:b/>
                          <w:lang w:eastAsia="lt-LT"/>
                        </w:rPr>
                        <w:t xml:space="preserve"> (vnt.) B, A, A+ ir A++ energinio naudingumo klasės pastatų (jų dalių) norminėms šiluminės energijos sąnaudoms pastatui (jo daliai) šildyti skaičiuoti</w:t>
                      </w:r>
                    </w:p>
                    <w:p>
                      <w:pPr>
                        <w:tabs>
                          <w:tab w:val="num" w:pos="360"/>
                        </w:tabs>
                        <w:suppressAutoHyphens/>
                        <w:jc w:val="right"/>
                        <w:rPr>
                          <w:lang w:eastAsia="lt-LT"/>
                        </w:rPr>
                      </w:pPr>
                      <w:r>
                        <w:rPr>
                          <w:lang w:eastAsia="lt-LT"/>
                        </w:rPr>
                        <w:t>2.50 lentelė</w:t>
                      </w:r>
                    </w:p>
                    <w:tbl>
                      <w:tblPr>
                        <w:tblW w:w="9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
                        <w:gridCol w:w="3032"/>
                        <w:gridCol w:w="1509"/>
                        <w:gridCol w:w="1545"/>
                        <w:gridCol w:w="1383"/>
                        <w:gridCol w:w="1378"/>
                      </w:tblGrid>
                      <w:tr>
                        <w:trPr>
                          <w:trHeight w:val="20"/>
                          <w:tblHeader/>
                        </w:trPr>
                        <w:tc>
                          <w:tcPr>
                            <w:tcW w:w="299" w:type="pct"/>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right="-27" w:firstLine="30"/>
                              <w:jc w:val="center"/>
                              <w:rPr>
                                <w:szCs w:val="24"/>
                              </w:rPr>
                            </w:pPr>
                            <w:r>
                              <w:rPr>
                                <w:szCs w:val="24"/>
                                <w:lang w:eastAsia="lt-LT"/>
                              </w:rPr>
                              <w:t>Eil. Nr.</w:t>
                            </w:r>
                          </w:p>
                        </w:tc>
                        <w:tc>
                          <w:tcPr>
                            <w:tcW w:w="1611"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Pastato paskirtis</w:t>
                            </w:r>
                          </w:p>
                        </w:tc>
                        <w:tc>
                          <w:tcPr>
                            <w:tcW w:w="3090" w:type="pct"/>
                            <w:gridSpan w:val="4"/>
                            <w:tcBorders>
                              <w:top w:val="single" w:sz="4" w:space="0" w:color="auto"/>
                              <w:left w:val="single" w:sz="4" w:space="0" w:color="auto"/>
                              <w:bottom w:val="single" w:sz="4" w:space="0" w:color="auto"/>
                              <w:right w:val="single" w:sz="4" w:space="0" w:color="auto"/>
                            </w:tcBorders>
                            <w:hideMark/>
                          </w:tcPr>
                          <w:p>
                            <w:pPr>
                              <w:suppressAutoHyphens/>
                              <w:spacing w:line="276" w:lineRule="auto"/>
                              <w:ind w:left="-57" w:right="-57"/>
                              <w:jc w:val="center"/>
                              <w:rPr>
                                <w:rFonts w:eastAsia="Calibri"/>
                                <w:i/>
                                <w:szCs w:val="24"/>
                              </w:rPr>
                            </w:pPr>
                            <w:r>
                              <w:rPr>
                                <w:szCs w:val="24"/>
                                <w:lang w:eastAsia="lt-LT"/>
                              </w:rPr>
                              <w:t xml:space="preserve">Koeficientas </w:t>
                            </w:r>
                            <w:r>
                              <w:rPr>
                                <w:i/>
                                <w:szCs w:val="24"/>
                                <w:lang w:eastAsia="lt-LT"/>
                              </w:rPr>
                              <w:t>k</w:t>
                            </w:r>
                            <w:r>
                              <w:rPr>
                                <w:i/>
                                <w:szCs w:val="24"/>
                                <w:vertAlign w:val="subscript"/>
                                <w:lang w:eastAsia="lt-LT"/>
                              </w:rPr>
                              <w:t>h</w:t>
                            </w:r>
                            <w:r>
                              <w:rPr>
                                <w:szCs w:val="24"/>
                                <w:lang w:eastAsia="lt-LT"/>
                              </w:rPr>
                              <w:t xml:space="preserve"> (vnt.)  B, A, A+ ir A++ energinio naudingumo klasių pastatams </w:t>
                            </w:r>
                          </w:p>
                        </w:tc>
                      </w:tr>
                      <w:tr>
                        <w:trPr>
                          <w:trHeight w:val="20"/>
                          <w:tblHeader/>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03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rPr>
                            </w:pPr>
                          </w:p>
                        </w:tc>
                        <w:tc>
                          <w:tcPr>
                            <w:tcW w:w="802"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57" w:right="-57"/>
                              <w:jc w:val="center"/>
                              <w:rPr>
                                <w:rFonts w:eastAsia="Calibri"/>
                                <w:szCs w:val="24"/>
                              </w:rPr>
                            </w:pPr>
                            <w:r>
                              <w:rPr>
                                <w:szCs w:val="24"/>
                                <w:lang w:eastAsia="lt-LT"/>
                              </w:rPr>
                              <w:t>B</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jc w:val="center"/>
                              <w:rPr>
                                <w:rFonts w:eastAsia="Calibri"/>
                                <w:szCs w:val="24"/>
                              </w:rPr>
                            </w:pPr>
                            <w:r>
                              <w:rPr>
                                <w:szCs w:val="24"/>
                                <w:lang w:eastAsia="lt-LT"/>
                              </w:rPr>
                              <w:t>A++</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Gyvenamosios paskirties vieno ir dviejų butų pastatai (namai)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2.</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Kiti gyvenamosios paskirties pastatai (namai)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3.</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Administracinės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4.</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Mokslo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5.</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Gydymo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6.</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Maitinimo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7.</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 xml:space="preserve">Prekybos paskirties pastatai </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0,14·h+0,48</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0,14·h+0,46</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0,14·h+0,49</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hanging="51"/>
                              <w:jc w:val="center"/>
                              <w:rPr>
                                <w:rFonts w:eastAsia="Calibri"/>
                                <w:i/>
                                <w:szCs w:val="24"/>
                              </w:rPr>
                            </w:pPr>
                            <w:r>
                              <w:rPr>
                                <w:i/>
                                <w:szCs w:val="24"/>
                                <w:lang w:eastAsia="lt-LT"/>
                              </w:rPr>
                              <w:t>0,14·h+0,47</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8.</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Sporto paskirties pastatai, išskyrus baseinus</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0,14·h+0,48</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0,14·h+0,49</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0,11·h+0,56</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0,12·h+0,53</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9.</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Baseinai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0,16·h+0,36</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0,14·h+0,45</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0,13·h+0,49</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0,13·h+0,51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10.</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Kultūros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0,18·h+0,3</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0,19·h+0,28</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vertAlign w:val="superscript"/>
                              </w:rPr>
                            </w:pPr>
                            <w:r>
                              <w:rPr>
                                <w:i/>
                                <w:szCs w:val="24"/>
                                <w:lang w:eastAsia="lt-LT"/>
                              </w:rPr>
                              <w:t>0,18·h+0,32</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vertAlign w:val="superscript"/>
                              </w:rPr>
                            </w:pPr>
                            <w:r>
                              <w:rPr>
                                <w:i/>
                                <w:szCs w:val="24"/>
                                <w:lang w:eastAsia="lt-LT"/>
                              </w:rPr>
                              <w:t>0,19·h+0,29</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11.</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Garažų, gamybos ir pramonės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both"/>
                              <w:rPr>
                                <w:rFonts w:eastAsia="Calibri"/>
                                <w:i/>
                                <w:szCs w:val="24"/>
                              </w:rPr>
                            </w:pPr>
                            <w:r>
                              <w:rPr>
                                <w:i/>
                                <w:szCs w:val="24"/>
                                <w:lang w:eastAsia="lt-LT"/>
                              </w:rPr>
                              <w:t>0,09·h+0,65</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both"/>
                              <w:rPr>
                                <w:rFonts w:eastAsia="Calibri"/>
                                <w:i/>
                                <w:szCs w:val="24"/>
                              </w:rPr>
                            </w:pPr>
                            <w:r>
                              <w:rPr>
                                <w:i/>
                                <w:szCs w:val="24"/>
                                <w:lang w:eastAsia="lt-LT"/>
                              </w:rPr>
                              <w:t>0,09·h+0,67</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both"/>
                              <w:rPr>
                                <w:rFonts w:eastAsia="Calibri"/>
                                <w:i/>
                                <w:szCs w:val="24"/>
                              </w:rPr>
                            </w:pPr>
                            <w:r>
                              <w:rPr>
                                <w:i/>
                                <w:szCs w:val="24"/>
                                <w:lang w:eastAsia="lt-LT"/>
                              </w:rPr>
                              <w:t>0,08·h+0,69</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10"/>
                              <w:jc w:val="both"/>
                              <w:rPr>
                                <w:rFonts w:eastAsia="Calibri"/>
                                <w:i/>
                                <w:szCs w:val="24"/>
                              </w:rPr>
                            </w:pPr>
                            <w:r>
                              <w:rPr>
                                <w:i/>
                                <w:szCs w:val="24"/>
                                <w:lang w:eastAsia="lt-LT"/>
                              </w:rPr>
                              <w:t>0,09·h+0,66</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12.</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Sandėliavimo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0,09·h+0,68</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0,08·h+0,69</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0,08·h+0,71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0,08·h+0,7</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13.</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Viešbučių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14.</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Paslaugų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0,15·h+0,47</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0,13·h+0,53</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0,11·h+0,64</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0,11·h+0,65</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15.</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Transporto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0,18·h+0,44</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0,17·h+0,44</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0,16·h+0,5</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0,17·h+0,47</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16.</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Poilsio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r>
                        <w:trPr>
                          <w:trHeight w:val="20"/>
                        </w:trP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firstLine="30"/>
                              <w:jc w:val="center"/>
                              <w:rPr>
                                <w:szCs w:val="24"/>
                              </w:rPr>
                            </w:pPr>
                            <w:r>
                              <w:rPr>
                                <w:szCs w:val="24"/>
                                <w:lang w:eastAsia="lt-LT"/>
                              </w:rPr>
                              <w:t>17.</w:t>
                            </w:r>
                          </w:p>
                        </w:tc>
                        <w:tc>
                          <w:tcPr>
                            <w:tcW w:w="161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firstLine="30"/>
                              <w:jc w:val="center"/>
                              <w:rPr>
                                <w:rFonts w:eastAsia="Calibri"/>
                                <w:szCs w:val="24"/>
                              </w:rPr>
                            </w:pPr>
                            <w:r>
                              <w:rPr>
                                <w:szCs w:val="24"/>
                                <w:lang w:eastAsia="lt-LT"/>
                              </w:rPr>
                              <w:t>Specialiosios paskirties pastatai</w:t>
                            </w:r>
                          </w:p>
                        </w:tc>
                        <w:tc>
                          <w:tcPr>
                            <w:tcW w:w="80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82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5"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c>
                          <w:tcPr>
                            <w:tcW w:w="732"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ind w:left="-57" w:right="-57" w:firstLine="57"/>
                              <w:jc w:val="center"/>
                              <w:rPr>
                                <w:rFonts w:eastAsia="Calibri"/>
                                <w:i/>
                                <w:szCs w:val="24"/>
                              </w:rPr>
                            </w:pPr>
                            <w:r>
                              <w:rPr>
                                <w:i/>
                                <w:szCs w:val="24"/>
                                <w:lang w:eastAsia="lt-LT"/>
                              </w:rPr>
                              <w:t>1</w:t>
                            </w:r>
                          </w:p>
                        </w:tc>
                      </w:tr>
                    </w:tbl>
                    <w:p>
                      <w:pPr>
                        <w:suppressAutoHyphens/>
                      </w:pPr>
                    </w:p>
                    <w:p>
                      <w:pPr>
                        <w:suppressAutoHyphens/>
                        <w:rPr>
                          <w:rFonts w:eastAsia="Calibri"/>
                          <w:color w:val="000000"/>
                          <w:szCs w:val="22"/>
                          <w:lang w:eastAsia="lt-LT"/>
                        </w:rPr>
                      </w:pPr>
                      <w:r>
                        <w:rPr>
                          <w:color w:val="000000"/>
                          <w:lang w:eastAsia="lt-LT"/>
                        </w:rPr>
                        <w:t xml:space="preserve">čia lentelėje:  h – vidutinis pastato (jo dalies) šildomų patalpų aukštis (m). Apskaičiuojamas taip:</w:t>
                      </w:r>
                    </w:p>
                    <w:tbl>
                      <w:tblPr>
                        <w:tblW w:w="0" w:type="auto"/>
                        <w:jc w:val="center"/>
                        <w:tblLook w:val="01E0" w:firstRow="1" w:lastRow="1" w:firstColumn="1" w:lastColumn="1" w:noHBand="0" w:noVBand="0"/>
                      </w:tblPr>
                      <w:tblGrid>
                        <w:gridCol w:w="8568"/>
                        <w:gridCol w:w="1002"/>
                      </w:tblGrid>
                      <w:tr>
                        <w:trPr>
                          <w:jc w:val="center"/>
                        </w:trPr>
                        <w:tc>
                          <w:tcPr>
                            <w:tcW w:w="8568" w:type="dxa"/>
                            <w:vAlign w:val="center"/>
                            <w:hideMark/>
                          </w:tcPr>
                          <w:p>
                            <w:pPr>
                              <w:suppressAutoHyphens/>
                              <w:ind w:left="2552"/>
                              <w:jc w:val="both"/>
                              <w:rPr>
                                <w:color w:val="000000"/>
                                <w:szCs w:val="24"/>
                              </w:rPr>
                            </w:pPr>
                            <w:r>
                              <w:rPr>
                                <w:color w:val="000000"/>
                                <w:szCs w:val="24"/>
                              </w:rPr>
                              <w:object w:dxaOrig="840" w:dyaOrig="730">
                                <v:shape id="_x0000_i1847" type="#_x0000_t75" style="width:42.05pt;height:37.2pt" o:ole="">
                                  <v:imagedata r:id="rId1662" o:title=""/>
                                </v:shape>
                                <o:OLEObject Type="Embed" ProgID="Equation.3" ShapeID="_x0000_i1847" DrawAspect="Content" ObjectID="_0000000001" r:id="rId1663"/>
                              </w:object>
                            </w:r>
                            <w:r>
                              <w:rPr>
                                <w:color w:val="000000"/>
                                <w:szCs w:val="24"/>
                                <w:lang w:eastAsia="lt-LT"/>
                              </w:rPr>
                              <w:t>,</w:t>
                            </w:r>
                          </w:p>
                        </w:tc>
                        <w:tc>
                          <w:tcPr>
                            <w:tcW w:w="1002" w:type="dxa"/>
                            <w:vAlign w:val="center"/>
                            <w:hideMark/>
                          </w:tcPr>
                          <w:p>
                            <w:pPr>
                              <w:suppressAutoHyphens/>
                              <w:jc w:val="both"/>
                              <w:rPr>
                                <w:color w:val="000000"/>
                                <w:szCs w:val="24"/>
                              </w:rPr>
                            </w:pPr>
                            <w:r>
                              <w:rPr>
                                <w:color w:val="000000"/>
                                <w:szCs w:val="24"/>
                                <w:lang w:eastAsia="lt-LT"/>
                              </w:rPr>
                              <w:t>(2.618)</w:t>
                            </w:r>
                          </w:p>
                        </w:tc>
                      </w:tr>
                    </w:tbl>
                    <w:p>
                      <w:pPr>
                        <w:suppressAutoHyphens/>
                        <w:rPr>
                          <w:color w:val="000000"/>
                        </w:rPr>
                      </w:pPr>
                    </w:p>
                    <w:p>
                      <w:pPr>
                        <w:suppressAutoHyphens/>
                        <w:ind w:left="720"/>
                        <w:rPr>
                          <w:color w:val="000000"/>
                          <w:lang w:eastAsia="lt-LT"/>
                        </w:rPr>
                      </w:pPr>
                      <w:r>
                        <w:rPr>
                          <w:color w:val="000000"/>
                          <w:lang w:eastAsia="lt-LT"/>
                        </w:rPr>
                        <w:t>čia:</w:t>
                        <w:tab/>
                      </w: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(jo dalies) šildomų patalpų tūris (m³);</w:t>
                      </w:r>
                    </w:p>
                  </w:sdtContent>
                </w:sdt>
                <w:sdt>
                  <w:sdtPr>
                    <w:alias w:val="2 pr. 93.2 pp."/>
                    <w:tag w:val="part_e166bed0359f49998e9608bb50cb6470"/>
                    <w:lock w:val="sdtLocked"/>
                    <w:richText/>
                  </w:sdtPr>
                  <w:sdtContent>
                    <w:p>
                      <w:pPr>
                        <w:suppressAutoHyphens/>
                        <w:ind w:firstLine="720"/>
                        <w:jc w:val="both"/>
                        <w:rPr>
                          <w:szCs w:val="24"/>
                          <w:lang w:eastAsia="lt-LT"/>
                        </w:rPr>
                      </w:pPr>
                      <w:sdt>
                        <w:sdtPr>
                          <w:alias w:val="Numeris"/>
                          <w:tag w:val="nr_e166bed0359f49998e9608bb50cb6470"/>
                          <w:lock w:val="sdtLocked"/>
                          <w:richText/>
                        </w:sdtPr>
                        <w:sdtContent>
                          <w:r>
                            <w:rPr>
                              <w:szCs w:val="24"/>
                              <w:lang w:eastAsia="lt-LT"/>
                            </w:rPr>
                            <w:t>93.2</w:t>
                          </w:r>
                        </w:sdtContent>
                      </w:sdt>
                      <w:r>
                        <w:rPr>
                          <w:szCs w:val="24"/>
                          <w:lang w:eastAsia="lt-LT"/>
                        </w:rPr>
                        <w:t xml:space="preserve">. C, B, A, A+ arba A++ energinio naudingumo klasės pastatų (jų dalių) pirminės energijos sąnaudos </w:t>
                      </w:r>
                      <w:r>
                        <w:rPr>
                          <w:i/>
                          <w:szCs w:val="24"/>
                          <w:lang w:eastAsia="lt-LT"/>
                        </w:rPr>
                        <w:t>Q</w:t>
                      </w:r>
                      <w:r>
                        <w:rPr>
                          <w:i/>
                          <w:szCs w:val="24"/>
                          <w:vertAlign w:val="subscript"/>
                          <w:lang w:eastAsia="lt-LT"/>
                        </w:rPr>
                        <w:t>PR</w:t>
                      </w:r>
                      <w:r>
                        <w:rPr>
                          <w:szCs w:val="24"/>
                          <w:lang w:eastAsia="lt-LT"/>
                        </w:rPr>
                        <w:t xml:space="preserve"> (kWh/(m</w:t>
                      </w:r>
                      <w:r>
                        <w:rPr>
                          <w:szCs w:val="24"/>
                          <w:vertAlign w:val="superscript"/>
                          <w:lang w:eastAsia="lt-LT"/>
                        </w:rPr>
                        <w:t>2</w:t>
                      </w:r>
                      <w:r>
                        <w:rPr>
                          <w:szCs w:val="24"/>
                          <w:lang w:eastAsia="lt-LT"/>
                        </w:rPr>
                        <w:t xml:space="preserve">·metai)), apskaičiuotos pagal (2.594-2) formulę, turi neviršyti 2.51 lentelėje nurodytų norminių pirminės energijos sąnaudų </w:t>
                      </w:r>
                      <w:r>
                        <w:rPr>
                          <w:i/>
                          <w:szCs w:val="24"/>
                          <w:lang w:eastAsia="lt-LT"/>
                        </w:rPr>
                        <w:t>Q</w:t>
                      </w:r>
                      <w:r>
                        <w:rPr>
                          <w:i/>
                          <w:szCs w:val="24"/>
                          <w:vertAlign w:val="subscript"/>
                          <w:lang w:eastAsia="lt-LT"/>
                        </w:rPr>
                        <w:t>PR.N</w:t>
                      </w:r>
                      <w:r>
                        <w:rPr>
                          <w:szCs w:val="24"/>
                          <w:lang w:eastAsia="lt-LT"/>
                        </w:rPr>
                        <w:t xml:space="preserve"> (kWh/(m</w:t>
                      </w:r>
                      <w:r>
                        <w:rPr>
                          <w:szCs w:val="24"/>
                          <w:vertAlign w:val="superscript"/>
                          <w:lang w:eastAsia="lt-LT"/>
                        </w:rPr>
                        <w:t>2</w:t>
                      </w:r>
                      <w:r>
                        <w:rPr>
                          <w:szCs w:val="24"/>
                          <w:lang w:eastAsia="lt-LT"/>
                        </w:rPr>
                        <w:t>·metai)). D, E, F ir G energinio naudingumo klasės pastatams norminėms pirminės energijos sąnaudoms reikalavimai nekeliami.</w:t>
                      </w:r>
                    </w:p>
                    <w:p>
                      <w:pPr>
                        <w:suppressAutoHyphens/>
                        <w:ind w:firstLine="720"/>
                        <w:jc w:val="both"/>
                        <w:rPr>
                          <w:color w:val="000000"/>
                          <w:lang w:eastAsia="lt-LT"/>
                        </w:rPr>
                      </w:pPr>
                    </w:p>
                    <w:p>
                      <w:pPr>
                        <w:suppressAutoHyphens/>
                        <w:jc w:val="center"/>
                        <w:rPr>
                          <w:b/>
                          <w:lang w:eastAsia="lt-LT"/>
                        </w:rPr>
                      </w:pPr>
                      <w:r>
                        <w:rPr>
                          <w:b/>
                          <w:lang w:eastAsia="lt-LT"/>
                        </w:rPr>
                        <w:t xml:space="preserve">C, B, A, A+ ir A++ energinio naudingumo klasės pastatų (jų dalių) norminės pirminės energijos sąnaudos </w:t>
                      </w:r>
                    </w:p>
                    <w:p>
                      <w:pPr>
                        <w:tabs>
                          <w:tab w:val="num" w:pos="360"/>
                        </w:tabs>
                        <w:suppressAutoHyphens/>
                        <w:jc w:val="right"/>
                        <w:rPr>
                          <w:lang w:eastAsia="lt-LT"/>
                        </w:rPr>
                      </w:pPr>
                      <w:r>
                        <w:rPr>
                          <w:lang w:eastAsia="lt-LT"/>
                        </w:rPr>
                        <w:t>2.51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891"/>
                        <w:gridCol w:w="1479"/>
                        <w:gridCol w:w="1480"/>
                        <w:gridCol w:w="1480"/>
                        <w:gridCol w:w="1482"/>
                        <w:gridCol w:w="1486"/>
                      </w:tblGrid>
                      <w:tr>
                        <w:trPr>
                          <w:trHeight w:val="20"/>
                          <w:tblHeader/>
                        </w:trPr>
                        <w:tc>
                          <w:tcPr>
                            <w:tcW w:w="269" w:type="pct"/>
                            <w:vMerge w:val="restar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Eil.</w:t>
                            </w:r>
                          </w:p>
                          <w:p>
                            <w:pPr>
                              <w:suppressAutoHyphens/>
                              <w:jc w:val="center"/>
                              <w:rPr>
                                <w:rFonts w:eastAsia="Calibri"/>
                                <w:szCs w:val="24"/>
                                <w:lang w:eastAsia="lt-LT"/>
                              </w:rPr>
                            </w:pPr>
                            <w:r>
                              <w:rPr>
                                <w:szCs w:val="24"/>
                                <w:lang w:eastAsia="lt-LT"/>
                              </w:rPr>
                              <w:t>Nr.</w:t>
                            </w:r>
                          </w:p>
                        </w:tc>
                        <w:tc>
                          <w:tcPr>
                            <w:tcW w:w="962"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Pastato paskirtis</w:t>
                            </w:r>
                          </w:p>
                        </w:tc>
                        <w:tc>
                          <w:tcPr>
                            <w:tcW w:w="3769" w:type="pct"/>
                            <w:gridSpan w:val="5"/>
                            <w:tcBorders>
                              <w:top w:val="single" w:sz="4" w:space="0" w:color="auto"/>
                              <w:left w:val="single" w:sz="4" w:space="0" w:color="auto"/>
                              <w:bottom w:val="single" w:sz="4" w:space="0" w:color="auto"/>
                              <w:right w:val="single" w:sz="4" w:space="0" w:color="auto"/>
                            </w:tcBorders>
                            <w:hideMark/>
                          </w:tcPr>
                          <w:p>
                            <w:pPr>
                              <w:suppressAutoHyphens/>
                              <w:ind w:left="-57" w:right="-57"/>
                              <w:jc w:val="center"/>
                              <w:rPr>
                                <w:rFonts w:eastAsia="Calibri"/>
                                <w:i/>
                                <w:szCs w:val="24"/>
                                <w:lang w:eastAsia="lt-LT"/>
                              </w:rPr>
                            </w:pPr>
                            <w:r>
                              <w:rPr>
                                <w:szCs w:val="24"/>
                                <w:lang w:eastAsia="lt-LT"/>
                              </w:rPr>
                              <w:t xml:space="preserve">C, B, A, A+ ir A++ energinio naudingumo klasių pastatų norminės pirminės energijos sąnaudos </w:t>
                            </w:r>
                            <w:r>
                              <w:rPr>
                                <w:i/>
                                <w:szCs w:val="24"/>
                                <w:lang w:eastAsia="lt-LT"/>
                              </w:rPr>
                              <w:t>Q</w:t>
                            </w:r>
                            <w:r>
                              <w:rPr>
                                <w:i/>
                                <w:szCs w:val="24"/>
                                <w:vertAlign w:val="subscript"/>
                                <w:lang w:eastAsia="lt-LT"/>
                              </w:rPr>
                              <w:t>PR.N</w:t>
                            </w:r>
                            <w:r>
                              <w:rPr>
                                <w:szCs w:val="24"/>
                                <w:lang w:eastAsia="lt-LT"/>
                              </w:rPr>
                              <w:t xml:space="preserve"> (kWh/(m² metai))</w:t>
                            </w:r>
                          </w:p>
                        </w:tc>
                      </w:tr>
                      <w:tr>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lt-LT"/>
                              </w:rPr>
                            </w:pPr>
                          </w:p>
                        </w:tc>
                        <w:tc>
                          <w:tcPr>
                            <w:tcW w:w="753" w:type="pct"/>
                            <w:tcBorders>
                              <w:top w:val="single" w:sz="4" w:space="0" w:color="auto"/>
                              <w:left w:val="single" w:sz="4" w:space="0" w:color="auto"/>
                              <w:bottom w:val="single" w:sz="4" w:space="0" w:color="auto"/>
                              <w:right w:val="single" w:sz="4" w:space="0" w:color="auto"/>
                            </w:tcBorders>
                            <w:hideMark/>
                          </w:tcPr>
                          <w:p>
                            <w:pPr>
                              <w:suppressAutoHyphens/>
                              <w:ind w:left="-57" w:right="-57"/>
                              <w:jc w:val="center"/>
                              <w:rPr>
                                <w:szCs w:val="24"/>
                                <w:lang w:eastAsia="lt-LT"/>
                              </w:rPr>
                            </w:pPr>
                            <w:r>
                              <w:rPr>
                                <w:szCs w:val="24"/>
                                <w:lang w:eastAsia="lt-LT"/>
                              </w:rPr>
                              <w:t>C</w:t>
                            </w:r>
                          </w:p>
                        </w:tc>
                        <w:tc>
                          <w:tcPr>
                            <w:tcW w:w="753" w:type="pct"/>
                            <w:tcBorders>
                              <w:top w:val="single" w:sz="4" w:space="0" w:color="auto"/>
                              <w:left w:val="single" w:sz="4" w:space="0" w:color="auto"/>
                              <w:bottom w:val="single" w:sz="4" w:space="0" w:color="auto"/>
                              <w:right w:val="single" w:sz="4" w:space="0" w:color="auto"/>
                            </w:tcBorders>
                            <w:hideMark/>
                          </w:tcPr>
                          <w:p>
                            <w:pPr>
                              <w:suppressAutoHyphens/>
                              <w:ind w:left="-57" w:right="-57"/>
                              <w:jc w:val="center"/>
                              <w:rPr>
                                <w:rFonts w:eastAsia="Calibri"/>
                                <w:szCs w:val="24"/>
                                <w:lang w:eastAsia="lt-LT"/>
                              </w:rPr>
                            </w:pPr>
                            <w:r>
                              <w:rPr>
                                <w:szCs w:val="24"/>
                                <w:lang w:eastAsia="lt-LT"/>
                              </w:rPr>
                              <w:t>B</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Gyvenamosios paskirties vieno ir dviejų butų pastatai (namai)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·1237·A</w:t>
                            </w:r>
                            <w:r>
                              <w:rPr>
                                <w:i/>
                                <w:szCs w:val="24"/>
                                <w:vertAlign w:val="subscript"/>
                                <w:lang w:eastAsia="lt-LT"/>
                              </w:rPr>
                              <w:t>p</w:t>
                            </w:r>
                            <w:r>
                              <w:rPr>
                                <w:i/>
                                <w:szCs w:val="24"/>
                                <w:vertAlign w:val="superscript"/>
                                <w:lang w:eastAsia="lt-LT"/>
                              </w:rPr>
                              <w:t>-0,25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·821·A</w:t>
                            </w:r>
                            <w:r>
                              <w:rPr>
                                <w:i/>
                                <w:szCs w:val="24"/>
                                <w:vertAlign w:val="subscript"/>
                                <w:lang w:eastAsia="lt-LT"/>
                              </w:rPr>
                              <w:t>p</w:t>
                            </w:r>
                            <w:r>
                              <w:rPr>
                                <w:i/>
                                <w:szCs w:val="24"/>
                                <w:vertAlign w:val="superscript"/>
                                <w:lang w:eastAsia="lt-LT"/>
                              </w:rPr>
                              <w:t xml:space="preserve">-0,22 </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·665·A</w:t>
                            </w:r>
                            <w:r>
                              <w:rPr>
                                <w:i/>
                                <w:szCs w:val="24"/>
                                <w:vertAlign w:val="subscript"/>
                                <w:lang w:eastAsia="lt-LT"/>
                              </w:rPr>
                              <w:t>p</w:t>
                            </w:r>
                            <w:r>
                              <w:rPr>
                                <w:i/>
                                <w:szCs w:val="24"/>
                                <w:vertAlign w:val="superscript"/>
                                <w:lang w:eastAsia="lt-LT"/>
                              </w:rPr>
                              <w:t>-0,21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·622·A</w:t>
                            </w:r>
                            <w:r>
                              <w:rPr>
                                <w:i/>
                                <w:szCs w:val="24"/>
                                <w:vertAlign w:val="subscript"/>
                                <w:lang w:eastAsia="lt-LT"/>
                              </w:rPr>
                              <w:t>p</w:t>
                            </w:r>
                            <w:r>
                              <w:rPr>
                                <w:i/>
                                <w:szCs w:val="24"/>
                                <w:vertAlign w:val="superscript"/>
                                <w:lang w:eastAsia="lt-LT"/>
                              </w:rPr>
                              <w:t>-0,21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·546·A</w:t>
                            </w:r>
                            <w:r>
                              <w:rPr>
                                <w:i/>
                                <w:szCs w:val="24"/>
                                <w:vertAlign w:val="subscript"/>
                                <w:lang w:eastAsia="lt-LT"/>
                              </w:rPr>
                              <w:t>p</w:t>
                            </w:r>
                            <w:r>
                              <w:rPr>
                                <w:i/>
                                <w:szCs w:val="24"/>
                                <w:vertAlign w:val="superscript"/>
                                <w:lang w:eastAsia="lt-LT"/>
                              </w:rPr>
                              <w:t>-0,2</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2.</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Kiti gyvenamosios paskirties pastatai (namai)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·556·A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·506·A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·366·A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·335·A</w:t>
                            </w:r>
                            <w:r>
                              <w:rPr>
                                <w:i/>
                                <w:szCs w:val="24"/>
                                <w:vertAlign w:val="subscript"/>
                                <w:lang w:eastAsia="lt-LT"/>
                              </w:rPr>
                              <w:t>p</w:t>
                            </w:r>
                            <w:r>
                              <w:rPr>
                                <w:i/>
                                <w:szCs w:val="24"/>
                                <w:vertAlign w:val="superscript"/>
                                <w:lang w:eastAsia="lt-LT"/>
                              </w:rPr>
                              <w:t>-0,08</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·307·A</w:t>
                            </w:r>
                            <w:r>
                              <w:rPr>
                                <w:i/>
                                <w:szCs w:val="24"/>
                                <w:vertAlign w:val="subscript"/>
                                <w:lang w:eastAsia="lt-LT"/>
                              </w:rPr>
                              <w:t>p</w:t>
                            </w:r>
                            <w:r>
                              <w:rPr>
                                <w:i/>
                                <w:szCs w:val="24"/>
                                <w:vertAlign w:val="superscript"/>
                                <w:lang w:eastAsia="lt-LT"/>
                              </w:rPr>
                              <w:t>-0,07</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3.</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Administracinės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·675·A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·497·A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·413·A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·361·A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·320·A</w:t>
                            </w:r>
                            <w:r>
                              <w:rPr>
                                <w:i/>
                                <w:szCs w:val="24"/>
                                <w:vertAlign w:val="subscript"/>
                                <w:lang w:eastAsia="lt-LT"/>
                              </w:rPr>
                              <w:t>p</w:t>
                            </w:r>
                            <w:r>
                              <w:rPr>
                                <w:i/>
                                <w:szCs w:val="24"/>
                                <w:vertAlign w:val="superscript"/>
                                <w:lang w:eastAsia="lt-LT"/>
                              </w:rPr>
                              <w:t>-0,1</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4.</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Mokslo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·1146·A</w:t>
                            </w:r>
                            <w:r>
                              <w:rPr>
                                <w:i/>
                                <w:szCs w:val="24"/>
                                <w:vertAlign w:val="subscript"/>
                                <w:lang w:eastAsia="lt-LT"/>
                              </w:rPr>
                              <w:t>p</w:t>
                            </w:r>
                            <w:r>
                              <w:rPr>
                                <w:i/>
                                <w:szCs w:val="24"/>
                                <w:vertAlign w:val="superscript"/>
                                <w:lang w:eastAsia="lt-LT"/>
                              </w:rPr>
                              <w:t>-0,22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·784·A</w:t>
                            </w:r>
                            <w:r>
                              <w:rPr>
                                <w:i/>
                                <w:szCs w:val="24"/>
                                <w:vertAlign w:val="subscript"/>
                                <w:lang w:eastAsia="lt-LT"/>
                              </w:rPr>
                              <w:t>p</w:t>
                            </w:r>
                            <w:r>
                              <w:rPr>
                                <w:i/>
                                <w:szCs w:val="24"/>
                                <w:vertAlign w:val="superscript"/>
                                <w:lang w:eastAsia="lt-LT"/>
                              </w:rPr>
                              <w:t>-0,2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·612·A</w:t>
                            </w:r>
                            <w:r>
                              <w:rPr>
                                <w:i/>
                                <w:szCs w:val="24"/>
                                <w:vertAlign w:val="subscript"/>
                                <w:lang w:eastAsia="lt-LT"/>
                              </w:rPr>
                              <w:t>p</w:t>
                            </w:r>
                            <w:r>
                              <w:rPr>
                                <w:i/>
                                <w:szCs w:val="24"/>
                                <w:vertAlign w:val="superscript"/>
                                <w:lang w:eastAsia="lt-LT"/>
                              </w:rPr>
                              <w:t>-0,18</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·520·A</w:t>
                            </w:r>
                            <w:r>
                              <w:rPr>
                                <w:i/>
                                <w:szCs w:val="24"/>
                                <w:vertAlign w:val="subscript"/>
                                <w:lang w:eastAsia="lt-LT"/>
                              </w:rPr>
                              <w:t>p</w:t>
                            </w:r>
                            <w:r>
                              <w:rPr>
                                <w:i/>
                                <w:szCs w:val="24"/>
                                <w:vertAlign w:val="superscript"/>
                                <w:lang w:eastAsia="lt-LT"/>
                              </w:rPr>
                              <w:t>-0,17</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·444·A</w:t>
                            </w:r>
                            <w:r>
                              <w:rPr>
                                <w:i/>
                                <w:szCs w:val="24"/>
                                <w:vertAlign w:val="subscript"/>
                                <w:lang w:eastAsia="lt-LT"/>
                              </w:rPr>
                              <w:t>p</w:t>
                            </w:r>
                            <w:r>
                              <w:rPr>
                                <w:i/>
                                <w:szCs w:val="24"/>
                                <w:vertAlign w:val="superscript"/>
                                <w:lang w:eastAsia="lt-LT"/>
                              </w:rPr>
                              <w:t>-0,15</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5.</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Gydymo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·1207·A</w:t>
                            </w:r>
                            <w:r>
                              <w:rPr>
                                <w:i/>
                                <w:szCs w:val="24"/>
                                <w:vertAlign w:val="subscript"/>
                                <w:lang w:eastAsia="lt-LT"/>
                              </w:rPr>
                              <w:t>p</w:t>
                            </w:r>
                            <w:r>
                              <w:rPr>
                                <w:i/>
                                <w:szCs w:val="24"/>
                                <w:vertAlign w:val="superscript"/>
                                <w:lang w:eastAsia="lt-LT"/>
                              </w:rPr>
                              <w:t>-0,18</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·855·A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·687·A</w:t>
                            </w:r>
                            <w:r>
                              <w:rPr>
                                <w:i/>
                                <w:szCs w:val="24"/>
                                <w:vertAlign w:val="subscript"/>
                                <w:lang w:eastAsia="lt-LT"/>
                              </w:rPr>
                              <w:t>p</w:t>
                            </w:r>
                            <w:r>
                              <w:rPr>
                                <w:i/>
                                <w:szCs w:val="24"/>
                                <w:vertAlign w:val="superscript"/>
                                <w:lang w:eastAsia="lt-LT"/>
                              </w:rPr>
                              <w:t>-0,13</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trike/>
                                <w:szCs w:val="24"/>
                                <w:lang w:eastAsia="lt-LT"/>
                              </w:rPr>
                            </w:pPr>
                            <w:r>
                              <w:rPr>
                                <w:i/>
                                <w:szCs w:val="24"/>
                                <w:lang w:eastAsia="lt-LT"/>
                              </w:rPr>
                              <w:t>k</w:t>
                            </w:r>
                            <w:r>
                              <w:rPr>
                                <w:i/>
                                <w:szCs w:val="24"/>
                                <w:vertAlign w:val="subscript"/>
                                <w:lang w:eastAsia="lt-LT"/>
                              </w:rPr>
                              <w:t>h</w:t>
                            </w:r>
                            <w:r>
                              <w:rPr>
                                <w:i/>
                                <w:szCs w:val="24"/>
                                <w:lang w:eastAsia="lt-LT"/>
                              </w:rPr>
                              <w:t>·592·A</w:t>
                            </w:r>
                            <w:r>
                              <w:rPr>
                                <w:i/>
                                <w:szCs w:val="24"/>
                                <w:vertAlign w:val="subscript"/>
                                <w:lang w:eastAsia="lt-LT"/>
                              </w:rPr>
                              <w:t>p</w:t>
                            </w:r>
                            <w:r>
                              <w:rPr>
                                <w:i/>
                                <w:szCs w:val="24"/>
                                <w:vertAlign w:val="superscript"/>
                                <w:lang w:eastAsia="lt-LT"/>
                              </w:rPr>
                              <w:t>-0,12</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·519·A</w:t>
                            </w:r>
                            <w:r>
                              <w:rPr>
                                <w:i/>
                                <w:szCs w:val="24"/>
                                <w:vertAlign w:val="subscript"/>
                                <w:lang w:eastAsia="lt-LT"/>
                              </w:rPr>
                              <w:t>p</w:t>
                            </w:r>
                            <w:r>
                              <w:rPr>
                                <w:i/>
                                <w:szCs w:val="24"/>
                                <w:vertAlign w:val="superscript"/>
                                <w:lang w:eastAsia="lt-LT"/>
                              </w:rPr>
                              <w:t>-0,1</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6.</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Maitinimo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·1173·A</w:t>
                            </w:r>
                            <w:r>
                              <w:rPr>
                                <w:i/>
                                <w:szCs w:val="24"/>
                                <w:vertAlign w:val="subscript"/>
                                <w:lang w:eastAsia="lt-LT"/>
                              </w:rPr>
                              <w:t>p</w:t>
                            </w:r>
                            <w:r>
                              <w:rPr>
                                <w:i/>
                                <w:szCs w:val="24"/>
                                <w:vertAlign w:val="superscript"/>
                                <w:lang w:eastAsia="lt-LT"/>
                              </w:rPr>
                              <w:t>-0,16</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·851·A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·745·A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·668·A</w:t>
                            </w:r>
                            <w:r>
                              <w:rPr>
                                <w:i/>
                                <w:szCs w:val="24"/>
                                <w:vertAlign w:val="subscript"/>
                                <w:lang w:eastAsia="lt-LT"/>
                              </w:rPr>
                              <w:t>p</w:t>
                            </w:r>
                            <w:r>
                              <w:rPr>
                                <w:i/>
                                <w:szCs w:val="24"/>
                                <w:vertAlign w:val="superscript"/>
                                <w:lang w:eastAsia="lt-LT"/>
                              </w:rPr>
                              <w:t>-0,1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-0,1</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7.</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 xml:space="preserve">Prekybos paskirties pastatai </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·849·A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·571·A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·506·A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·445·A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·409·A</w:t>
                            </w:r>
                            <w:r>
                              <w:rPr>
                                <w:i/>
                                <w:szCs w:val="24"/>
                                <w:vertAlign w:val="subscript"/>
                                <w:lang w:eastAsia="lt-LT"/>
                              </w:rPr>
                              <w:t>p</w:t>
                            </w:r>
                            <w:r>
                              <w:rPr>
                                <w:i/>
                                <w:szCs w:val="24"/>
                                <w:vertAlign w:val="superscript"/>
                                <w:lang w:eastAsia="lt-LT"/>
                              </w:rPr>
                              <w:t>-0,1</w:t>
                            </w:r>
                          </w:p>
                        </w:tc>
                      </w:tr>
                      <w:tr>
                        <w:trPr>
                          <w:cantSplit/>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8.</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Sporto paskirties pastatai, išskyrus baseinus</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·781·A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·609·A</w:t>
                            </w:r>
                            <w:r>
                              <w:rPr>
                                <w:i/>
                                <w:szCs w:val="24"/>
                                <w:vertAlign w:val="subscript"/>
                                <w:lang w:eastAsia="lt-LT"/>
                              </w:rPr>
                              <w:t>p</w:t>
                            </w:r>
                            <w:r>
                              <w:rPr>
                                <w:i/>
                                <w:szCs w:val="24"/>
                                <w:vertAlign w:val="superscript"/>
                                <w:lang w:eastAsia="lt-LT"/>
                              </w:rPr>
                              <w:t>-0,09</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·528·A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·477·A</w:t>
                            </w:r>
                            <w:r>
                              <w:rPr>
                                <w:i/>
                                <w:szCs w:val="24"/>
                                <w:vertAlign w:val="subscript"/>
                                <w:lang w:eastAsia="lt-LT"/>
                              </w:rPr>
                              <w:t>p</w:t>
                            </w:r>
                            <w:r>
                              <w:rPr>
                                <w:i/>
                                <w:szCs w:val="24"/>
                                <w:vertAlign w:val="superscript"/>
                                <w:lang w:eastAsia="lt-LT"/>
                              </w:rPr>
                              <w:t>-0,07</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·439·A</w:t>
                            </w:r>
                            <w:r>
                              <w:rPr>
                                <w:i/>
                                <w:szCs w:val="24"/>
                                <w:vertAlign w:val="subscript"/>
                                <w:lang w:eastAsia="lt-LT"/>
                              </w:rPr>
                              <w:t>p</w:t>
                            </w:r>
                            <w:r>
                              <w:rPr>
                                <w:i/>
                                <w:szCs w:val="24"/>
                                <w:vertAlign w:val="superscript"/>
                                <w:lang w:eastAsia="lt-LT"/>
                              </w:rPr>
                              <w:t>-0,07</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9.</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Baseinai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·1367·A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·1012·A</w:t>
                            </w:r>
                            <w:r>
                              <w:rPr>
                                <w:i/>
                                <w:szCs w:val="24"/>
                                <w:vertAlign w:val="subscript"/>
                                <w:lang w:eastAsia="lt-LT"/>
                              </w:rPr>
                              <w:t>p</w:t>
                            </w:r>
                            <w:r>
                              <w:rPr>
                                <w:i/>
                                <w:szCs w:val="24"/>
                                <w:vertAlign w:val="superscript"/>
                                <w:lang w:eastAsia="lt-LT"/>
                              </w:rPr>
                              <w:t>-0,09</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·843·A</w:t>
                            </w:r>
                            <w:r>
                              <w:rPr>
                                <w:i/>
                                <w:szCs w:val="24"/>
                                <w:vertAlign w:val="subscript"/>
                                <w:lang w:eastAsia="lt-LT"/>
                              </w:rPr>
                              <w:t>p</w:t>
                            </w:r>
                            <w:r>
                              <w:rPr>
                                <w:i/>
                                <w:szCs w:val="24"/>
                                <w:vertAlign w:val="superscript"/>
                                <w:lang w:eastAsia="lt-LT"/>
                              </w:rPr>
                              <w:t>-0,08</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·717·A</w:t>
                            </w:r>
                            <w:r>
                              <w:rPr>
                                <w:i/>
                                <w:szCs w:val="24"/>
                                <w:vertAlign w:val="subscript"/>
                                <w:lang w:eastAsia="lt-LT"/>
                              </w:rPr>
                              <w:t>p</w:t>
                            </w:r>
                            <w:r>
                              <w:rPr>
                                <w:i/>
                                <w:szCs w:val="24"/>
                                <w:vertAlign w:val="superscript"/>
                                <w:lang w:eastAsia="lt-LT"/>
                              </w:rPr>
                              <w:t>-0,06</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·626·A</w:t>
                            </w:r>
                            <w:r>
                              <w:rPr>
                                <w:i/>
                                <w:szCs w:val="24"/>
                                <w:vertAlign w:val="subscript"/>
                                <w:lang w:eastAsia="lt-LT"/>
                              </w:rPr>
                              <w:t>p</w:t>
                            </w:r>
                            <w:r>
                              <w:rPr>
                                <w:i/>
                                <w:szCs w:val="24"/>
                                <w:vertAlign w:val="superscript"/>
                                <w:lang w:eastAsia="lt-LT"/>
                              </w:rPr>
                              <w:t>-0,05</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10.</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Kultūros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·1093·A</w:t>
                            </w:r>
                            <w:r>
                              <w:rPr>
                                <w:i/>
                                <w:szCs w:val="24"/>
                                <w:vertAlign w:val="subscript"/>
                                <w:lang w:eastAsia="lt-LT"/>
                              </w:rPr>
                              <w:t>p</w:t>
                            </w:r>
                            <w:r>
                              <w:rPr>
                                <w:i/>
                                <w:szCs w:val="24"/>
                                <w:vertAlign w:val="superscript"/>
                                <w:lang w:eastAsia="lt-LT"/>
                              </w:rPr>
                              <w:t>-0,19</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·750·A</w:t>
                            </w:r>
                            <w:r>
                              <w:rPr>
                                <w:i/>
                                <w:szCs w:val="24"/>
                                <w:vertAlign w:val="subscript"/>
                                <w:lang w:eastAsia="lt-LT"/>
                              </w:rPr>
                              <w:t>p</w:t>
                            </w:r>
                            <w:r>
                              <w:rPr>
                                <w:i/>
                                <w:szCs w:val="24"/>
                                <w:vertAlign w:val="superscript"/>
                                <w:lang w:eastAsia="lt-LT"/>
                              </w:rPr>
                              <w:t>-0,16</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·589·A</w:t>
                            </w:r>
                            <w:r>
                              <w:rPr>
                                <w:i/>
                                <w:szCs w:val="24"/>
                                <w:vertAlign w:val="subscript"/>
                                <w:lang w:eastAsia="lt-LT"/>
                              </w:rPr>
                              <w:t>p</w:t>
                            </w:r>
                            <w:r>
                              <w:rPr>
                                <w:i/>
                                <w:szCs w:val="24"/>
                                <w:vertAlign w:val="superscript"/>
                                <w:lang w:eastAsia="lt-LT"/>
                              </w:rPr>
                              <w:t>-0,14</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·499·A</w:t>
                            </w:r>
                            <w:r>
                              <w:rPr>
                                <w:i/>
                                <w:szCs w:val="24"/>
                                <w:vertAlign w:val="subscript"/>
                                <w:lang w:eastAsia="lt-LT"/>
                              </w:rPr>
                              <w:t>p</w:t>
                            </w:r>
                            <w:r>
                              <w:rPr>
                                <w:i/>
                                <w:szCs w:val="24"/>
                                <w:vertAlign w:val="superscript"/>
                                <w:lang w:eastAsia="lt-LT"/>
                              </w:rPr>
                              <w:t>-0,13</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vertAlign w:val="superscript"/>
                                <w:lang w:eastAsia="lt-LT"/>
                              </w:rPr>
                            </w:pPr>
                            <w:r>
                              <w:rPr>
                                <w:i/>
                                <w:szCs w:val="24"/>
                                <w:lang w:eastAsia="lt-LT"/>
                              </w:rPr>
                              <w:t>k</w:t>
                            </w:r>
                            <w:r>
                              <w:rPr>
                                <w:i/>
                                <w:szCs w:val="24"/>
                                <w:vertAlign w:val="subscript"/>
                                <w:lang w:eastAsia="lt-LT"/>
                              </w:rPr>
                              <w:t>h</w:t>
                            </w:r>
                            <w:r>
                              <w:rPr>
                                <w:i/>
                                <w:szCs w:val="24"/>
                                <w:lang w:eastAsia="lt-LT"/>
                              </w:rPr>
                              <w:t>·430·A</w:t>
                            </w:r>
                            <w:r>
                              <w:rPr>
                                <w:i/>
                                <w:szCs w:val="24"/>
                                <w:vertAlign w:val="subscript"/>
                                <w:lang w:eastAsia="lt-LT"/>
                              </w:rPr>
                              <w:t>p</w:t>
                            </w:r>
                            <w:r>
                              <w:rPr>
                                <w:i/>
                                <w:szCs w:val="24"/>
                                <w:vertAlign w:val="superscript"/>
                                <w:lang w:eastAsia="lt-LT"/>
                              </w:rPr>
                              <w:t>-0,12</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11.</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Garažų, gamybos ir pramonės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·973·A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·713·A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·621·A</w:t>
                            </w:r>
                            <w:r>
                              <w:rPr>
                                <w:i/>
                                <w:szCs w:val="24"/>
                                <w:vertAlign w:val="subscript"/>
                                <w:lang w:eastAsia="lt-LT"/>
                              </w:rPr>
                              <w:t>p</w:t>
                            </w:r>
                            <w:r>
                              <w:rPr>
                                <w:i/>
                                <w:szCs w:val="24"/>
                                <w:vertAlign w:val="superscript"/>
                                <w:lang w:eastAsia="lt-LT"/>
                              </w:rPr>
                              <w:t>-0,12</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·530·A</w:t>
                            </w:r>
                            <w:r>
                              <w:rPr>
                                <w:i/>
                                <w:szCs w:val="24"/>
                                <w:vertAlign w:val="subscript"/>
                                <w:lang w:eastAsia="lt-LT"/>
                              </w:rPr>
                              <w:t>p</w:t>
                            </w:r>
                            <w:r>
                              <w:rPr>
                                <w:i/>
                                <w:szCs w:val="24"/>
                                <w:vertAlign w:val="superscript"/>
                                <w:lang w:eastAsia="lt-LT"/>
                              </w:rPr>
                              <w:t>-0,11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·487·A</w:t>
                            </w:r>
                            <w:r>
                              <w:rPr>
                                <w:i/>
                                <w:szCs w:val="24"/>
                                <w:vertAlign w:val="subscript"/>
                                <w:lang w:eastAsia="lt-LT"/>
                              </w:rPr>
                              <w:t>p</w:t>
                            </w:r>
                            <w:r>
                              <w:rPr>
                                <w:i/>
                                <w:szCs w:val="24"/>
                                <w:vertAlign w:val="superscript"/>
                                <w:lang w:eastAsia="lt-LT"/>
                              </w:rPr>
                              <w:t>-0,11</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12.</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Sandėliavimo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·924·A</w:t>
                            </w:r>
                            <w:r>
                              <w:rPr>
                                <w:i/>
                                <w:szCs w:val="24"/>
                                <w:vertAlign w:val="subscript"/>
                                <w:lang w:eastAsia="lt-LT"/>
                              </w:rPr>
                              <w:t>p</w:t>
                            </w:r>
                            <w:r>
                              <w:rPr>
                                <w:i/>
                                <w:szCs w:val="24"/>
                                <w:vertAlign w:val="superscript"/>
                                <w:lang w:eastAsia="lt-LT"/>
                              </w:rPr>
                              <w:t>-0,17</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·651·A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·560·A</w:t>
                            </w:r>
                            <w:r>
                              <w:rPr>
                                <w:i/>
                                <w:szCs w:val="24"/>
                                <w:vertAlign w:val="subscript"/>
                                <w:lang w:eastAsia="lt-LT"/>
                              </w:rPr>
                              <w:t>p</w:t>
                            </w:r>
                            <w:r>
                              <w:rPr>
                                <w:i/>
                                <w:szCs w:val="24"/>
                                <w:vertAlign w:val="superscript"/>
                                <w:lang w:eastAsia="lt-LT"/>
                              </w:rPr>
                              <w:t>-0,15</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·462·A</w:t>
                            </w:r>
                            <w:r>
                              <w:rPr>
                                <w:i/>
                                <w:szCs w:val="24"/>
                                <w:vertAlign w:val="subscript"/>
                                <w:lang w:eastAsia="lt-LT"/>
                              </w:rPr>
                              <w:t>p</w:t>
                            </w:r>
                            <w:r>
                              <w:rPr>
                                <w:i/>
                                <w:szCs w:val="24"/>
                                <w:vertAlign w:val="superscript"/>
                                <w:lang w:eastAsia="lt-LT"/>
                              </w:rPr>
                              <w:t>-0,14</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·419·A</w:t>
                            </w:r>
                            <w:r>
                              <w:rPr>
                                <w:i/>
                                <w:szCs w:val="24"/>
                                <w:vertAlign w:val="subscript"/>
                                <w:lang w:eastAsia="lt-LT"/>
                              </w:rPr>
                              <w:t>p</w:t>
                            </w:r>
                            <w:r>
                              <w:rPr>
                                <w:i/>
                                <w:szCs w:val="24"/>
                                <w:vertAlign w:val="superscript"/>
                                <w:lang w:eastAsia="lt-LT"/>
                              </w:rPr>
                              <w:t>-0,14</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13.</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Viešbučių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·762·A</w:t>
                            </w:r>
                            <w:r>
                              <w:rPr>
                                <w:i/>
                                <w:szCs w:val="24"/>
                                <w:vertAlign w:val="subscript"/>
                                <w:lang w:eastAsia="lt-LT"/>
                              </w:rPr>
                              <w:t>p</w:t>
                            </w:r>
                            <w:r>
                              <w:rPr>
                                <w:i/>
                                <w:szCs w:val="24"/>
                                <w:vertAlign w:val="superscript"/>
                                <w:lang w:eastAsia="lt-LT"/>
                              </w:rPr>
                              <w:t>-0,13</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·565·A</w:t>
                            </w:r>
                            <w:r>
                              <w:rPr>
                                <w:i/>
                                <w:szCs w:val="24"/>
                                <w:vertAlign w:val="subscript"/>
                                <w:lang w:eastAsia="lt-LT"/>
                              </w:rPr>
                              <w:t>p</w:t>
                            </w:r>
                            <w:r>
                              <w:rPr>
                                <w:i/>
                                <w:szCs w:val="24"/>
                                <w:vertAlign w:val="superscript"/>
                                <w:lang w:eastAsia="lt-LT"/>
                              </w:rPr>
                              <w:t>-0,11</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·474·A</w:t>
                            </w:r>
                            <w:r>
                              <w:rPr>
                                <w:i/>
                                <w:szCs w:val="24"/>
                                <w:vertAlign w:val="subscript"/>
                                <w:lang w:eastAsia="lt-LT"/>
                              </w:rPr>
                              <w:t>p</w:t>
                            </w:r>
                            <w:r>
                              <w:rPr>
                                <w:i/>
                                <w:szCs w:val="24"/>
                                <w:vertAlign w:val="superscript"/>
                                <w:lang w:eastAsia="lt-LT"/>
                              </w:rPr>
                              <w:t>-0,1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·418·A</w:t>
                            </w:r>
                            <w:r>
                              <w:rPr>
                                <w:i/>
                                <w:szCs w:val="24"/>
                                <w:vertAlign w:val="subscript"/>
                                <w:lang w:eastAsia="lt-LT"/>
                              </w:rPr>
                              <w:t>p</w:t>
                            </w:r>
                            <w:r>
                              <w:rPr>
                                <w:i/>
                                <w:szCs w:val="24"/>
                                <w:vertAlign w:val="superscript"/>
                                <w:lang w:eastAsia="lt-LT"/>
                              </w:rPr>
                              <w:t>-0,09</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·375·A</w:t>
                            </w:r>
                            <w:r>
                              <w:rPr>
                                <w:i/>
                                <w:szCs w:val="24"/>
                                <w:vertAlign w:val="subscript"/>
                                <w:lang w:eastAsia="lt-LT"/>
                              </w:rPr>
                              <w:t>p</w:t>
                            </w:r>
                            <w:r>
                              <w:rPr>
                                <w:i/>
                                <w:szCs w:val="24"/>
                                <w:vertAlign w:val="superscript"/>
                                <w:lang w:eastAsia="lt-LT"/>
                              </w:rPr>
                              <w:t>-0,08</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14.</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Paslaugų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·1253·A</w:t>
                            </w:r>
                            <w:r>
                              <w:rPr>
                                <w:i/>
                                <w:szCs w:val="24"/>
                                <w:vertAlign w:val="subscript"/>
                                <w:lang w:eastAsia="lt-LT"/>
                              </w:rPr>
                              <w:t>p</w:t>
                            </w:r>
                            <w:r>
                              <w:rPr>
                                <w:i/>
                                <w:szCs w:val="24"/>
                                <w:vertAlign w:val="superscript"/>
                                <w:lang w:eastAsia="lt-LT"/>
                              </w:rPr>
                              <w:t>-0,23</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·828·A</w:t>
                            </w:r>
                            <w:r>
                              <w:rPr>
                                <w:i/>
                                <w:szCs w:val="24"/>
                                <w:vertAlign w:val="subscript"/>
                                <w:lang w:eastAsia="lt-LT"/>
                              </w:rPr>
                              <w:t>p</w:t>
                            </w:r>
                            <w:r>
                              <w:rPr>
                                <w:i/>
                                <w:szCs w:val="24"/>
                                <w:vertAlign w:val="superscript"/>
                                <w:lang w:eastAsia="lt-LT"/>
                              </w:rPr>
                              <w:t>-0,19</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·674·A</w:t>
                            </w:r>
                            <w:r>
                              <w:rPr>
                                <w:i/>
                                <w:szCs w:val="24"/>
                                <w:vertAlign w:val="subscript"/>
                                <w:lang w:eastAsia="lt-LT"/>
                              </w:rPr>
                              <w:t>p</w:t>
                            </w:r>
                            <w:r>
                              <w:rPr>
                                <w:i/>
                                <w:szCs w:val="24"/>
                                <w:vertAlign w:val="superscript"/>
                                <w:lang w:eastAsia="lt-LT"/>
                              </w:rPr>
                              <w:t>-0,18</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·575·A</w:t>
                            </w:r>
                            <w:r>
                              <w:rPr>
                                <w:i/>
                                <w:szCs w:val="24"/>
                                <w:vertAlign w:val="subscript"/>
                                <w:lang w:eastAsia="lt-LT"/>
                              </w:rPr>
                              <w:t>p</w:t>
                            </w:r>
                            <w:r>
                              <w:rPr>
                                <w:i/>
                                <w:szCs w:val="24"/>
                                <w:vertAlign w:val="superscript"/>
                                <w:lang w:eastAsia="lt-LT"/>
                              </w:rPr>
                              <w:t>-0,17</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·507·A</w:t>
                            </w:r>
                            <w:r>
                              <w:rPr>
                                <w:i/>
                                <w:szCs w:val="24"/>
                                <w:vertAlign w:val="subscript"/>
                                <w:lang w:eastAsia="lt-LT"/>
                              </w:rPr>
                              <w:t>p</w:t>
                            </w:r>
                            <w:r>
                              <w:rPr>
                                <w:i/>
                                <w:szCs w:val="24"/>
                                <w:vertAlign w:val="superscript"/>
                                <w:lang w:eastAsia="lt-LT"/>
                              </w:rPr>
                              <w:t>-0,16</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15.</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Transporto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·1068·A</w:t>
                            </w:r>
                            <w:r>
                              <w:rPr>
                                <w:i/>
                                <w:szCs w:val="24"/>
                                <w:vertAlign w:val="subscript"/>
                                <w:lang w:eastAsia="lt-LT"/>
                              </w:rPr>
                              <w:t>p</w:t>
                            </w:r>
                            <w:r>
                              <w:rPr>
                                <w:i/>
                                <w:szCs w:val="24"/>
                                <w:vertAlign w:val="superscript"/>
                                <w:lang w:eastAsia="lt-LT"/>
                              </w:rPr>
                              <w:t>-0,2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·702·A</w:t>
                            </w:r>
                            <w:r>
                              <w:rPr>
                                <w:i/>
                                <w:szCs w:val="24"/>
                                <w:vertAlign w:val="subscript"/>
                                <w:lang w:eastAsia="lt-LT"/>
                              </w:rPr>
                              <w:t>p</w:t>
                            </w:r>
                            <w:r>
                              <w:rPr>
                                <w:i/>
                                <w:szCs w:val="24"/>
                                <w:vertAlign w:val="superscript"/>
                                <w:lang w:eastAsia="lt-LT"/>
                              </w:rPr>
                              <w:t>-0,17</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·581·A</w:t>
                            </w:r>
                            <w:r>
                              <w:rPr>
                                <w:i/>
                                <w:szCs w:val="24"/>
                                <w:vertAlign w:val="subscript"/>
                                <w:lang w:eastAsia="lt-LT"/>
                              </w:rPr>
                              <w:t>p</w:t>
                            </w:r>
                            <w:r>
                              <w:rPr>
                                <w:i/>
                                <w:szCs w:val="24"/>
                                <w:vertAlign w:val="superscript"/>
                                <w:lang w:eastAsia="lt-LT"/>
                              </w:rPr>
                              <w:t>-0,16</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·503·A</w:t>
                            </w:r>
                            <w:r>
                              <w:rPr>
                                <w:i/>
                                <w:szCs w:val="24"/>
                                <w:vertAlign w:val="subscript"/>
                                <w:lang w:eastAsia="lt-LT"/>
                              </w:rPr>
                              <w:t>p</w:t>
                            </w:r>
                            <w:r>
                              <w:rPr>
                                <w:i/>
                                <w:szCs w:val="24"/>
                                <w:vertAlign w:val="superscript"/>
                                <w:lang w:eastAsia="lt-LT"/>
                              </w:rPr>
                              <w:t>-0,15</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·439·A</w:t>
                            </w:r>
                            <w:r>
                              <w:rPr>
                                <w:i/>
                                <w:szCs w:val="24"/>
                                <w:vertAlign w:val="subscript"/>
                                <w:lang w:eastAsia="lt-LT"/>
                              </w:rPr>
                              <w:t>p</w:t>
                            </w:r>
                            <w:r>
                              <w:rPr>
                                <w:i/>
                                <w:szCs w:val="24"/>
                                <w:vertAlign w:val="superscript"/>
                                <w:lang w:eastAsia="lt-LT"/>
                              </w:rPr>
                              <w:t>-0,14</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16.</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Poilsio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·993·A</w:t>
                            </w:r>
                            <w:r>
                              <w:rPr>
                                <w:i/>
                                <w:szCs w:val="24"/>
                                <w:vertAlign w:val="subscript"/>
                                <w:lang w:eastAsia="lt-LT"/>
                              </w:rPr>
                              <w:t>p</w:t>
                            </w:r>
                            <w:r>
                              <w:rPr>
                                <w:i/>
                                <w:szCs w:val="24"/>
                                <w:vertAlign w:val="superscript"/>
                                <w:lang w:eastAsia="lt-LT"/>
                              </w:rPr>
                              <w:t>-0,14</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·772·A</w:t>
                            </w:r>
                            <w:r>
                              <w:rPr>
                                <w:i/>
                                <w:szCs w:val="24"/>
                                <w:vertAlign w:val="subscript"/>
                                <w:lang w:eastAsia="lt-LT"/>
                              </w:rPr>
                              <w:t>p</w:t>
                            </w:r>
                            <w:r>
                              <w:rPr>
                                <w:i/>
                                <w:szCs w:val="24"/>
                                <w:vertAlign w:val="superscript"/>
                                <w:lang w:eastAsia="lt-LT"/>
                              </w:rPr>
                              <w:t>-0,12</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·684·A</w:t>
                            </w:r>
                            <w:r>
                              <w:rPr>
                                <w:i/>
                                <w:szCs w:val="24"/>
                                <w:vertAlign w:val="subscript"/>
                                <w:lang w:eastAsia="lt-LT"/>
                              </w:rPr>
                              <w:t>p</w:t>
                            </w:r>
                            <w:r>
                              <w:rPr>
                                <w:i/>
                                <w:szCs w:val="24"/>
                                <w:vertAlign w:val="superscript"/>
                                <w:lang w:eastAsia="lt-LT"/>
                              </w:rPr>
                              <w:t>-0,11</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·623·A</w:t>
                            </w:r>
                            <w:r>
                              <w:rPr>
                                <w:i/>
                                <w:szCs w:val="24"/>
                                <w:vertAlign w:val="subscript"/>
                                <w:lang w:eastAsia="lt-LT"/>
                              </w:rPr>
                              <w:t>p</w:t>
                            </w:r>
                            <w:r>
                              <w:rPr>
                                <w:i/>
                                <w:szCs w:val="24"/>
                                <w:vertAlign w:val="superscript"/>
                                <w:lang w:eastAsia="lt-LT"/>
                              </w:rPr>
                              <w:t>-0,1</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·578·A</w:t>
                            </w:r>
                            <w:r>
                              <w:rPr>
                                <w:i/>
                                <w:szCs w:val="24"/>
                                <w:vertAlign w:val="subscript"/>
                                <w:lang w:eastAsia="lt-LT"/>
                              </w:rPr>
                              <w:t>p</w:t>
                            </w:r>
                            <w:r>
                              <w:rPr>
                                <w:i/>
                                <w:szCs w:val="24"/>
                                <w:vertAlign w:val="superscript"/>
                                <w:lang w:eastAsia="lt-LT"/>
                              </w:rPr>
                              <w:t>-0,09</w:t>
                            </w:r>
                          </w:p>
                        </w:tc>
                      </w:tr>
                      <w:tr>
                        <w:trPr>
                          <w:trHeight w:val="20"/>
                        </w:trPr>
                        <w:tc>
                          <w:tcPr>
                            <w:tcW w:w="269" w:type="pct"/>
                            <w:tcBorders>
                              <w:top w:val="single" w:sz="4" w:space="0" w:color="auto"/>
                              <w:left w:val="single" w:sz="4" w:space="0" w:color="auto"/>
                              <w:bottom w:val="single" w:sz="4" w:space="0" w:color="auto"/>
                              <w:right w:val="single" w:sz="4" w:space="0" w:color="auto"/>
                            </w:tcBorders>
                            <w:noWrap/>
                            <w:vAlign w:val="center"/>
                            <w:hideMark/>
                          </w:tcPr>
                          <w:p>
                            <w:pPr>
                              <w:suppressAutoHyphens/>
                              <w:jc w:val="center"/>
                              <w:rPr>
                                <w:rFonts w:eastAsia="Calibri"/>
                                <w:szCs w:val="24"/>
                                <w:lang w:eastAsia="lt-LT"/>
                              </w:rPr>
                            </w:pPr>
                            <w:r>
                              <w:rPr>
                                <w:szCs w:val="24"/>
                                <w:lang w:eastAsia="lt-LT"/>
                              </w:rPr>
                              <w:t>17.</w:t>
                            </w:r>
                          </w:p>
                        </w:tc>
                        <w:tc>
                          <w:tcPr>
                            <w:tcW w:w="962"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Specialiosios paskirties pastatai</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k</w:t>
                            </w:r>
                            <w:r>
                              <w:rPr>
                                <w:i/>
                                <w:szCs w:val="24"/>
                                <w:vertAlign w:val="subscript"/>
                                <w:lang w:eastAsia="lt-LT"/>
                              </w:rPr>
                              <w:t>h</w:t>
                            </w:r>
                            <w:r>
                              <w:rPr>
                                <w:i/>
                                <w:szCs w:val="24"/>
                                <w:lang w:eastAsia="lt-LT"/>
                              </w:rPr>
                              <w:t>·1175·A</w:t>
                            </w:r>
                            <w:r>
                              <w:rPr>
                                <w:i/>
                                <w:szCs w:val="24"/>
                                <w:vertAlign w:val="subscript"/>
                                <w:lang w:eastAsia="lt-LT"/>
                              </w:rPr>
                              <w:t>p</w:t>
                            </w:r>
                            <w:r>
                              <w:rPr>
                                <w:i/>
                                <w:szCs w:val="24"/>
                                <w:vertAlign w:val="superscript"/>
                                <w:lang w:eastAsia="lt-LT"/>
                              </w:rPr>
                              <w:t>-0,18</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·811·A</w:t>
                            </w:r>
                            <w:r>
                              <w:rPr>
                                <w:i/>
                                <w:szCs w:val="24"/>
                                <w:vertAlign w:val="subscript"/>
                                <w:lang w:eastAsia="lt-LT"/>
                              </w:rPr>
                              <w:t>p</w:t>
                            </w:r>
                            <w:r>
                              <w:rPr>
                                <w:i/>
                                <w:szCs w:val="24"/>
                                <w:vertAlign w:val="superscript"/>
                                <w:lang w:eastAsia="lt-LT"/>
                              </w:rPr>
                              <w:t>-0,15</w:t>
                            </w:r>
                          </w:p>
                        </w:tc>
                        <w:tc>
                          <w:tcPr>
                            <w:tcW w:w="753"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·677·A</w:t>
                            </w:r>
                            <w:r>
                              <w:rPr>
                                <w:i/>
                                <w:szCs w:val="24"/>
                                <w:vertAlign w:val="subscript"/>
                                <w:lang w:eastAsia="lt-LT"/>
                              </w:rPr>
                              <w:t>p</w:t>
                            </w:r>
                            <w:r>
                              <w:rPr>
                                <w:i/>
                                <w:szCs w:val="24"/>
                                <w:vertAlign w:val="superscript"/>
                                <w:lang w:eastAsia="lt-LT"/>
                              </w:rPr>
                              <w:t>-0,14</w:t>
                            </w:r>
                          </w:p>
                        </w:tc>
                        <w:tc>
                          <w:tcPr>
                            <w:tcW w:w="754"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·597·A</w:t>
                            </w:r>
                            <w:r>
                              <w:rPr>
                                <w:i/>
                                <w:szCs w:val="24"/>
                                <w:vertAlign w:val="subscript"/>
                                <w:lang w:eastAsia="lt-LT"/>
                              </w:rPr>
                              <w:t>p</w:t>
                            </w:r>
                            <w:r>
                              <w:rPr>
                                <w:i/>
                                <w:szCs w:val="24"/>
                                <w:vertAlign w:val="superscript"/>
                                <w:lang w:eastAsia="lt-LT"/>
                              </w:rPr>
                              <w:t>-0,13</w:t>
                            </w:r>
                          </w:p>
                        </w:tc>
                        <w:tc>
                          <w:tcPr>
                            <w:tcW w:w="756"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k</w:t>
                            </w:r>
                            <w:r>
                              <w:rPr>
                                <w:i/>
                                <w:szCs w:val="24"/>
                                <w:vertAlign w:val="subscript"/>
                                <w:lang w:eastAsia="lt-LT"/>
                              </w:rPr>
                              <w:t>h</w:t>
                            </w:r>
                            <w:r>
                              <w:rPr>
                                <w:i/>
                                <w:szCs w:val="24"/>
                                <w:lang w:eastAsia="lt-LT"/>
                              </w:rPr>
                              <w:t>·530·A</w:t>
                            </w:r>
                            <w:r>
                              <w:rPr>
                                <w:i/>
                                <w:szCs w:val="24"/>
                                <w:vertAlign w:val="subscript"/>
                                <w:lang w:eastAsia="lt-LT"/>
                              </w:rPr>
                              <w:t>p</w:t>
                            </w:r>
                            <w:r>
                              <w:rPr>
                                <w:i/>
                                <w:szCs w:val="24"/>
                                <w:vertAlign w:val="superscript"/>
                                <w:lang w:eastAsia="lt-LT"/>
                              </w:rPr>
                              <w:t>-0,11</w:t>
                            </w:r>
                          </w:p>
                        </w:tc>
                      </w:tr>
                    </w:tbl>
                    <w:p>
                      <w:pPr>
                        <w:suppressAutoHyphens/>
                        <w:rPr>
                          <w:rFonts w:eastAsia="Calibri"/>
                          <w:b/>
                          <w:szCs w:val="22"/>
                          <w:lang w:eastAsia="lt-LT"/>
                        </w:rPr>
                      </w:pPr>
                    </w:p>
                    <w:p>
                      <w:pPr>
                        <w:suppressAutoHyphens/>
                        <w:jc w:val="center"/>
                        <w:rPr>
                          <w:b/>
                          <w:lang w:eastAsia="lt-LT"/>
                        </w:rPr>
                      </w:pPr>
                      <w:r>
                        <w:rPr>
                          <w:b/>
                          <w:lang w:eastAsia="lt-LT"/>
                        </w:rPr>
                        <w:t xml:space="preserve">Pataisos koeficientas </w:t>
                      </w:r>
                      <w:r>
                        <w:rPr>
                          <w:b/>
                          <w:i/>
                          <w:lang w:eastAsia="lt-LT"/>
                        </w:rPr>
                        <w:t>k</w:t>
                      </w:r>
                      <w:r>
                        <w:rPr>
                          <w:b/>
                          <w:i/>
                          <w:vertAlign w:val="subscript"/>
                          <w:lang w:eastAsia="lt-LT"/>
                        </w:rPr>
                        <w:t>h</w:t>
                      </w:r>
                      <w:r>
                        <w:rPr>
                          <w:b/>
                          <w:lang w:eastAsia="lt-LT"/>
                        </w:rPr>
                        <w:t xml:space="preserve"> (vnt.) C, B, A, A+ ir A++ energinio naudingumo klasės pastatų (jų dalių) norminėms suminėms pirminės energijos sąnaudoms skaičiuoti</w:t>
                      </w:r>
                    </w:p>
                    <w:p>
                      <w:pPr>
                        <w:tabs>
                          <w:tab w:val="num" w:pos="360"/>
                        </w:tabs>
                        <w:suppressAutoHyphens/>
                        <w:jc w:val="right"/>
                        <w:rPr>
                          <w:lang w:eastAsia="lt-LT"/>
                        </w:rPr>
                      </w:pPr>
                      <w:r>
                        <w:rPr>
                          <w:lang w:eastAsia="lt-LT"/>
                        </w:rPr>
                        <w:t>2.52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2711"/>
                        <w:gridCol w:w="1338"/>
                        <w:gridCol w:w="1338"/>
                        <w:gridCol w:w="1370"/>
                        <w:gridCol w:w="1284"/>
                        <w:gridCol w:w="1284"/>
                      </w:tblGrid>
                      <w:tr>
                        <w:trPr>
                          <w:trHeight w:val="20"/>
                          <w:tblHeader/>
                        </w:trPr>
                        <w:tc>
                          <w:tcPr>
                            <w:tcW w:w="268" w:type="pct"/>
                            <w:vMerge w:val="restart"/>
                            <w:tcBorders>
                              <w:top w:val="single" w:sz="4" w:space="0" w:color="auto"/>
                              <w:left w:val="single" w:sz="4" w:space="0" w:color="auto"/>
                              <w:bottom w:val="single" w:sz="4" w:space="0" w:color="auto"/>
                              <w:right w:val="single" w:sz="4" w:space="0" w:color="auto"/>
                            </w:tcBorders>
                            <w:hideMark/>
                          </w:tcPr>
                          <w:p>
                            <w:pPr>
                              <w:suppressAutoHyphens/>
                              <w:ind w:right="-27" w:firstLine="30"/>
                              <w:jc w:val="center"/>
                              <w:rPr>
                                <w:szCs w:val="24"/>
                                <w:lang w:eastAsia="lt-LT"/>
                              </w:rPr>
                            </w:pPr>
                            <w:r>
                              <w:rPr>
                                <w:szCs w:val="24"/>
                                <w:lang w:eastAsia="lt-LT"/>
                              </w:rPr>
                              <w:t>Eil. Nr.</w:t>
                            </w:r>
                          </w:p>
                        </w:tc>
                        <w:tc>
                          <w:tcPr>
                            <w:tcW w:w="1376"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Pastato paskirtis</w:t>
                            </w:r>
                          </w:p>
                        </w:tc>
                        <w:tc>
                          <w:tcPr>
                            <w:tcW w:w="3355" w:type="pct"/>
                            <w:gridSpan w:val="5"/>
                            <w:tcBorders>
                              <w:top w:val="single" w:sz="4" w:space="0" w:color="auto"/>
                              <w:left w:val="single" w:sz="4" w:space="0" w:color="auto"/>
                              <w:bottom w:val="single" w:sz="4" w:space="0" w:color="auto"/>
                              <w:right w:val="single" w:sz="4" w:space="0" w:color="auto"/>
                            </w:tcBorders>
                            <w:hideMark/>
                          </w:tcPr>
                          <w:p>
                            <w:pPr>
                              <w:suppressAutoHyphens/>
                              <w:ind w:left="-57" w:right="-57"/>
                              <w:jc w:val="center"/>
                              <w:rPr>
                                <w:rFonts w:eastAsia="Calibri"/>
                                <w:i/>
                                <w:szCs w:val="24"/>
                                <w:lang w:eastAsia="lt-LT"/>
                              </w:rPr>
                            </w:pPr>
                            <w:r>
                              <w:rPr>
                                <w:szCs w:val="24"/>
                                <w:lang w:eastAsia="lt-LT"/>
                              </w:rPr>
                              <w:t xml:space="preserve">Koeficientas </w:t>
                            </w:r>
                            <w:r>
                              <w:rPr>
                                <w:i/>
                                <w:szCs w:val="24"/>
                                <w:lang w:eastAsia="lt-LT"/>
                              </w:rPr>
                              <w:t>k</w:t>
                            </w:r>
                            <w:r>
                              <w:rPr>
                                <w:i/>
                                <w:szCs w:val="24"/>
                                <w:vertAlign w:val="subscript"/>
                                <w:lang w:eastAsia="lt-LT"/>
                              </w:rPr>
                              <w:t>h</w:t>
                            </w:r>
                            <w:r>
                              <w:rPr>
                                <w:szCs w:val="24"/>
                                <w:lang w:eastAsia="lt-LT"/>
                              </w:rPr>
                              <w:t xml:space="preserve"> (vnt.)  C, B, A, A+ ir A++ energinio naudingumo klasių pastatams </w:t>
                            </w:r>
                          </w:p>
                        </w:tc>
                      </w:tr>
                      <w:tr>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lt-LT"/>
                              </w:rPr>
                            </w:pP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jc w:val="center"/>
                              <w:rPr>
                                <w:szCs w:val="24"/>
                                <w:lang w:eastAsia="lt-LT"/>
                              </w:rPr>
                            </w:pPr>
                            <w:r>
                              <w:rPr>
                                <w:szCs w:val="24"/>
                                <w:lang w:eastAsia="lt-LT"/>
                              </w:rPr>
                              <w:t>C</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jc w:val="center"/>
                              <w:rPr>
                                <w:rFonts w:eastAsia="Calibri"/>
                                <w:szCs w:val="24"/>
                                <w:lang w:eastAsia="lt-LT"/>
                              </w:rPr>
                            </w:pPr>
                            <w:r>
                              <w:rPr>
                                <w:szCs w:val="24"/>
                                <w:lang w:eastAsia="lt-LT"/>
                              </w:rPr>
                              <w:t>B</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jc w:val="center"/>
                              <w:rPr>
                                <w:rFonts w:eastAsia="Calibri"/>
                                <w:szCs w:val="24"/>
                                <w:lang w:eastAsia="lt-LT"/>
                              </w:rPr>
                            </w:pPr>
                            <w:r>
                              <w:rPr>
                                <w:szCs w:val="24"/>
                                <w:lang w:eastAsia="lt-LT"/>
                              </w:rPr>
                              <w:t>A++</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Gyvenamosios paskirties vieno ir dviejų butų pastatai (namai)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2.</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Kiti gyvenamosios paskirties pastatai (namai)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3.</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Administracinės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4.</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Mokslo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5.</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Gydymo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6.</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Maitinimo paskirties pastatai</w:t>
                            </w:r>
                          </w:p>
                        </w:tc>
                        <w:tc>
                          <w:tcPr>
                            <w:tcW w:w="679" w:type="pct"/>
                            <w:tcBorders>
                              <w:top w:val="single" w:sz="4" w:space="0" w:color="auto"/>
                              <w:left w:val="single" w:sz="4" w:space="0" w:color="auto"/>
                              <w:bottom w:val="single" w:sz="4" w:space="0" w:color="auto"/>
                              <w:right w:val="single" w:sz="4" w:space="0" w:color="auto"/>
                            </w:tcBorders>
                          </w:tcPr>
                          <w:p>
                            <w:pPr>
                              <w:suppressAutoHyphens/>
                              <w:ind w:left="-57" w:right="-57" w:firstLine="57"/>
                              <w:jc w:val="center"/>
                              <w:rPr>
                                <w:i/>
                                <w:szCs w:val="24"/>
                                <w:lang w:eastAsia="lt-LT"/>
                              </w:rPr>
                            </w:pP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7.</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 xml:space="preserve">Prekybos paskirties pastatai </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0,08·h+0,7</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0,07·h+0,72</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0,05·h+0,76</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0,05·h+0,83</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hanging="51"/>
                              <w:jc w:val="center"/>
                              <w:rPr>
                                <w:rFonts w:eastAsia="Calibri"/>
                                <w:i/>
                                <w:szCs w:val="24"/>
                                <w:lang w:eastAsia="lt-LT"/>
                              </w:rPr>
                            </w:pPr>
                            <w:r>
                              <w:rPr>
                                <w:i/>
                                <w:szCs w:val="24"/>
                                <w:lang w:eastAsia="lt-LT"/>
                              </w:rPr>
                              <w:t>0,04·h+0,85</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8.</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Sporto paskirties pastatai, išskyrus baseinus</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0,05·h+0,8</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0,04·h+0,82</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0,03·h+0,88</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0,03·h+0,89</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9.</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Baseinai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0,05·h+0,78</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0,04·h+0,82</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0,02·h+0,9</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0,02·h+0,91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10.</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Kultūros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0,07·h+0,72</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0,06·h+0,75</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0,05·h+0,8</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vertAlign w:val="superscript"/>
                                <w:lang w:eastAsia="lt-LT"/>
                              </w:rPr>
                            </w:pPr>
                            <w:r>
                              <w:rPr>
                                <w:i/>
                                <w:szCs w:val="24"/>
                                <w:lang w:eastAsia="lt-LT"/>
                              </w:rPr>
                              <w:t>0,04·h+0,85</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vertAlign w:val="superscript"/>
                                <w:lang w:eastAsia="lt-LT"/>
                              </w:rPr>
                            </w:pPr>
                            <w:r>
                              <w:rPr>
                                <w:i/>
                                <w:szCs w:val="24"/>
                                <w:lang w:eastAsia="lt-LT"/>
                              </w:rPr>
                              <w:t>0,04·h+0,85</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11.</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Garažų, gamybos ir pramonės paskirties pastatai</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i/>
                                <w:szCs w:val="24"/>
                                <w:lang w:eastAsia="lt-LT"/>
                              </w:rPr>
                            </w:pPr>
                            <w:r>
                              <w:rPr>
                                <w:i/>
                                <w:szCs w:val="24"/>
                                <w:lang w:eastAsia="lt-LT"/>
                              </w:rPr>
                              <w:t>0,06·h+0,77</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0,06·h+0,8</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0,05·h+0,81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0,04·h+0,83</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10"/>
                              <w:jc w:val="center"/>
                              <w:rPr>
                                <w:rFonts w:eastAsia="Calibri"/>
                                <w:i/>
                                <w:szCs w:val="24"/>
                                <w:lang w:eastAsia="lt-LT"/>
                              </w:rPr>
                            </w:pPr>
                            <w:r>
                              <w:rPr>
                                <w:i/>
                                <w:szCs w:val="24"/>
                                <w:lang w:eastAsia="lt-LT"/>
                              </w:rPr>
                              <w:t>0,04·h+0,84</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12.</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Sandėliavimo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0,08·h+0,7</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0,07·h+0,72</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0,07·h+0,73</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0,07·h+0,75</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0,07·h+0,75</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13.</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Viešbučių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14.</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Paslaugų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0,11·h+0,65</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0,09·h+0,69</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0,08·h+0,73</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0,07·h+0,79</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0,06·h+0,81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15.</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Transporto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0,1·h+0,67</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0,09·h+0,69</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0,08·h+0,74</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0,06·h+0,82</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0,06·h+0,83</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16.</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Poilsio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r>
                        <w:trPr>
                          <w:trHeight w:val="20"/>
                        </w:trPr>
                        <w:tc>
                          <w:tcPr>
                            <w:tcW w:w="268" w:type="pct"/>
                            <w:tcBorders>
                              <w:top w:val="single" w:sz="4" w:space="0" w:color="auto"/>
                              <w:left w:val="single" w:sz="4" w:space="0" w:color="auto"/>
                              <w:bottom w:val="single" w:sz="4" w:space="0" w:color="auto"/>
                              <w:right w:val="single" w:sz="4" w:space="0" w:color="auto"/>
                            </w:tcBorders>
                            <w:hideMark/>
                          </w:tcPr>
                          <w:p>
                            <w:pPr>
                              <w:suppressAutoHyphens/>
                              <w:ind w:firstLine="30"/>
                              <w:jc w:val="center"/>
                              <w:rPr>
                                <w:szCs w:val="24"/>
                                <w:lang w:eastAsia="lt-LT"/>
                              </w:rPr>
                            </w:pPr>
                            <w:r>
                              <w:rPr>
                                <w:szCs w:val="24"/>
                                <w:lang w:eastAsia="lt-LT"/>
                              </w:rPr>
                              <w:t>17.</w:t>
                            </w:r>
                          </w:p>
                        </w:tc>
                        <w:tc>
                          <w:tcPr>
                            <w:tcW w:w="1376" w:type="pct"/>
                            <w:tcBorders>
                              <w:top w:val="single" w:sz="4" w:space="0" w:color="auto"/>
                              <w:left w:val="single" w:sz="4" w:space="0" w:color="auto"/>
                              <w:bottom w:val="single" w:sz="4" w:space="0" w:color="auto"/>
                              <w:right w:val="single" w:sz="4" w:space="0" w:color="auto"/>
                            </w:tcBorders>
                            <w:vAlign w:val="center"/>
                            <w:hideMark/>
                          </w:tcPr>
                          <w:p>
                            <w:pPr>
                              <w:suppressAutoHyphens/>
                              <w:ind w:firstLine="30"/>
                              <w:jc w:val="center"/>
                              <w:rPr>
                                <w:rFonts w:eastAsia="Calibri"/>
                                <w:szCs w:val="24"/>
                                <w:lang w:eastAsia="lt-LT"/>
                              </w:rPr>
                            </w:pPr>
                            <w:r>
                              <w:rPr>
                                <w:szCs w:val="24"/>
                                <w:lang w:eastAsia="lt-LT"/>
                              </w:rPr>
                              <w:t>Specialiosios paskirties pastatai</w:t>
                            </w:r>
                          </w:p>
                        </w:tc>
                        <w:tc>
                          <w:tcPr>
                            <w:tcW w:w="679" w:type="pct"/>
                            <w:tcBorders>
                              <w:top w:val="single" w:sz="4" w:space="0" w:color="auto"/>
                              <w:left w:val="single" w:sz="4" w:space="0" w:color="auto"/>
                              <w:bottom w:val="single" w:sz="4" w:space="0" w:color="auto"/>
                              <w:right w:val="single" w:sz="4" w:space="0" w:color="auto"/>
                            </w:tcBorders>
                            <w:hideMark/>
                          </w:tcPr>
                          <w:p>
                            <w:pPr>
                              <w:suppressAutoHyphens/>
                              <w:ind w:left="-57" w:right="-57" w:firstLine="57"/>
                              <w:jc w:val="center"/>
                              <w:rPr>
                                <w:i/>
                                <w:szCs w:val="24"/>
                                <w:lang w:eastAsia="lt-LT"/>
                              </w:rPr>
                            </w:pPr>
                            <w:r>
                              <w:rPr>
                                <w:i/>
                                <w:szCs w:val="24"/>
                                <w:lang w:eastAsia="lt-LT"/>
                              </w:rPr>
                              <w:t>1</w:t>
                            </w:r>
                          </w:p>
                        </w:tc>
                        <w:tc>
                          <w:tcPr>
                            <w:tcW w:w="679"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95"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c>
                          <w:tcPr>
                            <w:tcW w:w="651" w:type="pct"/>
                            <w:tcBorders>
                              <w:top w:val="single" w:sz="4" w:space="0" w:color="auto"/>
                              <w:left w:val="single" w:sz="4" w:space="0" w:color="auto"/>
                              <w:bottom w:val="single" w:sz="4" w:space="0" w:color="auto"/>
                              <w:right w:val="single" w:sz="4" w:space="0" w:color="auto"/>
                            </w:tcBorders>
                            <w:vAlign w:val="center"/>
                            <w:hideMark/>
                          </w:tcPr>
                          <w:p>
                            <w:pPr>
                              <w:suppressAutoHyphens/>
                              <w:ind w:left="-57" w:right="-57" w:firstLine="57"/>
                              <w:jc w:val="center"/>
                              <w:rPr>
                                <w:rFonts w:eastAsia="Calibri"/>
                                <w:i/>
                                <w:szCs w:val="24"/>
                                <w:lang w:eastAsia="lt-LT"/>
                              </w:rPr>
                            </w:pPr>
                            <w:r>
                              <w:rPr>
                                <w:i/>
                                <w:szCs w:val="24"/>
                                <w:lang w:eastAsia="lt-LT"/>
                              </w:rPr>
                              <w:t>1</w:t>
                            </w:r>
                          </w:p>
                        </w:tc>
                      </w:tr>
                    </w:tbl>
                    <w:p/>
                    <w:p>
                      <w:pPr>
                        <w:suppressAutoHyphens/>
                        <w:rPr>
                          <w:rFonts w:eastAsia="Calibri"/>
                          <w:color w:val="000000"/>
                          <w:szCs w:val="22"/>
                          <w:lang w:eastAsia="lt-LT"/>
                        </w:rPr>
                      </w:pPr>
                      <w:r>
                        <w:rPr>
                          <w:color w:val="000000"/>
                          <w:lang w:eastAsia="lt-LT"/>
                        </w:rPr>
                        <w:t xml:space="preserve">čia lentelėje:  h – vidutinis pastato (jo dalies) šildomų patalpų aukštis (m). Apskaičiuojamas pagal (2.618) formulę.</w:t>
                      </w:r>
                    </w:p>
                    <w:tbl>
                      <w:tblPr>
                        <w:tblW w:w="0" w:type="auto"/>
                        <w:jc w:val="center"/>
                        <w:tblLook w:val="01E0" w:firstRow="1" w:lastRow="1" w:firstColumn="1" w:lastColumn="1" w:noHBand="0" w:noVBand="0"/>
                      </w:tblPr>
                      <w:tblGrid>
                        <w:gridCol w:w="8568"/>
                        <w:gridCol w:w="1002"/>
                      </w:tblGrid>
                      <w:tr>
                        <w:trPr>
                          <w:jc w:val="center"/>
                        </w:trPr>
                        <w:tc>
                          <w:tcPr>
                            <w:tcW w:w="8568" w:type="dxa"/>
                            <w:vAlign w:val="center"/>
                            <w:hideMark/>
                          </w:tcPr>
                          <w:p>
                            <w:pPr>
                              <w:suppressAutoHyphens/>
                              <w:ind w:left="2552"/>
                              <w:jc w:val="both"/>
                              <w:rPr>
                                <w:color w:val="000000"/>
                                <w:szCs w:val="24"/>
                              </w:rPr>
                            </w:pPr>
                            <w:r>
                              <w:rPr>
                                <w:color w:val="000000"/>
                                <w:szCs w:val="24"/>
                                <w:lang w:eastAsia="lt-LT"/>
                              </w:rPr>
                              <w:object w:dxaOrig="840" w:dyaOrig="730">
                                <v:shape id="_x0000_i1848" type="#_x0000_t75" style="width:42.05pt;height:37.2pt" o:ole="">
                                  <v:imagedata r:id="rId1664" o:title=""/>
                                </v:shape>
                                <o:OLEObject Type="Embed" ProgID="Equation.3" ShapeID="_x0000_i1848" DrawAspect="Content" ObjectID="_0000000001" r:id="rId1665"/>
                              </w:object>
                              <w:t>,</w:t>
                            </w:r>
                          </w:p>
                        </w:tc>
                        <w:tc>
                          <w:tcPr>
                            <w:tcW w:w="1002" w:type="dxa"/>
                            <w:vAlign w:val="center"/>
                            <w:hideMark/>
                          </w:tcPr>
                          <w:p>
                            <w:pPr>
                              <w:suppressAutoHyphens/>
                              <w:jc w:val="both"/>
                              <w:rPr>
                                <w:color w:val="000000"/>
                                <w:szCs w:val="24"/>
                              </w:rPr>
                            </w:pPr>
                            <w:r>
                              <w:rPr>
                                <w:color w:val="000000"/>
                                <w:szCs w:val="24"/>
                                <w:lang w:eastAsia="lt-LT"/>
                              </w:rPr>
                              <w:t>(2.618)</w:t>
                            </w:r>
                          </w:p>
                        </w:tc>
                      </w:tr>
                    </w:tbl>
                    <w:p>
                      <w:pPr>
                        <w:suppressAutoHyphens/>
                        <w:rPr>
                          <w:color w:val="000000"/>
                        </w:rPr>
                      </w:pPr>
                    </w:p>
                    <w:p>
                      <w:pPr>
                        <w:suppressAutoHyphens/>
                        <w:ind w:left="720"/>
                        <w:rPr>
                          <w:color w:val="000000"/>
                        </w:rPr>
                      </w:pPr>
                      <w:r>
                        <w:rPr>
                          <w:color w:val="000000"/>
                          <w:lang w:eastAsia="lt-LT"/>
                        </w:rPr>
                        <w:t>čia:</w:t>
                        <w:tab/>
                      </w:r>
                      <w:r>
                        <w:rPr>
                          <w:i/>
                          <w:color w:val="000000"/>
                          <w:lang w:eastAsia="lt-LT"/>
                        </w:rPr>
                        <w:t>V</w:t>
                      </w:r>
                      <w:r>
                        <w:rPr>
                          <w:i/>
                          <w:color w:val="000000"/>
                          <w:vertAlign w:val="subscript"/>
                          <w:lang w:eastAsia="lt-LT"/>
                        </w:rPr>
                        <w:t>p</w:t>
                      </w:r>
                      <w:r>
                        <w:rPr>
                          <w:i/>
                          <w:color w:val="000000"/>
                          <w:lang w:eastAsia="lt-LT"/>
                        </w:rPr>
                        <w:t xml:space="preserve"> – </w:t>
                      </w:r>
                      <w:r>
                        <w:rPr>
                          <w:color w:val="000000"/>
                          <w:lang w:eastAsia="lt-LT"/>
                        </w:rPr>
                        <w:t>pastato (jo dalies) šildomų patalpų tūris (m³).</w:t>
                      </w:r>
                    </w:p>
                    <w:p>
                      <w:pPr>
                        <w:rPr>
                          <w:rFonts w:eastAsia="MS Mincho"/>
                          <w:i/>
                          <w:iCs/>
                          <w:sz w:val="20"/>
                        </w:rPr>
                      </w:pPr>
                      <w:r>
                        <w:rPr>
                          <w:rFonts w:eastAsia="MS Mincho"/>
                          <w:i/>
                          <w:iCs/>
                          <w:sz w:val="20"/>
                        </w:rPr>
                        <w:t>Skyriaus pakeitimai:</w:t>
                      </w:r>
                    </w:p>
                    <w:p>
                      <w:pPr>
                        <w:jc w:val="both"/>
                        <w:rPr>
                          <w:rFonts w:eastAsia="MS Mincho"/>
                          <w:i/>
                          <w:iCs/>
                          <w:sz w:val="20"/>
                        </w:rPr>
                      </w:pPr>
                      <w:r>
                        <w:rPr>
                          <w:rFonts w:eastAsia="MS Mincho"/>
                          <w:i/>
                          <w:iCs/>
                          <w:sz w:val="20"/>
                        </w:rPr>
                        <w:t xml:space="preserve">Nr. </w:t>
                      </w:r>
                      <w:hyperlink r:id="rId1666" w:history="1">
                        <w:r>
                          <w:rPr>
                            <w:rFonts w:eastAsia="MS Mincho"/>
                            <w:i/>
                            <w:iCs/>
                            <w:color w:val="0000FF"/>
                            <w:sz w:val="20"/>
                            <w:u w:val="single"/>
                          </w:rPr>
                          <w:t>D1-576</w:t>
                        </w:r>
                      </w:hyperlink>
                      <w:r>
                        <w:rPr>
                          <w:rFonts w:eastAsia="MS Mincho"/>
                          <w:i/>
                          <w:iCs/>
                          <w:sz w:val="20"/>
                        </w:rPr>
                        <w:t>, 2020-09-28, paskelbta TAR 2020-09-28, i. k. 2020-20131</w:t>
                      </w:r>
                    </w:p>
                    <w:p/>
                  </w:sdtContent>
                </w:sdt>
              </w:sdtContent>
            </w:sdt>
          </w:sdtContent>
        </w:sdt>
        <w:sdt>
          <w:sdtPr>
            <w:alias w:val="skyrius"/>
            <w:tag w:val="part_362ba358668148d4ad15a99842f8301b"/>
            <w:lock w:val="sdtLocked"/>
            <w:richText/>
          </w:sdtPr>
          <w:sdtContent>
            <w:p>
              <w:pPr>
                <w:keepNext/>
                <w:keepLines/>
                <w:jc w:val="center"/>
                <w:outlineLvl w:val="2"/>
                <w:rPr>
                  <w:b/>
                  <w:bCs/>
                </w:rPr>
              </w:pPr>
              <w:sdt>
                <w:sdtPr>
                  <w:alias w:val="Numeris"/>
                  <w:tag w:val="nr_362ba358668148d4ad15a99842f8301b"/>
                  <w:lock w:val="sdtLocked"/>
                  <w:richText/>
                </w:sdtPr>
                <w:sdtContent>
                  <w:r>
                    <w:rPr>
                      <w:b/>
                      <w:bCs/>
                    </w:rPr>
                    <w:t>XXX</w:t>
                  </w:r>
                </w:sdtContent>
              </w:sdt>
              <w:r>
                <w:rPr>
                  <w:b/>
                  <w:bCs/>
                </w:rPr>
                <w:t xml:space="preserve"> skyrius</w:t>
              </w:r>
            </w:p>
            <w:p>
              <w:pPr>
                <w:keepNext/>
                <w:keepLines/>
                <w:jc w:val="center"/>
                <w:outlineLvl w:val="2"/>
                <w:rPr>
                  <w:b/>
                  <w:bCs/>
                </w:rPr>
              </w:pPr>
              <w:sdt>
                <w:sdtPr>
                  <w:alias w:val="Pavadinimas"/>
                  <w:tag w:val="title_362ba358668148d4ad15a99842f8301b"/>
                  <w:lock w:val="sdtLocked"/>
                  <w:richText/>
                </w:sdtPr>
                <w:sdtContent>
                  <w:r>
                    <w:rPr>
                      <w:b/>
                      <w:bCs/>
                    </w:rPr>
                    <w:t>Pastato rodiklių verčių nustatymas, kai skaičiavimas atliekamas atskirose pastato dalyse ar zonose</w:t>
                  </w:r>
                </w:sdtContent>
              </w:sdt>
            </w:p>
            <w:p>
              <w:pPr>
                <w:ind w:firstLine="567"/>
                <w:jc w:val="both"/>
                <w:rPr>
                  <w:szCs w:val="24"/>
                  <w:lang w:eastAsia="lt-LT"/>
                </w:rPr>
              </w:pPr>
            </w:p>
            <w:sdt>
              <w:sdtPr>
                <w:alias w:val="2 pr. 94 p."/>
                <w:tag w:val="part_b81c212b1cde4c54aa7051f05778c242"/>
                <w:lock w:val="sdtLocked"/>
                <w:richText/>
              </w:sdtPr>
              <w:sdtContent>
                <w:p>
                  <w:pPr>
                    <w:ind w:firstLine="567"/>
                    <w:jc w:val="both"/>
                    <w:rPr>
                      <w:color w:val="000000"/>
                      <w:szCs w:val="24"/>
                      <w:lang w:eastAsia="lt-LT"/>
                    </w:rPr>
                  </w:pPr>
                  <w:sdt>
                    <w:sdtPr>
                      <w:alias w:val="Numeris"/>
                      <w:tag w:val="nr_b81c212b1cde4c54aa7051f05778c242"/>
                      <w:lock w:val="sdtLocked"/>
                      <w:richText/>
                    </w:sdtPr>
                    <w:sdtContent>
                      <w:r>
                        <w:rPr>
                          <w:color w:val="000000"/>
                          <w:szCs w:val="24"/>
                          <w:lang w:eastAsia="lt-LT"/>
                        </w:rPr>
                        <w:t>94</w:t>
                      </w:r>
                    </w:sdtContent>
                  </w:sdt>
                  <w:r>
                    <w:rPr>
                      <w:color w:val="000000"/>
                      <w:szCs w:val="24"/>
                      <w:lang w:eastAsia="lt-LT"/>
                    </w:rPr>
                    <w:t>. Jei pastatas ar jo dalis skaičiavimo metu skirstomi į atskiras zonas, C</w:t>
                  </w:r>
                  <w:r>
                    <w:rPr>
                      <w:color w:val="000000"/>
                      <w:szCs w:val="24"/>
                      <w:vertAlign w:val="subscript"/>
                      <w:lang w:eastAsia="lt-LT"/>
                    </w:rPr>
                    <w:t>1</w:t>
                  </w:r>
                  <w:r>
                    <w:rPr>
                      <w:color w:val="000000"/>
                      <w:szCs w:val="24"/>
                      <w:lang w:eastAsia="lt-LT"/>
                    </w:rPr>
                    <w:t xml:space="preserve"> ir C</w:t>
                  </w:r>
                  <w:r>
                    <w:rPr>
                      <w:color w:val="000000"/>
                      <w:szCs w:val="24"/>
                      <w:vertAlign w:val="subscript"/>
                      <w:lang w:eastAsia="lt-LT"/>
                    </w:rPr>
                    <w:t>2</w:t>
                  </w:r>
                  <w:r>
                    <w:rPr>
                      <w:color w:val="000000"/>
                      <w:szCs w:val="24"/>
                      <w:lang w:eastAsia="lt-LT"/>
                    </w:rPr>
                    <w:t xml:space="preserve"> pastato (jo dalies) energijos vartojimo efektyvumo rodiklių vertės apskaičiuojamos kaip geometrinis vidurkis pagal pastato zonų šildomų patalpų plotą:</w:t>
                  </w:r>
                </w:p>
                <w:tbl>
                  <w:tblPr>
                    <w:tblW w:w="0" w:type="auto"/>
                    <w:jc w:val="center"/>
                    <w:tblLook w:val="01E0" w:firstRow="1" w:lastRow="1" w:firstColumn="1" w:lastColumn="1" w:noHBand="0" w:noVBand="0"/>
                  </w:tblPr>
                  <w:tblGrid>
                    <w:gridCol w:w="8568"/>
                    <w:gridCol w:w="1002"/>
                  </w:tblGrid>
                  <w:tr>
                    <w:trPr>
                      <w:jc w:val="center"/>
                    </w:trPr>
                    <w:tc>
                      <w:tcPr>
                        <w:tcW w:w="8568" w:type="dxa"/>
                        <w:vAlign w:val="center"/>
                        <w:hideMark/>
                      </w:tcPr>
                      <w:p>
                        <w:pPr>
                          <w:ind w:left="2552"/>
                          <w:jc w:val="both"/>
                          <w:rPr>
                            <w:color w:val="000000"/>
                            <w:szCs w:val="24"/>
                          </w:rPr>
                        </w:pPr>
                        <w:r>
                          <w:rPr>
                            <w:color w:val="000000"/>
                            <w:szCs w:val="24"/>
                          </w:rPr>
                          <w:object w:dxaOrig="1950" w:dyaOrig="1330">
                            <v:shape id="_x0000_i1849" type="#_x0000_t75" style="width:97.9pt;height:67.15pt" o:ole="">
                              <v:imagedata r:id="rId1667" o:title=""/>
                            </v:shape>
                            <o:OLEObject Type="Embed" ProgID="Equation.3" ShapeID="_x0000_i1849" DrawAspect="Content" ObjectID="_0000000001" r:id="rId1668"/>
                          </w:object>
                          <w:t xml:space="preserve">,  </w:t>
                          <w:object w:dxaOrig="2040" w:dyaOrig="1330">
                            <v:shape id="_x0000_i1850" type="#_x0000_t75" style="width:101.95pt;height:67.15pt" o:ole="">
                              <v:imagedata r:id="rId1669" o:title=""/>
                            </v:shape>
                            <o:OLEObject Type="Embed" ProgID="Equation.3" ShapeID="_x0000_i1850" DrawAspect="Content" ObjectID="_0000000001" r:id="rId1670"/>
                          </w:object>
                        </w:r>
                      </w:p>
                    </w:tc>
                    <w:tc>
                      <w:tcPr>
                        <w:tcW w:w="1002" w:type="dxa"/>
                        <w:vAlign w:val="center"/>
                        <w:hideMark/>
                      </w:tcPr>
                      <w:p>
                        <w:pPr>
                          <w:jc w:val="both"/>
                          <w:rPr>
                            <w:color w:val="000000"/>
                            <w:szCs w:val="24"/>
                          </w:rPr>
                        </w:pPr>
                        <w:r>
                          <w:rPr>
                            <w:color w:val="000000"/>
                            <w:szCs w:val="24"/>
                          </w:rPr>
                          <w:t>(2.619)</w:t>
                        </w:r>
                      </w:p>
                    </w:tc>
                  </w:tr>
                </w:tbl>
                <w:p>
                  <w:pPr>
                    <w:ind w:left="540" w:hanging="540"/>
                    <w:rPr>
                      <w:rFonts w:eastAsia="Calibri"/>
                      <w:color w:val="000000"/>
                      <w:szCs w:val="22"/>
                    </w:rPr>
                  </w:pPr>
                  <w:r>
                    <w:rPr>
                      <w:color w:val="000000"/>
                    </w:rPr>
                    <w:t>čia:</w:t>
                    <w:tab/>
                    <w:t>C</w:t>
                  </w:r>
                  <w:r>
                    <w:rPr>
                      <w:color w:val="000000"/>
                      <w:vertAlign w:val="subscript"/>
                    </w:rPr>
                    <w:t>1,z</w:t>
                  </w:r>
                  <w:r>
                    <w:rPr>
                      <w:color w:val="000000"/>
                    </w:rPr>
                    <w:t xml:space="preserve"> ir C</w:t>
                  </w:r>
                  <w:r>
                    <w:rPr>
                      <w:color w:val="000000"/>
                      <w:vertAlign w:val="subscript"/>
                    </w:rPr>
                    <w:t>2,z</w:t>
                  </w:r>
                  <w:r>
                    <w:rPr>
                      <w:color w:val="000000"/>
                    </w:rPr>
                    <w:t xml:space="preserve"> - atitinkamos „z“ pastato zonos rodiklių vertės;</w:t>
                  </w:r>
                </w:p>
                <w:p>
                  <w:pPr>
                    <w:ind w:firstLine="540"/>
                    <w:rPr>
                      <w:color w:val="000000"/>
                    </w:rPr>
                  </w:pPr>
                  <w:r>
                    <w:rPr>
                      <w:i/>
                      <w:color w:val="000000"/>
                    </w:rPr>
                    <w:t>A</w:t>
                  </w:r>
                  <w:r>
                    <w:rPr>
                      <w:i/>
                      <w:color w:val="000000"/>
                      <w:vertAlign w:val="subscript"/>
                    </w:rPr>
                    <w:t>p,z</w:t>
                  </w:r>
                  <w:r>
                    <w:rPr>
                      <w:i/>
                      <w:color w:val="000000"/>
                    </w:rPr>
                    <w:t xml:space="preserve"> – </w:t>
                  </w:r>
                  <w:r>
                    <w:rPr>
                      <w:color w:val="000000"/>
                    </w:rPr>
                    <w:t>atitinkamos „z“ pastato zonos šildomų patalpų plotas (m²</w:t>
                  </w:r>
                  <w:r>
                    <w:rPr>
                      <w:b/>
                      <w:color w:val="000000"/>
                    </w:rPr>
                    <w:t>)</w:t>
                  </w:r>
                  <w:r>
                    <w:rPr>
                      <w:color w:val="000000"/>
                    </w:rPr>
                    <w:t>.</w:t>
                  </w:r>
                </w:p>
                <w:p>
                  <w:pPr>
                    <w:ind w:firstLine="567"/>
                    <w:jc w:val="both"/>
                    <w:rPr>
                      <w:color w:val="000000"/>
                      <w:szCs w:val="24"/>
                      <w:lang w:eastAsia="lt-LT"/>
                    </w:rPr>
                  </w:pPr>
                </w:p>
              </w:sdtContent>
            </w:sdt>
            <w:sdt>
              <w:sdtPr>
                <w:alias w:val="2 pr. 95 p."/>
                <w:tag w:val="part_e1e36080df4b4c6abace473e88a561ee"/>
                <w:lock w:val="sdtLocked"/>
                <w:richText/>
              </w:sdtPr>
              <w:sdtContent>
                <w:p>
                  <w:pPr>
                    <w:ind w:firstLine="567"/>
                    <w:jc w:val="both"/>
                    <w:rPr>
                      <w:color w:val="000000"/>
                      <w:szCs w:val="24"/>
                      <w:lang w:eastAsia="lt-LT"/>
                    </w:rPr>
                  </w:pPr>
                  <w:sdt>
                    <w:sdtPr>
                      <w:alias w:val="Numeris"/>
                      <w:tag w:val="nr_e1e36080df4b4c6abace473e88a561ee"/>
                      <w:lock w:val="sdtLocked"/>
                      <w:richText/>
                    </w:sdtPr>
                    <w:sdtContent>
                      <w:r>
                        <w:rPr>
                          <w:color w:val="000000"/>
                          <w:szCs w:val="24"/>
                          <w:lang w:eastAsia="lt-LT"/>
                        </w:rPr>
                        <w:t>95</w:t>
                      </w:r>
                    </w:sdtContent>
                  </w:sdt>
                  <w:r>
                    <w:rPr>
                      <w:color w:val="000000"/>
                      <w:szCs w:val="24"/>
                      <w:lang w:eastAsia="lt-LT"/>
                    </w:rPr>
                    <w:t>. Jei pastatas skaičiavimo metu skirstomas į atskiras dalis, C</w:t>
                  </w:r>
                  <w:r>
                    <w:rPr>
                      <w:color w:val="000000"/>
                      <w:szCs w:val="24"/>
                      <w:vertAlign w:val="subscript"/>
                      <w:lang w:eastAsia="lt-LT"/>
                    </w:rPr>
                    <w:t>1</w:t>
                  </w:r>
                  <w:r>
                    <w:rPr>
                      <w:color w:val="000000"/>
                      <w:szCs w:val="24"/>
                      <w:lang w:eastAsia="lt-LT"/>
                    </w:rPr>
                    <w:t xml:space="preserve"> ir C</w:t>
                  </w:r>
                  <w:r>
                    <w:rPr>
                      <w:color w:val="000000"/>
                      <w:szCs w:val="24"/>
                      <w:vertAlign w:val="subscript"/>
                      <w:lang w:eastAsia="lt-LT"/>
                    </w:rPr>
                    <w:t>2</w:t>
                  </w:r>
                  <w:r>
                    <w:rPr>
                      <w:color w:val="000000"/>
                      <w:szCs w:val="24"/>
                      <w:lang w:eastAsia="lt-LT"/>
                    </w:rPr>
                    <w:t xml:space="preserve"> pastato energijos vartojimo efektyvumo rodiklių vertės apskaičiuojamos kaip geometrinis vidurkis pagal pastato dalių šildomų patalpų plotą:</w:t>
                  </w:r>
                </w:p>
                <w:tbl>
                  <w:tblPr>
                    <w:tblW w:w="0" w:type="auto"/>
                    <w:jc w:val="center"/>
                    <w:tblLook w:val="01E0" w:firstRow="1" w:lastRow="1" w:firstColumn="1" w:lastColumn="1" w:noHBand="0" w:noVBand="0"/>
                  </w:tblPr>
                  <w:tblGrid>
                    <w:gridCol w:w="8568"/>
                    <w:gridCol w:w="1002"/>
                  </w:tblGrid>
                  <w:tr>
                    <w:trPr>
                      <w:jc w:val="center"/>
                    </w:trPr>
                    <w:tc>
                      <w:tcPr>
                        <w:tcW w:w="8568" w:type="dxa"/>
                        <w:vAlign w:val="center"/>
                        <w:hideMark/>
                      </w:tcPr>
                      <w:p>
                        <w:pPr>
                          <w:ind w:left="2552"/>
                          <w:jc w:val="both"/>
                          <w:rPr>
                            <w:color w:val="000000"/>
                            <w:szCs w:val="24"/>
                          </w:rPr>
                        </w:pPr>
                        <w:r>
                          <w:rPr>
                            <w:color w:val="000000"/>
                            <w:szCs w:val="24"/>
                          </w:rPr>
                          <w:object w:dxaOrig="1930" w:dyaOrig="1330">
                            <v:shape id="_x0000_i1851" type="#_x0000_t75" style="width:97.9pt;height:67.15pt" o:ole="">
                              <v:imagedata r:id="rId1671" o:title=""/>
                            </v:shape>
                            <o:OLEObject Type="Embed" ProgID="Equation.3" ShapeID="_x0000_i1851" DrawAspect="Content" ObjectID="_0000000001" r:id="rId1672"/>
                          </w:object>
                          <w:t xml:space="preserve">,  </w:t>
                          <w:object w:dxaOrig="1980" w:dyaOrig="1330">
                            <v:shape id="_x0000_i1852" type="#_x0000_t75" style="width:98.7pt;height:67.15pt" o:ole="">
                              <v:imagedata r:id="rId1673" o:title=""/>
                            </v:shape>
                            <o:OLEObject Type="Embed" ProgID="Equation.3" ShapeID="_x0000_i1852" DrawAspect="Content" ObjectID="_0000000001" r:id="rId1674"/>
                          </w:object>
                        </w:r>
                      </w:p>
                    </w:tc>
                    <w:tc>
                      <w:tcPr>
                        <w:tcW w:w="1002" w:type="dxa"/>
                        <w:vAlign w:val="center"/>
                        <w:hideMark/>
                      </w:tcPr>
                      <w:p>
                        <w:pPr>
                          <w:jc w:val="both"/>
                          <w:rPr>
                            <w:color w:val="000000"/>
                            <w:szCs w:val="24"/>
                          </w:rPr>
                        </w:pPr>
                        <w:r>
                          <w:rPr>
                            <w:color w:val="000000"/>
                            <w:szCs w:val="24"/>
                          </w:rPr>
                          <w:t>(2.620)</w:t>
                        </w:r>
                      </w:p>
                    </w:tc>
                  </w:tr>
                </w:tbl>
                <w:p>
                  <w:pPr>
                    <w:ind w:left="540" w:hanging="540"/>
                    <w:rPr>
                      <w:rFonts w:eastAsia="Calibri"/>
                      <w:color w:val="000000"/>
                      <w:szCs w:val="22"/>
                    </w:rPr>
                  </w:pPr>
                  <w:r>
                    <w:rPr>
                      <w:color w:val="000000"/>
                    </w:rPr>
                    <w:t>čia:</w:t>
                    <w:tab/>
                    <w:t>C</w:t>
                  </w:r>
                  <w:r>
                    <w:rPr>
                      <w:color w:val="000000"/>
                      <w:vertAlign w:val="subscript"/>
                    </w:rPr>
                    <w:t>1,d</w:t>
                  </w:r>
                  <w:r>
                    <w:rPr>
                      <w:color w:val="000000"/>
                    </w:rPr>
                    <w:t xml:space="preserve"> ir C</w:t>
                  </w:r>
                  <w:r>
                    <w:rPr>
                      <w:color w:val="000000"/>
                      <w:vertAlign w:val="subscript"/>
                    </w:rPr>
                    <w:t>2,d</w:t>
                  </w:r>
                  <w:r>
                    <w:rPr>
                      <w:color w:val="000000"/>
                    </w:rPr>
                    <w:t xml:space="preserve"> - atitinkamos „d“ pastato dalies rodiklių vertės;</w:t>
                  </w:r>
                </w:p>
                <w:p>
                  <w:pPr>
                    <w:ind w:firstLine="540"/>
                    <w:rPr>
                      <w:color w:val="000000"/>
                    </w:rPr>
                  </w:pPr>
                  <w:r>
                    <w:rPr>
                      <w:i/>
                      <w:color w:val="000000"/>
                    </w:rPr>
                    <w:t>A</w:t>
                  </w:r>
                  <w:r>
                    <w:rPr>
                      <w:i/>
                      <w:color w:val="000000"/>
                      <w:vertAlign w:val="subscript"/>
                    </w:rPr>
                    <w:t>p,d</w:t>
                  </w:r>
                  <w:r>
                    <w:rPr>
                      <w:i/>
                      <w:color w:val="000000"/>
                    </w:rPr>
                    <w:t xml:space="preserve"> – </w:t>
                  </w:r>
                  <w:r>
                    <w:rPr>
                      <w:color w:val="000000"/>
                    </w:rPr>
                    <w:t>atitinkamos „d“ pastato dalies šildomų patalpų plotas (m²</w:t>
                  </w:r>
                  <w:r>
                    <w:rPr>
                      <w:b/>
                      <w:color w:val="000000"/>
                    </w:rPr>
                    <w:t>)</w:t>
                  </w:r>
                  <w:r>
                    <w:rPr>
                      <w:color w:val="000000"/>
                    </w:rPr>
                    <w:t>.</w:t>
                  </w:r>
                </w:p>
                <w:p>
                  <w:pPr>
                    <w:rPr>
                      <w:color w:val="000000"/>
                    </w:rPr>
                  </w:pPr>
                </w:p>
              </w:sdtContent>
            </w:sdt>
            <w:sdt>
              <w:sdtPr>
                <w:alias w:val="2 pr. 96 p."/>
                <w:tag w:val="part_a24738af895f4413a19e09b4c5b04dad"/>
                <w:lock w:val="sdtLocked"/>
                <w:richText/>
              </w:sdtPr>
              <w:sdtContent>
                <w:p>
                  <w:pPr>
                    <w:ind w:firstLine="567"/>
                    <w:jc w:val="both"/>
                    <w:rPr>
                      <w:szCs w:val="24"/>
                      <w:lang w:eastAsia="lt-LT"/>
                    </w:rPr>
                  </w:pPr>
                  <w:sdt>
                    <w:sdtPr>
                      <w:alias w:val="Numeris"/>
                      <w:tag w:val="nr_a24738af895f4413a19e09b4c5b04dad"/>
                      <w:lock w:val="sdtLocked"/>
                      <w:richText/>
                    </w:sdtPr>
                    <w:sdtContent>
                      <w:r>
                        <w:rPr>
                          <w:szCs w:val="24"/>
                          <w:lang w:eastAsia="lt-LT"/>
                        </w:rPr>
                        <w:t>96</w:t>
                      </w:r>
                    </w:sdtContent>
                  </w:sdt>
                  <w:r>
                    <w:rPr>
                      <w:szCs w:val="24"/>
                      <w:lang w:eastAsia="lt-LT"/>
                    </w:rPr>
                    <w:t xml:space="preserve">. Kaip 94 ir 95 punktuose nustatytais principais apskaičiuojami pastato dalių ir viso pastato šilumos nuostoliai per atitvaras, ilginius šiluminius tiltelius, energijos sąnaudos pastatui (jo daliai) šildyti, pastate (jo dalyje) įrengtų rekuperatorių naudingumo koeficientas </w:t>
                  </w:r>
                  <w:r>
                    <w:rPr>
                      <w:i/>
                      <w:szCs w:val="24"/>
                      <w:lang w:eastAsia="lt-LT"/>
                    </w:rPr>
                    <w:t>η</w:t>
                  </w:r>
                  <w:r>
                    <w:rPr>
                      <w:i/>
                      <w:szCs w:val="24"/>
                      <w:vertAlign w:val="subscript"/>
                      <w:lang w:eastAsia="lt-LT"/>
                    </w:rPr>
                    <w:t xml:space="preserve">re </w:t>
                  </w:r>
                  <w:r>
                    <w:rPr>
                      <w:szCs w:val="24"/>
                      <w:lang w:eastAsia="lt-LT"/>
                    </w:rPr>
                    <w:t xml:space="preserve">ir rekuperatorių ventiliatorių sunaudojamas elektros energijos kiekis, pagal kurių vertes ir Reglamento 1 lentelės reikalavimus tikrinama pastato ar jo dalies mechaninio vėdinimo su rekuperacija sistemų atitiktis atitinkamai energinio naudingumo klasei, energijos sąnaudos pastatui (jo daliai) šildyti ir pastate (jo dalyje) sunaudota energijos dalis </w:t>
                  </w:r>
                  <w:r>
                    <w:rPr>
                      <w:i/>
                      <w:szCs w:val="24"/>
                      <w:lang w:eastAsia="lt-LT"/>
                    </w:rPr>
                    <w:t>K</w:t>
                  </w:r>
                  <w:r>
                    <w:rPr>
                      <w:i/>
                      <w:szCs w:val="24"/>
                      <w:vertAlign w:val="subscript"/>
                      <w:lang w:eastAsia="lt-LT"/>
                    </w:rPr>
                    <w:t>ers</w:t>
                  </w:r>
                  <w:r>
                    <w:rPr>
                      <w:szCs w:val="24"/>
                      <w:lang w:eastAsia="lt-LT"/>
                    </w:rPr>
                    <w:t xml:space="preserve"> (vnt.) iš atsinaujinančių išteklių. </w:t>
                  </w:r>
                </w:p>
              </w:sdtContent>
            </w:sdt>
            <w:sdt>
              <w:sdtPr>
                <w:alias w:val="2 pr. 97 p."/>
                <w:tag w:val="part_d7154048cd1344eea0927cdbe16eb50d"/>
                <w:lock w:val="sdtLocked"/>
                <w:richText/>
              </w:sdtPr>
              <w:sdtContent>
                <w:p>
                  <w:pPr>
                    <w:ind w:firstLine="567"/>
                    <w:jc w:val="both"/>
                    <w:rPr>
                      <w:szCs w:val="24"/>
                      <w:lang w:eastAsia="lt-LT"/>
                    </w:rPr>
                  </w:pPr>
                  <w:sdt>
                    <w:sdtPr>
                      <w:alias w:val="Numeris"/>
                      <w:tag w:val="nr_d7154048cd1344eea0927cdbe16eb50d"/>
                      <w:lock w:val="sdtLocked"/>
                      <w:richText/>
                    </w:sdtPr>
                    <w:sdtContent>
                      <w:r>
                        <w:rPr>
                          <w:szCs w:val="24"/>
                          <w:lang w:eastAsia="lt-LT"/>
                        </w:rPr>
                        <w:t>97</w:t>
                      </w:r>
                    </w:sdtContent>
                  </w:sdt>
                  <w:r>
                    <w:rPr>
                      <w:szCs w:val="24"/>
                      <w:lang w:eastAsia="lt-LT"/>
                    </w:rPr>
                    <w:t xml:space="preserve">. Pastato dalių atitvarų skaičiuojamieji savitieji šilumos nuostoliai apskaičiuojami sumuojant pastato zonų savituosius šilumos nuostolius, o viso pastato savitieji šilumos nuostoliai apskaičiuojami sumuojant pastato zonų ir pastato dalių šiuos nuostolius. </w:t>
                  </w:r>
                </w:p>
                <w:p>
                  <w:pPr>
                    <w:jc w:val="center"/>
                  </w:pPr>
                  <w:r>
                    <w:rPr>
                      <w:color w:val="000000"/>
                    </w:rPr>
                    <w:t>_______________________________</w:t>
                  </w:r>
                </w:p>
              </w:sdtContent>
            </w:sdt>
          </w:sdtContent>
        </w:sdt>
      </w:sdtContent>
    </w:sdt>
    <w:sdt>
      <w:sdtPr>
        <w:alias w:val="3 pr."/>
        <w:tag w:val="part_665d715fb5dc4b468d597492b75ecf2e"/>
        <w:lock w:val="sdtLocked"/>
        <w:richText/>
      </w:sdtPr>
      <w:sdtContent>
        <w:p>
          <w:pPr>
            <w:ind w:left="5245"/>
            <w:sectPr>
              <w:pgSz w:w="11906" w:h="16838"/>
              <w:pgMar w:top="1134" w:right="567" w:bottom="1134" w:left="1701" w:header="357" w:footer="709" w:gutter="0"/>
              <w:cols w:space="1296"/>
            </w:sectPr>
          </w:pPr>
        </w:p>
        <w:p>
          <w:pPr>
            <w:ind w:left="5245"/>
          </w:pPr>
          <w:r>
            <w:t xml:space="preserve">Statybos techninio reglamento </w:t>
          </w:r>
        </w:p>
        <w:p>
          <w:pPr>
            <w:ind w:left="5245"/>
          </w:pPr>
          <w:r>
            <w:t>STR 2.01.02:2016 „Pastatų energinio naudingumo projektavimas ir sertifikavimas“</w:t>
          </w:r>
        </w:p>
        <w:p>
          <w:pPr>
            <w:ind w:left="5245"/>
            <w:rPr>
              <w:sz w:val="20"/>
            </w:rPr>
          </w:pPr>
          <w:sdt>
            <w:sdtPr>
              <w:alias w:val="Numeris"/>
              <w:tag w:val="nr_665d715fb5dc4b468d597492b75ecf2e"/>
              <w:lock w:val="sdtLocked"/>
              <w:richText/>
            </w:sdtPr>
            <w:sdtContent>
              <w:r>
                <w:t>3</w:t>
              </w:r>
            </w:sdtContent>
          </w:sdt>
          <w:r>
            <w:t xml:space="preserve"> priedas</w:t>
          </w:r>
          <w:r>
            <w:rPr>
              <w:sz w:val="20"/>
            </w:rPr>
            <w:t xml:space="preserve"> </w:t>
          </w:r>
        </w:p>
        <w:p>
          <w:pPr>
            <w:ind w:left="4253" w:firstLine="283"/>
            <w:rPr>
              <w:sz w:val="20"/>
            </w:rPr>
          </w:pPr>
        </w:p>
        <w:p>
          <w:pPr>
            <w:rPr>
              <w:sz w:val="10"/>
              <w:szCs w:val="10"/>
            </w:rPr>
          </w:pPr>
        </w:p>
        <w:p>
          <w:pPr>
            <w:keepNext/>
            <w:overflowPunct w:val="0"/>
            <w:jc w:val="center"/>
            <w:outlineLvl w:val="1"/>
            <w:rPr>
              <w:rFonts w:ascii="Times New Roman Bold" w:hAnsi="Times New Roman Bold"/>
              <w:b/>
              <w:caps/>
              <w:lang w:eastAsia="lt-LT"/>
            </w:rPr>
          </w:pPr>
          <w:sdt>
            <w:sdtPr>
              <w:alias w:val="Pavadinimas"/>
              <w:tag w:val="title_665d715fb5dc4b468d597492b75ecf2e"/>
              <w:lock w:val="sdtLocked"/>
              <w:richText/>
            </w:sdtPr>
            <w:sdtContent>
              <w:r>
                <w:rPr>
                  <w:rFonts w:ascii="Times New Roman Bold" w:hAnsi="Times New Roman Bold"/>
                  <w:b/>
                  <w:caps/>
                  <w:lang w:eastAsia="lt-LT"/>
                </w:rPr>
                <w:t xml:space="preserve">Statybos produktų šiluminių techninių rodiklių vertės pastatų energinio naudingumo skaičiavimams </w:t>
              </w:r>
            </w:sdtContent>
          </w:sdt>
        </w:p>
        <w:p>
          <w:pPr>
            <w:rPr>
              <w:sz w:val="10"/>
              <w:szCs w:val="10"/>
            </w:rPr>
          </w:pPr>
        </w:p>
        <w:p>
          <w:pPr>
            <w:rPr>
              <w:caps/>
            </w:rPr>
          </w:pPr>
        </w:p>
        <w:sdt>
          <w:sdtPr>
            <w:alias w:val="3 pr. 1 p."/>
            <w:tag w:val="part_c6c7cea0e06e42e49c0b24689b0ef8f5"/>
            <w:lock w:val="sdtLocked"/>
            <w:richText/>
          </w:sdtPr>
          <w:sdtContent>
            <w:p>
              <w:pPr>
                <w:ind w:firstLine="567"/>
                <w:jc w:val="both"/>
                <w:rPr>
                  <w:color w:val="000000"/>
                  <w:szCs w:val="24"/>
                </w:rPr>
              </w:pPr>
              <w:sdt>
                <w:sdtPr>
                  <w:alias w:val="Numeris"/>
                  <w:tag w:val="nr_c6c7cea0e06e42e49c0b24689b0ef8f5"/>
                  <w:lock w:val="sdtLocked"/>
                  <w:richText/>
                </w:sdtPr>
                <w:sdtContent>
                  <w:r>
                    <w:rPr>
                      <w:color w:val="000000"/>
                      <w:szCs w:val="24"/>
                    </w:rPr>
                    <w:t>1</w:t>
                  </w:r>
                </w:sdtContent>
              </w:sdt>
              <w:r>
                <w:rPr>
                  <w:color w:val="000000"/>
                  <w:szCs w:val="24"/>
                </w:rPr>
                <w:t xml:space="preserve">. Jei yra termoizoliacinių statybos produktų deklaruojamąją šilumos koeficiento vertę įrodantys dokumentai, projektinė termoizoliacinės medžiagos arba gaminio šilumos laidumo koeficiento vertė </w:t>
              </w:r>
              <w:r>
                <w:rPr>
                  <w:i/>
                  <w:iCs/>
                  <w:color w:val="000000"/>
                  <w:szCs w:val="24"/>
                </w:rPr>
                <w:sym w:font="Symbol" w:char="006C"/>
              </w:r>
              <w:r>
                <w:rPr>
                  <w:i/>
                  <w:iCs/>
                  <w:color w:val="000000"/>
                  <w:szCs w:val="24"/>
                  <w:vertAlign w:val="subscript"/>
                </w:rPr>
                <w:t>ds</w:t>
              </w:r>
              <w:r>
                <w:rPr>
                  <w:color w:val="000000"/>
                  <w:szCs w:val="24"/>
                </w:rPr>
                <w:t xml:space="preserve"> (W/(m</w:t>
                <w:sym w:font="Symbol" w:char="00D7"/>
                <w:t>K)) apskaičiuojama taip:</w:t>
              </w:r>
            </w:p>
            <w:p>
              <w:pPr>
                <w:ind w:firstLine="567"/>
                <w:rPr>
                  <w:color w:val="000000"/>
                  <w:szCs w:val="24"/>
                </w:rPr>
              </w:pPr>
            </w:p>
            <w:p>
              <w:pPr>
                <w:tabs>
                  <w:tab w:val="left" w:pos="8856"/>
                </w:tabs>
                <w:spacing w:line="276" w:lineRule="auto"/>
                <w:ind w:left="2552"/>
                <w:rPr>
                  <w:rFonts w:eastAsia="Calibri"/>
                  <w:color w:val="000000"/>
                  <w:szCs w:val="24"/>
                </w:rPr>
              </w:pPr>
              <w:r>
                <w:rPr>
                  <w:i/>
                  <w:iCs/>
                  <w:position w:val="-12"/>
                  <w:szCs w:val="24"/>
                  <w:lang w:eastAsia="lt-LT"/>
                </w:rPr>
                <w:object w:dxaOrig="1440" w:dyaOrig="360">
                  <v:shape id="_x0000_i1853" type="#_x0000_t75" style="width:1in;height:19.4pt" o:ole="">
                    <v:imagedata r:id="rId33" o:title=""/>
                  </v:shape>
                  <o:OLEObject Type="Embed" ProgID="Equation.3" ShapeID="_x0000_i1853" DrawAspect="Content" ObjectID="_0000000001" r:id="rId34"/>
                </w:object>
              </w:r>
              <w:r>
                <w:rPr>
                  <w:iCs/>
                  <w:color w:val="000000"/>
                  <w:szCs w:val="24"/>
                </w:rPr>
                <w:t>;</w:t>
              </w:r>
              <w:r>
                <w:rPr>
                  <w:rFonts w:eastAsia="Calibri"/>
                  <w:color w:val="000000"/>
                  <w:szCs w:val="24"/>
                </w:rPr>
                <w:tab/>
              </w:r>
              <w:r>
                <w:rPr>
                  <w:color w:val="000000"/>
                  <w:szCs w:val="24"/>
                </w:rPr>
                <w:t>(3.1)</w:t>
              </w:r>
            </w:p>
            <w:p>
              <w:pPr>
                <w:tabs>
                  <w:tab w:val="left" w:pos="567"/>
                </w:tabs>
                <w:jc w:val="both"/>
                <w:rPr>
                  <w:color w:val="000000"/>
                  <w:spacing w:val="-8"/>
                  <w:szCs w:val="24"/>
                </w:rPr>
              </w:pPr>
            </w:p>
            <w:p>
              <w:pPr>
                <w:tabs>
                  <w:tab w:val="left" w:pos="567"/>
                </w:tabs>
                <w:jc w:val="both"/>
                <w:rPr>
                  <w:color w:val="000000"/>
                  <w:spacing w:val="-8"/>
                  <w:szCs w:val="24"/>
                </w:rPr>
              </w:pPr>
              <w:r>
                <w:rPr>
                  <w:color w:val="000000"/>
                  <w:spacing w:val="-8"/>
                  <w:szCs w:val="24"/>
                </w:rPr>
                <w:t>čia:</w:t>
                <w:tab/>
              </w:r>
              <w:r>
                <w:rPr>
                  <w:i/>
                  <w:iCs/>
                  <w:color w:val="000000"/>
                  <w:spacing w:val="-8"/>
                  <w:szCs w:val="24"/>
                </w:rPr>
                <w:sym w:font="Symbol" w:char="006C"/>
              </w:r>
              <w:r>
                <w:rPr>
                  <w:i/>
                  <w:iCs/>
                  <w:color w:val="000000"/>
                  <w:spacing w:val="-8"/>
                  <w:szCs w:val="24"/>
                  <w:vertAlign w:val="subscript"/>
                </w:rPr>
                <w:t xml:space="preserve">D </w:t>
              </w:r>
              <w:r>
                <w:rPr>
                  <w:color w:val="000000"/>
                  <w:spacing w:val="-8"/>
                  <w:szCs w:val="24"/>
                </w:rPr>
                <w:t xml:space="preserve">– deklaruojamoji </w:t>
              </w:r>
              <w:r>
                <w:rPr>
                  <w:color w:val="000000"/>
                  <w:szCs w:val="24"/>
                </w:rPr>
                <w:t>termoizoliacinio statybos produkto</w:t>
              </w:r>
              <w:r>
                <w:rPr>
                  <w:color w:val="000000"/>
                  <w:spacing w:val="-8"/>
                  <w:szCs w:val="24"/>
                </w:rPr>
                <w:t xml:space="preserve"> šilumos laidumo koeficiento vertė </w:t>
              </w:r>
              <w:r>
                <w:rPr>
                  <w:color w:val="000000"/>
                  <w:spacing w:val="-10"/>
                  <w:szCs w:val="24"/>
                </w:rPr>
                <w:t>(W/(m</w:t>
                <w:sym w:font="Symbol" w:char="00D7"/>
                <w:t>K))</w:t>
              </w:r>
              <w:r>
                <w:rPr>
                  <w:color w:val="000000"/>
                  <w:spacing w:val="-8"/>
                  <w:szCs w:val="24"/>
                </w:rPr>
                <w:t>;</w:t>
              </w:r>
            </w:p>
            <w:p>
              <w:pPr>
                <w:ind w:firstLine="567"/>
                <w:jc w:val="both"/>
                <w:rPr>
                  <w:color w:val="000000"/>
                  <w:spacing w:val="-10"/>
                  <w:szCs w:val="24"/>
                </w:rPr>
              </w:pPr>
              <w:r>
                <w:rPr>
                  <w:i/>
                  <w:iCs/>
                  <w:color w:val="000000"/>
                  <w:spacing w:val="-10"/>
                  <w:szCs w:val="24"/>
                </w:rPr>
                <w:sym w:font="Symbol" w:char="0044"/>
                <w:sym w:font="Symbol" w:char="006C"/>
              </w:r>
              <w:r>
                <w:rPr>
                  <w:i/>
                  <w:iCs/>
                  <w:color w:val="000000"/>
                  <w:spacing w:val="-10"/>
                  <w:szCs w:val="24"/>
                  <w:vertAlign w:val="subscript"/>
                </w:rPr>
                <w:sym w:font="Symbol" w:char="0077"/>
              </w:r>
              <w:r>
                <w:rPr>
                  <w:color w:val="000000"/>
                  <w:spacing w:val="-10"/>
                  <w:szCs w:val="24"/>
                </w:rPr>
                <w:t xml:space="preserve"> – šilumos laidumo koeficiento pataisa dėl </w:t>
              </w:r>
              <w:r>
                <w:rPr>
                  <w:color w:val="000000"/>
                  <w:szCs w:val="24"/>
                </w:rPr>
                <w:t>termoizoliacinio statybos produkto</w:t>
              </w:r>
              <w:r>
                <w:rPr>
                  <w:color w:val="000000"/>
                  <w:spacing w:val="-10"/>
                  <w:szCs w:val="24"/>
                </w:rPr>
                <w:t xml:space="preserve"> papildomo įdrėkimo atitvaroje (W/(m</w:t>
                <w:sym w:font="Symbol" w:char="00D7"/>
                <w:t xml:space="preserve">K)). Imama iš 3.1, 3.2 ir 3.3 lentelių; </w:t>
              </w:r>
            </w:p>
            <w:p>
              <w:pPr>
                <w:ind w:firstLine="567"/>
                <w:jc w:val="both"/>
                <w:rPr>
                  <w:color w:val="000000"/>
                  <w:spacing w:val="-10"/>
                  <w:szCs w:val="24"/>
                </w:rPr>
              </w:pPr>
            </w:p>
            <w:sdt>
              <w:sdtPr>
                <w:alias w:val="lentele"/>
                <w:tag w:val="part_f287100815204bf18932e74ca3b1bff0"/>
                <w:lock w:val="sdtLocked"/>
                <w:richText/>
              </w:sdtPr>
              <w:sdtContent>
                <w:sdt>
                  <w:sdtPr>
                    <w:alias w:val="Pavadinimas"/>
                    <w:tag w:val="title_f287100815204bf18932e74ca3b1bff0"/>
                    <w:lock w:val="sdtLocked"/>
                    <w:richText/>
                  </w:sdtPr>
                  <w:sdtContent>
                    <w:p>
                      <w:pPr>
                        <w:jc w:val="center"/>
                        <w:rPr>
                          <w:b/>
                          <w:bCs/>
                          <w:szCs w:val="24"/>
                        </w:rPr>
                      </w:pPr>
                      <w:r>
                        <w:rPr>
                          <w:b/>
                          <w:bCs/>
                          <w:szCs w:val="24"/>
                        </w:rPr>
                        <w:t xml:space="preserve">Pataisa </w:t>
                      </w:r>
                      <w:r>
                        <w:rPr>
                          <w:b/>
                          <w:bCs/>
                          <w:i/>
                          <w:szCs w:val="24"/>
                        </w:rPr>
                        <w:sym w:font="Symbol" w:char="0044"/>
                        <w:sym w:font="Symbol" w:char="006C"/>
                      </w:r>
                      <w:r>
                        <w:rPr>
                          <w:b/>
                          <w:bCs/>
                          <w:i/>
                          <w:szCs w:val="24"/>
                          <w:vertAlign w:val="subscript"/>
                        </w:rPr>
                        <w:sym w:font="Symbol" w:char="0077"/>
                      </w:r>
                      <w:r>
                        <w:rPr>
                          <w:b/>
                          <w:bCs/>
                          <w:szCs w:val="24"/>
                        </w:rPr>
                        <w:t xml:space="preserve"> dėl papildomo medžiagos įdrėkimo vėdinamose ir nevėdinamose atitvarose</w:t>
                      </w:r>
                    </w:p>
                  </w:sdtContent>
                </w:sdt>
                <w:p>
                  <w:pPr>
                    <w:keepNext/>
                    <w:tabs>
                      <w:tab w:val="left" w:pos="851"/>
                    </w:tabs>
                    <w:jc w:val="right"/>
                    <w:rPr>
                      <w:bCs/>
                      <w:szCs w:val="24"/>
                    </w:rPr>
                  </w:pPr>
                  <w:sdt>
                    <w:sdtPr>
                      <w:alias w:val="Numeris"/>
                      <w:tag w:val="nr_f287100815204bf18932e74ca3b1bff0"/>
                      <w:lock w:val="sdtLocked"/>
                      <w:richText/>
                    </w:sdtPr>
                    <w:sdtContent>
                      <w:r>
                        <w:rPr>
                          <w:bCs/>
                          <w:szCs w:val="24"/>
                        </w:rPr>
                        <w:t>3.1</w:t>
                      </w:r>
                    </w:sdtContent>
                  </w:sdt>
                  <w:r>
                    <w:rPr>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6619"/>
                    <w:gridCol w:w="1204"/>
                    <w:gridCol w:w="1443"/>
                  </w:tblGrid>
                  <w:tr>
                    <w:trPr>
                      <w:cantSplit/>
                    </w:trPr>
                    <w:tc>
                      <w:tcPr>
                        <w:tcW w:w="299" w:type="pct"/>
                        <w:vMerge w:val="restart"/>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Eil. Nr.</w:t>
                        </w:r>
                      </w:p>
                    </w:tc>
                    <w:tc>
                      <w:tcPr>
                        <w:tcW w:w="3358" w:type="pct"/>
                        <w:vMerge w:val="restart"/>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Termoizoliaciniai statybos produktai</w:t>
                        </w:r>
                      </w:p>
                    </w:tc>
                    <w:tc>
                      <w:tcPr>
                        <w:tcW w:w="1343" w:type="pct"/>
                        <w:gridSpan w:val="2"/>
                        <w:tcBorders>
                          <w:top w:val="single" w:sz="4" w:space="0" w:color="auto"/>
                          <w:left w:val="single" w:sz="4" w:space="0" w:color="auto"/>
                          <w:bottom w:val="single" w:sz="4" w:space="0" w:color="auto"/>
                          <w:right w:val="single" w:sz="4" w:space="0" w:color="auto"/>
                        </w:tcBorders>
                        <w:hideMark/>
                      </w:tcPr>
                      <w:p>
                        <w:pPr>
                          <w:jc w:val="center"/>
                          <w:rPr>
                            <w:bCs/>
                            <w:szCs w:val="24"/>
                          </w:rPr>
                        </w:pPr>
                        <w:r>
                          <w:rPr>
                            <w:bCs/>
                            <w:i/>
                            <w:iCs/>
                            <w:szCs w:val="24"/>
                          </w:rPr>
                          <w:t xml:space="preserve">Pataisa </w:t>
                          <w:sym w:font="Symbol" w:char="F044"/>
                          <w:sym w:font="Symbol" w:char="F06C"/>
                        </w:r>
                        <w:r>
                          <w:rPr>
                            <w:bCs/>
                            <w:i/>
                            <w:iCs/>
                            <w:szCs w:val="24"/>
                            <w:vertAlign w:val="subscript"/>
                          </w:rPr>
                          <w:sym w:font="Symbol" w:char="F077"/>
                        </w:r>
                        <w:r>
                          <w:rPr>
                            <w:bCs/>
                            <w:szCs w:val="24"/>
                          </w:rPr>
                          <w:t>, W/(m</w:t>
                          <w:sym w:font="Symbol" w:char="F0D7"/>
                          <w:t>K)</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611" w:type="pct"/>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vėdinama</w:t>
                        </w:r>
                      </w:p>
                    </w:tc>
                    <w:tc>
                      <w:tcPr>
                        <w:tcW w:w="732" w:type="pct"/>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nevėdinama</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vertAlign w:val="superscript"/>
                          </w:rPr>
                        </w:pPr>
                        <w:r>
                          <w:rPr>
                            <w:szCs w:val="24"/>
                          </w:rPr>
                          <w:t xml:space="preserve">Akytieji betonai, </w:t>
                        </w:r>
                        <w:r>
                          <w:rPr>
                            <w:i/>
                            <w:iCs/>
                            <w:szCs w:val="24"/>
                          </w:rPr>
                          <w:sym w:font="Symbol" w:char="F072"/>
                        </w:r>
                        <w:r>
                          <w:rPr>
                            <w:szCs w:val="24"/>
                          </w:rPr>
                          <w:t>&gt; 400 kg/m</w:t>
                        </w:r>
                        <w:r>
                          <w:rPr>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0,03</w:t>
                        </w:r>
                      </w:p>
                    </w:tc>
                  </w:tr>
                  <w:tr>
                    <w:trPr>
                      <w:trHeight w:val="306"/>
                    </w:trP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Akytieji betonai, </w:t>
                        </w:r>
                        <w:r>
                          <w:rPr>
                            <w:i/>
                            <w:iCs/>
                            <w:szCs w:val="24"/>
                          </w:rPr>
                          <w:sym w:font="Symbol" w:char="F072"/>
                        </w:r>
                        <w:r>
                          <w:rPr>
                            <w:szCs w:val="24"/>
                          </w:rPr>
                          <w:t xml:space="preserve"> ≤ 400 kg/m</w:t>
                        </w:r>
                        <w:r>
                          <w:rPr>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0,015</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Mineralinė vata</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Birioji celiuliozės pluošto vata</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Fenolinis putplastis „PF“</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3358" w:type="pct"/>
                        <w:tcBorders>
                          <w:top w:val="single" w:sz="4" w:space="0" w:color="auto"/>
                          <w:left w:val="single" w:sz="4" w:space="0" w:color="auto"/>
                          <w:bottom w:val="single" w:sz="4" w:space="0" w:color="auto"/>
                          <w:right w:val="single" w:sz="4" w:space="0" w:color="auto"/>
                        </w:tcBorders>
                        <w:hideMark/>
                      </w:tcPr>
                      <w:p>
                        <w:pPr>
                          <w:jc w:val="both"/>
                          <w:rPr>
                            <w:spacing w:val="-4"/>
                            <w:szCs w:val="24"/>
                          </w:rPr>
                        </w:pPr>
                        <w:r>
                          <w:rPr>
                            <w:spacing w:val="-4"/>
                            <w:szCs w:val="24"/>
                          </w:rPr>
                          <w:t>Fenolio–formaldehidinis ir karbamido–formaldehidinis putplastis</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0,03</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Keramzito žvyras ir smėlis</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3358" w:type="pct"/>
                        <w:tcBorders>
                          <w:top w:val="single" w:sz="4" w:space="0" w:color="auto"/>
                          <w:left w:val="single" w:sz="4" w:space="0" w:color="auto"/>
                          <w:bottom w:val="single" w:sz="4" w:space="0" w:color="auto"/>
                          <w:right w:val="single" w:sz="4" w:space="0" w:color="auto"/>
                        </w:tcBorders>
                        <w:hideMark/>
                      </w:tcPr>
                      <w:p>
                        <w:pPr>
                          <w:jc w:val="both"/>
                          <w:rPr>
                            <w:spacing w:val="-4"/>
                            <w:szCs w:val="24"/>
                          </w:rPr>
                        </w:pPr>
                        <w:r>
                          <w:rPr>
                            <w:szCs w:val="24"/>
                          </w:rPr>
                          <w:t>Medienos plaušo plokštės MPP ir MDF</w:t>
                        </w:r>
                        <w:r>
                          <w:rPr>
                            <w:spacing w:val="-4"/>
                            <w:szCs w:val="24"/>
                          </w:rPr>
                          <w:t xml:space="preserve">, </w:t>
                        </w:r>
                        <w:r>
                          <w:rPr>
                            <w:i/>
                            <w:iCs/>
                            <w:spacing w:val="-4"/>
                            <w:szCs w:val="24"/>
                          </w:rPr>
                          <w:sym w:font="Symbol" w:char="F072"/>
                        </w:r>
                        <w:r>
                          <w:rPr>
                            <w:szCs w:val="24"/>
                          </w:rPr>
                          <w:t>≤</w:t>
                        </w:r>
                        <w:r>
                          <w:rPr>
                            <w:spacing w:val="-4"/>
                            <w:szCs w:val="24"/>
                          </w:rPr>
                          <w:t xml:space="preserve"> 300 kg/m</w:t>
                        </w:r>
                        <w:r>
                          <w:rPr>
                            <w:spacing w:val="-4"/>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r>
                  <w:tr>
                    <w:trPr>
                      <w:cantSplit/>
                    </w:trP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3358" w:type="pct"/>
                        <w:tcBorders>
                          <w:top w:val="single" w:sz="4" w:space="0" w:color="auto"/>
                          <w:left w:val="single" w:sz="4" w:space="0" w:color="auto"/>
                          <w:bottom w:val="single" w:sz="4" w:space="0" w:color="auto"/>
                          <w:right w:val="single" w:sz="4" w:space="0" w:color="auto"/>
                        </w:tcBorders>
                        <w:hideMark/>
                      </w:tcPr>
                      <w:p>
                        <w:pPr>
                          <w:jc w:val="both"/>
                          <w:rPr>
                            <w:spacing w:val="-4"/>
                            <w:szCs w:val="24"/>
                          </w:rPr>
                        </w:pPr>
                        <w:r>
                          <w:rPr>
                            <w:szCs w:val="24"/>
                          </w:rPr>
                          <w:t>Medienos plaušo plokštės MPP ir MDF</w:t>
                        </w:r>
                        <w:r>
                          <w:rPr>
                            <w:spacing w:val="-4"/>
                            <w:szCs w:val="24"/>
                          </w:rPr>
                          <w:t xml:space="preserve">, 500 </w:t>
                        </w:r>
                        <w:r>
                          <w:rPr>
                            <w:szCs w:val="24"/>
                          </w:rPr>
                          <w:t>&gt;</w:t>
                        </w:r>
                        <w:r>
                          <w:rPr>
                            <w:i/>
                            <w:iCs/>
                            <w:spacing w:val="-4"/>
                            <w:szCs w:val="24"/>
                          </w:rPr>
                          <w:sym w:font="Symbol" w:char="F072"/>
                        </w:r>
                        <w:r>
                          <w:rPr>
                            <w:szCs w:val="24"/>
                          </w:rPr>
                          <w:t>&gt;3</w:t>
                        </w:r>
                        <w:r>
                          <w:rPr>
                            <w:spacing w:val="-4"/>
                            <w:szCs w:val="24"/>
                          </w:rPr>
                          <w:t>00 kg/m</w:t>
                        </w:r>
                        <w:r>
                          <w:rPr>
                            <w:spacing w:val="-4"/>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0,04</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0,04*</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Polistireninis putplastis „EPS“</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Polistireninis putplastis „XPS“</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Putstiklis, </w:t>
                        </w:r>
                        <w:r>
                          <w:rPr>
                            <w:i/>
                            <w:iCs/>
                            <w:szCs w:val="24"/>
                          </w:rPr>
                          <w:sym w:font="Symbol" w:char="F072"/>
                        </w:r>
                        <w:r>
                          <w:rPr>
                            <w:szCs w:val="24"/>
                          </w:rPr>
                          <w:t xml:space="preserve"> ≤200 kg/m</w:t>
                        </w:r>
                        <w:r>
                          <w:rPr>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Putstiklis, </w:t>
                        </w:r>
                        <w:r>
                          <w:rPr>
                            <w:i/>
                            <w:iCs/>
                            <w:szCs w:val="24"/>
                          </w:rPr>
                          <w:sym w:font="Symbol" w:char="F072"/>
                        </w:r>
                        <w:r>
                          <w:rPr>
                            <w:szCs w:val="24"/>
                          </w:rPr>
                          <w:t>&gt;200 kg/m</w:t>
                        </w:r>
                        <w:r>
                          <w:rPr>
                            <w:szCs w:val="24"/>
                            <w:vertAlign w:val="superscript"/>
                          </w:rPr>
                          <w:t>3</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0,02</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0,03</w:t>
                        </w:r>
                      </w:p>
                    </w:tc>
                  </w:tr>
                  <w:tr>
                    <w:tc>
                      <w:tcPr>
                        <w:tcW w:w="29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3358" w:type="pct"/>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Poliuretaninis putplastis „PUR“ ir „PIR“</w:t>
                        </w:r>
                      </w:p>
                    </w:tc>
                    <w:tc>
                      <w:tcPr>
                        <w:tcW w:w="61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0,001</w:t>
                        </w:r>
                      </w:p>
                    </w:tc>
                    <w:tc>
                      <w:tcPr>
                        <w:tcW w:w="73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0,002</w:t>
                        </w:r>
                      </w:p>
                    </w:tc>
                  </w:tr>
                  <w:tr>
                    <w:tc>
                      <w:tcPr>
                        <w:tcW w:w="299" w:type="pct"/>
                        <w:tcBorders>
                          <w:top w:val="single" w:sz="4" w:space="0" w:color="auto"/>
                          <w:left w:val="single" w:sz="4" w:space="0" w:color="auto"/>
                          <w:bottom w:val="single" w:sz="4" w:space="0" w:color="auto"/>
                          <w:right w:val="single" w:sz="4" w:space="0" w:color="auto"/>
                        </w:tcBorders>
                      </w:tcPr>
                      <w:p>
                        <w:pPr>
                          <w:tabs>
                            <w:tab w:val="left" w:pos="567"/>
                          </w:tabs>
                          <w:suppressAutoHyphens/>
                          <w:jc w:val="center"/>
                          <w:rPr>
                            <w:szCs w:val="24"/>
                            <w:lang w:eastAsia="lt-LT"/>
                          </w:rPr>
                        </w:pPr>
                        <w:r>
                          <w:rPr>
                            <w:szCs w:val="24"/>
                            <w:lang w:eastAsia="lt-LT"/>
                          </w:rPr>
                          <w:t>15.</w:t>
                        </w:r>
                      </w:p>
                    </w:tc>
                    <w:tc>
                      <w:tcPr>
                        <w:tcW w:w="3358" w:type="pct"/>
                        <w:tcBorders>
                          <w:top w:val="single" w:sz="4" w:space="0" w:color="auto"/>
                          <w:left w:val="single" w:sz="4" w:space="0" w:color="auto"/>
                          <w:bottom w:val="single" w:sz="4" w:space="0" w:color="auto"/>
                          <w:right w:val="single" w:sz="4" w:space="0" w:color="auto"/>
                        </w:tcBorders>
                      </w:tcPr>
                      <w:p>
                        <w:pPr>
                          <w:tabs>
                            <w:tab w:val="left" w:pos="567"/>
                          </w:tabs>
                          <w:suppressAutoHyphens/>
                          <w:jc w:val="both"/>
                          <w:rPr>
                            <w:szCs w:val="24"/>
                            <w:lang w:eastAsia="lt-LT"/>
                          </w:rPr>
                        </w:pPr>
                        <w:r>
                          <w:rPr>
                            <w:szCs w:val="24"/>
                            <w:lang w:eastAsia="lt-LT"/>
                          </w:rPr>
                          <w:t xml:space="preserve">Neorganinio aerogelio termoizoliaciniai produktai, </w:t>
                        </w:r>
                        <w:r>
                          <w:rPr>
                            <w:i/>
                            <w:iCs/>
                            <w:spacing w:val="-4"/>
                            <w:szCs w:val="24"/>
                            <w:lang w:eastAsia="lt-LT"/>
                          </w:rPr>
                          <w:sym w:font="Symbol" w:char="F072"/>
                        </w:r>
                        <w:r>
                          <w:rPr>
                            <w:szCs w:val="24"/>
                            <w:lang w:eastAsia="lt-LT"/>
                          </w:rPr>
                          <w:t>≤</w:t>
                        </w:r>
                        <w:r>
                          <w:rPr>
                            <w:spacing w:val="-4"/>
                            <w:szCs w:val="24"/>
                            <w:lang w:eastAsia="lt-LT"/>
                          </w:rPr>
                          <w:t xml:space="preserve"> 300 kg/m</w:t>
                        </w:r>
                        <w:r>
                          <w:rPr>
                            <w:spacing w:val="-4"/>
                            <w:szCs w:val="24"/>
                            <w:vertAlign w:val="superscript"/>
                            <w:lang w:eastAsia="lt-LT"/>
                          </w:rPr>
                          <w:t>3</w:t>
                        </w:r>
                      </w:p>
                    </w:tc>
                    <w:tc>
                      <w:tcPr>
                        <w:tcW w:w="611" w:type="pct"/>
                        <w:tcBorders>
                          <w:top w:val="single" w:sz="4" w:space="0" w:color="auto"/>
                          <w:left w:val="single" w:sz="4" w:space="0" w:color="auto"/>
                          <w:bottom w:val="single" w:sz="4" w:space="0" w:color="auto"/>
                          <w:right w:val="single" w:sz="4" w:space="0" w:color="auto"/>
                        </w:tcBorders>
                      </w:tcPr>
                      <w:p>
                        <w:pPr>
                          <w:tabs>
                            <w:tab w:val="left" w:pos="567"/>
                          </w:tabs>
                          <w:suppressAutoHyphens/>
                          <w:jc w:val="center"/>
                          <w:rPr>
                            <w:szCs w:val="24"/>
                            <w:lang w:eastAsia="lt-LT"/>
                          </w:rPr>
                        </w:pPr>
                        <w:r>
                          <w:rPr>
                            <w:szCs w:val="24"/>
                            <w:lang w:eastAsia="lt-LT"/>
                          </w:rPr>
                          <w:t>0,003</w:t>
                        </w:r>
                      </w:p>
                    </w:tc>
                    <w:tc>
                      <w:tcPr>
                        <w:tcW w:w="732" w:type="pct"/>
                        <w:tcBorders>
                          <w:top w:val="single" w:sz="4" w:space="0" w:color="auto"/>
                          <w:left w:val="single" w:sz="4" w:space="0" w:color="auto"/>
                          <w:bottom w:val="single" w:sz="4" w:space="0" w:color="auto"/>
                          <w:right w:val="single" w:sz="4" w:space="0" w:color="auto"/>
                        </w:tcBorders>
                      </w:tcPr>
                      <w:p>
                        <w:pPr>
                          <w:tabs>
                            <w:tab w:val="left" w:pos="567"/>
                          </w:tabs>
                          <w:suppressAutoHyphens/>
                          <w:jc w:val="center"/>
                          <w:rPr>
                            <w:szCs w:val="24"/>
                            <w:lang w:eastAsia="lt-LT"/>
                          </w:rPr>
                        </w:pPr>
                        <w:r>
                          <w:rPr>
                            <w:szCs w:val="24"/>
                            <w:lang w:eastAsia="lt-LT"/>
                          </w:rPr>
                          <w:t>0,004</w:t>
                        </w:r>
                      </w:p>
                    </w:tc>
                  </w:tr>
                </w:tbl>
                <w:p>
                  <w:pPr>
                    <w:keepNext/>
                    <w:tabs>
                      <w:tab w:val="left" w:pos="851"/>
                    </w:tabs>
                    <w:jc w:val="center"/>
                    <w:rPr>
                      <w:bCs/>
                      <w:szCs w:val="24"/>
                    </w:rPr>
                  </w:pPr>
                </w:p>
                <w:p>
                  <w:pPr>
                    <w:ind w:firstLine="567"/>
                    <w:rPr>
                      <w:szCs w:val="24"/>
                    </w:rPr>
                  </w:pPr>
                  <w:r>
                    <w:rPr>
                      <w:szCs w:val="24"/>
                    </w:rPr>
                    <w:t>* leidžiama naudoti tik vidiniuose atitvarų sluoksniuose.</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
              <w:sdtPr>
                <w:alias w:val="lentele"/>
                <w:tag w:val="part_dbeb7fff0211400e8fb09dc9275d35d9"/>
                <w:lock w:val="sdtLocked"/>
                <w:richText/>
              </w:sdtPr>
              <w:sdtContent>
                <w:sdt>
                  <w:sdtPr>
                    <w:alias w:val="Pavadinimas"/>
                    <w:tag w:val="title_dbeb7fff0211400e8fb09dc9275d35d9"/>
                    <w:lock w:val="sdtLocked"/>
                    <w:richText/>
                  </w:sdtPr>
                  <w:sdtContent>
                    <w:p>
                      <w:pPr>
                        <w:jc w:val="center"/>
                        <w:rPr>
                          <w:b/>
                          <w:bCs/>
                          <w:szCs w:val="24"/>
                        </w:rPr>
                      </w:pPr>
                      <w:r>
                        <w:rPr>
                          <w:b/>
                          <w:bCs/>
                          <w:szCs w:val="24"/>
                        </w:rPr>
                        <w:t xml:space="preserve">Pataisa </w:t>
                      </w:r>
                      <w:r>
                        <w:rPr>
                          <w:b/>
                          <w:bCs/>
                          <w:i/>
                          <w:szCs w:val="24"/>
                        </w:rPr>
                        <w:sym w:font="Symbol" w:char="0044"/>
                        <w:sym w:font="Symbol" w:char="006C"/>
                      </w:r>
                      <w:r>
                        <w:rPr>
                          <w:b/>
                          <w:bCs/>
                          <w:i/>
                          <w:szCs w:val="24"/>
                          <w:vertAlign w:val="subscript"/>
                        </w:rPr>
                        <w:sym w:font="Symbol" w:char="0077"/>
                      </w:r>
                      <w:r>
                        <w:rPr>
                          <w:b/>
                          <w:bCs/>
                          <w:szCs w:val="24"/>
                        </w:rPr>
                        <w:t xml:space="preserve"> dėl termoizoliacinio statybos produkto papildomo įdrėkimo grunte arba po grindimis ant grunto</w:t>
                      </w:r>
                    </w:p>
                  </w:sdtContent>
                </w:sdt>
                <w:p>
                  <w:pPr>
                    <w:ind w:firstLine="567"/>
                    <w:jc w:val="right"/>
                    <w:rPr>
                      <w:bCs/>
                      <w:szCs w:val="24"/>
                    </w:rPr>
                  </w:pPr>
                  <w:sdt>
                    <w:sdtPr>
                      <w:alias w:val="Numeris"/>
                      <w:tag w:val="nr_dbeb7fff0211400e8fb09dc9275d35d9"/>
                      <w:lock w:val="sdtLocked"/>
                      <w:richText/>
                    </w:sdtPr>
                    <w:sdtContent>
                      <w:r>
                        <w:rPr>
                          <w:bCs/>
                          <w:szCs w:val="24"/>
                        </w:rPr>
                        <w:t>3.2</w:t>
                      </w:r>
                    </w:sdtContent>
                  </w:sdt>
                  <w:r>
                    <w:rPr>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432"/>
                    <w:gridCol w:w="3152"/>
                    <w:gridCol w:w="2700"/>
                  </w:tblGrid>
                  <w:tr>
                    <w:trPr>
                      <w:cantSplit/>
                    </w:trPr>
                    <w:tc>
                      <w:tcPr>
                        <w:tcW w:w="290" w:type="pct"/>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bCs/>
                            <w:szCs w:val="24"/>
                          </w:rPr>
                        </w:pPr>
                      </w:p>
                      <w:p>
                        <w:pPr>
                          <w:spacing w:line="276" w:lineRule="auto"/>
                          <w:jc w:val="center"/>
                          <w:rPr>
                            <w:rFonts w:eastAsia="Calibri"/>
                            <w:bCs/>
                            <w:szCs w:val="24"/>
                          </w:rPr>
                        </w:pPr>
                        <w:r>
                          <w:rPr>
                            <w:bCs/>
                            <w:szCs w:val="24"/>
                          </w:rPr>
                          <w:t>Eil. Nr.</w:t>
                        </w:r>
                      </w:p>
                    </w:tc>
                    <w:tc>
                      <w:tcPr>
                        <w:tcW w:w="1741" w:type="pct"/>
                        <w:vMerge w:val="restart"/>
                        <w:tcBorders>
                          <w:top w:val="single" w:sz="4" w:space="0" w:color="auto"/>
                          <w:left w:val="single" w:sz="4" w:space="0" w:color="auto"/>
                          <w:bottom w:val="single" w:sz="4" w:space="0" w:color="auto"/>
                          <w:right w:val="single" w:sz="4" w:space="0" w:color="auto"/>
                        </w:tcBorders>
                        <w:vAlign w:val="center"/>
                        <w:hideMark/>
                      </w:tcPr>
                      <w:p>
                        <w:pPr>
                          <w:keepNext/>
                          <w:spacing w:line="276" w:lineRule="auto"/>
                          <w:jc w:val="center"/>
                          <w:outlineLvl w:val="3"/>
                          <w:rPr>
                            <w:bCs/>
                            <w:szCs w:val="24"/>
                          </w:rPr>
                        </w:pPr>
                        <w:r>
                          <w:rPr>
                            <w:szCs w:val="24"/>
                          </w:rPr>
                          <w:t>Termoizoliaciniai statybos produktai</w:t>
                        </w:r>
                      </w:p>
                    </w:tc>
                    <w:tc>
                      <w:tcPr>
                        <w:tcW w:w="2969" w:type="pct"/>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szCs w:val="24"/>
                          </w:rPr>
                        </w:pPr>
                        <w:r>
                          <w:rPr>
                            <w:bCs/>
                            <w:szCs w:val="24"/>
                          </w:rPr>
                          <w:t xml:space="preserve">Pataisa </w:t>
                        </w:r>
                        <w:r>
                          <w:rPr>
                            <w:bCs/>
                            <w:i/>
                            <w:iCs/>
                            <w:szCs w:val="24"/>
                          </w:rPr>
                          <w:sym w:font="Symbol" w:char="F044"/>
                          <w:sym w:font="Symbol" w:char="F06C"/>
                        </w:r>
                        <w:r>
                          <w:rPr>
                            <w:bCs/>
                            <w:i/>
                            <w:iCs/>
                            <w:szCs w:val="24"/>
                            <w:vertAlign w:val="subscript"/>
                          </w:rPr>
                          <w:sym w:font="Symbol" w:char="F077"/>
                        </w:r>
                        <w:r>
                          <w:rPr>
                            <w:bCs/>
                            <w:szCs w:val="24"/>
                          </w:rPr>
                          <w:t>, W/(m</w:t>
                          <w:sym w:font="Symbol" w:char="F0D7"/>
                          <w:t>K)</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59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szCs w:val="24"/>
                          </w:rPr>
                        </w:pPr>
                        <w:r>
                          <w:rPr>
                            <w:bCs/>
                            <w:szCs w:val="24"/>
                          </w:rPr>
                          <w:t>Po patalpų grindimis ant grunto, išskyrus rūsių grindis</w:t>
                        </w:r>
                      </w:p>
                    </w:tc>
                    <w:tc>
                      <w:tcPr>
                        <w:tcW w:w="137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szCs w:val="24"/>
                          </w:rPr>
                        </w:pPr>
                        <w:r>
                          <w:rPr>
                            <w:bCs/>
                            <w:szCs w:val="24"/>
                          </w:rPr>
                          <w:t>Rūsių grindyse, vertikali ir horizontali termoizoliacija pastatų išorėje, vertikali pamatų termoizoliacija po grindimis ant grunto</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w:t>
                        </w:r>
                      </w:p>
                    </w:tc>
                    <w:tc>
                      <w:tcPr>
                        <w:tcW w:w="174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Mineralinė vata</w:t>
                        </w:r>
                      </w:p>
                    </w:tc>
                    <w:tc>
                      <w:tcPr>
                        <w:tcW w:w="159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0,01</w:t>
                        </w:r>
                      </w:p>
                    </w:tc>
                    <w:tc>
                      <w:tcPr>
                        <w:tcW w:w="137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0,02</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2.</w:t>
                        </w:r>
                      </w:p>
                    </w:tc>
                    <w:tc>
                      <w:tcPr>
                        <w:tcW w:w="174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Keramzito žvyras</w:t>
                        </w:r>
                      </w:p>
                    </w:tc>
                    <w:tc>
                      <w:tcPr>
                        <w:tcW w:w="159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0,06</w:t>
                        </w:r>
                      </w:p>
                    </w:tc>
                    <w:tc>
                      <w:tcPr>
                        <w:tcW w:w="137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0,07</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3.</w:t>
                        </w:r>
                      </w:p>
                    </w:tc>
                    <w:tc>
                      <w:tcPr>
                        <w:tcW w:w="174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 xml:space="preserve">Keramzito smėlis </w:t>
                        </w:r>
                      </w:p>
                    </w:tc>
                    <w:tc>
                      <w:tcPr>
                        <w:tcW w:w="159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0,15</w:t>
                        </w:r>
                      </w:p>
                    </w:tc>
                    <w:tc>
                      <w:tcPr>
                        <w:tcW w:w="137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0,2</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4.</w:t>
                        </w:r>
                      </w:p>
                    </w:tc>
                    <w:tc>
                      <w:tcPr>
                        <w:tcW w:w="174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pacing w:val="-4"/>
                            <w:szCs w:val="24"/>
                          </w:rPr>
                        </w:pPr>
                        <w:r>
                          <w:rPr>
                            <w:spacing w:val="-4"/>
                            <w:szCs w:val="24"/>
                          </w:rPr>
                          <w:t>Polistireninis putplastis „EPS“</w:t>
                        </w:r>
                      </w:p>
                    </w:tc>
                    <w:tc>
                      <w:tcPr>
                        <w:tcW w:w="159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0,006</w:t>
                        </w:r>
                      </w:p>
                    </w:tc>
                    <w:tc>
                      <w:tcPr>
                        <w:tcW w:w="137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0,01</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5.</w:t>
                        </w:r>
                      </w:p>
                    </w:tc>
                    <w:tc>
                      <w:tcPr>
                        <w:tcW w:w="1741"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Polistireninis putplastis „XPS“</w:t>
                        </w:r>
                      </w:p>
                    </w:tc>
                    <w:tc>
                      <w:tcPr>
                        <w:tcW w:w="1599"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0,003</w:t>
                        </w:r>
                      </w:p>
                    </w:tc>
                    <w:tc>
                      <w:tcPr>
                        <w:tcW w:w="137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0,004</w:t>
                        </w:r>
                      </w:p>
                    </w:tc>
                  </w:tr>
                  <w:tr>
                    <w:tc>
                      <w:tcPr>
                        <w:tcW w:w="290"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6.</w:t>
                        </w:r>
                      </w:p>
                    </w:tc>
                    <w:tc>
                      <w:tcPr>
                        <w:tcW w:w="1741" w:type="pct"/>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Poliuretaninis putplastis </w:t>
                        </w:r>
                        <w:r>
                          <w:rPr>
                            <w:rFonts w:eastAsia="Calibri"/>
                            <w:szCs w:val="24"/>
                            <w:lang w:eastAsia="lt-LT"/>
                          </w:rPr>
                          <w:t>„PUR“ ir „PIR“</w:t>
                        </w:r>
                      </w:p>
                    </w:tc>
                    <w:tc>
                      <w:tcPr>
                        <w:tcW w:w="1599"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0,006</w:t>
                        </w:r>
                      </w:p>
                    </w:tc>
                    <w:tc>
                      <w:tcPr>
                        <w:tcW w:w="1370"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0,01</w:t>
                        </w:r>
                      </w:p>
                    </w:tc>
                  </w:tr>
                </w:tbl>
                <w:p>
                  <w:pPr>
                    <w:spacing w:line="276" w:lineRule="auto"/>
                    <w:jc w:val="center"/>
                    <w:rPr>
                      <w:rFonts w:eastAsia="Calibri"/>
                      <w:bCs/>
                      <w:szCs w:val="24"/>
                    </w:rPr>
                  </w:pPr>
                </w:p>
              </w:sdtContent>
            </w:sdt>
            <w:sdt>
              <w:sdtPr>
                <w:alias w:val="lentele"/>
                <w:tag w:val="part_e4d92a23f94f4eb89898b88612facaa5"/>
                <w:lock w:val="sdtLocked"/>
                <w:richText/>
              </w:sdtPr>
              <w:sdtContent>
                <w:sdt>
                  <w:sdtPr>
                    <w:alias w:val="Pavadinimas"/>
                    <w:tag w:val="title_e4d92a23f94f4eb89898b88612facaa5"/>
                    <w:lock w:val="sdtLocked"/>
                    <w:richText/>
                  </w:sdtPr>
                  <w:sdtContent>
                    <w:p>
                      <w:pPr>
                        <w:jc w:val="center"/>
                        <w:rPr>
                          <w:b/>
                          <w:bCs/>
                          <w:szCs w:val="24"/>
                        </w:rPr>
                      </w:pPr>
                      <w:r>
                        <w:rPr>
                          <w:b/>
                          <w:bCs/>
                          <w:szCs w:val="24"/>
                        </w:rPr>
                        <w:t xml:space="preserve">Pataisa </w:t>
                      </w:r>
                      <w:r>
                        <w:rPr>
                          <w:b/>
                          <w:bCs/>
                          <w:i/>
                          <w:szCs w:val="24"/>
                        </w:rPr>
                        <w:sym w:font="Symbol" w:char="0044"/>
                        <w:sym w:font="Symbol" w:char="006C"/>
                      </w:r>
                      <w:r>
                        <w:rPr>
                          <w:b/>
                          <w:bCs/>
                          <w:i/>
                          <w:szCs w:val="24"/>
                          <w:vertAlign w:val="subscript"/>
                        </w:rPr>
                        <w:sym w:font="Symbol" w:char="0077"/>
                      </w:r>
                      <w:r>
                        <w:rPr>
                          <w:b/>
                          <w:bCs/>
                          <w:szCs w:val="24"/>
                        </w:rPr>
                        <w:t xml:space="preserve"> dėl termoizoliacinio statybos produkto papildomo įdrėkimo atvirkštiniuose stoguose, t. y. stoguose, kuriuose termoizoliacinis sluoksnis įrengtas virš hidroizoliacijos</w:t>
                      </w:r>
                    </w:p>
                  </w:sdtContent>
                </w:sdt>
                <w:p>
                  <w:pPr>
                    <w:jc w:val="right"/>
                    <w:rPr>
                      <w:bCs/>
                      <w:szCs w:val="24"/>
                    </w:rPr>
                  </w:pPr>
                  <w:sdt>
                    <w:sdtPr>
                      <w:alias w:val="Numeris"/>
                      <w:tag w:val="nr_e4d92a23f94f4eb89898b88612facaa5"/>
                      <w:lock w:val="sdtLocked"/>
                      <w:richText/>
                    </w:sdtPr>
                    <w:sdtContent>
                      <w:r>
                        <w:rPr>
                          <w:bCs/>
                          <w:szCs w:val="24"/>
                        </w:rPr>
                        <w:t>3.3</w:t>
                      </w:r>
                    </w:sdtContent>
                  </w:sdt>
                  <w:r>
                    <w:rPr>
                      <w:bCs/>
                      <w:szCs w:val="24"/>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6873"/>
                    <w:gridCol w:w="1797"/>
                  </w:tblGrid>
                  <w:tr>
                    <w:tc>
                      <w:tcPr>
                        <w:tcW w:w="73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bCs/>
                            <w:szCs w:val="24"/>
                          </w:rPr>
                        </w:pPr>
                        <w:r>
                          <w:rPr>
                            <w:bCs/>
                            <w:szCs w:val="24"/>
                          </w:rPr>
                          <w:t>Eil. Nr.</w:t>
                        </w:r>
                      </w:p>
                    </w:tc>
                    <w:tc>
                      <w:tcPr>
                        <w:tcW w:w="6873" w:type="dxa"/>
                        <w:tcBorders>
                          <w:top w:val="single" w:sz="4" w:space="0" w:color="auto"/>
                          <w:left w:val="single" w:sz="4" w:space="0" w:color="auto"/>
                          <w:bottom w:val="single" w:sz="4" w:space="0" w:color="auto"/>
                          <w:right w:val="single" w:sz="4" w:space="0" w:color="auto"/>
                        </w:tcBorders>
                      </w:tcPr>
                      <w:p>
                        <w:pPr>
                          <w:rPr>
                            <w:szCs w:val="24"/>
                          </w:rPr>
                        </w:pPr>
                      </w:p>
                      <w:p>
                        <w:pPr>
                          <w:spacing w:line="276" w:lineRule="auto"/>
                          <w:jc w:val="center"/>
                          <w:rPr>
                            <w:rFonts w:eastAsia="Calibri"/>
                            <w:bCs/>
                            <w:szCs w:val="24"/>
                          </w:rPr>
                        </w:pPr>
                        <w:r>
                          <w:rPr>
                            <w:bCs/>
                            <w:szCs w:val="24"/>
                          </w:rPr>
                          <w:t>Atvirkštinių stogų konstrukcijos</w:t>
                        </w:r>
                      </w:p>
                    </w:tc>
                    <w:tc>
                      <w:tcPr>
                        <w:tcW w:w="1797" w:type="dxa"/>
                        <w:tcBorders>
                          <w:top w:val="single" w:sz="4" w:space="0" w:color="auto"/>
                          <w:left w:val="single" w:sz="4" w:space="0" w:color="auto"/>
                          <w:bottom w:val="single" w:sz="4" w:space="0" w:color="auto"/>
                          <w:right w:val="single" w:sz="4" w:space="0" w:color="auto"/>
                        </w:tcBorders>
                      </w:tcPr>
                      <w:p>
                        <w:pPr>
                          <w:rPr>
                            <w:szCs w:val="24"/>
                          </w:rPr>
                        </w:pPr>
                      </w:p>
                      <w:p>
                        <w:pPr>
                          <w:spacing w:line="276" w:lineRule="auto"/>
                          <w:jc w:val="center"/>
                          <w:rPr>
                            <w:rFonts w:eastAsia="Calibri"/>
                            <w:bCs/>
                            <w:szCs w:val="24"/>
                          </w:rPr>
                        </w:pPr>
                        <w:r>
                          <w:rPr>
                            <w:bCs/>
                            <w:szCs w:val="24"/>
                          </w:rPr>
                          <w:t>Pataisa</w:t>
                        </w:r>
                        <w:r>
                          <w:rPr>
                            <w:bCs/>
                            <w:i/>
                            <w:iCs/>
                            <w:szCs w:val="24"/>
                          </w:rPr>
                          <w:sym w:font="Symbol" w:char="F044"/>
                          <w:sym w:font="Symbol" w:char="F06C"/>
                        </w:r>
                        <w:r>
                          <w:rPr>
                            <w:bCs/>
                            <w:i/>
                            <w:iCs/>
                            <w:szCs w:val="24"/>
                            <w:vertAlign w:val="subscript"/>
                          </w:rPr>
                          <w:sym w:font="Symbol" w:char="F077"/>
                        </w:r>
                        <w:r>
                          <w:rPr>
                            <w:bCs/>
                            <w:szCs w:val="24"/>
                          </w:rPr>
                          <w:t>, W/(m</w:t>
                          <w:sym w:font="Symbol" w:char="F0D7"/>
                          <w:t>K)</w:t>
                        </w:r>
                      </w:p>
                    </w:tc>
                  </w:tr>
                  <w:tr>
                    <w:tc>
                      <w:tcPr>
                        <w:tcW w:w="73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1.</w:t>
                        </w:r>
                      </w:p>
                    </w:tc>
                    <w:tc>
                      <w:tcPr>
                        <w:tcW w:w="6873"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1 sluoksnis polistireninio putplasčio „XPS“ ir žvyro užpilas</w:t>
                        </w:r>
                      </w:p>
                    </w:tc>
                    <w:tc>
                      <w:tcPr>
                        <w:tcW w:w="179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0,001</w:t>
                        </w:r>
                      </w:p>
                    </w:tc>
                  </w:tr>
                  <w:tr>
                    <w:tc>
                      <w:tcPr>
                        <w:tcW w:w="73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2.</w:t>
                        </w:r>
                      </w:p>
                    </w:tc>
                    <w:tc>
                      <w:tcPr>
                        <w:tcW w:w="6873"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2 sluoksniai polistireninio putplasčio „XPS“ ir žvyro užpilas</w:t>
                        </w:r>
                      </w:p>
                    </w:tc>
                    <w:tc>
                      <w:tcPr>
                        <w:tcW w:w="179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0,003</w:t>
                        </w:r>
                      </w:p>
                    </w:tc>
                  </w:tr>
                  <w:tr>
                    <w:tc>
                      <w:tcPr>
                        <w:tcW w:w="73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3.</w:t>
                        </w:r>
                      </w:p>
                    </w:tc>
                    <w:tc>
                      <w:tcPr>
                        <w:tcW w:w="6873"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Virš polistireninio putplasčio „XPS“ įrengtas grindinys, stogo terasa su grunto užpilu arba išbetonuota mašinų stovėjimo aikštelė</w:t>
                        </w:r>
                      </w:p>
                    </w:tc>
                    <w:tc>
                      <w:tcPr>
                        <w:tcW w:w="179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0,008</w:t>
                        </w:r>
                      </w:p>
                    </w:tc>
                  </w:tr>
                  <w:tr>
                    <w:tc>
                      <w:tcPr>
                        <w:tcW w:w="73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4.</w:t>
                        </w:r>
                      </w:p>
                    </w:tc>
                    <w:tc>
                      <w:tcPr>
                        <w:tcW w:w="6873"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pacing w:val="-4"/>
                            <w:szCs w:val="24"/>
                          </w:rPr>
                          <w:t>Polistireninis putplastis „EPS“</w:t>
                        </w:r>
                      </w:p>
                    </w:tc>
                    <w:tc>
                      <w:tcPr>
                        <w:tcW w:w="1797"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4"/>
                          </w:rPr>
                        </w:pPr>
                        <w:r>
                          <w:rPr>
                            <w:szCs w:val="24"/>
                          </w:rPr>
                          <w:t>0,01</w:t>
                        </w:r>
                      </w:p>
                    </w:tc>
                  </w:tr>
                </w:tbl>
                <w:p>
                  <w:pPr>
                    <w:jc w:val="center"/>
                    <w:rPr>
                      <w:rFonts w:eastAsia="Calibri"/>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 pr. 2 p."/>
            <w:tag w:val="part_d584ae983d294bdabc430a71d9432dd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2019-02-01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3 pr. 3 p."/>
            <w:tag w:val="part_8bae6f702f11425d88948e30d8b36650"/>
            <w:lock w:val="sdtLocked"/>
            <w:richText/>
          </w:sdtPr>
          <w:sdtContent>
            <w:p>
              <w:pPr>
                <w:ind w:firstLine="567"/>
                <w:jc w:val="both"/>
                <w:rPr>
                  <w:bCs/>
                </w:rPr>
              </w:pPr>
              <w:sdt>
                <w:sdtPr>
                  <w:alias w:val="Numeris"/>
                  <w:tag w:val="nr_8bae6f702f11425d88948e30d8b36650"/>
                  <w:lock w:val="sdtLocked"/>
                  <w:richText/>
                </w:sdtPr>
                <w:sdtContent>
                  <w:r>
                    <w:t>3</w:t>
                  </w:r>
                </w:sdtContent>
              </w:sdt>
              <w:r>
                <w:t xml:space="preserve">. Pastato energinio naudingumo skaičiavimuose, kai nėra 3.6 lentelėje nurodytų medžiagų ir gaminių tankio </w:t>
              </w:r>
              <w:r>
                <w:rPr>
                  <w:bCs/>
                  <w:i/>
                  <w:iCs/>
                </w:rPr>
                <w:sym w:font="Symbol" w:char="F072"/>
              </w:r>
              <w:r>
                <w:rPr>
                  <w:bCs/>
                </w:rPr>
                <w:t xml:space="preserve"> (kg/m</w:t>
              </w:r>
              <w:r>
                <w:rPr>
                  <w:bCs/>
                  <w:vertAlign w:val="superscript"/>
                </w:rPr>
                <w:t>3</w:t>
              </w:r>
              <w:r>
                <w:t xml:space="preserve">) vertes patvirtinančių dokumentų, turi būti naudojamos 3.6 lentelėje nurodytos projektinės šilumos laidumo koeficientų </w:t>
              </w:r>
              <w:r>
                <w:rPr>
                  <w:i/>
                  <w:iCs/>
                </w:rPr>
                <w:sym w:font="Symbol" w:char="F06C"/>
              </w:r>
              <w:r>
                <w:rPr>
                  <w:i/>
                  <w:vertAlign w:val="subscript"/>
                </w:rPr>
                <w:t>ds</w:t>
              </w:r>
              <w:r>
                <w:t xml:space="preserve"> (W/(m·K)) vertės. Jei yra 3.6 lentelėje išvardintų medžiagų ir gaminių projektines šilumos laidumo koeficientų vertes </w:t>
              </w:r>
              <w:r>
                <w:rPr>
                  <w:i/>
                  <w:iCs/>
                </w:rPr>
                <w:sym w:font="Symbol" w:char="F06C"/>
              </w:r>
              <w:r>
                <w:rPr>
                  <w:i/>
                  <w:vertAlign w:val="subscript"/>
                </w:rPr>
                <w:t>ds</w:t>
              </w:r>
              <w:r>
                <w:t xml:space="preserve"> (W/(m·K)) patvirtinantys dokumentai, skaičiavimams naudojamos šiuose dokumentuose nurodytos projektinės šilumos laidumo koeficientų vertės.</w:t>
              </w:r>
            </w:p>
            <w:p>
              <w:pPr>
                <w:jc w:val="right"/>
              </w:pPr>
            </w:p>
            <w:sdt>
              <w:sdtPr>
                <w:alias w:val="skirsnis"/>
                <w:tag w:val="part_c1dedf3a5c8a4a429b9ecbe71a471370"/>
                <w:lock w:val="sdtLocked"/>
                <w:richText/>
              </w:sdtPr>
              <w:sdtContent>
                <w:p>
                  <w:pPr>
                    <w:jc w:val="center"/>
                    <w:rPr>
                      <w:b/>
                    </w:rPr>
                  </w:pPr>
                  <w:sdt>
                    <w:sdtPr>
                      <w:alias w:val="Pavadinimas"/>
                      <w:tag w:val="title_c1dedf3a5c8a4a429b9ecbe71a471370"/>
                      <w:lock w:val="sdtLocked"/>
                      <w:richText/>
                    </w:sdtPr>
                    <w:sdtContent>
                      <w:r>
                        <w:rPr>
                          <w:b/>
                        </w:rPr>
                        <w:t>Statybos produktų, naudojamų konstrukciniams ir apdailos atitvarų sluoksniams, projektinės šilumos laidumo koeficientų vertės</w:t>
                      </w:r>
                    </w:sdtContent>
                  </w:sdt>
                </w:p>
                <w:sdt>
                  <w:sdtPr>
                    <w:alias w:val="lentele"/>
                    <w:tag w:val="part_6b80cd230ab54a68921d9891291600fa"/>
                    <w:lock w:val="sdtLocked"/>
                    <w:richText/>
                  </w:sdtPr>
                  <w:sdtContent>
                    <w:p>
                      <w:pPr>
                        <w:jc w:val="right"/>
                      </w:pPr>
                      <w:sdt>
                        <w:sdtPr>
                          <w:alias w:val="Numeris"/>
                          <w:tag w:val="nr_6b80cd230ab54a68921d9891291600fa"/>
                          <w:lock w:val="sdtLocked"/>
                          <w:richText/>
                        </w:sdtPr>
                        <w:sdtContent>
                          <w:r>
                            <w:t>3.6</w:t>
                          </w:r>
                        </w:sdtContent>
                      </w:sdt>
                      <w:r>
                        <w:t xml:space="preserve"> lentelė </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5760"/>
                        <w:gridCol w:w="2880"/>
                      </w:tblGrid>
                      <w:tr>
                        <w:trPr>
                          <w:trHeight w:val="255"/>
                        </w:trPr>
                        <w:tc>
                          <w:tcPr>
                            <w:tcW w:w="735"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lang w:eastAsia="lt-LT"/>
                              </w:rPr>
                            </w:pPr>
                            <w:r>
                              <w:t>Eil. Nr.</w:t>
                            </w:r>
                          </w:p>
                        </w:tc>
                        <w:tc>
                          <w:tcPr>
                            <w:tcW w:w="576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lang w:eastAsia="lt-LT"/>
                              </w:rPr>
                            </w:pPr>
                            <w:r>
                              <w:t>Statybos produkto pavadinimas</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Projektinė šilumos laidumo koeficiento vertė,</w:t>
                            </w:r>
                          </w:p>
                          <w:p>
                            <w:pPr>
                              <w:spacing w:line="276" w:lineRule="auto"/>
                              <w:jc w:val="center"/>
                              <w:rPr>
                                <w:rFonts w:eastAsia="Calibri"/>
                                <w:szCs w:val="22"/>
                                <w:lang w:eastAsia="lt-LT"/>
                              </w:rPr>
                            </w:pPr>
                            <w:r>
                              <w:rPr>
                                <w:i/>
                                <w:iCs/>
                              </w:rPr>
                              <w:sym w:font="Symbol" w:char="F06C"/>
                            </w:r>
                            <w:r>
                              <w:rPr>
                                <w:i/>
                                <w:vertAlign w:val="subscript"/>
                              </w:rPr>
                              <w:t>ds</w:t>
                            </w:r>
                            <w:r>
                              <w:t>, W/(m∙K)</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Asbocementiniai lygūs lakštai</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0,83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Betonas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2</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Betonas armuotas (gelžbetonis)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2,5</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Gelžbetoninės 220 mm storio tuštuminės perdenginio plokštės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1,3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Gipso lakštai (sausas tinkas)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0,25</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Gipso blokeliai ir kiti gaminiai</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7.</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Keramzitbetonis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0,7</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8.</w:t>
                              <w:tab/>
                            </w:r>
                          </w:p>
                        </w:tc>
                        <w:tc>
                          <w:tcPr>
                            <w:tcW w:w="576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both"/>
                              <w:rPr>
                                <w:szCs w:val="24"/>
                                <w:lang w:eastAsia="lt-LT"/>
                              </w:rPr>
                            </w:pPr>
                            <w:r>
                              <w:rPr>
                                <w:szCs w:val="24"/>
                                <w:lang w:eastAsia="lt-LT"/>
                              </w:rPr>
                              <w:t>Mediena (ąžuolas)</w:t>
                            </w:r>
                          </w:p>
                        </w:tc>
                        <w:tc>
                          <w:tcPr>
                            <w:tcW w:w="288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center"/>
                              <w:rPr>
                                <w:szCs w:val="24"/>
                                <w:lang w:eastAsia="lt-LT"/>
                              </w:rPr>
                            </w:pPr>
                            <w:r>
                              <w:rPr>
                                <w:szCs w:val="24"/>
                                <w:lang w:eastAsia="lt-LT"/>
                              </w:rPr>
                              <w:t>0,</w:t>
                            </w:r>
                            <w:r>
                              <w:rPr>
                                <w:szCs w:val="24"/>
                                <w:lang w:val="en-US" w:eastAsia="lt-LT"/>
                              </w:rPr>
                              <w:t>18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9.</w:t>
                              <w:tab/>
                            </w:r>
                          </w:p>
                        </w:tc>
                        <w:tc>
                          <w:tcPr>
                            <w:tcW w:w="576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both"/>
                              <w:rPr>
                                <w:szCs w:val="24"/>
                                <w:lang w:eastAsia="lt-LT"/>
                              </w:rPr>
                            </w:pPr>
                            <w:r>
                              <w:rPr>
                                <w:szCs w:val="24"/>
                                <w:lang w:eastAsia="lt-LT"/>
                              </w:rPr>
                              <w:t>Mediena (beržas)</w:t>
                            </w:r>
                          </w:p>
                        </w:tc>
                        <w:tc>
                          <w:tcPr>
                            <w:tcW w:w="288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center"/>
                              <w:rPr>
                                <w:szCs w:val="24"/>
                                <w:lang w:eastAsia="lt-LT"/>
                              </w:rPr>
                            </w:pPr>
                            <w:r>
                              <w:rPr>
                                <w:szCs w:val="24"/>
                                <w:lang w:eastAsia="lt-LT"/>
                              </w:rPr>
                              <w:t>0,</w:t>
                            </w:r>
                            <w:r>
                              <w:rPr>
                                <w:szCs w:val="24"/>
                                <w:lang w:val="en-US" w:eastAsia="lt-LT"/>
                              </w:rPr>
                              <w:t>17</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10.</w:t>
                              <w:tab/>
                            </w:r>
                          </w:p>
                        </w:tc>
                        <w:tc>
                          <w:tcPr>
                            <w:tcW w:w="576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both"/>
                              <w:rPr>
                                <w:szCs w:val="24"/>
                                <w:lang w:eastAsia="lt-LT"/>
                              </w:rPr>
                            </w:pPr>
                            <w:r>
                              <w:rPr>
                                <w:szCs w:val="24"/>
                                <w:lang w:eastAsia="lt-LT"/>
                              </w:rPr>
                              <w:t>Mediena (pušis arba eglė)</w:t>
                            </w:r>
                          </w:p>
                        </w:tc>
                        <w:tc>
                          <w:tcPr>
                            <w:tcW w:w="2880" w:type="dxa"/>
                            <w:tcBorders>
                              <w:top w:val="single" w:sz="4" w:space="0" w:color="auto"/>
                              <w:left w:val="single" w:sz="4" w:space="0" w:color="auto"/>
                              <w:bottom w:val="single" w:sz="4" w:space="0" w:color="auto"/>
                              <w:right w:val="single" w:sz="4" w:space="0" w:color="auto"/>
                            </w:tcBorders>
                            <w:noWrap/>
                            <w:hideMark/>
                          </w:tcPr>
                          <w:p>
                            <w:pPr>
                              <w:tabs>
                                <w:tab w:val="left" w:pos="567"/>
                              </w:tabs>
                              <w:suppressAutoHyphens/>
                              <w:jc w:val="center"/>
                              <w:rPr>
                                <w:szCs w:val="24"/>
                                <w:lang w:eastAsia="lt-LT"/>
                              </w:rPr>
                            </w:pPr>
                            <w:r>
                              <w:rPr>
                                <w:szCs w:val="24"/>
                                <w:lang w:eastAsia="lt-LT"/>
                              </w:rPr>
                              <w:t>0,</w:t>
                            </w:r>
                            <w:r>
                              <w:rPr>
                                <w:szCs w:val="24"/>
                                <w:lang w:val="en-US" w:eastAsia="lt-LT"/>
                              </w:rPr>
                              <w:t>13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11.</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Medienos fanera</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0,17</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12.</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Medienos drožlių plokštės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0,18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13.</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Medienos plaušo plokštės MPP ir MDF</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0,18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14.</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Medienos plokštės su cementiniu rišikliu</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0,23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15.</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Medienos skiedrų plokštės (OSB) </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0,13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16.</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Mūras, pilnavidurių keraminių plytų</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17.</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Mūras, pilnavidurių keramzitbetonio blokelių </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0,6</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18.</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Mūras, pilnavidurių silikatinių plytų</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1</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19.</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Mūras, skylėtųjų keraminių plytų </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0,7</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20.</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Mūras, skylėtųjų silikatinių plytų </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0,9</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21.</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Mūras, skaldyto akmens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2,6</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22.</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Mūras, tuščiavidurių keraminių blokelių </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0,25</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23.</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Mūras, tuščiavidurių keramzitbetonio blokelių</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0,4</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24.</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Plastikai iš įvairių polimerinių medžiagų</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0,25</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25.</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Perlitbetonis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0,39</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26.</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Pjuvenų betonas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0,3</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27.</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Spalių betonas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0,32</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28.</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Stiklas</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1</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29.</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Tinkas (cemento</w:t>
                            </w:r>
                            <w:r>
                              <w:rPr>
                                <w:bCs/>
                              </w:rPr>
                              <w:t>–</w:t>
                            </w:r>
                            <w:r>
                              <w:rPr>
                                <w:lang w:eastAsia="lt-LT"/>
                              </w:rPr>
                              <w:t>smėlio)</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1</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30.</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Tinkas (gipso</w:t>
                            </w:r>
                            <w:r>
                              <w:rPr>
                                <w:bCs/>
                              </w:rPr>
                              <w:t>–</w:t>
                            </w:r>
                            <w:r>
                              <w:rPr>
                                <w:lang w:eastAsia="lt-LT"/>
                              </w:rPr>
                              <w:t>smėlio)</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31.</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Tinkas (kalkių</w:t>
                            </w:r>
                            <w:r>
                              <w:rPr>
                                <w:bCs/>
                              </w:rPr>
                              <w:t>–</w:t>
                            </w:r>
                            <w:r>
                              <w:rPr>
                                <w:lang w:eastAsia="lt-LT"/>
                              </w:rPr>
                              <w:t>smėlio)</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0,8</w:t>
                            </w:r>
                          </w:p>
                        </w:tc>
                      </w:tr>
                      <w:tr>
                        <w:trPr>
                          <w:trHeight w:val="255"/>
                        </w:trPr>
                        <w:tc>
                          <w:tcPr>
                            <w:tcW w:w="735"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32.</w:t>
                              <w:tab/>
                            </w:r>
                          </w:p>
                        </w:tc>
                        <w:tc>
                          <w:tcPr>
                            <w:tcW w:w="576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Tinkas (kalkių</w:t>
                            </w:r>
                            <w:r>
                              <w:rPr>
                                <w:bCs/>
                              </w:rPr>
                              <w:t>–</w:t>
                            </w:r>
                            <w:r>
                              <w:rPr>
                                <w:lang w:eastAsia="lt-LT"/>
                              </w:rPr>
                              <w:t>smėlio</w:t>
                            </w:r>
                            <w:r>
                              <w:rPr>
                                <w:bCs/>
                              </w:rPr>
                              <w:t>–</w:t>
                            </w:r>
                            <w:r>
                              <w:rPr>
                                <w:lang w:eastAsia="lt-LT"/>
                              </w:rPr>
                              <w:t>cemento)</w:t>
                            </w:r>
                          </w:p>
                        </w:tc>
                        <w:tc>
                          <w:tcPr>
                            <w:tcW w:w="2880"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lang w:eastAsia="lt-LT"/>
                              </w:rPr>
                              <w:t>0,9</w:t>
                            </w:r>
                          </w:p>
                        </w:tc>
                      </w:tr>
                    </w:tbl>
                    <w:p>
                      <w:pPr>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Content>
        </w:sdt>
        <w:sdt>
          <w:sdtPr>
            <w:alias w:val="3 pr. 4 p."/>
            <w:tag w:val="part_d91aff8f132a48b692aa8c5055e2fc60"/>
            <w:lock w:val="sdtLocked"/>
            <w:richText/>
          </w:sdtPr>
          <w:sdtContent>
            <w:p>
              <w:pPr>
                <w:ind w:firstLine="720"/>
                <w:jc w:val="both"/>
                <w:rPr>
                  <w:color w:val="000000" w:themeColor="text1"/>
                </w:rPr>
              </w:pPr>
              <w:sdt>
                <w:sdtPr>
                  <w:alias w:val="Numeris"/>
                  <w:tag w:val="nr_d91aff8f132a48b692aa8c5055e2fc60"/>
                  <w:lock w:val="sdtLocked"/>
                  <w:richText/>
                </w:sdtPr>
                <w:sdtContent>
                  <w:r>
                    <w:rPr>
                      <w:color w:val="000000" w:themeColor="text1"/>
                    </w:rPr>
                    <w:t>4</w:t>
                  </w:r>
                </w:sdtContent>
              </w:sdt>
              <w:r>
                <w:rPr>
                  <w:color w:val="000000" w:themeColor="text1"/>
                </w:rPr>
                <w:t xml:space="preserve">. Pastato energinio naudingumo skaičiavimuose, kai nėra 3.7 lentelėje išvardintiems statybos produktams tankio </w:t>
              </w:r>
              <w:r>
                <w:rPr>
                  <w:bCs/>
                  <w:i/>
                  <w:iCs/>
                  <w:color w:val="000000" w:themeColor="text1"/>
                </w:rPr>
                <w:sym w:font="Symbol" w:char="F072"/>
              </w:r>
              <w:r>
                <w:rPr>
                  <w:bCs/>
                  <w:color w:val="000000" w:themeColor="text1"/>
                </w:rPr>
                <w:t xml:space="preserve"> (kg/m</w:t>
              </w:r>
              <w:r>
                <w:rPr>
                  <w:bCs/>
                  <w:color w:val="000000" w:themeColor="text1"/>
                  <w:vertAlign w:val="superscript"/>
                </w:rPr>
                <w:t>3</w:t>
              </w:r>
              <w:r>
                <w:rPr>
                  <w:color w:val="000000" w:themeColor="text1"/>
                </w:rPr>
                <w:t xml:space="preserve">) ir šilumos laidumo koeficientų projektines vertes </w:t>
              </w:r>
              <w:r>
                <w:rPr>
                  <w:i/>
                  <w:iCs/>
                  <w:color w:val="000000" w:themeColor="text1"/>
                </w:rPr>
                <w:sym w:font="Symbol" w:char="F06C"/>
              </w:r>
              <w:r>
                <w:rPr>
                  <w:i/>
                  <w:color w:val="000000" w:themeColor="text1"/>
                  <w:vertAlign w:val="subscript"/>
                </w:rPr>
                <w:t>ds</w:t>
              </w:r>
              <w:r>
                <w:rPr>
                  <w:color w:val="000000" w:themeColor="text1"/>
                </w:rPr>
                <w:t xml:space="preserve"> (W/(m·K)) patvirtinančių dokumentų, naudojamos 3.7 lentelėje nurodytos projektinės šilumos laidumo koeficientų vertės. Jei yra 3.7 lentelėje išvardintų medžiagų ir gaminių projektines šilumos laidumo koeficientų vertes </w:t>
              </w:r>
              <w:r>
                <w:rPr>
                  <w:i/>
                  <w:iCs/>
                  <w:color w:val="000000" w:themeColor="text1"/>
                </w:rPr>
                <w:sym w:font="Symbol" w:char="F06C"/>
              </w:r>
              <w:r>
                <w:rPr>
                  <w:i/>
                  <w:color w:val="000000" w:themeColor="text1"/>
                  <w:vertAlign w:val="subscript"/>
                </w:rPr>
                <w:t>ds</w:t>
              </w:r>
              <w:r>
                <w:rPr>
                  <w:color w:val="000000" w:themeColor="text1"/>
                </w:rPr>
                <w:t xml:space="preserve"> (W/(m·K)) patvirtinantys dokumentai, skaičiavimams naudojamos šiuose dokumentuose nurodytos projektinės šilumos laidumo koeficientų vertės.</w:t>
              </w:r>
            </w:p>
            <w:p>
              <w:pPr>
                <w:rPr>
                  <w:color w:val="000000" w:themeColor="text1"/>
                </w:rPr>
              </w:pPr>
            </w:p>
            <w:sdt>
              <w:sdtPr>
                <w:alias w:val="skirsnis"/>
                <w:tag w:val="part_d4351c4baade428eb4add04bd5270573"/>
                <w:lock w:val="sdtLocked"/>
                <w:richText/>
              </w:sdtPr>
              <w:sdtContent>
                <w:p>
                  <w:pPr>
                    <w:jc w:val="center"/>
                    <w:rPr>
                      <w:b/>
                      <w:color w:val="000000" w:themeColor="text1"/>
                    </w:rPr>
                  </w:pPr>
                  <w:sdt>
                    <w:sdtPr>
                      <w:alias w:val="Pavadinimas"/>
                      <w:tag w:val="title_d4351c4baade428eb4add04bd5270573"/>
                      <w:lock w:val="sdtLocked"/>
                      <w:richText/>
                    </w:sdtPr>
                    <w:sdtContent>
                      <w:r>
                        <w:rPr>
                          <w:b/>
                          <w:color w:val="000000" w:themeColor="text1"/>
                        </w:rPr>
                        <w:t xml:space="preserve"> </w:t>
                      </w:r>
                    </w:sdtContent>
                  </w:sdt>
                </w:p>
                <w:sdt>
                  <w:sdtPr>
                    <w:alias w:val="lentele"/>
                    <w:tag w:val="part_588d44178c344c5fa1c1fd818f4e4b31"/>
                    <w:lock w:val="sdtLocked"/>
                    <w:richText/>
                  </w:sdtPr>
                  <w:sdtContent>
                    <w:p>
                      <w:pPr>
                        <w:jc w:val="center"/>
                        <w:rPr>
                          <w:rFonts w:eastAsia="Calibri"/>
                          <w:b/>
                          <w:szCs w:val="22"/>
                        </w:rPr>
                      </w:pPr>
                      <w:sdt>
                        <w:sdtPr>
                          <w:alias w:val="Pavadinimas"/>
                          <w:tag w:val="title_588d44178c344c5fa1c1fd818f4e4b31"/>
                          <w:lock w:val="sdtLocked"/>
                          <w:richText/>
                        </w:sdtPr>
                        <w:sdtContent>
                          <w:r>
                            <w:rPr>
                              <w:rFonts w:eastAsia="Calibri"/>
                              <w:b/>
                              <w:szCs w:val="22"/>
                            </w:rPr>
                            <w:t>Statybos produktų, naudojamų termoizoliaciniams atitvarų sluoksniams, projektinės šilumos laidumo koeficientų vertės</w:t>
                          </w:r>
                        </w:sdtContent>
                      </w:sdt>
                    </w:p>
                    <w:p>
                      <w:pPr>
                        <w:jc w:val="right"/>
                        <w:rPr>
                          <w:rFonts w:eastAsia="Calibri"/>
                          <w:szCs w:val="22"/>
                        </w:rPr>
                      </w:pPr>
                      <w:sdt>
                        <w:sdtPr>
                          <w:alias w:val="Numeris"/>
                          <w:tag w:val="nr_588d44178c344c5fa1c1fd818f4e4b31"/>
                          <w:lock w:val="sdtLocked"/>
                          <w:richText/>
                        </w:sdtPr>
                        <w:sdtContent>
                          <w:r>
                            <w:rPr>
                              <w:rFonts w:eastAsia="Calibri"/>
                              <w:szCs w:val="22"/>
                            </w:rPr>
                            <w:t>3.7</w:t>
                          </w:r>
                        </w:sdtContent>
                      </w:sdt>
                      <w:r>
                        <w:rPr>
                          <w:rFonts w:eastAsia="Calibri"/>
                          <w:szCs w:val="22"/>
                        </w:rPr>
                        <w:t xml:space="preserve"> lentelė </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6651"/>
                        <w:gridCol w:w="1989"/>
                      </w:tblGrid>
                      <w:tr>
                        <w:trPr>
                          <w:trHeight w:val="255"/>
                        </w:trPr>
                        <w:tc>
                          <w:tcPr>
                            <w:tcW w:w="735" w:type="dxa"/>
                            <w:vAlign w:val="center"/>
                          </w:tcPr>
                          <w:p>
                            <w:pPr>
                              <w:jc w:val="center"/>
                              <w:rPr>
                                <w:rFonts w:eastAsia="Calibri"/>
                                <w:szCs w:val="22"/>
                                <w:lang w:eastAsia="lt-LT"/>
                              </w:rPr>
                            </w:pPr>
                            <w:r>
                              <w:rPr>
                                <w:rFonts w:eastAsia="Calibri"/>
                                <w:szCs w:val="22"/>
                              </w:rPr>
                              <w:t>Eil. Nr.</w:t>
                            </w:r>
                          </w:p>
                        </w:tc>
                        <w:tc>
                          <w:tcPr>
                            <w:tcW w:w="6651" w:type="dxa"/>
                            <w:vAlign w:val="center"/>
                          </w:tcPr>
                          <w:p>
                            <w:pPr>
                              <w:jc w:val="center"/>
                              <w:rPr>
                                <w:rFonts w:eastAsia="Calibri"/>
                                <w:szCs w:val="22"/>
                                <w:lang w:eastAsia="lt-LT"/>
                              </w:rPr>
                            </w:pPr>
                            <w:r>
                              <w:rPr>
                                <w:rFonts w:eastAsia="Calibri"/>
                                <w:szCs w:val="22"/>
                              </w:rPr>
                              <w:t>Statybos produkto pavadinimas</w:t>
                            </w:r>
                          </w:p>
                        </w:tc>
                        <w:tc>
                          <w:tcPr>
                            <w:tcW w:w="1989" w:type="dxa"/>
                            <w:vAlign w:val="center"/>
                          </w:tcPr>
                          <w:p>
                            <w:pPr>
                              <w:jc w:val="center"/>
                              <w:rPr>
                                <w:rFonts w:eastAsia="Calibri"/>
                                <w:szCs w:val="22"/>
                              </w:rPr>
                            </w:pPr>
                            <w:r>
                              <w:rPr>
                                <w:rFonts w:eastAsia="Calibri"/>
                                <w:szCs w:val="22"/>
                              </w:rPr>
                              <w:t>Projektinė šilumos laidumo koeficiento vertė,</w:t>
                            </w:r>
                          </w:p>
                          <w:p>
                            <w:pPr>
                              <w:jc w:val="center"/>
                              <w:rPr>
                                <w:rFonts w:eastAsia="Calibri"/>
                                <w:szCs w:val="22"/>
                                <w:lang w:eastAsia="lt-LT"/>
                              </w:rPr>
                            </w:pPr>
                            <w:r>
                              <w:rPr>
                                <w:rFonts w:eastAsia="Calibri"/>
                                <w:i/>
                                <w:iCs/>
                                <w:szCs w:val="22"/>
                              </w:rPr>
                              <w:sym w:font="Symbol" w:char="F06C"/>
                            </w:r>
                            <w:r>
                              <w:rPr>
                                <w:rFonts w:eastAsia="Calibri"/>
                                <w:i/>
                                <w:szCs w:val="22"/>
                                <w:vertAlign w:val="subscript"/>
                              </w:rPr>
                              <w:t>d.s</w:t>
                            </w:r>
                            <w:r>
                              <w:rPr>
                                <w:rFonts w:eastAsia="Calibri"/>
                                <w:szCs w:val="22"/>
                                <w:vertAlign w:val="subscript"/>
                              </w:rPr>
                              <w:t>.</w:t>
                            </w:r>
                            <w:r>
                              <w:rPr>
                                <w:rFonts w:eastAsia="Calibri"/>
                                <w:szCs w:val="22"/>
                              </w:rPr>
                              <w:t>, W/(m∙K)</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w:t>
                            </w:r>
                          </w:p>
                        </w:tc>
                        <w:tc>
                          <w:tcPr>
                            <w:tcW w:w="6651" w:type="dxa"/>
                            <w:noWrap/>
                            <w:vAlign w:val="bottom"/>
                          </w:tcPr>
                          <w:p>
                            <w:pPr>
                              <w:rPr>
                                <w:rFonts w:eastAsia="Calibri"/>
                                <w:szCs w:val="22"/>
                                <w:lang w:eastAsia="lt-LT"/>
                              </w:rPr>
                            </w:pPr>
                            <w:r>
                              <w:rPr>
                                <w:rFonts w:eastAsia="Calibri"/>
                                <w:szCs w:val="22"/>
                                <w:lang w:eastAsia="lt-LT"/>
                              </w:rPr>
                              <w:t>Akytojo betono sieniniai paneliai nevėdinamoje atitvaroje</w:t>
                            </w:r>
                          </w:p>
                        </w:tc>
                        <w:tc>
                          <w:tcPr>
                            <w:tcW w:w="1989" w:type="dxa"/>
                            <w:noWrap/>
                            <w:vAlign w:val="center"/>
                          </w:tcPr>
                          <w:p>
                            <w:pPr>
                              <w:jc w:val="center"/>
                              <w:rPr>
                                <w:rFonts w:eastAsia="Calibri"/>
                                <w:szCs w:val="22"/>
                                <w:lang w:eastAsia="lt-LT"/>
                              </w:rPr>
                            </w:pPr>
                            <w:r>
                              <w:rPr>
                                <w:rFonts w:eastAsia="Calibri"/>
                                <w:szCs w:val="22"/>
                                <w:lang w:eastAsia="lt-LT"/>
                              </w:rPr>
                              <w:t>0,2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w:t>
                            </w:r>
                          </w:p>
                        </w:tc>
                        <w:tc>
                          <w:tcPr>
                            <w:tcW w:w="6651" w:type="dxa"/>
                            <w:noWrap/>
                            <w:vAlign w:val="bottom"/>
                          </w:tcPr>
                          <w:p>
                            <w:pPr>
                              <w:rPr>
                                <w:rFonts w:eastAsia="Calibri"/>
                                <w:szCs w:val="22"/>
                                <w:lang w:eastAsia="lt-LT"/>
                              </w:rPr>
                            </w:pPr>
                            <w:r>
                              <w:rPr>
                                <w:rFonts w:eastAsia="Calibri"/>
                                <w:szCs w:val="22"/>
                                <w:lang w:eastAsia="lt-LT"/>
                              </w:rPr>
                              <w:t>Akytojo betono sieniniai paneliai vėdinamoje atitvaroje</w:t>
                            </w:r>
                          </w:p>
                        </w:tc>
                        <w:tc>
                          <w:tcPr>
                            <w:tcW w:w="1989" w:type="dxa"/>
                            <w:noWrap/>
                            <w:vAlign w:val="center"/>
                          </w:tcPr>
                          <w:p>
                            <w:pPr>
                              <w:jc w:val="center"/>
                              <w:rPr>
                                <w:rFonts w:eastAsia="Calibri"/>
                                <w:szCs w:val="22"/>
                                <w:lang w:eastAsia="lt-LT"/>
                              </w:rPr>
                            </w:pPr>
                            <w:r>
                              <w:rPr>
                                <w:rFonts w:eastAsia="Calibri"/>
                                <w:szCs w:val="22"/>
                                <w:lang w:eastAsia="lt-LT"/>
                              </w:rPr>
                              <w:t>0,19</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w:t>
                            </w:r>
                          </w:p>
                        </w:tc>
                        <w:tc>
                          <w:tcPr>
                            <w:tcW w:w="6651" w:type="dxa"/>
                            <w:noWrap/>
                            <w:vAlign w:val="bottom"/>
                          </w:tcPr>
                          <w:p>
                            <w:pPr>
                              <w:rPr>
                                <w:rFonts w:eastAsia="Calibri"/>
                                <w:szCs w:val="22"/>
                                <w:lang w:eastAsia="lt-LT"/>
                              </w:rPr>
                            </w:pPr>
                            <w:r>
                              <w:rPr>
                                <w:rFonts w:eastAsia="Calibri"/>
                                <w:szCs w:val="22"/>
                                <w:lang w:eastAsia="lt-LT"/>
                              </w:rPr>
                              <w:t>Akytojo betono plokštės stogų nuolydžiui suformuoti nevėdinamoje atitvaroje</w:t>
                            </w:r>
                          </w:p>
                        </w:tc>
                        <w:tc>
                          <w:tcPr>
                            <w:tcW w:w="1989" w:type="dxa"/>
                            <w:noWrap/>
                            <w:vAlign w:val="center"/>
                          </w:tcPr>
                          <w:p>
                            <w:pPr>
                              <w:jc w:val="center"/>
                              <w:rPr>
                                <w:rFonts w:eastAsia="Calibri"/>
                                <w:szCs w:val="22"/>
                                <w:lang w:eastAsia="lt-LT"/>
                              </w:rPr>
                            </w:pPr>
                            <w:r>
                              <w:rPr>
                                <w:rFonts w:eastAsia="Calibri"/>
                                <w:szCs w:val="22"/>
                                <w:lang w:eastAsia="lt-LT"/>
                              </w:rPr>
                              <w:t>0,18</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w:t>
                            </w:r>
                          </w:p>
                        </w:tc>
                        <w:tc>
                          <w:tcPr>
                            <w:tcW w:w="6651" w:type="dxa"/>
                            <w:noWrap/>
                            <w:vAlign w:val="bottom"/>
                          </w:tcPr>
                          <w:p>
                            <w:pPr>
                              <w:rPr>
                                <w:rFonts w:eastAsia="Calibri"/>
                                <w:szCs w:val="22"/>
                                <w:lang w:eastAsia="lt-LT"/>
                              </w:rPr>
                            </w:pPr>
                            <w:r>
                              <w:rPr>
                                <w:rFonts w:eastAsia="Calibri"/>
                                <w:szCs w:val="22"/>
                                <w:lang w:eastAsia="lt-LT"/>
                              </w:rPr>
                              <w:t>Akytojo betono plokštės stogų nuolydžiui suformuoti vėdinamoje atitvaroje</w:t>
                            </w:r>
                          </w:p>
                        </w:tc>
                        <w:tc>
                          <w:tcPr>
                            <w:tcW w:w="1989" w:type="dxa"/>
                            <w:noWrap/>
                            <w:vAlign w:val="center"/>
                          </w:tcPr>
                          <w:p>
                            <w:pPr>
                              <w:jc w:val="center"/>
                              <w:rPr>
                                <w:rFonts w:eastAsia="Calibri"/>
                                <w:szCs w:val="22"/>
                                <w:lang w:eastAsia="lt-LT"/>
                              </w:rPr>
                            </w:pPr>
                            <w:r>
                              <w:rPr>
                                <w:rFonts w:eastAsia="Calibri"/>
                                <w:szCs w:val="22"/>
                                <w:lang w:eastAsia="lt-LT"/>
                              </w:rPr>
                              <w:t>0,17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5.</w:t>
                            </w:r>
                          </w:p>
                        </w:tc>
                        <w:tc>
                          <w:tcPr>
                            <w:tcW w:w="6651" w:type="dxa"/>
                            <w:noWrap/>
                            <w:vAlign w:val="bottom"/>
                          </w:tcPr>
                          <w:p>
                            <w:pPr>
                              <w:rPr>
                                <w:rFonts w:eastAsia="Calibri"/>
                                <w:szCs w:val="22"/>
                                <w:lang w:eastAsia="lt-LT"/>
                              </w:rPr>
                            </w:pPr>
                            <w:r>
                              <w:rPr>
                                <w:rFonts w:eastAsia="Calibri"/>
                                <w:szCs w:val="22"/>
                                <w:lang w:eastAsia="lt-LT"/>
                              </w:rPr>
                              <w:t>Akytojo betono termoizoliacinės plokštės nevėdinamoje atitvaroje</w:t>
                            </w:r>
                          </w:p>
                        </w:tc>
                        <w:tc>
                          <w:tcPr>
                            <w:tcW w:w="1989" w:type="dxa"/>
                            <w:noWrap/>
                            <w:vAlign w:val="center"/>
                          </w:tcPr>
                          <w:p>
                            <w:pPr>
                              <w:jc w:val="center"/>
                              <w:rPr>
                                <w:rFonts w:eastAsia="Calibri"/>
                                <w:szCs w:val="22"/>
                                <w:lang w:eastAsia="lt-LT"/>
                              </w:rPr>
                            </w:pPr>
                            <w:r>
                              <w:rPr>
                                <w:rFonts w:eastAsia="Calibri"/>
                                <w:szCs w:val="22"/>
                                <w:lang w:eastAsia="lt-LT"/>
                              </w:rPr>
                              <w:t>0,14</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6.</w:t>
                            </w:r>
                          </w:p>
                        </w:tc>
                        <w:tc>
                          <w:tcPr>
                            <w:tcW w:w="6651" w:type="dxa"/>
                            <w:noWrap/>
                            <w:vAlign w:val="bottom"/>
                          </w:tcPr>
                          <w:p>
                            <w:pPr>
                              <w:rPr>
                                <w:rFonts w:eastAsia="Calibri"/>
                                <w:szCs w:val="22"/>
                                <w:lang w:eastAsia="lt-LT"/>
                              </w:rPr>
                            </w:pPr>
                            <w:r>
                              <w:rPr>
                                <w:rFonts w:eastAsia="Calibri"/>
                                <w:szCs w:val="22"/>
                                <w:lang w:eastAsia="lt-LT"/>
                              </w:rPr>
                              <w:t>Akytojo betono termoizoliacinės plokštės vėdinamoje atitvaroje</w:t>
                            </w:r>
                          </w:p>
                        </w:tc>
                        <w:tc>
                          <w:tcPr>
                            <w:tcW w:w="1989" w:type="dxa"/>
                            <w:noWrap/>
                            <w:vAlign w:val="center"/>
                          </w:tcPr>
                          <w:p>
                            <w:pPr>
                              <w:jc w:val="center"/>
                              <w:rPr>
                                <w:rFonts w:eastAsia="Calibri"/>
                                <w:szCs w:val="22"/>
                                <w:lang w:eastAsia="lt-LT"/>
                              </w:rPr>
                            </w:pPr>
                            <w:r>
                              <w:rPr>
                                <w:rFonts w:eastAsia="Calibri"/>
                                <w:szCs w:val="22"/>
                                <w:lang w:eastAsia="lt-LT"/>
                              </w:rPr>
                              <w:t>0,13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7.</w:t>
                            </w:r>
                          </w:p>
                        </w:tc>
                        <w:tc>
                          <w:tcPr>
                            <w:tcW w:w="6651" w:type="dxa"/>
                            <w:noWrap/>
                            <w:vAlign w:val="bottom"/>
                          </w:tcPr>
                          <w:p>
                            <w:pPr>
                              <w:rPr>
                                <w:rFonts w:eastAsia="Calibri"/>
                                <w:szCs w:val="22"/>
                                <w:lang w:eastAsia="lt-LT"/>
                              </w:rPr>
                            </w:pPr>
                            <w:r>
                              <w:rPr>
                                <w:rFonts w:eastAsia="Calibri"/>
                                <w:szCs w:val="22"/>
                                <w:lang w:eastAsia="lt-LT"/>
                              </w:rPr>
                              <w:t>Akytojo betono blokelių mūras nevėdinamoje atitvaroje</w:t>
                            </w:r>
                          </w:p>
                        </w:tc>
                        <w:tc>
                          <w:tcPr>
                            <w:tcW w:w="1989" w:type="dxa"/>
                            <w:noWrap/>
                            <w:vAlign w:val="center"/>
                          </w:tcPr>
                          <w:p>
                            <w:pPr>
                              <w:jc w:val="center"/>
                              <w:rPr>
                                <w:rFonts w:eastAsia="Calibri"/>
                                <w:szCs w:val="22"/>
                                <w:lang w:eastAsia="lt-LT"/>
                              </w:rPr>
                            </w:pPr>
                            <w:r>
                              <w:rPr>
                                <w:rFonts w:eastAsia="Calibri"/>
                                <w:szCs w:val="22"/>
                                <w:lang w:eastAsia="lt-LT"/>
                              </w:rPr>
                              <w:t>0,23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8.</w:t>
                            </w:r>
                          </w:p>
                        </w:tc>
                        <w:tc>
                          <w:tcPr>
                            <w:tcW w:w="6651" w:type="dxa"/>
                            <w:noWrap/>
                            <w:vAlign w:val="bottom"/>
                          </w:tcPr>
                          <w:p>
                            <w:pPr>
                              <w:rPr>
                                <w:rFonts w:eastAsia="Calibri"/>
                                <w:szCs w:val="22"/>
                                <w:lang w:eastAsia="lt-LT"/>
                              </w:rPr>
                            </w:pPr>
                            <w:r>
                              <w:rPr>
                                <w:rFonts w:eastAsia="Calibri"/>
                                <w:szCs w:val="22"/>
                                <w:lang w:eastAsia="lt-LT"/>
                              </w:rPr>
                              <w:t>Akytojo betono blokelių mūras vėdinamoje atitvaroje</w:t>
                            </w:r>
                          </w:p>
                        </w:tc>
                        <w:tc>
                          <w:tcPr>
                            <w:tcW w:w="1989" w:type="dxa"/>
                            <w:noWrap/>
                            <w:vAlign w:val="bottom"/>
                          </w:tcPr>
                          <w:p>
                            <w:pPr>
                              <w:jc w:val="center"/>
                              <w:rPr>
                                <w:rFonts w:eastAsia="Calibri"/>
                                <w:szCs w:val="22"/>
                                <w:lang w:eastAsia="lt-LT"/>
                              </w:rPr>
                            </w:pPr>
                            <w:r>
                              <w:rPr>
                                <w:rFonts w:eastAsia="Calibri"/>
                                <w:szCs w:val="22"/>
                                <w:lang w:eastAsia="lt-LT"/>
                              </w:rPr>
                              <w:t>0,22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9.</w:t>
                            </w:r>
                          </w:p>
                        </w:tc>
                        <w:tc>
                          <w:tcPr>
                            <w:tcW w:w="6651" w:type="dxa"/>
                            <w:noWrap/>
                            <w:vAlign w:val="bottom"/>
                          </w:tcPr>
                          <w:p>
                            <w:pPr>
                              <w:rPr>
                                <w:rFonts w:eastAsia="Calibri"/>
                                <w:szCs w:val="22"/>
                                <w:lang w:eastAsia="lt-LT"/>
                              </w:rPr>
                            </w:pPr>
                            <w:r>
                              <w:rPr>
                                <w:rFonts w:eastAsia="Calibri"/>
                                <w:szCs w:val="22"/>
                                <w:lang w:eastAsia="lt-LT"/>
                              </w:rPr>
                              <w:t>Birioji celiuliozės pluošto vata nevėdinamoje atitvaroje</w:t>
                            </w:r>
                          </w:p>
                        </w:tc>
                        <w:tc>
                          <w:tcPr>
                            <w:tcW w:w="1989" w:type="dxa"/>
                            <w:noWrap/>
                            <w:vAlign w:val="bottom"/>
                          </w:tcPr>
                          <w:p>
                            <w:pPr>
                              <w:jc w:val="center"/>
                              <w:rPr>
                                <w:rFonts w:eastAsia="Calibri"/>
                                <w:szCs w:val="22"/>
                                <w:lang w:eastAsia="lt-LT"/>
                              </w:rPr>
                            </w:pPr>
                            <w:r>
                              <w:rPr>
                                <w:rFonts w:eastAsia="Calibri"/>
                                <w:szCs w:val="22"/>
                                <w:lang w:eastAsia="lt-LT"/>
                              </w:rPr>
                              <w:t>0,06</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10.</w:t>
                            </w:r>
                          </w:p>
                        </w:tc>
                        <w:tc>
                          <w:tcPr>
                            <w:tcW w:w="6651" w:type="dxa"/>
                            <w:noWrap/>
                            <w:vAlign w:val="bottom"/>
                          </w:tcPr>
                          <w:p>
                            <w:pPr>
                              <w:rPr>
                                <w:rFonts w:eastAsia="Calibri"/>
                                <w:szCs w:val="22"/>
                                <w:lang w:eastAsia="lt-LT"/>
                              </w:rPr>
                            </w:pPr>
                            <w:r>
                              <w:rPr>
                                <w:rFonts w:eastAsia="Calibri"/>
                                <w:szCs w:val="22"/>
                                <w:lang w:eastAsia="lt-LT"/>
                              </w:rPr>
                              <w:t>Birioji celiuliozės pluošto vata vėdinamoje atitvaroje</w:t>
                            </w:r>
                          </w:p>
                        </w:tc>
                        <w:tc>
                          <w:tcPr>
                            <w:tcW w:w="1989" w:type="dxa"/>
                            <w:noWrap/>
                            <w:vAlign w:val="bottom"/>
                          </w:tcPr>
                          <w:p>
                            <w:pPr>
                              <w:jc w:val="center"/>
                              <w:rPr>
                                <w:rFonts w:eastAsia="Calibri"/>
                                <w:szCs w:val="22"/>
                                <w:lang w:eastAsia="lt-LT"/>
                              </w:rPr>
                            </w:pPr>
                            <w:r>
                              <w:rPr>
                                <w:rFonts w:eastAsia="Calibri"/>
                                <w:szCs w:val="22"/>
                                <w:lang w:eastAsia="lt-LT"/>
                              </w:rPr>
                              <w:t>0,05</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11.</w:t>
                            </w:r>
                          </w:p>
                        </w:tc>
                        <w:tc>
                          <w:tcPr>
                            <w:tcW w:w="6651" w:type="dxa"/>
                            <w:noWrap/>
                            <w:vAlign w:val="bottom"/>
                          </w:tcPr>
                          <w:p>
                            <w:pPr>
                              <w:rPr>
                                <w:rFonts w:eastAsia="Calibri"/>
                                <w:szCs w:val="22"/>
                                <w:lang w:eastAsia="lt-LT"/>
                              </w:rPr>
                            </w:pPr>
                            <w:r>
                              <w:rPr>
                                <w:rFonts w:eastAsia="Calibri"/>
                                <w:szCs w:val="22"/>
                                <w:lang w:eastAsia="lt-LT"/>
                              </w:rPr>
                              <w:t>Fenolinis putplastis „PF“ nevėdinamoje atitvaroje</w:t>
                            </w:r>
                          </w:p>
                        </w:tc>
                        <w:tc>
                          <w:tcPr>
                            <w:tcW w:w="1989" w:type="dxa"/>
                            <w:noWrap/>
                            <w:vAlign w:val="bottom"/>
                          </w:tcPr>
                          <w:p>
                            <w:pPr>
                              <w:jc w:val="center"/>
                              <w:rPr>
                                <w:rFonts w:eastAsia="Calibri"/>
                                <w:szCs w:val="22"/>
                                <w:lang w:eastAsia="lt-LT"/>
                              </w:rPr>
                            </w:pPr>
                            <w:r>
                              <w:rPr>
                                <w:rFonts w:eastAsia="Calibri"/>
                                <w:szCs w:val="22"/>
                                <w:lang w:eastAsia="lt-LT"/>
                              </w:rPr>
                              <w:t>0,047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12.</w:t>
                            </w:r>
                          </w:p>
                        </w:tc>
                        <w:tc>
                          <w:tcPr>
                            <w:tcW w:w="6651" w:type="dxa"/>
                            <w:noWrap/>
                            <w:vAlign w:val="bottom"/>
                          </w:tcPr>
                          <w:p>
                            <w:pPr>
                              <w:rPr>
                                <w:rFonts w:eastAsia="Calibri"/>
                                <w:szCs w:val="22"/>
                                <w:lang w:eastAsia="lt-LT"/>
                              </w:rPr>
                            </w:pPr>
                            <w:r>
                              <w:rPr>
                                <w:rFonts w:eastAsia="Calibri"/>
                                <w:szCs w:val="22"/>
                                <w:lang w:eastAsia="lt-LT"/>
                              </w:rPr>
                              <w:t>Fenolinis putplastis „PF“ vėdinamoje atitvaroje</w:t>
                            </w:r>
                          </w:p>
                        </w:tc>
                        <w:tc>
                          <w:tcPr>
                            <w:tcW w:w="1989" w:type="dxa"/>
                            <w:noWrap/>
                            <w:vAlign w:val="bottom"/>
                          </w:tcPr>
                          <w:p>
                            <w:pPr>
                              <w:jc w:val="center"/>
                              <w:rPr>
                                <w:rFonts w:eastAsia="Calibri"/>
                                <w:szCs w:val="22"/>
                                <w:lang w:eastAsia="lt-LT"/>
                              </w:rPr>
                            </w:pPr>
                            <w:r>
                              <w:rPr>
                                <w:rFonts w:eastAsia="Calibri"/>
                                <w:szCs w:val="22"/>
                                <w:lang w:eastAsia="lt-LT"/>
                              </w:rPr>
                              <w:t>0,042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13.</w:t>
                            </w:r>
                          </w:p>
                        </w:tc>
                        <w:tc>
                          <w:tcPr>
                            <w:tcW w:w="6651" w:type="dxa"/>
                            <w:noWrap/>
                            <w:vAlign w:val="bottom"/>
                          </w:tcPr>
                          <w:p>
                            <w:pPr>
                              <w:rPr>
                                <w:rFonts w:eastAsia="Calibri"/>
                                <w:szCs w:val="22"/>
                                <w:lang w:eastAsia="lt-LT"/>
                              </w:rPr>
                            </w:pPr>
                            <w:r>
                              <w:rPr>
                                <w:rFonts w:eastAsia="Calibri"/>
                                <w:szCs w:val="22"/>
                                <w:lang w:eastAsia="lt-LT"/>
                              </w:rPr>
                              <w:t>Fenolio</w:t>
                            </w:r>
                            <w:r>
                              <w:rPr>
                                <w:rFonts w:eastAsia="Calibri"/>
                                <w:bCs/>
                                <w:szCs w:val="22"/>
                              </w:rPr>
                              <w:t>–</w:t>
                            </w:r>
                            <w:r>
                              <w:rPr>
                                <w:rFonts w:eastAsia="Calibri"/>
                                <w:szCs w:val="22"/>
                                <w:lang w:eastAsia="lt-LT"/>
                              </w:rPr>
                              <w:t>formaldehidinis putplastis nevėdinamoje atitvaroje</w:t>
                            </w:r>
                          </w:p>
                        </w:tc>
                        <w:tc>
                          <w:tcPr>
                            <w:tcW w:w="1989" w:type="dxa"/>
                            <w:noWrap/>
                            <w:vAlign w:val="bottom"/>
                          </w:tcPr>
                          <w:p>
                            <w:pPr>
                              <w:jc w:val="center"/>
                              <w:rPr>
                                <w:rFonts w:eastAsia="Calibri"/>
                                <w:szCs w:val="22"/>
                                <w:lang w:eastAsia="lt-LT"/>
                              </w:rPr>
                            </w:pPr>
                            <w:r>
                              <w:rPr>
                                <w:rFonts w:eastAsia="Calibri"/>
                                <w:szCs w:val="22"/>
                                <w:lang w:eastAsia="lt-LT"/>
                              </w:rPr>
                              <w:t>0,07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14.</w:t>
                            </w:r>
                          </w:p>
                        </w:tc>
                        <w:tc>
                          <w:tcPr>
                            <w:tcW w:w="6651" w:type="dxa"/>
                            <w:noWrap/>
                            <w:vAlign w:val="bottom"/>
                          </w:tcPr>
                          <w:p>
                            <w:pPr>
                              <w:rPr>
                                <w:rFonts w:eastAsia="Calibri"/>
                                <w:szCs w:val="22"/>
                                <w:lang w:eastAsia="lt-LT"/>
                              </w:rPr>
                            </w:pPr>
                            <w:r>
                              <w:rPr>
                                <w:rFonts w:eastAsia="Calibri"/>
                                <w:szCs w:val="22"/>
                                <w:lang w:eastAsia="lt-LT"/>
                              </w:rPr>
                              <w:t>Fenolio</w:t>
                            </w:r>
                            <w:r>
                              <w:rPr>
                                <w:rFonts w:eastAsia="Calibri"/>
                                <w:bCs/>
                                <w:szCs w:val="22"/>
                              </w:rPr>
                              <w:t>–</w:t>
                            </w:r>
                            <w:r>
                              <w:rPr>
                                <w:rFonts w:eastAsia="Calibri"/>
                                <w:szCs w:val="22"/>
                                <w:lang w:eastAsia="lt-LT"/>
                              </w:rPr>
                              <w:t>formaldehidinis putplastis vėdinamoje atitvaroje</w:t>
                            </w:r>
                          </w:p>
                        </w:tc>
                        <w:tc>
                          <w:tcPr>
                            <w:tcW w:w="1989" w:type="dxa"/>
                            <w:noWrap/>
                            <w:vAlign w:val="bottom"/>
                          </w:tcPr>
                          <w:p>
                            <w:pPr>
                              <w:jc w:val="center"/>
                              <w:rPr>
                                <w:rFonts w:eastAsia="Calibri"/>
                                <w:szCs w:val="22"/>
                                <w:lang w:eastAsia="lt-LT"/>
                              </w:rPr>
                            </w:pPr>
                            <w:r>
                              <w:rPr>
                                <w:rFonts w:eastAsia="Calibri"/>
                                <w:szCs w:val="22"/>
                                <w:lang w:eastAsia="lt-LT"/>
                              </w:rPr>
                              <w:t>0,06</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15.</w:t>
                            </w:r>
                          </w:p>
                        </w:tc>
                        <w:tc>
                          <w:tcPr>
                            <w:tcW w:w="6651" w:type="dxa"/>
                            <w:noWrap/>
                            <w:vAlign w:val="bottom"/>
                          </w:tcPr>
                          <w:p>
                            <w:pPr>
                              <w:rPr>
                                <w:rFonts w:eastAsia="Calibri"/>
                                <w:szCs w:val="22"/>
                                <w:lang w:eastAsia="lt-LT"/>
                              </w:rPr>
                            </w:pPr>
                            <w:r>
                              <w:rPr>
                                <w:rFonts w:eastAsia="Calibri"/>
                                <w:szCs w:val="22"/>
                                <w:lang w:eastAsia="lt-LT"/>
                              </w:rPr>
                              <w:t>Karbamido</w:t>
                            </w:r>
                            <w:r>
                              <w:rPr>
                                <w:rFonts w:eastAsia="Calibri"/>
                                <w:bCs/>
                                <w:szCs w:val="22"/>
                              </w:rPr>
                              <w:t>–</w:t>
                            </w:r>
                            <w:r>
                              <w:rPr>
                                <w:rFonts w:eastAsia="Calibri"/>
                                <w:szCs w:val="22"/>
                                <w:lang w:eastAsia="lt-LT"/>
                              </w:rPr>
                              <w:t>formaldehidinis putplastis nevėdinamoje atitvaroje</w:t>
                            </w:r>
                          </w:p>
                        </w:tc>
                        <w:tc>
                          <w:tcPr>
                            <w:tcW w:w="1989" w:type="dxa"/>
                            <w:noWrap/>
                            <w:vAlign w:val="bottom"/>
                          </w:tcPr>
                          <w:p>
                            <w:pPr>
                              <w:jc w:val="center"/>
                              <w:rPr>
                                <w:rFonts w:eastAsia="Calibri"/>
                                <w:szCs w:val="22"/>
                                <w:lang w:eastAsia="lt-LT"/>
                              </w:rPr>
                            </w:pPr>
                            <w:r>
                              <w:rPr>
                                <w:rFonts w:eastAsia="Calibri"/>
                                <w:szCs w:val="22"/>
                                <w:lang w:eastAsia="lt-LT"/>
                              </w:rPr>
                              <w:t>0,07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16.</w:t>
                            </w:r>
                          </w:p>
                        </w:tc>
                        <w:tc>
                          <w:tcPr>
                            <w:tcW w:w="6651" w:type="dxa"/>
                            <w:noWrap/>
                            <w:vAlign w:val="bottom"/>
                          </w:tcPr>
                          <w:p>
                            <w:pPr>
                              <w:rPr>
                                <w:rFonts w:eastAsia="Calibri"/>
                                <w:szCs w:val="22"/>
                                <w:lang w:eastAsia="lt-LT"/>
                              </w:rPr>
                            </w:pPr>
                            <w:r>
                              <w:rPr>
                                <w:rFonts w:eastAsia="Calibri"/>
                                <w:szCs w:val="22"/>
                                <w:lang w:eastAsia="lt-LT"/>
                              </w:rPr>
                              <w:t>Karbamido</w:t>
                            </w:r>
                            <w:r>
                              <w:rPr>
                                <w:rFonts w:eastAsia="Calibri"/>
                                <w:bCs/>
                                <w:szCs w:val="22"/>
                              </w:rPr>
                              <w:t>–</w:t>
                            </w:r>
                            <w:r>
                              <w:rPr>
                                <w:rFonts w:eastAsia="Calibri"/>
                                <w:szCs w:val="22"/>
                                <w:lang w:eastAsia="lt-LT"/>
                              </w:rPr>
                              <w:t>formaldehidinis putplastis vėdinamoje atitvaroje</w:t>
                            </w:r>
                          </w:p>
                        </w:tc>
                        <w:tc>
                          <w:tcPr>
                            <w:tcW w:w="1989" w:type="dxa"/>
                            <w:noWrap/>
                            <w:vAlign w:val="bottom"/>
                          </w:tcPr>
                          <w:p>
                            <w:pPr>
                              <w:jc w:val="center"/>
                              <w:rPr>
                                <w:rFonts w:eastAsia="Calibri"/>
                                <w:szCs w:val="22"/>
                                <w:lang w:eastAsia="lt-LT"/>
                              </w:rPr>
                            </w:pPr>
                            <w:r>
                              <w:rPr>
                                <w:rFonts w:eastAsia="Calibri"/>
                                <w:szCs w:val="22"/>
                                <w:lang w:eastAsia="lt-LT"/>
                              </w:rPr>
                              <w:t>0,06</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17.</w:t>
                            </w:r>
                          </w:p>
                        </w:tc>
                        <w:tc>
                          <w:tcPr>
                            <w:tcW w:w="6651" w:type="dxa"/>
                            <w:noWrap/>
                            <w:vAlign w:val="bottom"/>
                          </w:tcPr>
                          <w:p>
                            <w:pPr>
                              <w:rPr>
                                <w:rFonts w:eastAsia="Calibri"/>
                                <w:szCs w:val="22"/>
                                <w:lang w:eastAsia="lt-LT"/>
                              </w:rPr>
                            </w:pPr>
                            <w:r>
                              <w:rPr>
                                <w:rFonts w:eastAsia="Calibri"/>
                                <w:szCs w:val="22"/>
                                <w:lang w:eastAsia="lt-LT"/>
                              </w:rPr>
                              <w:t>Keramzito smėlis nevėdinamoje atitvaroje</w:t>
                            </w:r>
                          </w:p>
                        </w:tc>
                        <w:tc>
                          <w:tcPr>
                            <w:tcW w:w="1989" w:type="dxa"/>
                            <w:noWrap/>
                            <w:vAlign w:val="bottom"/>
                          </w:tcPr>
                          <w:p>
                            <w:pPr>
                              <w:jc w:val="center"/>
                              <w:rPr>
                                <w:rFonts w:eastAsia="Calibri"/>
                                <w:szCs w:val="22"/>
                                <w:lang w:eastAsia="lt-LT"/>
                              </w:rPr>
                            </w:pPr>
                            <w:r>
                              <w:rPr>
                                <w:rFonts w:eastAsia="Calibri"/>
                                <w:szCs w:val="22"/>
                                <w:lang w:eastAsia="lt-LT"/>
                              </w:rPr>
                              <w:t>0,33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18.</w:t>
                            </w:r>
                          </w:p>
                        </w:tc>
                        <w:tc>
                          <w:tcPr>
                            <w:tcW w:w="6651" w:type="dxa"/>
                            <w:noWrap/>
                            <w:vAlign w:val="bottom"/>
                          </w:tcPr>
                          <w:p>
                            <w:pPr>
                              <w:rPr>
                                <w:rFonts w:eastAsia="Calibri"/>
                                <w:szCs w:val="22"/>
                                <w:lang w:eastAsia="lt-LT"/>
                              </w:rPr>
                            </w:pPr>
                            <w:r>
                              <w:rPr>
                                <w:rFonts w:eastAsia="Calibri"/>
                                <w:szCs w:val="22"/>
                                <w:lang w:eastAsia="lt-LT"/>
                              </w:rPr>
                              <w:t>Keramzito smėlis vėdinamoje atitvaroje</w:t>
                            </w:r>
                          </w:p>
                        </w:tc>
                        <w:tc>
                          <w:tcPr>
                            <w:tcW w:w="1989" w:type="dxa"/>
                            <w:noWrap/>
                            <w:vAlign w:val="bottom"/>
                          </w:tcPr>
                          <w:p>
                            <w:pPr>
                              <w:jc w:val="center"/>
                              <w:rPr>
                                <w:rFonts w:eastAsia="Calibri"/>
                                <w:szCs w:val="22"/>
                                <w:lang w:eastAsia="lt-LT"/>
                              </w:rPr>
                            </w:pPr>
                            <w:r>
                              <w:rPr>
                                <w:rFonts w:eastAsia="Calibri"/>
                                <w:szCs w:val="22"/>
                                <w:lang w:eastAsia="lt-LT"/>
                              </w:rPr>
                              <w:t>0,32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19.</w:t>
                            </w:r>
                          </w:p>
                        </w:tc>
                        <w:tc>
                          <w:tcPr>
                            <w:tcW w:w="6651" w:type="dxa"/>
                            <w:noWrap/>
                            <w:vAlign w:val="bottom"/>
                          </w:tcPr>
                          <w:p>
                            <w:pPr>
                              <w:rPr>
                                <w:rFonts w:eastAsia="Calibri"/>
                                <w:szCs w:val="22"/>
                                <w:lang w:eastAsia="lt-LT"/>
                              </w:rPr>
                            </w:pPr>
                            <w:r>
                              <w:rPr>
                                <w:rFonts w:eastAsia="Calibri"/>
                                <w:szCs w:val="22"/>
                                <w:lang w:eastAsia="lt-LT"/>
                              </w:rPr>
                              <w:t>Keramzito žvyras nevėdinamoje atitvaroje</w:t>
                            </w:r>
                          </w:p>
                        </w:tc>
                        <w:tc>
                          <w:tcPr>
                            <w:tcW w:w="1989" w:type="dxa"/>
                            <w:noWrap/>
                            <w:vAlign w:val="bottom"/>
                          </w:tcPr>
                          <w:p>
                            <w:pPr>
                              <w:jc w:val="center"/>
                              <w:rPr>
                                <w:rFonts w:eastAsia="Calibri"/>
                                <w:szCs w:val="22"/>
                                <w:lang w:eastAsia="lt-LT"/>
                              </w:rPr>
                            </w:pPr>
                            <w:r>
                              <w:rPr>
                                <w:rFonts w:eastAsia="Calibri"/>
                                <w:szCs w:val="22"/>
                                <w:lang w:eastAsia="lt-LT"/>
                              </w:rPr>
                              <w:t>0,28</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20.</w:t>
                            </w:r>
                          </w:p>
                        </w:tc>
                        <w:tc>
                          <w:tcPr>
                            <w:tcW w:w="6651" w:type="dxa"/>
                            <w:noWrap/>
                            <w:vAlign w:val="bottom"/>
                          </w:tcPr>
                          <w:p>
                            <w:pPr>
                              <w:rPr>
                                <w:rFonts w:eastAsia="Calibri"/>
                                <w:szCs w:val="22"/>
                                <w:lang w:eastAsia="lt-LT"/>
                              </w:rPr>
                            </w:pPr>
                            <w:r>
                              <w:rPr>
                                <w:rFonts w:eastAsia="Calibri"/>
                                <w:szCs w:val="22"/>
                                <w:lang w:eastAsia="lt-LT"/>
                              </w:rPr>
                              <w:t>Keramzito žvyras vėdinamoje atitvaroje</w:t>
                            </w:r>
                          </w:p>
                        </w:tc>
                        <w:tc>
                          <w:tcPr>
                            <w:tcW w:w="1989" w:type="dxa"/>
                            <w:noWrap/>
                            <w:vAlign w:val="bottom"/>
                          </w:tcPr>
                          <w:p>
                            <w:pPr>
                              <w:jc w:val="center"/>
                              <w:rPr>
                                <w:rFonts w:eastAsia="Calibri"/>
                                <w:szCs w:val="22"/>
                                <w:lang w:eastAsia="lt-LT"/>
                              </w:rPr>
                            </w:pPr>
                            <w:r>
                              <w:rPr>
                                <w:rFonts w:eastAsia="Calibri"/>
                                <w:szCs w:val="22"/>
                                <w:lang w:eastAsia="lt-LT"/>
                              </w:rPr>
                              <w:t>0,27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21.</w:t>
                            </w:r>
                          </w:p>
                        </w:tc>
                        <w:tc>
                          <w:tcPr>
                            <w:tcW w:w="6651" w:type="dxa"/>
                            <w:noWrap/>
                            <w:vAlign w:val="bottom"/>
                          </w:tcPr>
                          <w:p>
                            <w:pPr>
                              <w:rPr>
                                <w:rFonts w:eastAsia="Calibri"/>
                                <w:szCs w:val="22"/>
                                <w:lang w:eastAsia="lt-LT"/>
                              </w:rPr>
                            </w:pPr>
                            <w:r>
                              <w:rPr>
                                <w:rFonts w:eastAsia="Calibri"/>
                                <w:szCs w:val="22"/>
                                <w:lang w:eastAsia="lt-LT"/>
                              </w:rPr>
                              <w:t>Medienos drožlės arba pjuvenos (sutankintos)</w:t>
                            </w:r>
                          </w:p>
                        </w:tc>
                        <w:tc>
                          <w:tcPr>
                            <w:tcW w:w="1989" w:type="dxa"/>
                            <w:noWrap/>
                            <w:vAlign w:val="bottom"/>
                          </w:tcPr>
                          <w:p>
                            <w:pPr>
                              <w:jc w:val="center"/>
                              <w:rPr>
                                <w:rFonts w:eastAsia="Calibri"/>
                                <w:szCs w:val="22"/>
                                <w:lang w:eastAsia="lt-LT"/>
                              </w:rPr>
                            </w:pPr>
                            <w:r>
                              <w:rPr>
                                <w:rFonts w:eastAsia="Calibri"/>
                                <w:szCs w:val="22"/>
                                <w:lang w:eastAsia="lt-LT"/>
                              </w:rPr>
                              <w:t>0,15</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22.</w:t>
                            </w:r>
                          </w:p>
                        </w:tc>
                        <w:tc>
                          <w:tcPr>
                            <w:tcW w:w="6651" w:type="dxa"/>
                            <w:noWrap/>
                            <w:vAlign w:val="bottom"/>
                          </w:tcPr>
                          <w:p>
                            <w:pPr>
                              <w:rPr>
                                <w:rFonts w:eastAsia="Calibri"/>
                                <w:szCs w:val="22"/>
                                <w:lang w:eastAsia="lt-LT"/>
                              </w:rPr>
                            </w:pPr>
                            <w:r>
                              <w:rPr>
                                <w:rFonts w:eastAsia="Calibri"/>
                                <w:szCs w:val="22"/>
                                <w:lang w:eastAsia="lt-LT"/>
                              </w:rPr>
                              <w:t>Mineralinė vata nevėdinamoje atitvaroje pastatuose iki 1993 m.</w:t>
                            </w:r>
                          </w:p>
                        </w:tc>
                        <w:tc>
                          <w:tcPr>
                            <w:tcW w:w="1989" w:type="dxa"/>
                            <w:noWrap/>
                            <w:vAlign w:val="bottom"/>
                          </w:tcPr>
                          <w:p>
                            <w:pPr>
                              <w:jc w:val="center"/>
                              <w:rPr>
                                <w:rFonts w:eastAsia="Calibri"/>
                                <w:szCs w:val="22"/>
                                <w:lang w:eastAsia="lt-LT"/>
                              </w:rPr>
                            </w:pPr>
                            <w:r>
                              <w:rPr>
                                <w:rFonts w:eastAsia="Calibri"/>
                                <w:szCs w:val="22"/>
                                <w:lang w:eastAsia="lt-LT"/>
                              </w:rPr>
                              <w:t>0,062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23.</w:t>
                            </w:r>
                          </w:p>
                        </w:tc>
                        <w:tc>
                          <w:tcPr>
                            <w:tcW w:w="6651" w:type="dxa"/>
                            <w:noWrap/>
                            <w:vAlign w:val="bottom"/>
                          </w:tcPr>
                          <w:p>
                            <w:pPr>
                              <w:rPr>
                                <w:rFonts w:eastAsia="Calibri"/>
                                <w:szCs w:val="22"/>
                                <w:lang w:eastAsia="lt-LT"/>
                              </w:rPr>
                            </w:pPr>
                            <w:r>
                              <w:rPr>
                                <w:rFonts w:eastAsia="Calibri"/>
                                <w:szCs w:val="22"/>
                                <w:lang w:eastAsia="lt-LT"/>
                              </w:rPr>
                              <w:t>Mineralinė vata vėdinamoje atitvaroje pastatuose iki 1993 m.</w:t>
                            </w:r>
                          </w:p>
                        </w:tc>
                        <w:tc>
                          <w:tcPr>
                            <w:tcW w:w="1989" w:type="dxa"/>
                            <w:noWrap/>
                            <w:vAlign w:val="bottom"/>
                          </w:tcPr>
                          <w:p>
                            <w:pPr>
                              <w:jc w:val="center"/>
                              <w:rPr>
                                <w:rFonts w:eastAsia="Calibri"/>
                                <w:szCs w:val="22"/>
                                <w:lang w:eastAsia="lt-LT"/>
                              </w:rPr>
                            </w:pPr>
                            <w:r>
                              <w:rPr>
                                <w:rFonts w:eastAsia="Calibri"/>
                                <w:szCs w:val="22"/>
                                <w:lang w:eastAsia="lt-LT"/>
                              </w:rPr>
                              <w:t>0,061</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24.</w:t>
                            </w:r>
                          </w:p>
                        </w:tc>
                        <w:tc>
                          <w:tcPr>
                            <w:tcW w:w="6651" w:type="dxa"/>
                            <w:noWrap/>
                            <w:vAlign w:val="bottom"/>
                          </w:tcPr>
                          <w:p>
                            <w:pPr>
                              <w:rPr>
                                <w:rFonts w:eastAsia="Calibri"/>
                                <w:szCs w:val="22"/>
                                <w:lang w:eastAsia="lt-LT"/>
                              </w:rPr>
                            </w:pPr>
                            <w:r>
                              <w:rPr>
                                <w:rFonts w:eastAsia="Calibri"/>
                                <w:szCs w:val="22"/>
                                <w:lang w:eastAsia="lt-LT"/>
                              </w:rPr>
                              <w:t>Mineralinė vata nevėdinamoje atitvaroje pastatuose po 1993 m.</w:t>
                            </w:r>
                          </w:p>
                        </w:tc>
                        <w:tc>
                          <w:tcPr>
                            <w:tcW w:w="1989" w:type="dxa"/>
                            <w:noWrap/>
                            <w:vAlign w:val="bottom"/>
                          </w:tcPr>
                          <w:p>
                            <w:pPr>
                              <w:jc w:val="center"/>
                              <w:rPr>
                                <w:rFonts w:eastAsia="Calibri"/>
                                <w:szCs w:val="22"/>
                                <w:lang w:eastAsia="lt-LT"/>
                              </w:rPr>
                            </w:pPr>
                            <w:r>
                              <w:rPr>
                                <w:rFonts w:eastAsia="Calibri"/>
                                <w:szCs w:val="22"/>
                                <w:lang w:eastAsia="lt-LT"/>
                              </w:rPr>
                              <w:t>0,042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25.</w:t>
                            </w:r>
                          </w:p>
                        </w:tc>
                        <w:tc>
                          <w:tcPr>
                            <w:tcW w:w="6651" w:type="dxa"/>
                            <w:noWrap/>
                            <w:vAlign w:val="bottom"/>
                          </w:tcPr>
                          <w:p>
                            <w:pPr>
                              <w:rPr>
                                <w:rFonts w:eastAsia="Calibri"/>
                                <w:szCs w:val="22"/>
                                <w:lang w:eastAsia="lt-LT"/>
                              </w:rPr>
                            </w:pPr>
                            <w:r>
                              <w:rPr>
                                <w:rFonts w:eastAsia="Calibri"/>
                                <w:szCs w:val="22"/>
                                <w:lang w:eastAsia="lt-LT"/>
                              </w:rPr>
                              <w:t>Mineralinė vata vėdinamoje atitvaroje pastatuose po 1993 m.</w:t>
                            </w:r>
                          </w:p>
                        </w:tc>
                        <w:tc>
                          <w:tcPr>
                            <w:tcW w:w="1989" w:type="dxa"/>
                            <w:noWrap/>
                            <w:vAlign w:val="bottom"/>
                          </w:tcPr>
                          <w:p>
                            <w:pPr>
                              <w:jc w:val="center"/>
                              <w:rPr>
                                <w:rFonts w:eastAsia="Calibri"/>
                                <w:szCs w:val="22"/>
                                <w:lang w:eastAsia="lt-LT"/>
                              </w:rPr>
                            </w:pPr>
                            <w:r>
                              <w:rPr>
                                <w:rFonts w:eastAsia="Calibri"/>
                                <w:szCs w:val="22"/>
                                <w:lang w:eastAsia="lt-LT"/>
                              </w:rPr>
                              <w:t>0,041</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26.</w:t>
                            </w:r>
                          </w:p>
                        </w:tc>
                        <w:tc>
                          <w:tcPr>
                            <w:tcW w:w="6651" w:type="dxa"/>
                            <w:noWrap/>
                            <w:vAlign w:val="bottom"/>
                          </w:tcPr>
                          <w:p>
                            <w:pPr>
                              <w:rPr>
                                <w:rFonts w:eastAsia="Calibri"/>
                                <w:szCs w:val="22"/>
                                <w:lang w:eastAsia="lt-LT"/>
                              </w:rPr>
                            </w:pPr>
                            <w:r>
                              <w:rPr>
                                <w:rFonts w:eastAsia="Calibri"/>
                                <w:szCs w:val="22"/>
                                <w:lang w:eastAsia="lt-LT"/>
                              </w:rPr>
                              <w:t>Nendrių plokštės</w:t>
                            </w:r>
                          </w:p>
                        </w:tc>
                        <w:tc>
                          <w:tcPr>
                            <w:tcW w:w="1989" w:type="dxa"/>
                            <w:noWrap/>
                            <w:vAlign w:val="bottom"/>
                          </w:tcPr>
                          <w:p>
                            <w:pPr>
                              <w:jc w:val="center"/>
                              <w:rPr>
                                <w:rFonts w:eastAsia="Calibri"/>
                                <w:szCs w:val="22"/>
                                <w:lang w:eastAsia="lt-LT"/>
                              </w:rPr>
                            </w:pPr>
                            <w:r>
                              <w:rPr>
                                <w:rFonts w:eastAsia="Calibri"/>
                                <w:szCs w:val="22"/>
                                <w:lang w:eastAsia="lt-LT"/>
                              </w:rPr>
                              <w:t>0,15</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27.</w:t>
                            </w:r>
                          </w:p>
                        </w:tc>
                        <w:tc>
                          <w:tcPr>
                            <w:tcW w:w="6651" w:type="dxa"/>
                            <w:noWrap/>
                            <w:vAlign w:val="bottom"/>
                          </w:tcPr>
                          <w:p>
                            <w:pPr>
                              <w:rPr>
                                <w:rFonts w:eastAsia="Calibri"/>
                                <w:szCs w:val="22"/>
                                <w:lang w:eastAsia="lt-LT"/>
                              </w:rPr>
                            </w:pPr>
                            <w:r>
                              <w:rPr>
                                <w:rFonts w:eastAsia="Calibri"/>
                                <w:szCs w:val="22"/>
                                <w:lang w:eastAsia="lt-LT"/>
                              </w:rPr>
                              <w:t>Pakulos</w:t>
                            </w:r>
                          </w:p>
                        </w:tc>
                        <w:tc>
                          <w:tcPr>
                            <w:tcW w:w="1989" w:type="dxa"/>
                            <w:noWrap/>
                            <w:vAlign w:val="bottom"/>
                          </w:tcPr>
                          <w:p>
                            <w:pPr>
                              <w:jc w:val="center"/>
                              <w:rPr>
                                <w:rFonts w:eastAsia="Calibri"/>
                                <w:szCs w:val="22"/>
                                <w:lang w:eastAsia="lt-LT"/>
                              </w:rPr>
                            </w:pPr>
                            <w:r>
                              <w:rPr>
                                <w:rFonts w:eastAsia="Calibri"/>
                                <w:szCs w:val="22"/>
                                <w:lang w:eastAsia="lt-LT"/>
                              </w:rPr>
                              <w:t>0,074</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28.</w:t>
                            </w:r>
                          </w:p>
                        </w:tc>
                        <w:tc>
                          <w:tcPr>
                            <w:tcW w:w="6651" w:type="dxa"/>
                            <w:noWrap/>
                            <w:vAlign w:val="bottom"/>
                          </w:tcPr>
                          <w:p>
                            <w:pPr>
                              <w:rPr>
                                <w:rFonts w:eastAsia="Calibri"/>
                                <w:szCs w:val="22"/>
                                <w:lang w:eastAsia="lt-LT"/>
                              </w:rPr>
                            </w:pPr>
                            <w:r>
                              <w:rPr>
                                <w:rFonts w:eastAsia="Calibri"/>
                                <w:szCs w:val="22"/>
                                <w:lang w:eastAsia="lt-LT"/>
                              </w:rPr>
                              <w:t>Perlitas</w:t>
                            </w:r>
                          </w:p>
                        </w:tc>
                        <w:tc>
                          <w:tcPr>
                            <w:tcW w:w="1989" w:type="dxa"/>
                            <w:noWrap/>
                            <w:vAlign w:val="bottom"/>
                          </w:tcPr>
                          <w:p>
                            <w:pPr>
                              <w:jc w:val="center"/>
                              <w:rPr>
                                <w:rFonts w:eastAsia="Calibri"/>
                                <w:szCs w:val="22"/>
                                <w:lang w:eastAsia="lt-LT"/>
                              </w:rPr>
                            </w:pPr>
                            <w:r>
                              <w:rPr>
                                <w:rFonts w:eastAsia="Calibri"/>
                                <w:szCs w:val="22"/>
                                <w:lang w:eastAsia="lt-LT"/>
                              </w:rPr>
                              <w:t>0,17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29.</w:t>
                            </w:r>
                          </w:p>
                        </w:tc>
                        <w:tc>
                          <w:tcPr>
                            <w:tcW w:w="6651" w:type="dxa"/>
                            <w:noWrap/>
                            <w:vAlign w:val="bottom"/>
                          </w:tcPr>
                          <w:p>
                            <w:pPr>
                              <w:rPr>
                                <w:rFonts w:eastAsia="Calibri"/>
                                <w:szCs w:val="22"/>
                                <w:lang w:eastAsia="lt-LT"/>
                              </w:rPr>
                            </w:pPr>
                            <w:r>
                              <w:rPr>
                                <w:rFonts w:eastAsia="Calibri"/>
                                <w:szCs w:val="22"/>
                                <w:lang w:eastAsia="lt-LT"/>
                              </w:rPr>
                              <w:t>Perlito su bitumu gaminiai</w:t>
                            </w:r>
                          </w:p>
                        </w:tc>
                        <w:tc>
                          <w:tcPr>
                            <w:tcW w:w="1989" w:type="dxa"/>
                            <w:noWrap/>
                            <w:vAlign w:val="bottom"/>
                          </w:tcPr>
                          <w:p>
                            <w:pPr>
                              <w:jc w:val="center"/>
                              <w:rPr>
                                <w:rFonts w:eastAsia="Calibri"/>
                                <w:szCs w:val="22"/>
                                <w:lang w:eastAsia="lt-LT"/>
                              </w:rPr>
                            </w:pPr>
                            <w:r>
                              <w:rPr>
                                <w:rFonts w:eastAsia="Calibri"/>
                                <w:szCs w:val="22"/>
                                <w:lang w:eastAsia="lt-LT"/>
                              </w:rPr>
                              <w:t>0,13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30.</w:t>
                            </w:r>
                          </w:p>
                        </w:tc>
                        <w:tc>
                          <w:tcPr>
                            <w:tcW w:w="6651" w:type="dxa"/>
                            <w:noWrap/>
                            <w:vAlign w:val="bottom"/>
                          </w:tcPr>
                          <w:p>
                            <w:pPr>
                              <w:rPr>
                                <w:rFonts w:eastAsia="Calibri"/>
                                <w:szCs w:val="22"/>
                                <w:lang w:eastAsia="lt-LT"/>
                              </w:rPr>
                            </w:pPr>
                            <w:r>
                              <w:rPr>
                                <w:rFonts w:eastAsia="Calibri"/>
                                <w:szCs w:val="22"/>
                                <w:lang w:eastAsia="lt-LT"/>
                              </w:rPr>
                              <w:t>Pjuvenos maišuose</w:t>
                            </w:r>
                          </w:p>
                        </w:tc>
                        <w:tc>
                          <w:tcPr>
                            <w:tcW w:w="1989" w:type="dxa"/>
                            <w:noWrap/>
                            <w:vAlign w:val="bottom"/>
                          </w:tcPr>
                          <w:p>
                            <w:pPr>
                              <w:jc w:val="center"/>
                              <w:rPr>
                                <w:rFonts w:eastAsia="Calibri"/>
                                <w:szCs w:val="22"/>
                                <w:lang w:eastAsia="lt-LT"/>
                              </w:rPr>
                            </w:pPr>
                            <w:r>
                              <w:rPr>
                                <w:rFonts w:eastAsia="Calibri"/>
                                <w:szCs w:val="22"/>
                                <w:lang w:eastAsia="lt-LT"/>
                              </w:rPr>
                              <w:t>0,12</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31.</w:t>
                            </w:r>
                          </w:p>
                        </w:tc>
                        <w:tc>
                          <w:tcPr>
                            <w:tcW w:w="6651" w:type="dxa"/>
                            <w:noWrap/>
                            <w:vAlign w:val="bottom"/>
                          </w:tcPr>
                          <w:p>
                            <w:pPr>
                              <w:rPr>
                                <w:rFonts w:eastAsia="Calibri"/>
                                <w:szCs w:val="22"/>
                                <w:lang w:eastAsia="lt-LT"/>
                              </w:rPr>
                            </w:pPr>
                            <w:r>
                              <w:rPr>
                                <w:rFonts w:eastAsia="Calibri"/>
                                <w:szCs w:val="22"/>
                                <w:lang w:eastAsia="lt-LT"/>
                              </w:rPr>
                              <w:t>Polistireninio putplasčio „EPS“ granulės</w:t>
                            </w:r>
                          </w:p>
                        </w:tc>
                        <w:tc>
                          <w:tcPr>
                            <w:tcW w:w="1989" w:type="dxa"/>
                            <w:noWrap/>
                            <w:vAlign w:val="bottom"/>
                          </w:tcPr>
                          <w:p>
                            <w:pPr>
                              <w:jc w:val="center"/>
                              <w:rPr>
                                <w:rFonts w:eastAsia="Calibri"/>
                                <w:szCs w:val="22"/>
                                <w:lang w:eastAsia="lt-LT"/>
                              </w:rPr>
                            </w:pPr>
                            <w:r>
                              <w:rPr>
                                <w:rFonts w:eastAsia="Calibri"/>
                                <w:szCs w:val="22"/>
                                <w:lang w:eastAsia="lt-LT"/>
                              </w:rPr>
                              <w:t>0,055</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32.</w:t>
                            </w:r>
                          </w:p>
                        </w:tc>
                        <w:tc>
                          <w:tcPr>
                            <w:tcW w:w="6651" w:type="dxa"/>
                            <w:noWrap/>
                            <w:vAlign w:val="bottom"/>
                          </w:tcPr>
                          <w:p>
                            <w:pPr>
                              <w:rPr>
                                <w:rFonts w:eastAsia="Calibri"/>
                                <w:szCs w:val="22"/>
                                <w:lang w:eastAsia="lt-LT"/>
                              </w:rPr>
                            </w:pPr>
                            <w:r>
                              <w:rPr>
                                <w:rFonts w:eastAsia="Calibri"/>
                                <w:szCs w:val="22"/>
                                <w:lang w:eastAsia="lt-LT"/>
                              </w:rPr>
                              <w:t>Polistireninis putplastis „EPS“ nevėdinamoje atitvaroje</w:t>
                            </w:r>
                          </w:p>
                        </w:tc>
                        <w:tc>
                          <w:tcPr>
                            <w:tcW w:w="1989" w:type="dxa"/>
                            <w:noWrap/>
                            <w:vAlign w:val="bottom"/>
                          </w:tcPr>
                          <w:p>
                            <w:pPr>
                              <w:jc w:val="center"/>
                              <w:rPr>
                                <w:rFonts w:eastAsia="Calibri"/>
                                <w:szCs w:val="22"/>
                                <w:lang w:eastAsia="lt-LT"/>
                              </w:rPr>
                            </w:pPr>
                            <w:r>
                              <w:rPr>
                                <w:rFonts w:eastAsia="Calibri"/>
                                <w:szCs w:val="22"/>
                                <w:lang w:eastAsia="lt-LT"/>
                              </w:rPr>
                              <w:t>0,044</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33.</w:t>
                            </w:r>
                          </w:p>
                        </w:tc>
                        <w:tc>
                          <w:tcPr>
                            <w:tcW w:w="6651" w:type="dxa"/>
                            <w:noWrap/>
                            <w:vAlign w:val="bottom"/>
                          </w:tcPr>
                          <w:p>
                            <w:pPr>
                              <w:rPr>
                                <w:rFonts w:eastAsia="Calibri"/>
                                <w:szCs w:val="22"/>
                                <w:lang w:eastAsia="lt-LT"/>
                              </w:rPr>
                            </w:pPr>
                            <w:r>
                              <w:rPr>
                                <w:rFonts w:eastAsia="Calibri"/>
                                <w:szCs w:val="22"/>
                                <w:lang w:eastAsia="lt-LT"/>
                              </w:rPr>
                              <w:t>Polistireninis putplastis „EPS“ vėdinamoje atitvaroje</w:t>
                            </w:r>
                          </w:p>
                        </w:tc>
                        <w:tc>
                          <w:tcPr>
                            <w:tcW w:w="1989" w:type="dxa"/>
                            <w:noWrap/>
                            <w:vAlign w:val="bottom"/>
                          </w:tcPr>
                          <w:p>
                            <w:pPr>
                              <w:jc w:val="center"/>
                              <w:rPr>
                                <w:rFonts w:eastAsia="Calibri"/>
                                <w:szCs w:val="22"/>
                                <w:lang w:eastAsia="lt-LT"/>
                              </w:rPr>
                            </w:pPr>
                            <w:r>
                              <w:rPr>
                                <w:rFonts w:eastAsia="Calibri"/>
                                <w:szCs w:val="22"/>
                                <w:lang w:eastAsia="lt-LT"/>
                              </w:rPr>
                              <w:t>0,043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34.</w:t>
                            </w:r>
                          </w:p>
                        </w:tc>
                        <w:tc>
                          <w:tcPr>
                            <w:tcW w:w="6651" w:type="dxa"/>
                            <w:noWrap/>
                            <w:vAlign w:val="bottom"/>
                          </w:tcPr>
                          <w:p>
                            <w:pPr>
                              <w:rPr>
                                <w:rFonts w:eastAsia="Calibri"/>
                                <w:szCs w:val="22"/>
                                <w:lang w:eastAsia="lt-LT"/>
                              </w:rPr>
                            </w:pPr>
                            <w:r>
                              <w:rPr>
                                <w:rFonts w:eastAsia="Calibri"/>
                                <w:szCs w:val="22"/>
                                <w:lang w:eastAsia="lt-LT"/>
                              </w:rPr>
                              <w:t>Polistireninis putplastis „XPS“ nevėdinamoje atitvaroje</w:t>
                            </w:r>
                          </w:p>
                        </w:tc>
                        <w:tc>
                          <w:tcPr>
                            <w:tcW w:w="1989" w:type="dxa"/>
                            <w:noWrap/>
                            <w:vAlign w:val="bottom"/>
                          </w:tcPr>
                          <w:p>
                            <w:pPr>
                              <w:jc w:val="center"/>
                              <w:rPr>
                                <w:rFonts w:eastAsia="Calibri"/>
                                <w:szCs w:val="22"/>
                                <w:lang w:eastAsia="lt-LT"/>
                              </w:rPr>
                            </w:pPr>
                            <w:r>
                              <w:rPr>
                                <w:rFonts w:eastAsia="Calibri"/>
                                <w:szCs w:val="22"/>
                                <w:lang w:eastAsia="lt-LT"/>
                              </w:rPr>
                              <w:t>0,037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35.</w:t>
                            </w:r>
                          </w:p>
                        </w:tc>
                        <w:tc>
                          <w:tcPr>
                            <w:tcW w:w="6651" w:type="dxa"/>
                            <w:noWrap/>
                            <w:vAlign w:val="bottom"/>
                          </w:tcPr>
                          <w:p>
                            <w:pPr>
                              <w:rPr>
                                <w:rFonts w:eastAsia="Calibri"/>
                                <w:szCs w:val="22"/>
                                <w:lang w:eastAsia="lt-LT"/>
                              </w:rPr>
                            </w:pPr>
                            <w:r>
                              <w:rPr>
                                <w:rFonts w:eastAsia="Calibri"/>
                                <w:szCs w:val="22"/>
                                <w:lang w:eastAsia="lt-LT"/>
                              </w:rPr>
                              <w:t>Polistireninis putplastis „XPS“ vėdinamoje atitvaroje</w:t>
                            </w:r>
                          </w:p>
                        </w:tc>
                        <w:tc>
                          <w:tcPr>
                            <w:tcW w:w="1989" w:type="dxa"/>
                            <w:noWrap/>
                            <w:vAlign w:val="bottom"/>
                          </w:tcPr>
                          <w:p>
                            <w:pPr>
                              <w:jc w:val="center"/>
                              <w:rPr>
                                <w:rFonts w:eastAsia="Calibri"/>
                                <w:szCs w:val="22"/>
                                <w:lang w:eastAsia="lt-LT"/>
                              </w:rPr>
                            </w:pPr>
                            <w:r>
                              <w:rPr>
                                <w:rFonts w:eastAsia="Calibri"/>
                                <w:szCs w:val="22"/>
                                <w:lang w:eastAsia="lt-LT"/>
                              </w:rPr>
                              <w:t>0,036</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36.</w:t>
                            </w:r>
                          </w:p>
                        </w:tc>
                        <w:tc>
                          <w:tcPr>
                            <w:tcW w:w="6651" w:type="dxa"/>
                            <w:noWrap/>
                            <w:vAlign w:val="bottom"/>
                          </w:tcPr>
                          <w:p>
                            <w:pPr>
                              <w:rPr>
                                <w:rFonts w:eastAsia="Calibri"/>
                                <w:szCs w:val="22"/>
                                <w:lang w:eastAsia="lt-LT"/>
                              </w:rPr>
                            </w:pPr>
                            <w:r>
                              <w:rPr>
                                <w:rFonts w:eastAsia="Calibri"/>
                                <w:szCs w:val="22"/>
                                <w:lang w:eastAsia="lt-LT"/>
                              </w:rPr>
                              <w:t>Poliuretaninis putplastis „PUR“ ir „PIR“ nevėdinamoje atitvaroje</w:t>
                            </w:r>
                          </w:p>
                        </w:tc>
                        <w:tc>
                          <w:tcPr>
                            <w:tcW w:w="1989" w:type="dxa"/>
                            <w:noWrap/>
                            <w:vAlign w:val="bottom"/>
                          </w:tcPr>
                          <w:p>
                            <w:pPr>
                              <w:jc w:val="center"/>
                              <w:rPr>
                                <w:rFonts w:eastAsia="Calibri"/>
                                <w:szCs w:val="22"/>
                                <w:lang w:eastAsia="lt-LT"/>
                              </w:rPr>
                            </w:pPr>
                            <w:r>
                              <w:rPr>
                                <w:rFonts w:eastAsia="Calibri"/>
                                <w:szCs w:val="22"/>
                                <w:lang w:eastAsia="lt-LT"/>
                              </w:rPr>
                              <w:t>0,037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37.</w:t>
                            </w:r>
                          </w:p>
                        </w:tc>
                        <w:tc>
                          <w:tcPr>
                            <w:tcW w:w="6651" w:type="dxa"/>
                            <w:noWrap/>
                            <w:vAlign w:val="bottom"/>
                          </w:tcPr>
                          <w:p>
                            <w:pPr>
                              <w:rPr>
                                <w:rFonts w:eastAsia="Calibri"/>
                                <w:szCs w:val="22"/>
                                <w:lang w:eastAsia="lt-LT"/>
                              </w:rPr>
                            </w:pPr>
                            <w:r>
                              <w:rPr>
                                <w:rFonts w:eastAsia="Calibri"/>
                                <w:szCs w:val="22"/>
                                <w:lang w:eastAsia="lt-LT"/>
                              </w:rPr>
                              <w:t>Poliuretaninis putplastis „PUR“ ir „PIR“ vėdinamoje atitvaroje</w:t>
                            </w:r>
                          </w:p>
                        </w:tc>
                        <w:tc>
                          <w:tcPr>
                            <w:tcW w:w="1989" w:type="dxa"/>
                            <w:noWrap/>
                            <w:vAlign w:val="bottom"/>
                          </w:tcPr>
                          <w:p>
                            <w:pPr>
                              <w:jc w:val="center"/>
                              <w:rPr>
                                <w:rFonts w:eastAsia="Calibri"/>
                                <w:szCs w:val="22"/>
                                <w:lang w:eastAsia="lt-LT"/>
                              </w:rPr>
                            </w:pPr>
                            <w:r>
                              <w:rPr>
                                <w:rFonts w:eastAsia="Calibri"/>
                                <w:szCs w:val="22"/>
                                <w:lang w:eastAsia="lt-LT"/>
                              </w:rPr>
                              <w:t>0,036</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38.</w:t>
                            </w:r>
                          </w:p>
                        </w:tc>
                        <w:tc>
                          <w:tcPr>
                            <w:tcW w:w="6651" w:type="dxa"/>
                            <w:noWrap/>
                            <w:vAlign w:val="bottom"/>
                          </w:tcPr>
                          <w:p>
                            <w:pPr>
                              <w:rPr>
                                <w:rFonts w:eastAsia="Calibri"/>
                                <w:szCs w:val="22"/>
                                <w:lang w:eastAsia="lt-LT"/>
                              </w:rPr>
                            </w:pPr>
                            <w:r>
                              <w:rPr>
                                <w:rFonts w:eastAsia="Calibri"/>
                                <w:szCs w:val="22"/>
                                <w:lang w:eastAsia="lt-LT"/>
                              </w:rPr>
                              <w:t>Putstiklis nevėdinamoje atitvaroje</w:t>
                            </w:r>
                          </w:p>
                        </w:tc>
                        <w:tc>
                          <w:tcPr>
                            <w:tcW w:w="1989" w:type="dxa"/>
                            <w:noWrap/>
                            <w:vAlign w:val="bottom"/>
                          </w:tcPr>
                          <w:p>
                            <w:pPr>
                              <w:jc w:val="center"/>
                              <w:rPr>
                                <w:rFonts w:eastAsia="Calibri"/>
                                <w:szCs w:val="22"/>
                                <w:lang w:eastAsia="lt-LT"/>
                              </w:rPr>
                            </w:pPr>
                            <w:r>
                              <w:rPr>
                                <w:rFonts w:eastAsia="Calibri"/>
                                <w:szCs w:val="22"/>
                                <w:lang w:eastAsia="lt-LT"/>
                              </w:rPr>
                              <w:t>0,18</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39.</w:t>
                            </w:r>
                          </w:p>
                        </w:tc>
                        <w:tc>
                          <w:tcPr>
                            <w:tcW w:w="6651" w:type="dxa"/>
                            <w:noWrap/>
                            <w:vAlign w:val="bottom"/>
                          </w:tcPr>
                          <w:p>
                            <w:pPr>
                              <w:rPr>
                                <w:rFonts w:eastAsia="Calibri"/>
                                <w:szCs w:val="22"/>
                                <w:lang w:eastAsia="lt-LT"/>
                              </w:rPr>
                            </w:pPr>
                            <w:r>
                              <w:rPr>
                                <w:rFonts w:eastAsia="Calibri"/>
                                <w:szCs w:val="22"/>
                                <w:lang w:eastAsia="lt-LT"/>
                              </w:rPr>
                              <w:t>Putstiklis vėdinamoje atitvaroje</w:t>
                            </w:r>
                          </w:p>
                        </w:tc>
                        <w:tc>
                          <w:tcPr>
                            <w:tcW w:w="1989" w:type="dxa"/>
                            <w:noWrap/>
                            <w:vAlign w:val="bottom"/>
                          </w:tcPr>
                          <w:p>
                            <w:pPr>
                              <w:jc w:val="center"/>
                              <w:rPr>
                                <w:rFonts w:eastAsia="Calibri"/>
                                <w:szCs w:val="22"/>
                                <w:lang w:eastAsia="lt-LT"/>
                              </w:rPr>
                            </w:pPr>
                            <w:r>
                              <w:rPr>
                                <w:rFonts w:eastAsia="Calibri"/>
                                <w:szCs w:val="22"/>
                                <w:lang w:eastAsia="lt-LT"/>
                              </w:rPr>
                              <w:t>0,17</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40.</w:t>
                            </w:r>
                          </w:p>
                        </w:tc>
                        <w:tc>
                          <w:tcPr>
                            <w:tcW w:w="6651" w:type="dxa"/>
                            <w:noWrap/>
                            <w:vAlign w:val="bottom"/>
                          </w:tcPr>
                          <w:p>
                            <w:pPr>
                              <w:rPr>
                                <w:rFonts w:eastAsia="Calibri"/>
                                <w:szCs w:val="22"/>
                                <w:lang w:eastAsia="lt-LT"/>
                              </w:rPr>
                            </w:pPr>
                            <w:r>
                              <w:rPr>
                                <w:rFonts w:eastAsia="Calibri"/>
                                <w:szCs w:val="22"/>
                                <w:lang w:eastAsia="lt-LT"/>
                              </w:rPr>
                              <w:t>Spaliai</w:t>
                            </w:r>
                          </w:p>
                        </w:tc>
                        <w:tc>
                          <w:tcPr>
                            <w:tcW w:w="1989" w:type="dxa"/>
                            <w:noWrap/>
                            <w:vAlign w:val="bottom"/>
                          </w:tcPr>
                          <w:p>
                            <w:pPr>
                              <w:jc w:val="center"/>
                              <w:rPr>
                                <w:rFonts w:eastAsia="Calibri"/>
                                <w:szCs w:val="22"/>
                                <w:lang w:eastAsia="lt-LT"/>
                              </w:rPr>
                            </w:pPr>
                            <w:r>
                              <w:rPr>
                                <w:rFonts w:eastAsia="Calibri"/>
                                <w:szCs w:val="22"/>
                                <w:lang w:eastAsia="lt-LT"/>
                              </w:rPr>
                              <w:t>0,1</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41.</w:t>
                            </w:r>
                          </w:p>
                        </w:tc>
                        <w:tc>
                          <w:tcPr>
                            <w:tcW w:w="6651" w:type="dxa"/>
                            <w:noWrap/>
                            <w:vAlign w:val="bottom"/>
                          </w:tcPr>
                          <w:p>
                            <w:pPr>
                              <w:rPr>
                                <w:rFonts w:eastAsia="Calibri"/>
                                <w:szCs w:val="22"/>
                                <w:lang w:eastAsia="lt-LT"/>
                              </w:rPr>
                            </w:pPr>
                            <w:r>
                              <w:rPr>
                                <w:rFonts w:eastAsia="Calibri"/>
                                <w:szCs w:val="22"/>
                                <w:lang w:eastAsia="lt-LT"/>
                              </w:rPr>
                              <w:t>Susmulkintos durpės</w:t>
                            </w:r>
                          </w:p>
                        </w:tc>
                        <w:tc>
                          <w:tcPr>
                            <w:tcW w:w="1989" w:type="dxa"/>
                            <w:noWrap/>
                            <w:vAlign w:val="bottom"/>
                          </w:tcPr>
                          <w:p>
                            <w:pPr>
                              <w:jc w:val="center"/>
                              <w:rPr>
                                <w:rFonts w:eastAsia="Calibri"/>
                                <w:szCs w:val="22"/>
                                <w:lang w:eastAsia="lt-LT"/>
                              </w:rPr>
                            </w:pPr>
                            <w:r>
                              <w:rPr>
                                <w:rFonts w:eastAsia="Calibri"/>
                                <w:szCs w:val="22"/>
                                <w:lang w:eastAsia="lt-LT"/>
                              </w:rPr>
                              <w:t>0,13</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42.</w:t>
                            </w:r>
                          </w:p>
                        </w:tc>
                        <w:tc>
                          <w:tcPr>
                            <w:tcW w:w="6651" w:type="dxa"/>
                            <w:noWrap/>
                            <w:vAlign w:val="bottom"/>
                          </w:tcPr>
                          <w:p>
                            <w:pPr>
                              <w:jc w:val="both"/>
                              <w:rPr>
                                <w:rFonts w:eastAsia="Calibri"/>
                                <w:szCs w:val="22"/>
                                <w:lang w:eastAsia="lt-LT"/>
                              </w:rPr>
                            </w:pPr>
                            <w:r>
                              <w:rPr>
                                <w:rFonts w:eastAsia="Calibri"/>
                                <w:szCs w:val="22"/>
                                <w:lang w:eastAsia="lt-LT"/>
                              </w:rPr>
                              <w:t>Šiaudai</w:t>
                            </w:r>
                          </w:p>
                        </w:tc>
                        <w:tc>
                          <w:tcPr>
                            <w:tcW w:w="1989" w:type="dxa"/>
                            <w:noWrap/>
                            <w:vAlign w:val="bottom"/>
                          </w:tcPr>
                          <w:p>
                            <w:pPr>
                              <w:jc w:val="center"/>
                              <w:rPr>
                                <w:rFonts w:eastAsia="Calibri"/>
                                <w:szCs w:val="22"/>
                                <w:lang w:eastAsia="lt-LT"/>
                              </w:rPr>
                            </w:pPr>
                            <w:r>
                              <w:rPr>
                                <w:rFonts w:eastAsia="Calibri"/>
                                <w:szCs w:val="22"/>
                                <w:lang w:eastAsia="lt-LT"/>
                              </w:rPr>
                              <w:t>0,09</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43.</w:t>
                            </w:r>
                          </w:p>
                        </w:tc>
                        <w:tc>
                          <w:tcPr>
                            <w:tcW w:w="6651" w:type="dxa"/>
                            <w:noWrap/>
                            <w:vAlign w:val="bottom"/>
                          </w:tcPr>
                          <w:p>
                            <w:pPr>
                              <w:jc w:val="both"/>
                              <w:rPr>
                                <w:rFonts w:eastAsia="Calibri"/>
                                <w:szCs w:val="22"/>
                                <w:lang w:eastAsia="lt-LT"/>
                              </w:rPr>
                            </w:pPr>
                            <w:r>
                              <w:rPr>
                                <w:rFonts w:eastAsia="Calibri"/>
                                <w:szCs w:val="22"/>
                                <w:lang w:eastAsia="lt-LT"/>
                              </w:rPr>
                              <w:t>Šiaudai su moliu</w:t>
                            </w:r>
                          </w:p>
                        </w:tc>
                        <w:tc>
                          <w:tcPr>
                            <w:tcW w:w="1989" w:type="dxa"/>
                            <w:noWrap/>
                            <w:vAlign w:val="bottom"/>
                          </w:tcPr>
                          <w:p>
                            <w:pPr>
                              <w:jc w:val="center"/>
                              <w:rPr>
                                <w:rFonts w:eastAsia="Calibri"/>
                                <w:szCs w:val="22"/>
                                <w:lang w:eastAsia="lt-LT"/>
                              </w:rPr>
                            </w:pPr>
                            <w:r>
                              <w:rPr>
                                <w:rFonts w:eastAsia="Calibri"/>
                                <w:szCs w:val="22"/>
                                <w:lang w:eastAsia="lt-LT"/>
                              </w:rPr>
                              <w:t>0,4</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44.</w:t>
                            </w:r>
                          </w:p>
                        </w:tc>
                        <w:tc>
                          <w:tcPr>
                            <w:tcW w:w="6651" w:type="dxa"/>
                            <w:noWrap/>
                            <w:vAlign w:val="bottom"/>
                          </w:tcPr>
                          <w:p>
                            <w:pPr>
                              <w:jc w:val="both"/>
                              <w:rPr>
                                <w:rFonts w:eastAsia="Calibri"/>
                                <w:szCs w:val="22"/>
                                <w:lang w:eastAsia="lt-LT"/>
                              </w:rPr>
                            </w:pPr>
                            <w:r>
                              <w:rPr>
                                <w:rFonts w:eastAsia="Calibri"/>
                                <w:szCs w:val="22"/>
                                <w:lang w:eastAsia="lt-LT"/>
                              </w:rPr>
                              <w:t>Šlako skalda</w:t>
                            </w:r>
                          </w:p>
                        </w:tc>
                        <w:tc>
                          <w:tcPr>
                            <w:tcW w:w="1989" w:type="dxa"/>
                            <w:noWrap/>
                            <w:vAlign w:val="bottom"/>
                          </w:tcPr>
                          <w:p>
                            <w:pPr>
                              <w:jc w:val="center"/>
                              <w:rPr>
                                <w:rFonts w:eastAsia="Calibri"/>
                                <w:szCs w:val="22"/>
                                <w:lang w:eastAsia="lt-LT"/>
                              </w:rPr>
                            </w:pPr>
                            <w:r>
                              <w:rPr>
                                <w:rFonts w:eastAsia="Calibri"/>
                                <w:szCs w:val="22"/>
                                <w:lang w:eastAsia="lt-LT"/>
                              </w:rPr>
                              <w:t>0,21</w:t>
                            </w:r>
                          </w:p>
                        </w:tc>
                      </w:tr>
                      <w:tr>
                        <w:trPr>
                          <w:trHeight w:val="255"/>
                        </w:trPr>
                        <w:tc>
                          <w:tcPr>
                            <w:tcW w:w="735" w:type="dxa"/>
                            <w:noWrap/>
                            <w:vAlign w:val="bottom"/>
                          </w:tcPr>
                          <w:p>
                            <w:pPr>
                              <w:tabs>
                                <w:tab w:val="left" w:pos="720"/>
                              </w:tabs>
                              <w:ind w:left="527" w:hanging="357"/>
                              <w:jc w:val="center"/>
                              <w:rPr>
                                <w:rFonts w:eastAsia="Calibri"/>
                                <w:szCs w:val="22"/>
                                <w:lang w:eastAsia="lt-LT"/>
                              </w:rPr>
                            </w:pPr>
                            <w:r>
                              <w:rPr>
                                <w:rFonts w:eastAsia="Calibri"/>
                                <w:szCs w:val="22"/>
                                <w:lang w:eastAsia="lt-LT"/>
                              </w:rPr>
                              <w:t>45.</w:t>
                            </w:r>
                          </w:p>
                        </w:tc>
                        <w:tc>
                          <w:tcPr>
                            <w:tcW w:w="6651" w:type="dxa"/>
                            <w:noWrap/>
                            <w:vAlign w:val="bottom"/>
                          </w:tcPr>
                          <w:p>
                            <w:pPr>
                              <w:jc w:val="both"/>
                              <w:rPr>
                                <w:rFonts w:eastAsia="Calibri"/>
                                <w:szCs w:val="22"/>
                                <w:lang w:eastAsia="lt-LT"/>
                              </w:rPr>
                            </w:pPr>
                            <w:r>
                              <w:rPr>
                                <w:rFonts w:eastAsia="Calibri"/>
                                <w:szCs w:val="22"/>
                                <w:lang w:eastAsia="lt-LT"/>
                              </w:rPr>
                              <w:t>Vermikulitas</w:t>
                            </w:r>
                          </w:p>
                        </w:tc>
                        <w:tc>
                          <w:tcPr>
                            <w:tcW w:w="1989" w:type="dxa"/>
                            <w:noWrap/>
                            <w:vAlign w:val="bottom"/>
                          </w:tcPr>
                          <w:p>
                            <w:pPr>
                              <w:jc w:val="center"/>
                              <w:rPr>
                                <w:rFonts w:eastAsia="Calibri"/>
                                <w:szCs w:val="22"/>
                                <w:lang w:eastAsia="lt-LT"/>
                              </w:rPr>
                            </w:pPr>
                            <w:r>
                              <w:rPr>
                                <w:rFonts w:eastAsia="Calibri"/>
                                <w:szCs w:val="22"/>
                                <w:lang w:eastAsia="lt-LT"/>
                              </w:rPr>
                              <w:t>0,11</w:t>
                            </w:r>
                          </w:p>
                        </w:tc>
                      </w:tr>
                      <w:tr>
                        <w:trPr>
                          <w:trHeight w:val="255"/>
                        </w:trPr>
                        <w:tc>
                          <w:tcPr>
                            <w:tcW w:w="735" w:type="dxa"/>
                            <w:noWrap/>
                          </w:tcPr>
                          <w:p>
                            <w:pPr>
                              <w:tabs>
                                <w:tab w:val="left" w:pos="567"/>
                                <w:tab w:val="left" w:pos="720"/>
                              </w:tabs>
                              <w:suppressAutoHyphens/>
                              <w:ind w:left="527" w:hanging="357"/>
                              <w:jc w:val="center"/>
                              <w:rPr>
                                <w:rFonts w:eastAsia="Calibri"/>
                                <w:szCs w:val="22"/>
                                <w:lang w:eastAsia="lt-LT"/>
                              </w:rPr>
                            </w:pPr>
                            <w:r>
                              <w:rPr>
                                <w:rFonts w:eastAsia="Calibri"/>
                                <w:szCs w:val="22"/>
                                <w:lang w:eastAsia="lt-LT"/>
                              </w:rPr>
                              <w:t>46.</w:t>
                            </w:r>
                          </w:p>
                        </w:tc>
                        <w:tc>
                          <w:tcPr>
                            <w:tcW w:w="6651" w:type="dxa"/>
                            <w:noWrap/>
                          </w:tcPr>
                          <w:p>
                            <w:pPr>
                              <w:tabs>
                                <w:tab w:val="left" w:pos="567"/>
                              </w:tabs>
                              <w:suppressAutoHyphens/>
                              <w:jc w:val="both"/>
                              <w:rPr>
                                <w:rFonts w:eastAsia="Calibri"/>
                                <w:szCs w:val="22"/>
                                <w:lang w:eastAsia="lt-LT"/>
                              </w:rPr>
                            </w:pPr>
                            <w:r>
                              <w:rPr>
                                <w:szCs w:val="24"/>
                                <w:lang w:eastAsia="lt-LT"/>
                              </w:rPr>
                              <w:t xml:space="preserve">Neorganinio aerogelio termoizoliaciniai produktai </w:t>
                            </w:r>
                            <w:r>
                              <w:rPr>
                                <w:rFonts w:eastAsia="Calibri"/>
                                <w:szCs w:val="22"/>
                                <w:lang w:eastAsia="lt-LT"/>
                              </w:rPr>
                              <w:t>vėdinamoje atitvaroje</w:t>
                            </w:r>
                          </w:p>
                        </w:tc>
                        <w:tc>
                          <w:tcPr>
                            <w:tcW w:w="1989" w:type="dxa"/>
                            <w:noWrap/>
                          </w:tcPr>
                          <w:p>
                            <w:pPr>
                              <w:tabs>
                                <w:tab w:val="left" w:pos="567"/>
                              </w:tabs>
                              <w:suppressAutoHyphens/>
                              <w:jc w:val="center"/>
                              <w:rPr>
                                <w:rFonts w:eastAsia="Calibri"/>
                                <w:szCs w:val="22"/>
                                <w:lang w:eastAsia="lt-LT"/>
                              </w:rPr>
                            </w:pPr>
                            <w:r>
                              <w:rPr>
                                <w:rFonts w:eastAsia="Calibri"/>
                                <w:szCs w:val="22"/>
                                <w:lang w:eastAsia="lt-LT"/>
                              </w:rPr>
                              <w:t>0,025</w:t>
                            </w:r>
                          </w:p>
                        </w:tc>
                      </w:tr>
                      <w:tr>
                        <w:trPr>
                          <w:trHeight w:val="255"/>
                        </w:trPr>
                        <w:tc>
                          <w:tcPr>
                            <w:tcW w:w="735" w:type="dxa"/>
                            <w:noWrap/>
                          </w:tcPr>
                          <w:p>
                            <w:pPr>
                              <w:tabs>
                                <w:tab w:val="left" w:pos="567"/>
                                <w:tab w:val="left" w:pos="720"/>
                              </w:tabs>
                              <w:suppressAutoHyphens/>
                              <w:ind w:left="527" w:hanging="357"/>
                              <w:jc w:val="center"/>
                              <w:rPr>
                                <w:rFonts w:eastAsia="Calibri"/>
                                <w:szCs w:val="22"/>
                                <w:lang w:eastAsia="lt-LT"/>
                              </w:rPr>
                            </w:pPr>
                            <w:r>
                              <w:rPr>
                                <w:rFonts w:eastAsia="Calibri"/>
                                <w:szCs w:val="22"/>
                                <w:lang w:eastAsia="lt-LT"/>
                              </w:rPr>
                              <w:t>47.</w:t>
                            </w:r>
                          </w:p>
                        </w:tc>
                        <w:tc>
                          <w:tcPr>
                            <w:tcW w:w="6651" w:type="dxa"/>
                            <w:noWrap/>
                          </w:tcPr>
                          <w:p>
                            <w:pPr>
                              <w:tabs>
                                <w:tab w:val="left" w:pos="567"/>
                              </w:tabs>
                              <w:suppressAutoHyphens/>
                              <w:jc w:val="both"/>
                              <w:rPr>
                                <w:rFonts w:eastAsia="Calibri"/>
                                <w:szCs w:val="22"/>
                                <w:lang w:eastAsia="lt-LT"/>
                              </w:rPr>
                            </w:pPr>
                            <w:r>
                              <w:rPr>
                                <w:szCs w:val="24"/>
                                <w:lang w:eastAsia="lt-LT"/>
                              </w:rPr>
                              <w:t>Neorganinio aerogelio termoizoliaciniai produktai ne</w:t>
                            </w:r>
                            <w:r>
                              <w:rPr>
                                <w:rFonts w:eastAsia="Calibri"/>
                                <w:szCs w:val="22"/>
                                <w:lang w:eastAsia="lt-LT"/>
                              </w:rPr>
                              <w:t>vėdinamoje atitvaroje</w:t>
                            </w:r>
                          </w:p>
                        </w:tc>
                        <w:tc>
                          <w:tcPr>
                            <w:tcW w:w="1989" w:type="dxa"/>
                            <w:noWrap/>
                          </w:tcPr>
                          <w:p>
                            <w:pPr>
                              <w:tabs>
                                <w:tab w:val="left" w:pos="567"/>
                              </w:tabs>
                              <w:suppressAutoHyphens/>
                              <w:jc w:val="center"/>
                              <w:rPr>
                                <w:rFonts w:eastAsia="Calibri"/>
                                <w:szCs w:val="22"/>
                                <w:lang w:eastAsia="lt-LT"/>
                              </w:rPr>
                            </w:pPr>
                            <w:r>
                              <w:rPr>
                                <w:rFonts w:eastAsia="Calibri"/>
                                <w:szCs w:val="22"/>
                                <w:lang w:eastAsia="lt-LT"/>
                              </w:rPr>
                              <w:t>0,026</w:t>
                            </w:r>
                          </w:p>
                        </w:tc>
                      </w:tr>
                    </w:tbl>
                    <w:p>
                      <w:pPr>
                        <w:ind w:firstLine="570"/>
                        <w:jc w:val="both"/>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6264d09d3311e79127a823199cc174">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2017-09-18,
paskelbta TAR 2017-09-19, i. k. 2017-14813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sdtContent>
                </w:sdt>
              </w:sdtContent>
            </w:sdt>
          </w:sdtContent>
        </w:sdt>
        <w:sdt>
          <w:sdtPr>
            <w:alias w:val="3 pr. 5 p."/>
            <w:tag w:val="part_aca5fb3fb01a44bfb6e0b13d0ba1b6ff"/>
            <w:lock w:val="sdtLocked"/>
            <w:richText/>
          </w:sdtPr>
          <w:sdtContent>
            <w:p>
              <w:pPr>
                <w:ind w:firstLine="567"/>
                <w:jc w:val="both"/>
              </w:pPr>
              <w:sdt>
                <w:sdtPr>
                  <w:alias w:val="Numeris"/>
                  <w:tag w:val="nr_aca5fb3fb01a44bfb6e0b13d0ba1b6ff"/>
                  <w:lock w:val="sdtLocked"/>
                  <w:richText/>
                </w:sdtPr>
                <w:sdtContent>
                  <w:r>
                    <w:t>5</w:t>
                  </w:r>
                </w:sdtContent>
              </w:sdt>
              <w:r>
                <w:t xml:space="preserve">. Pastato energinio naudingumo skaičiavimuose, kai yra 3.8 lentelėje išvardintų medžiagų ir gaminių tankio </w:t>
              </w:r>
              <w:r>
                <w:rPr>
                  <w:bCs/>
                  <w:i/>
                  <w:iCs/>
                </w:rPr>
                <w:sym w:font="Symbol" w:char="F072"/>
              </w:r>
              <w:r>
                <w:rPr>
                  <w:bCs/>
                </w:rPr>
                <w:t xml:space="preserve"> (kg/m</w:t>
              </w:r>
              <w:r>
                <w:rPr>
                  <w:bCs/>
                  <w:vertAlign w:val="superscript"/>
                </w:rPr>
                <w:t>3</w:t>
              </w:r>
              <w:r>
                <w:t xml:space="preserve">) vertes patvirtinantys dokumentai, gali būti naudojamos 3.8 lentelėje nurodytos projektinės šilumos laidumo koeficientų </w:t>
              </w:r>
              <w:r>
                <w:rPr>
                  <w:i/>
                  <w:iCs/>
                </w:rPr>
                <w:sym w:font="Symbol" w:char="F06C"/>
              </w:r>
              <w:r>
                <w:rPr>
                  <w:i/>
                  <w:vertAlign w:val="subscript"/>
                </w:rPr>
                <w:t>ds</w:t>
              </w:r>
              <w:r>
                <w:t xml:space="preserve"> (W/(m·K)) vertės. Jei yra 3.8 lentelėje išvardintų medžiagų ir gaminių projektines šilumos laidumo koeficientų vertes </w:t>
              </w:r>
              <w:r>
                <w:rPr>
                  <w:i/>
                  <w:iCs/>
                </w:rPr>
                <w:sym w:font="Symbol" w:char="F06C"/>
              </w:r>
              <w:r>
                <w:rPr>
                  <w:i/>
                  <w:vertAlign w:val="subscript"/>
                </w:rPr>
                <w:t>ds</w:t>
              </w:r>
              <w:r>
                <w:t xml:space="preserve"> (W/(m·K)) patvirtinantys dokumentai, skaičiavimams naudojamos šiuose dokumentuose nurodytos projektinės šilumos laidumo koeficientų vertės.</w:t>
              </w:r>
            </w:p>
            <w:p>
              <w:pPr>
                <w:jc w:val="center"/>
                <w:rPr>
                  <w:b/>
                </w:rPr>
              </w:pPr>
            </w:p>
            <w:sdt>
              <w:sdtPr>
                <w:alias w:val="skirsnis"/>
                <w:tag w:val="part_88e3deea0aa445d0ad18b94b16c0b35b"/>
                <w:lock w:val="sdtLocked"/>
                <w:richText/>
              </w:sdtPr>
              <w:sdtContent>
                <w:p>
                  <w:pPr>
                    <w:jc w:val="center"/>
                    <w:rPr>
                      <w:b/>
                    </w:rPr>
                  </w:pPr>
                  <w:sdt>
                    <w:sdtPr>
                      <w:alias w:val="Pavadinimas"/>
                      <w:tag w:val="title_88e3deea0aa445d0ad18b94b16c0b35b"/>
                      <w:lock w:val="sdtLocked"/>
                      <w:richText/>
                    </w:sdtPr>
                    <w:sdtContent>
                      <w:r>
                        <w:rPr>
                          <w:b/>
                        </w:rPr>
                        <w:t xml:space="preserve">Statybos produktų, projektinės šilumos laidumo koeficientų vertės, kai žinoma šių produktų tankio </w:t>
                      </w:r>
                      <w:r>
                        <w:rPr>
                          <w:b/>
                          <w:bCs/>
                          <w:i/>
                          <w:iCs/>
                          <w:sz w:val="22"/>
                        </w:rPr>
                        <w:sym w:font="Symbol" w:char="F072"/>
                      </w:r>
                      <w:r>
                        <w:rPr>
                          <w:b/>
                          <w:bCs/>
                          <w:sz w:val="22"/>
                        </w:rPr>
                        <w:t xml:space="preserve"> (kg/m³) </w:t>
                      </w:r>
                      <w:r>
                        <w:rPr>
                          <w:b/>
                        </w:rPr>
                        <w:t>vertė</w:t>
                      </w:r>
                    </w:sdtContent>
                  </w:sdt>
                </w:p>
                <w:sdt>
                  <w:sdtPr>
                    <w:alias w:val="lentele"/>
                    <w:tag w:val="part_69bab6d97e7f42e5a54445222d03dedb"/>
                    <w:lock w:val="sdtLocked"/>
                    <w:richText/>
                  </w:sdtPr>
                  <w:sdtContent>
                    <w:p>
                      <w:pPr>
                        <w:ind w:firstLine="720"/>
                        <w:jc w:val="right"/>
                      </w:pPr>
                      <w:sdt>
                        <w:sdtPr>
                          <w:alias w:val="Numeris"/>
                          <w:tag w:val="nr_69bab6d97e7f42e5a54445222d03dedb"/>
                          <w:lock w:val="sdtLocked"/>
                          <w:richText/>
                        </w:sdtPr>
                        <w:sdtContent>
                          <w:r>
                            <w:t>3.8</w:t>
                          </w:r>
                        </w:sdtContent>
                      </w:sdt>
                      <w:r>
                        <w:t xml:space="preserve"> lentelė</w:t>
                      </w:r>
                    </w:p>
                    <w:tbl>
                      <w:tblPr>
                        <w:tblW w:w="976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5261"/>
                        <w:gridCol w:w="1048"/>
                        <w:gridCol w:w="2744"/>
                      </w:tblGrid>
                      <w:tr>
                        <w:trPr>
                          <w:trHeight w:val="255"/>
                        </w:trPr>
                        <w:tc>
                          <w:tcPr>
                            <w:tcW w:w="70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lang w:eastAsia="lt-LT"/>
                              </w:rPr>
                            </w:pPr>
                            <w:r>
                              <w:t>Eil. Nr.</w:t>
                            </w:r>
                          </w:p>
                        </w:tc>
                        <w:tc>
                          <w:tcPr>
                            <w:tcW w:w="526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lang w:eastAsia="lt-LT"/>
                              </w:rPr>
                            </w:pPr>
                            <w:r>
                              <w:t>Statybos produkto pavadinimas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b/>
                                <w:bCs/>
                              </w:rPr>
                            </w:pPr>
                            <w:r>
                              <w:rPr>
                                <w:b/>
                                <w:bCs/>
                                <w:sz w:val="22"/>
                              </w:rPr>
                              <w:t>Tankio vertė,</w:t>
                            </w:r>
                          </w:p>
                          <w:p>
                            <w:pPr>
                              <w:spacing w:line="276" w:lineRule="auto"/>
                              <w:jc w:val="center"/>
                              <w:rPr>
                                <w:rFonts w:eastAsia="Calibri"/>
                                <w:szCs w:val="22"/>
                              </w:rPr>
                            </w:pPr>
                            <w:r>
                              <w:rPr>
                                <w:b/>
                                <w:bCs/>
                                <w:i/>
                                <w:iCs/>
                                <w:sz w:val="22"/>
                              </w:rPr>
                              <w:sym w:font="Symbol" w:char="F072"/>
                            </w:r>
                            <w:r>
                              <w:rPr>
                                <w:b/>
                                <w:bCs/>
                                <w:sz w:val="22"/>
                              </w:rPr>
                              <w:t xml:space="preserve"> (kg/m³)</w:t>
                            </w:r>
                          </w:p>
                        </w:tc>
                        <w:tc>
                          <w:tcPr>
                            <w:tcW w:w="27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Projektinė šilumos laidumo koeficiento vertė,</w:t>
                            </w:r>
                          </w:p>
                          <w:p>
                            <w:pPr>
                              <w:spacing w:line="276" w:lineRule="auto"/>
                              <w:jc w:val="center"/>
                              <w:rPr>
                                <w:rFonts w:eastAsia="Calibri"/>
                                <w:szCs w:val="22"/>
                                <w:lang w:eastAsia="lt-LT"/>
                              </w:rPr>
                            </w:pPr>
                            <w:r>
                              <w:rPr>
                                <w:i/>
                                <w:iCs/>
                              </w:rPr>
                              <w:sym w:font="Symbol" w:char="F06C"/>
                            </w:r>
                            <w:r>
                              <w:rPr>
                                <w:i/>
                                <w:vertAlign w:val="subscript"/>
                              </w:rPr>
                              <w:t>ds</w:t>
                            </w:r>
                            <w:r>
                              <w:t>, W/(m∙K)</w:t>
                            </w:r>
                          </w:p>
                        </w:tc>
                      </w:tr>
                      <w:tr>
                        <w:trPr>
                          <w:trHeight w:val="255"/>
                        </w:trPr>
                        <w:tc>
                          <w:tcPr>
                            <w:tcW w:w="9761" w:type="dxa"/>
                            <w:gridSpan w:val="4"/>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lang w:eastAsia="lt-LT"/>
                              </w:rPr>
                            </w:pPr>
                            <w:r>
                              <w:rPr>
                                <w:b/>
                              </w:rPr>
                              <w:t>Statybos produktai, naudojami konstrukciniams ir apdailiniams atitvarų sluoksniams</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Betonas</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1,15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1,35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2200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1,65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2400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2,00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w:t>
                              <w:tab/>
                            </w:r>
                          </w:p>
                        </w:tc>
                        <w:tc>
                          <w:tcPr>
                            <w:tcW w:w="5261" w:type="dxa"/>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 xml:space="preserve">Betonas armuotas </w:t>
                            </w:r>
                            <w:r>
                              <w:t>(su 1 % plieno)</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2300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w:t>
                              <w:tab/>
                            </w:r>
                          </w:p>
                        </w:tc>
                        <w:tc>
                          <w:tcPr>
                            <w:tcW w:w="5261" w:type="dxa"/>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Betonas armuotas (</w:t>
                            </w:r>
                            <w:r>
                              <w:t>su 2 % plieno)</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2400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7.</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Gipso lakštai (sausas tinkas)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0,21</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8.</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900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9.</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Gipso blokeliai ir kiti gaminiai</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10.</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900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0,30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11.</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0,43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1500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0,56</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13.</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 xml:space="preserve">Keramzitbetonis </w:t>
                            </w:r>
                            <w:r>
                              <w:t>su keramzito smėliu ir putų keramzitbetonis</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0,24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0,28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16.</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1200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18.</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19.</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1600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20.</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0,9</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21.</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t>Keramzitbetonis su perlito smėliu</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0,36</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0,42</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23.</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t>Mediena</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450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0,12</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26.</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Medienos fanera</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300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0,09</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500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28.</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29.</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30.</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Medienos pjuvenų plokštės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300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31.</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900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33.</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300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34.</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Medienos plaušo plokštės MPP ir MDF</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250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0,07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400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36.</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38.</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Mūras, pilnavidurių keraminių plytų</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39.</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1800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40.</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 xml:space="preserve">Mūras, pilnavidurių keramzitbetonio blokelių </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1260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0,6</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41.</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1800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1,2</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42.</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 xml:space="preserve">Mūras, skylėtųjų keraminių plytų </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43.</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0,6</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45.</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 xml:space="preserve">Mūras, tuščiavidurių keraminių blokelių </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750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46.</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0,33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48.</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0,47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49.</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Mūras, tuščiavidurių keramzitbetonio blokelių</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50.</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1700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51.</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Perlitbetonis</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0,24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0,34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53.</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0,39</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54.</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Pjuvenų betonas</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0,4</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56.</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Tinkai ir (arba) skiediniai (gipso–smėlio)</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0,58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0,80</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58.</w:t>
                              <w:tab/>
                            </w:r>
                          </w:p>
                        </w:tc>
                        <w:tc>
                          <w:tcPr>
                            <w:tcW w:w="5261" w:type="dxa"/>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lang w:eastAsia="lt-LT"/>
                              </w:rPr>
                              <w:t>Tinkai ir (arba) skiediniai (termoizoliaciniai gipso)</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9761" w:type="dxa"/>
                            <w:gridSpan w:val="4"/>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lang w:eastAsia="lt-LT"/>
                              </w:rPr>
                            </w:pPr>
                            <w:r>
                              <w:rPr>
                                <w:b/>
                              </w:rPr>
                              <w:t>Statybos produktai, naudojami termoizoliaciniams atitvarų sluoksniams</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59.</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t>Akytasis betonas (stambios plokštės)</w:t>
                            </w: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0,1</w:t>
                            </w:r>
                            <w:r>
                              <w:rPr>
                                <w:vertAlign w:val="superscript"/>
                              </w:rPr>
                              <w:t xml:space="preserve"> </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60.</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0,13</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61.</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0,2</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0,29</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63.</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t>Keramzito žvyras ir smėlis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300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0,165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400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66.</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0,26</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67.</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800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0,31</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68.</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spacing w:val="-12"/>
                              </w:rPr>
                              <w:t>Perlitas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0,15</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69.</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400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0,17</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70.</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600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0,21</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71.</w:t>
                              <w:tab/>
                            </w:r>
                          </w:p>
                        </w:tc>
                        <w:tc>
                          <w:tcPr>
                            <w:tcW w:w="5261"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spacing w:val="-8"/>
                              </w:rPr>
                              <w:t>Vermikulitas</w:t>
                            </w: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0,08</w:t>
                            </w:r>
                          </w:p>
                        </w:tc>
                      </w:tr>
                      <w:tr>
                        <w:trPr>
                          <w:trHeight w:val="255"/>
                        </w:trPr>
                        <w:tc>
                          <w:tcPr>
                            <w:tcW w:w="708" w:type="dxa"/>
                            <w:tcBorders>
                              <w:top w:val="single" w:sz="4" w:space="0" w:color="auto"/>
                              <w:left w:val="single" w:sz="4" w:space="0" w:color="auto"/>
                              <w:bottom w:val="single" w:sz="4" w:space="0" w:color="auto"/>
                              <w:right w:val="single" w:sz="4" w:space="0" w:color="auto"/>
                            </w:tcBorders>
                            <w:noWrap/>
                          </w:tcPr>
                          <w:p>
                            <w:pPr>
                              <w:tabs>
                                <w:tab w:val="left" w:pos="720"/>
                              </w:tabs>
                              <w:spacing w:line="276" w:lineRule="auto"/>
                              <w:ind w:left="414" w:hanging="357"/>
                              <w:jc w:val="center"/>
                              <w:rPr>
                                <w:rFonts w:eastAsia="Calibri"/>
                                <w:szCs w:val="22"/>
                                <w:lang w:eastAsia="lt-LT"/>
                              </w:rPr>
                            </w:pPr>
                            <w:r>
                              <w:rPr>
                                <w:rFonts w:eastAsia="Calibri"/>
                                <w:szCs w:val="22"/>
                                <w:lang w:eastAsia="lt-LT"/>
                              </w:rPr>
                              <w:t>72.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lang w:eastAsia="lt-LT"/>
                              </w:rPr>
                            </w:pPr>
                          </w:p>
                        </w:tc>
                        <w:tc>
                          <w:tcPr>
                            <w:tcW w:w="104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200</w:t>
                            </w:r>
                          </w:p>
                        </w:tc>
                        <w:tc>
                          <w:tcPr>
                            <w:tcW w:w="2744" w:type="dxa"/>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0,11</w:t>
                            </w:r>
                          </w:p>
                        </w:tc>
                      </w:tr>
                      <w:tr>
                        <w:trPr>
                          <w:trHeight w:val="255"/>
                        </w:trPr>
                        <w:tc>
                          <w:tcPr>
                            <w:tcW w:w="9761" w:type="dxa"/>
                            <w:gridSpan w:val="4"/>
                            <w:tcBorders>
                              <w:top w:val="single" w:sz="4" w:space="0" w:color="auto"/>
                              <w:left w:val="single" w:sz="4" w:space="0" w:color="auto"/>
                              <w:bottom w:val="single" w:sz="4" w:space="0" w:color="auto"/>
                              <w:right w:val="single" w:sz="4" w:space="0" w:color="auto"/>
                            </w:tcBorders>
                            <w:noWrap/>
                            <w:hideMark/>
                          </w:tcPr>
                          <w:p>
                            <w:pPr>
                              <w:spacing w:line="276" w:lineRule="auto"/>
                              <w:jc w:val="both"/>
                              <w:rPr>
                                <w:rFonts w:eastAsia="Calibri"/>
                                <w:szCs w:val="22"/>
                                <w:lang w:eastAsia="lt-LT"/>
                              </w:rPr>
                            </w:pPr>
                            <w:r>
                              <w:rPr>
                                <w:bCs/>
                              </w:rPr>
                              <w:t>PASTABA:</w:t>
                            </w:r>
                            <w:r>
                              <w:rPr>
                                <w:spacing w:val="-8"/>
                              </w:rPr>
                              <w:t xml:space="preserve"> lentelėje nurodytos projektinės šilumos laidumo koeficientų vertės taikomos statybos produktams, patalpintiems vėdinamose arba nevėdinamose atitvarose.</w:t>
                            </w:r>
                          </w:p>
                        </w:tc>
                      </w:tr>
                    </w:tbl>
                    <w:p>
                      <w:pPr>
                        <w:ind w:firstLine="600"/>
                        <w:rPr>
                          <w:rFonts w:eastAsia="Calibri"/>
                          <w:szCs w:val="22"/>
                        </w:rPr>
                      </w:pPr>
                    </w:p>
                  </w:sdtContent>
                </w:sdt>
              </w:sdtContent>
            </w:sdt>
          </w:sdtContent>
        </w:sdt>
        <w:sdt>
          <w:sdtPr>
            <w:alias w:val="3 pr. 6 p."/>
            <w:tag w:val="part_e1f62ba5b91840e5952b38ba4c5373df"/>
            <w:lock w:val="sdtLocked"/>
            <w:richText/>
          </w:sdtPr>
          <w:sdtContent>
            <w:p>
              <w:pPr>
                <w:ind w:firstLine="600"/>
                <w:jc w:val="both"/>
              </w:pPr>
              <w:sdt>
                <w:sdtPr>
                  <w:alias w:val="Numeris"/>
                  <w:tag w:val="nr_e1f62ba5b91840e5952b38ba4c5373df"/>
                  <w:lock w:val="sdtLocked"/>
                  <w:richText/>
                </w:sdtPr>
                <w:sdtContent>
                  <w:r>
                    <w:t>6</w:t>
                  </w:r>
                </w:sdtContent>
              </w:sdt>
              <w:r>
                <w:t xml:space="preserve">. Jei atitvaros sluoksnyje yra kuris nors iš 3.7 lentelėje išvardytų statybos produktų ir šis sluoksnis sudarytas iš termiškai nevienalyčių medžiagų, pvz., medžiaga patalpinta tarp plieninių ar medinių karkaso elementų, tokio nevienalyčio sluoksnio projektinis šilumos laidumo koeficientas </w:t>
              </w:r>
              <w:r>
                <w:rPr>
                  <w:i/>
                </w:rPr>
                <w:t>λ</w:t>
              </w:r>
              <w:r>
                <w:rPr>
                  <w:i/>
                  <w:vertAlign w:val="superscript"/>
                </w:rPr>
                <w:t>‘</w:t>
              </w:r>
              <w:r>
                <w:rPr>
                  <w:i/>
                  <w:vertAlign w:val="subscript"/>
                </w:rPr>
                <w:t>ds</w:t>
              </w:r>
              <w:r>
                <w:t xml:space="preserve"> (W/(m∙K)), apskaičiuojamas įvertinant karkaso elementų įtaką šio sluoksnio šilumos laidumui [3.13]:</w:t>
              </w:r>
            </w:p>
            <w:sdt>
              <w:sdtPr>
                <w:alias w:val="3 pr. 6.1 pp."/>
                <w:tag w:val="part_1c611f14c9574f05a4cedf06778fdc6a"/>
                <w:lock w:val="sdtLocked"/>
                <w:richText/>
              </w:sdtPr>
              <w:sdtContent>
                <w:p>
                  <w:pPr>
                    <w:ind w:firstLine="600"/>
                    <w:jc w:val="both"/>
                  </w:pPr>
                  <w:sdt>
                    <w:sdtPr>
                      <w:alias w:val="Numeris"/>
                      <w:tag w:val="nr_1c611f14c9574f05a4cedf06778fdc6a"/>
                      <w:lock w:val="sdtLocked"/>
                      <w:richText/>
                    </w:sdtPr>
                    <w:sdtContent>
                      <w:r>
                        <w:t>6.1</w:t>
                      </w:r>
                    </w:sdtContent>
                  </w:sdt>
                  <w:r>
                    <w:t xml:space="preserve">. kai medžiaga patalpinta tarp plieninių „Z“ arba „C“ formos plieninių arba plieninių cinkuotų profilių, tokio nevienalyčio sluoksnio projektinis šilumos laidumo koeficientas </w:t>
                  </w:r>
                  <w:r>
                    <w:rPr>
                      <w:i/>
                    </w:rPr>
                    <w:t>λ</w:t>
                  </w:r>
                  <w:r>
                    <w:rPr>
                      <w:i/>
                      <w:vertAlign w:val="superscript"/>
                    </w:rPr>
                    <w:t>‘</w:t>
                  </w:r>
                  <w:r>
                    <w:rPr>
                      <w:i/>
                      <w:vertAlign w:val="subscript"/>
                    </w:rPr>
                    <w:t>ds</w:t>
                  </w:r>
                  <w:r>
                    <w:t>, W/(m∙K), gali būti apskaičiuojamas pagal 3.9 lentelėje pateiktas formules.</w:t>
                  </w:r>
                </w:p>
                <w:p>
                  <w:pPr>
                    <w:ind w:firstLine="600"/>
                  </w:pPr>
                </w:p>
                <w:sdt>
                  <w:sdtPr>
                    <w:alias w:val="skirsnis"/>
                    <w:tag w:val="part_8ecfb90cefbc4c9ba09ad22c8bc9cdaf"/>
                    <w:lock w:val="sdtLocked"/>
                    <w:richText/>
                  </w:sdtPr>
                  <w:sdtContent>
                    <w:p>
                      <w:pPr>
                        <w:ind w:firstLine="600"/>
                        <w:jc w:val="center"/>
                        <w:rPr>
                          <w:b/>
                        </w:rPr>
                      </w:pPr>
                      <w:sdt>
                        <w:sdtPr>
                          <w:alias w:val="Pavadinimas"/>
                          <w:tag w:val="title_8ecfb90cefbc4c9ba09ad22c8bc9cdaf"/>
                          <w:lock w:val="sdtLocked"/>
                          <w:richText/>
                        </w:sdtPr>
                        <w:sdtContent>
                          <w:r>
                            <w:rPr>
                              <w:b/>
                            </w:rPr>
                            <w:t xml:space="preserve">Formulės nevienalyčio sluoksnio projektinio šilumos laidumo koeficiento </w:t>
                          </w:r>
                          <w:r>
                            <w:rPr>
                              <w:b/>
                              <w:i/>
                            </w:rPr>
                            <w:t>λ</w:t>
                          </w:r>
                          <w:r>
                            <w:rPr>
                              <w:b/>
                              <w:i/>
                              <w:vertAlign w:val="superscript"/>
                            </w:rPr>
                            <w:t>‘</w:t>
                          </w:r>
                          <w:r>
                            <w:rPr>
                              <w:b/>
                              <w:i/>
                              <w:vertAlign w:val="subscript"/>
                            </w:rPr>
                            <w:t>ds</w:t>
                          </w:r>
                          <w:r>
                            <w:rPr>
                              <w:b/>
                            </w:rPr>
                            <w:t>, W/(m∙K) skaičiavimui, kai medžiaga patalpinta tarp plieninių „Z“ arba „C“ formos plieninių arba plieninių cinkuotų profilių ir profilių žingsnis 600 mm</w:t>
                          </w:r>
                        </w:sdtContent>
                      </w:sdt>
                    </w:p>
                    <w:sdt>
                      <w:sdtPr>
                        <w:alias w:val="lentele"/>
                        <w:tag w:val="part_2e8b129611b0401893789cdd250e078e"/>
                        <w:lock w:val="sdtLocked"/>
                        <w:richText/>
                      </w:sdtPr>
                      <w:sdtContent>
                        <w:p>
                          <w:pPr>
                            <w:ind w:firstLine="600"/>
                            <w:jc w:val="right"/>
                            <w:rPr>
                              <w:color w:val="000000" w:themeColor="text1"/>
                            </w:rPr>
                          </w:pPr>
                          <w:sdt>
                            <w:sdtPr>
                              <w:alias w:val="Numeris"/>
                              <w:tag w:val="nr_2e8b129611b0401893789cdd250e078e"/>
                              <w:lock w:val="sdtLocked"/>
                              <w:richText/>
                            </w:sdtPr>
                            <w:sdtContent>
                              <w:r>
                                <w:rPr>
                                  <w:color w:val="000000" w:themeColor="text1"/>
                                </w:rPr>
                                <w:t>3.9</w:t>
                              </w:r>
                            </w:sdtContent>
                          </w:sdt>
                          <w:r>
                            <w:rPr>
                              <w:color w:val="000000" w:themeColor="text1"/>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880"/>
                            <w:gridCol w:w="4080"/>
                            <w:gridCol w:w="942"/>
                          </w:tblGrid>
                          <w:tr>
                            <w:tc>
                              <w:tcPr>
                                <w:tcW w:w="166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Plieninių arba plieninių cinkuotų profilių storis, mm</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Plieninių arba plieninių cinkuotų profilių aukštis, t. y. nevienalyčio sluoksnio storis,</w:t>
                                </w:r>
                              </w:p>
                              <w:p>
                                <w:pPr>
                                  <w:spacing w:line="276" w:lineRule="auto"/>
                                  <w:jc w:val="center"/>
                                  <w:rPr>
                                    <w:rFonts w:eastAsia="Calibri"/>
                                    <w:color w:val="000000" w:themeColor="text1"/>
                                    <w:szCs w:val="22"/>
                                  </w:rPr>
                                </w:pPr>
                                <w:r>
                                  <w:rPr>
                                    <w:color w:val="000000" w:themeColor="text1"/>
                                  </w:rPr>
                                  <w:t>mm</w:t>
                                </w:r>
                              </w:p>
                            </w:tc>
                            <w:tc>
                              <w:tcPr>
                                <w:tcW w:w="40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Formulė</w:t>
                                </w:r>
                              </w:p>
                            </w:tc>
                            <w:tc>
                              <w:tcPr>
                                <w:tcW w:w="942" w:type="dxa"/>
                                <w:tcBorders>
                                  <w:top w:val="nil"/>
                                  <w:left w:val="single" w:sz="4" w:space="0" w:color="auto"/>
                                  <w:bottom w:val="nil"/>
                                  <w:right w:val="nil"/>
                                </w:tcBorders>
                                <w:vAlign w:val="center"/>
                              </w:tcPr>
                              <w:p>
                                <w:pPr>
                                  <w:spacing w:line="276" w:lineRule="auto"/>
                                  <w:jc w:val="center"/>
                                  <w:rPr>
                                    <w:rFonts w:eastAsia="Calibri"/>
                                    <w:color w:val="000000" w:themeColor="text1"/>
                                    <w:szCs w:val="22"/>
                                  </w:rPr>
                                </w:pPr>
                              </w:p>
                            </w:tc>
                          </w:tr>
                          <w:tr>
                            <w:trPr>
                              <w:cantSplit/>
                            </w:trPr>
                            <w:tc>
                              <w:tcPr>
                                <w:tcW w:w="1668"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0"/>
                                    <w:szCs w:val="22"/>
                                  </w:rPr>
                                  <w:object w:dxaOrig="2352" w:dyaOrig="348">
                                    <v:shape id="_x0000_i1854" type="#_x0000_t75" style="width:117.3pt;height:17.8pt" o:ole="">
                                      <v:imagedata r:id="rId35" o:title=""/>
                                    </v:shape>
                                    <o:OLEObject Type="Embed" ProgID="Equation.3" ShapeID="_x0000_i1854" DrawAspect="Content" ObjectID="_0000000001" r:id="rId36"/>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(3.3)</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150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0"/>
                                    <w:szCs w:val="22"/>
                                  </w:rPr>
                                  <w:object w:dxaOrig="2340" w:dyaOrig="348">
                                    <v:shape id="_x0000_i1855" type="#_x0000_t75" style="width:117.3pt;height:17.8pt" o:ole="">
                                      <v:imagedata r:id="rId37" o:title=""/>
                                    </v:shape>
                                    <o:OLEObject Type="Embed" ProgID="Equation.3" ShapeID="_x0000_i1855" DrawAspect="Content" ObjectID="_0000000001" r:id="rId38"/>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(3.4)</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0"/>
                                    <w:szCs w:val="22"/>
                                  </w:rPr>
                                  <w:object w:dxaOrig="2340" w:dyaOrig="348">
                                    <v:shape id="_x0000_i1856" type="#_x0000_t75" style="width:117.3pt;height:17.8pt" o:ole="">
                                      <v:imagedata r:id="rId39" o:title=""/>
                                    </v:shape>
                                    <o:OLEObject Type="Embed" ProgID="Equation.3" ShapeID="_x0000_i1856" DrawAspect="Content" ObjectID="_0000000001" r:id="rId40"/>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(3.5)</w:t>
                                </w:r>
                              </w:p>
                            </w:tc>
                          </w:tr>
                          <w:tr>
                            <w:trPr>
                              <w:cantSplit/>
                            </w:trPr>
                            <w:tc>
                              <w:tcPr>
                                <w:tcW w:w="1668"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1,5</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56" w:dyaOrig="420">
                                    <v:shape id="_x0000_i1857" type="#_x0000_t75" style="width:143.2pt;height:19.4pt" o:ole="">
                                      <v:imagedata r:id="rId41" o:title=""/>
                                    </v:shape>
                                    <o:OLEObject Type="Embed" ProgID="Equation.3" ShapeID="_x0000_i1857" DrawAspect="Content" ObjectID="_0000000001" r:id="rId42"/>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(3.6)</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150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724" w:dyaOrig="420">
                                    <v:shape id="_x0000_i1858" type="#_x0000_t75" style="width:135.1pt;height:19.4pt" o:ole="">
                                      <v:imagedata r:id="rId43" o:title=""/>
                                    </v:shape>
                                    <o:OLEObject Type="Embed" ProgID="Equation.3" ShapeID="_x0000_i1858" DrawAspect="Content" ObjectID="_0000000001" r:id="rId44"/>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(3.7)</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56" w:dyaOrig="420">
                                    <v:shape id="_x0000_i1859" type="#_x0000_t75" style="width:143.2pt;height:19.4pt" o:ole="">
                                      <v:imagedata r:id="rId45" o:title=""/>
                                    </v:shape>
                                    <o:OLEObject Type="Embed" ProgID="Equation.3" ShapeID="_x0000_i1859" DrawAspect="Content" ObjectID="_0000000001" r:id="rId46"/>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(3.8)</w:t>
                                </w:r>
                              </w:p>
                            </w:tc>
                          </w:tr>
                          <w:tr>
                            <w:trPr>
                              <w:cantSplit/>
                            </w:trPr>
                            <w:tc>
                              <w:tcPr>
                                <w:tcW w:w="1668"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08" w:dyaOrig="420">
                                    <v:shape id="_x0000_i1860" type="#_x0000_t75" style="width:139.95pt;height:19.4pt" o:ole="">
                                      <v:imagedata r:id="rId47" o:title=""/>
                                    </v:shape>
                                    <o:OLEObject Type="Embed" ProgID="Equation.3" ShapeID="_x0000_i1860" DrawAspect="Content" ObjectID="_0000000001" r:id="rId48"/>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(3.9)</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150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20" w:dyaOrig="420">
                                    <v:shape id="_x0000_i1861" type="#_x0000_t75" style="width:141.55pt;height:19.4pt" o:ole="">
                                      <v:imagedata r:id="rId49" o:title=""/>
                                    </v:shape>
                                    <o:OLEObject Type="Embed" ProgID="Equation.3" ShapeID="_x0000_i1861" DrawAspect="Content" ObjectID="_0000000001" r:id="rId50"/>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(3.10)</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616" w:dyaOrig="420">
                                    <v:shape id="_x0000_i1862" type="#_x0000_t75" style="width:131.05pt;height:19.4pt" o:ole="">
                                      <v:imagedata r:id="rId51" o:title=""/>
                                    </v:shape>
                                    <o:OLEObject Type="Embed" ProgID="Equation.3" ShapeID="_x0000_i1862" DrawAspect="Content" ObjectID="_0000000001" r:id="rId52"/>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(3.11)</w:t>
                                </w:r>
                              </w:p>
                            </w:tc>
                          </w:tr>
                          <w:tr>
                            <w:trPr>
                              <w:cantSplit/>
                            </w:trPr>
                            <w:tc>
                              <w:tcPr>
                                <w:tcW w:w="1668"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2,5</w:t>
                                </w: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688" w:dyaOrig="420">
                                    <v:shape id="_x0000_i1863" type="#_x0000_t75" style="width:134.3pt;height:19.4pt" o:ole="">
                                      <v:imagedata r:id="rId53" o:title=""/>
                                    </v:shape>
                                    <o:OLEObject Type="Embed" ProgID="Equation.3" ShapeID="_x0000_i1863" DrawAspect="Content" ObjectID="_0000000001" r:id="rId54"/>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(3.12)</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150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20" w:dyaOrig="420">
                                    <v:shape id="_x0000_i1864" type="#_x0000_t75" style="width:141.55pt;height:19.4pt" o:ole="">
                                      <v:imagedata r:id="rId55" o:title=""/>
                                    </v:shape>
                                    <o:OLEObject Type="Embed" ProgID="Equation.3" ShapeID="_x0000_i1864" DrawAspect="Content" ObjectID="_0000000001" r:id="rId56"/>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(3.13)</w:t>
                                </w:r>
                              </w:p>
                            </w:tc>
                          </w:tr>
                          <w:tr>
                            <w:trPr>
                              <w:cantSplit/>
                            </w:trPr>
                            <w:tc>
                              <w:tcPr>
                                <w:tcW w:w="166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Cs w:val="22"/>
                                  </w:rPr>
                                </w:pPr>
                              </w:p>
                            </w:tc>
                            <w:tc>
                              <w:tcPr>
                                <w:tcW w:w="28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200</w:t>
                                </w:r>
                              </w:p>
                            </w:tc>
                            <w:tc>
                              <w:tcPr>
                                <w:tcW w:w="4080"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20" w:dyaOrig="420">
                                    <v:shape id="_x0000_i1865" type="#_x0000_t75" style="width:141.55pt;height:19.4pt" o:ole="">
                                      <v:imagedata r:id="rId57" o:title=""/>
                                    </v:shape>
                                    <o:OLEObject Type="Embed" ProgID="Equation.3" ShapeID="_x0000_i1865" DrawAspect="Content" ObjectID="_0000000001" r:id="rId58"/>
                                  </w:object>
                                </w:r>
                              </w:p>
                            </w:tc>
                            <w:tc>
                              <w:tcPr>
                                <w:tcW w:w="942"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(3.14)</w:t>
                                </w:r>
                              </w:p>
                            </w:tc>
                          </w:tr>
                        </w:tbl>
                        <w:p>
                          <w:pPr>
                            <w:ind w:firstLine="600"/>
                            <w:rPr>
                              <w:rFonts w:eastAsia="Calibri"/>
                              <w:color w:val="000000" w:themeColor="text1"/>
                              <w:szCs w:val="22"/>
                            </w:rPr>
                          </w:pPr>
                        </w:p>
                      </w:sdtContent>
                    </w:sdt>
                  </w:sdtContent>
                </w:sdt>
              </w:sdtContent>
            </w:sdt>
            <w:sdt>
              <w:sdtPr>
                <w:alias w:val="3 pr. 6.2 pp."/>
                <w:tag w:val="part_84342005e09f452ebdbe1c6585fe102d"/>
                <w:lock w:val="sdtLocked"/>
                <w:richText/>
              </w:sdtPr>
              <w:sdtContent>
                <w:p>
                  <w:pPr>
                    <w:ind w:firstLine="600"/>
                    <w:jc w:val="both"/>
                  </w:pPr>
                  <w:sdt>
                    <w:sdtPr>
                      <w:alias w:val="Numeris"/>
                      <w:tag w:val="nr_84342005e09f452ebdbe1c6585fe102d"/>
                      <w:lock w:val="sdtLocked"/>
                      <w:richText/>
                    </w:sdtPr>
                    <w:sdtContent>
                      <w:r>
                        <w:t>6.2</w:t>
                      </w:r>
                    </w:sdtContent>
                  </w:sdt>
                  <w:r>
                    <w:t xml:space="preserve">. kai medžiaga patalpinta tarp 50 mm storio medinių karkaso elementų, tokio nevienalyčio sluoksnio projektinis šilumos laidumo koeficientas </w:t>
                  </w:r>
                  <w:r>
                    <w:rPr>
                      <w:i/>
                    </w:rPr>
                    <w:t>λ</w:t>
                  </w:r>
                  <w:r>
                    <w:rPr>
                      <w:i/>
                      <w:vertAlign w:val="superscript"/>
                    </w:rPr>
                    <w:t>‘</w:t>
                  </w:r>
                  <w:r>
                    <w:rPr>
                      <w:i/>
                      <w:vertAlign w:val="subscript"/>
                    </w:rPr>
                    <w:t>ds</w:t>
                  </w:r>
                  <w:r>
                    <w:t xml:space="preserve"> (W/(m</w:t>
                  </w:r>
                  <w:r>
                    <w:rPr>
                      <w:b/>
                    </w:rPr>
                    <w:t>∙</w:t>
                  </w:r>
                  <w:r>
                    <w:t>K)) gali būti apskaičiuojamas pagal 3.10 lentelėje pateiktas formules.</w:t>
                  </w:r>
                </w:p>
                <w:p>
                  <w:pPr>
                    <w:ind w:firstLine="600"/>
                    <w:jc w:val="right"/>
                  </w:pPr>
                </w:p>
                <w:sdt>
                  <w:sdtPr>
                    <w:alias w:val="skirsnis"/>
                    <w:tag w:val="part_acd84618e620490eb6596ad86dbd027e"/>
                    <w:lock w:val="sdtLocked"/>
                    <w:richText/>
                  </w:sdtPr>
                  <w:sdtContent>
                    <w:p>
                      <w:pPr>
                        <w:ind w:firstLine="601"/>
                        <w:jc w:val="center"/>
                        <w:rPr>
                          <w:b/>
                          <w:color w:val="000000" w:themeColor="text1"/>
                        </w:rPr>
                      </w:pPr>
                      <w:sdt>
                        <w:sdtPr>
                          <w:alias w:val="Pavadinimas"/>
                          <w:tag w:val="title_acd84618e620490eb6596ad86dbd027e"/>
                          <w:lock w:val="sdtLocked"/>
                          <w:richText/>
                        </w:sdtPr>
                        <w:sdtContent>
                          <w:r>
                            <w:rPr>
                              <w:b/>
                              <w:color w:val="000000" w:themeColor="text1"/>
                            </w:rPr>
                            <w:t xml:space="preserve">Formulės iki 250 mm storio nevienalyčio sluoksnio projektinio šilumos laidumo koeficiento </w:t>
                          </w:r>
                          <w:r>
                            <w:rPr>
                              <w:rFonts w:eastAsia="Calibri"/>
                              <w:b/>
                              <w:color w:val="000000" w:themeColor="text1"/>
                              <w:position w:val="-12"/>
                              <w:szCs w:val="22"/>
                            </w:rPr>
                            <w:object w:dxaOrig="492" w:dyaOrig="420">
                              <v:shape id="_x0000_i1866" type="#_x0000_t75" style="width:24.25pt;height:19.4pt" o:ole="">
                                <v:imagedata r:id="rId59" o:title=""/>
                              </v:shape>
                              <o:OLEObject Type="Embed" ProgID="Equation.3" ShapeID="_x0000_i1866" DrawAspect="Content" ObjectID="_0000000001" r:id="rId60"/>
                            </w:object>
                          </w:r>
                          <w:r>
                            <w:rPr>
                              <w:b/>
                              <w:color w:val="000000" w:themeColor="text1"/>
                            </w:rPr>
                            <w:t xml:space="preserve"> (W/(m∙K)) skaičiavimui, kai medžiaga patalpinta tarp 50 mm storio medinių karkaso elementų</w:t>
                          </w:r>
                        </w:sdtContent>
                      </w:sdt>
                    </w:p>
                    <w:sdt>
                      <w:sdtPr>
                        <w:alias w:val="lentele"/>
                        <w:tag w:val="part_1523f15e94b642758d899d76f8fdb085"/>
                        <w:lock w:val="sdtLocked"/>
                        <w:richText/>
                      </w:sdtPr>
                      <w:sdtContent>
                        <w:p>
                          <w:pPr>
                            <w:ind w:firstLine="600"/>
                            <w:jc w:val="right"/>
                            <w:rPr>
                              <w:color w:val="000000" w:themeColor="text1"/>
                            </w:rPr>
                          </w:pPr>
                          <w:sdt>
                            <w:sdtPr>
                              <w:alias w:val="Numeris"/>
                              <w:tag w:val="nr_1523f15e94b642758d899d76f8fdb085"/>
                              <w:lock w:val="sdtLocked"/>
                              <w:richText/>
                            </w:sdtPr>
                            <w:sdtContent>
                              <w:r>
                                <w:rPr>
                                  <w:color w:val="000000" w:themeColor="text1"/>
                                </w:rPr>
                                <w:t>3.10</w:t>
                              </w:r>
                            </w:sdtContent>
                          </w:sdt>
                          <w:r>
                            <w:rPr>
                              <w:color w:val="000000" w:themeColor="text1"/>
                            </w:rPr>
                            <w:t xml:space="preserve"> lentelė</w:t>
                          </w: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7"/>
                            <w:gridCol w:w="5030"/>
                            <w:gridCol w:w="1561"/>
                          </w:tblGrid>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 xml:space="preserve">Medinio karkaso žingsnis, </w:t>
                                </w:r>
                              </w:p>
                              <w:p>
                                <w:pPr>
                                  <w:spacing w:line="276" w:lineRule="auto"/>
                                  <w:jc w:val="center"/>
                                  <w:rPr>
                                    <w:rFonts w:eastAsia="Calibri"/>
                                    <w:color w:val="000000" w:themeColor="text1"/>
                                    <w:szCs w:val="22"/>
                                  </w:rPr>
                                </w:pPr>
                                <w:r>
                                  <w:rPr>
                                    <w:color w:val="000000" w:themeColor="text1"/>
                                  </w:rPr>
                                  <w:t>mm</w:t>
                                </w:r>
                              </w:p>
                            </w:tc>
                            <w:tc>
                              <w:tcPr>
                                <w:tcW w:w="50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Formulė</w:t>
                                </w:r>
                              </w:p>
                            </w:tc>
                            <w:tc>
                              <w:tcPr>
                                <w:tcW w:w="1560" w:type="dxa"/>
                                <w:tcBorders>
                                  <w:top w:val="nil"/>
                                  <w:left w:val="single" w:sz="4" w:space="0" w:color="auto"/>
                                  <w:bottom w:val="nil"/>
                                  <w:right w:val="nil"/>
                                </w:tcBorders>
                                <w:vAlign w:val="center"/>
                              </w:tcPr>
                              <w:p>
                                <w:pPr>
                                  <w:spacing w:line="276" w:lineRule="auto"/>
                                  <w:jc w:val="center"/>
                                  <w:rPr>
                                    <w:rFonts w:eastAsia="Calibri"/>
                                    <w:color w:val="000000" w:themeColor="text1"/>
                                    <w:szCs w:val="22"/>
                                  </w:rPr>
                                </w:pP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600</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904" w:dyaOrig="420">
                                    <v:shape id="_x0000_i1867" type="#_x0000_t75" style="width:146.45pt;height:19.4pt" o:ole="">
                                      <v:imagedata r:id="rId61" o:title=""/>
                                    </v:shape>
                                    <o:OLEObject Type="Embed" ProgID="Equation.3" ShapeID="_x0000_i1867" DrawAspect="Content" ObjectID="_0000000001" r:id="rId62"/>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(3.15)</w:t>
                                </w: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900</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904" w:dyaOrig="420">
                                    <v:shape id="_x0000_i1868" type="#_x0000_t75" style="width:146.45pt;height:19.4pt" o:ole="">
                                      <v:imagedata r:id="rId63" o:title=""/>
                                    </v:shape>
                                    <o:OLEObject Type="Embed" ProgID="Equation.3" ShapeID="_x0000_i1868" DrawAspect="Content" ObjectID="_0000000001" r:id="rId64"/>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(3.16)</w:t>
                                </w: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1200</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80" w:dyaOrig="420">
                                    <v:shape id="_x0000_i1869" type="#_x0000_t75" style="width:2in;height:19.4pt" o:ole="">
                                      <v:imagedata r:id="rId65" o:title=""/>
                                    </v:shape>
                                    <o:OLEObject Type="Embed" ProgID="Equation.3" ShapeID="_x0000_i1869" DrawAspect="Content" ObjectID="_0000000001" r:id="rId66"/>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(3.17)</w:t>
                                </w:r>
                              </w:p>
                            </w:tc>
                          </w:tr>
                        </w:tbl>
                        <w:p>
                          <w:pPr>
                            <w:ind w:firstLine="600"/>
                            <w:rPr>
                              <w:rFonts w:eastAsia="Calibri"/>
                              <w:color w:val="000000" w:themeColor="text1"/>
                              <w:szCs w:val="22"/>
                            </w:rPr>
                          </w:pPr>
                        </w:p>
                      </w:sdtContent>
                    </w:sdt>
                  </w:sdtContent>
                </w:sdt>
              </w:sdtContent>
            </w:sdt>
            <w:sdt>
              <w:sdtPr>
                <w:alias w:val="3 pr. 6.3 pp."/>
                <w:tag w:val="part_2897dd3f2103495cbf10a5224ad03256"/>
                <w:lock w:val="sdtLocked"/>
                <w:richText/>
              </w:sdtPr>
              <w:sdtContent>
                <w:p>
                  <w:pPr>
                    <w:ind w:firstLine="600"/>
                    <w:jc w:val="both"/>
                    <w:rPr>
                      <w:color w:val="000000" w:themeColor="text1"/>
                    </w:rPr>
                  </w:pPr>
                  <w:sdt>
                    <w:sdtPr>
                      <w:alias w:val="Numeris"/>
                      <w:tag w:val="nr_2897dd3f2103495cbf10a5224ad03256"/>
                      <w:lock w:val="sdtLocked"/>
                      <w:richText/>
                    </w:sdtPr>
                    <w:sdtContent>
                      <w:r>
                        <w:rPr>
                          <w:color w:val="000000" w:themeColor="text1"/>
                        </w:rPr>
                        <w:t>6.3</w:t>
                      </w:r>
                    </w:sdtContent>
                  </w:sdt>
                  <w:r>
                    <w:rPr>
                      <w:color w:val="000000" w:themeColor="text1"/>
                    </w:rPr>
                    <w:t xml:space="preserve">. kai medžiaga patalpinta tarp 0,6 mm storio „C“ formos plieninių cinkuotų profilių, tokio nevienalyčio sluoksnio projektinis šilumos laidumo koeficientas </w:t>
                  </w:r>
                  <w:r>
                    <w:rPr>
                      <w:i/>
                      <w:color w:val="000000" w:themeColor="text1"/>
                    </w:rPr>
                    <w:t>λ</w:t>
                  </w:r>
                  <w:r>
                    <w:rPr>
                      <w:i/>
                      <w:color w:val="000000" w:themeColor="text1"/>
                      <w:vertAlign w:val="superscript"/>
                    </w:rPr>
                    <w:t>‘</w:t>
                  </w:r>
                  <w:r>
                    <w:rPr>
                      <w:i/>
                      <w:color w:val="000000" w:themeColor="text1"/>
                      <w:vertAlign w:val="subscript"/>
                    </w:rPr>
                    <w:t>ds</w:t>
                  </w:r>
                  <w:r>
                    <w:rPr>
                      <w:color w:val="000000" w:themeColor="text1"/>
                    </w:rPr>
                    <w:t xml:space="preserve"> (W/(m∙K)) gali būti apskaičiuojamas pagal 3.11 lentelėje pateiktas formules.</w:t>
                  </w:r>
                </w:p>
                <w:p>
                  <w:pPr>
                    <w:ind w:firstLine="601"/>
                    <w:jc w:val="center"/>
                    <w:rPr>
                      <w:b/>
                      <w:color w:val="000000" w:themeColor="text1"/>
                    </w:rPr>
                  </w:pPr>
                </w:p>
                <w:sdt>
                  <w:sdtPr>
                    <w:alias w:val="skirsnis"/>
                    <w:tag w:val="part_e78beee9af3b47d8be239e41b24613b1"/>
                    <w:lock w:val="sdtLocked"/>
                    <w:richText/>
                  </w:sdtPr>
                  <w:sdtContent>
                    <w:p>
                      <w:pPr>
                        <w:ind w:firstLine="601"/>
                        <w:jc w:val="center"/>
                        <w:rPr>
                          <w:b/>
                          <w:color w:val="000000" w:themeColor="text1"/>
                        </w:rPr>
                      </w:pPr>
                      <w:sdt>
                        <w:sdtPr>
                          <w:alias w:val="Pavadinimas"/>
                          <w:tag w:val="title_e78beee9af3b47d8be239e41b24613b1"/>
                          <w:lock w:val="sdtLocked"/>
                          <w:richText/>
                        </w:sdtPr>
                        <w:sdtContent>
                          <w:r>
                            <w:rPr>
                              <w:b/>
                              <w:color w:val="000000" w:themeColor="text1"/>
                            </w:rPr>
                            <w:t xml:space="preserve">Formulės nevienalyčio sluoksnio projektinio šilumos laidumo koeficiento </w:t>
                          </w:r>
                          <w:r>
                            <w:rPr>
                              <w:rFonts w:eastAsia="Calibri"/>
                              <w:b/>
                              <w:color w:val="000000" w:themeColor="text1"/>
                              <w:position w:val="-12"/>
                              <w:szCs w:val="22"/>
                            </w:rPr>
                            <w:object w:dxaOrig="492" w:dyaOrig="420">
                              <v:shape id="_x0000_i1870" type="#_x0000_t75" style="width:24.25pt;height:19.4pt" o:ole="">
                                <v:imagedata r:id="rId67" o:title=""/>
                              </v:shape>
                              <o:OLEObject Type="Embed" ProgID="Equation.3" ShapeID="_x0000_i1870" DrawAspect="Content" ObjectID="_0000000001" r:id="rId68"/>
                            </w:object>
                          </w:r>
                          <w:r>
                            <w:rPr>
                              <w:b/>
                              <w:color w:val="000000" w:themeColor="text1"/>
                            </w:rPr>
                            <w:t xml:space="preserve"> (W/(m∙K)), skaičiavimui, kai medžiaga patalpinta tarp 0,6 mm storio „C“ formos plieninių cinkuotų profilių ir profilių žingsnis 600 mm</w:t>
                          </w:r>
                        </w:sdtContent>
                      </w:sdt>
                    </w:p>
                    <w:sdt>
                      <w:sdtPr>
                        <w:alias w:val="lentele"/>
                        <w:tag w:val="part_952fbf988291429c8bae7dbe4420e0e1"/>
                        <w:lock w:val="sdtLocked"/>
                        <w:richText/>
                      </w:sdtPr>
                      <w:sdtContent>
                        <w:p>
                          <w:pPr>
                            <w:ind w:firstLine="600"/>
                            <w:jc w:val="right"/>
                            <w:rPr>
                              <w:color w:val="000000" w:themeColor="text1"/>
                            </w:rPr>
                          </w:pPr>
                          <w:sdt>
                            <w:sdtPr>
                              <w:alias w:val="Numeris"/>
                              <w:tag w:val="nr_952fbf988291429c8bae7dbe4420e0e1"/>
                              <w:lock w:val="sdtLocked"/>
                              <w:richText/>
                            </w:sdtPr>
                            <w:sdtContent>
                              <w:r>
                                <w:rPr>
                                  <w:color w:val="000000" w:themeColor="text1"/>
                                </w:rPr>
                                <w:t>3.11</w:t>
                              </w:r>
                            </w:sdtContent>
                          </w:sdt>
                          <w:r>
                            <w:rPr>
                              <w:color w:val="000000" w:themeColor="text1"/>
                            </w:rPr>
                            <w:t xml:space="preserve"> lentelė</w:t>
                          </w: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7"/>
                            <w:gridCol w:w="5030"/>
                            <w:gridCol w:w="1561"/>
                          </w:tblGrid>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Plieninių cinkuotų profilių aukštis, t. y. nevienalyčio sluoksnio storis,</w:t>
                                </w:r>
                              </w:p>
                              <w:p>
                                <w:pPr>
                                  <w:spacing w:line="276" w:lineRule="auto"/>
                                  <w:jc w:val="center"/>
                                  <w:rPr>
                                    <w:rFonts w:eastAsia="Calibri"/>
                                    <w:color w:val="000000" w:themeColor="text1"/>
                                    <w:szCs w:val="22"/>
                                  </w:rPr>
                                </w:pPr>
                                <w:r>
                                  <w:rPr>
                                    <w:color w:val="000000" w:themeColor="text1"/>
                                  </w:rPr>
                                  <w:t>mm</w:t>
                                </w:r>
                              </w:p>
                            </w:tc>
                            <w:tc>
                              <w:tcPr>
                                <w:tcW w:w="50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Formulė</w:t>
                                </w:r>
                              </w:p>
                            </w:tc>
                            <w:tc>
                              <w:tcPr>
                                <w:tcW w:w="1560" w:type="dxa"/>
                                <w:tcBorders>
                                  <w:top w:val="nil"/>
                                  <w:left w:val="single" w:sz="4" w:space="0" w:color="auto"/>
                                  <w:bottom w:val="nil"/>
                                  <w:right w:val="nil"/>
                                </w:tcBorders>
                                <w:vAlign w:val="center"/>
                              </w:tcPr>
                              <w:p>
                                <w:pPr>
                                  <w:spacing w:line="276" w:lineRule="auto"/>
                                  <w:jc w:val="center"/>
                                  <w:rPr>
                                    <w:rFonts w:eastAsia="Calibri"/>
                                    <w:color w:val="000000" w:themeColor="text1"/>
                                    <w:szCs w:val="22"/>
                                  </w:rPr>
                                </w:pP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 xml:space="preserve">50 </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08" w:dyaOrig="420">
                                    <v:shape id="_x0000_i1871" type="#_x0000_t75" style="width:139.95pt;height:19.4pt" o:ole="">
                                      <v:imagedata r:id="rId69" o:title=""/>
                                    </v:shape>
                                    <o:OLEObject Type="Embed" ProgID="Equation.3" ShapeID="_x0000_i1871" DrawAspect="Content" ObjectID="_0000000001" r:id="rId70"/>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(3.18)</w:t>
                                </w: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75</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20" w:dyaOrig="420">
                                    <v:shape id="_x0000_i1872" type="#_x0000_t75" style="width:141.55pt;height:19.4pt" o:ole="">
                                      <v:imagedata r:id="rId71" o:title=""/>
                                    </v:shape>
                                    <o:OLEObject Type="Embed" ProgID="Equation.3" ShapeID="_x0000_i1872" DrawAspect="Content" ObjectID="_0000000001" r:id="rId72"/>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(3.19)</w:t>
                                </w:r>
                              </w:p>
                            </w:tc>
                          </w:tr>
                          <w:tr>
                            <w:tc>
                              <w:tcPr>
                                <w:tcW w:w="311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100</w:t>
                                </w:r>
                              </w:p>
                            </w:tc>
                            <w:tc>
                              <w:tcPr>
                                <w:tcW w:w="5028"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rFonts w:eastAsia="Calibri"/>
                                    <w:color w:val="000000" w:themeColor="text1"/>
                                    <w:position w:val="-12"/>
                                    <w:szCs w:val="22"/>
                                  </w:rPr>
                                  <w:object w:dxaOrig="2856" w:dyaOrig="420">
                                    <v:shape id="_x0000_i1873" type="#_x0000_t75" style="width:143.2pt;height:19.4pt" o:ole="">
                                      <v:imagedata r:id="rId73" o:title=""/>
                                    </v:shape>
                                    <o:OLEObject Type="Embed" ProgID="Equation.3" ShapeID="_x0000_i1873" DrawAspect="Content" ObjectID="_0000000001" r:id="rId74"/>
                                  </w:object>
                                </w:r>
                              </w:p>
                            </w:tc>
                            <w:tc>
                              <w:tcPr>
                                <w:tcW w:w="1560" w:type="dxa"/>
                                <w:tcBorders>
                                  <w:top w:val="nil"/>
                                  <w:left w:val="single" w:sz="4" w:space="0" w:color="auto"/>
                                  <w:bottom w:val="nil"/>
                                  <w:right w:val="nil"/>
                                </w:tcBorders>
                                <w:vAlign w:val="center"/>
                                <w:hideMark/>
                              </w:tcPr>
                              <w:p>
                                <w:pPr>
                                  <w:spacing w:line="276" w:lineRule="auto"/>
                                  <w:jc w:val="center"/>
                                  <w:rPr>
                                    <w:rFonts w:eastAsia="Calibri"/>
                                    <w:color w:val="000000" w:themeColor="text1"/>
                                    <w:szCs w:val="22"/>
                                  </w:rPr>
                                </w:pPr>
                                <w:r>
                                  <w:rPr>
                                    <w:color w:val="000000" w:themeColor="text1"/>
                                  </w:rPr>
                                  <w:t>(3.20)</w:t>
                                </w:r>
                              </w:p>
                            </w:tc>
                          </w:tr>
                        </w:tbl>
                        <w:p>
                          <w:pPr>
                            <w:ind w:firstLine="600"/>
                            <w:rPr>
                              <w:rFonts w:eastAsia="Calibri"/>
                              <w:color w:val="000000" w:themeColor="text1"/>
                              <w:szCs w:val="22"/>
                            </w:rPr>
                          </w:pPr>
                        </w:p>
                      </w:sdtContent>
                    </w:sdt>
                  </w:sdtContent>
                </w:sdt>
              </w:sdtContent>
            </w:sdt>
          </w:sdtContent>
        </w:sdt>
        <w:sdt>
          <w:sdtPr>
            <w:alias w:val="3 pr. 7 p."/>
            <w:tag w:val="part_0eea8c7b689e4f8eb9026806ba0f8a36"/>
            <w:lock w:val="sdtLocked"/>
            <w:richText/>
          </w:sdtPr>
          <w:sdtContent>
            <w:p>
              <w:pPr>
                <w:ind w:firstLine="600"/>
                <w:jc w:val="both"/>
                <w:rPr>
                  <w:color w:val="000000" w:themeColor="text1"/>
                </w:rPr>
              </w:pPr>
              <w:sdt>
                <w:sdtPr>
                  <w:alias w:val="Numeris"/>
                  <w:tag w:val="nr_0eea8c7b689e4f8eb9026806ba0f8a36"/>
                  <w:lock w:val="sdtLocked"/>
                  <w:richText/>
                </w:sdtPr>
                <w:sdtContent>
                  <w:r>
                    <w:rPr>
                      <w:color w:val="000000" w:themeColor="text1"/>
                    </w:rPr>
                    <w:t>7</w:t>
                  </w:r>
                </w:sdtContent>
              </w:sdt>
              <w:r>
                <w:rPr>
                  <w:color w:val="000000" w:themeColor="text1"/>
                </w:rPr>
                <w:t xml:space="preserve">. Pastato energinio naudingumo skaičiavimuose, kai nėra 3.12 lentelėje išvardintiems statybos produktams projektines šilumos laidumo koeficientų vertes </w:t>
              </w:r>
              <w:r>
                <w:rPr>
                  <w:i/>
                  <w:iCs/>
                  <w:color w:val="000000" w:themeColor="text1"/>
                </w:rPr>
                <w:sym w:font="Symbol" w:char="F06C"/>
              </w:r>
              <w:r>
                <w:rPr>
                  <w:i/>
                  <w:color w:val="000000" w:themeColor="text1"/>
                  <w:vertAlign w:val="subscript"/>
                </w:rPr>
                <w:t>ds</w:t>
              </w:r>
              <w:r>
                <w:rPr>
                  <w:color w:val="000000" w:themeColor="text1"/>
                </w:rPr>
                <w:t xml:space="preserve"> (W/(m·K)) patvirtinančių dokumentų, naudojamos 3.12 lentelėje nurodytos projektinės šilumos laidumo koeficientų vertės.</w:t>
              </w:r>
            </w:p>
            <w:p>
              <w:pPr>
                <w:rPr>
                  <w:color w:val="000000" w:themeColor="text1"/>
                </w:rPr>
              </w:pPr>
            </w:p>
            <w:sdt>
              <w:sdtPr>
                <w:alias w:val="skirsnis"/>
                <w:tag w:val="part_a19bd38cb57c4168803cdf498f4fa920"/>
                <w:lock w:val="sdtLocked"/>
                <w:richText/>
              </w:sdtPr>
              <w:sdtContent>
                <w:p>
                  <w:pPr>
                    <w:jc w:val="center"/>
                    <w:rPr>
                      <w:b/>
                    </w:rPr>
                  </w:pPr>
                  <w:sdt>
                    <w:sdtPr>
                      <w:alias w:val="Pavadinimas"/>
                      <w:tag w:val="title_a19bd38cb57c4168803cdf498f4fa920"/>
                      <w:lock w:val="sdtLocked"/>
                      <w:richText/>
                    </w:sdtPr>
                    <w:sdtContent>
                      <w:r>
                        <w:rPr>
                          <w:b/>
                        </w:rPr>
                        <w:t>Statybos produktų, naudojamų termoizoliaciniams atitvarų sluoksniams grunte, rūsio grindyse arba po grindimis ant grunto projektinės šilumos laidumo koeficientų vertės</w:t>
                      </w:r>
                    </w:sdtContent>
                  </w:sdt>
                </w:p>
                <w:sdt>
                  <w:sdtPr>
                    <w:alias w:val="lentele"/>
                    <w:tag w:val="part_060df7d8432a414790ae5a9fdd2b2b49"/>
                    <w:lock w:val="sdtLocked"/>
                    <w:richText/>
                  </w:sdtPr>
                  <w:sdtContent>
                    <w:p>
                      <w:pPr>
                        <w:jc w:val="right"/>
                      </w:pPr>
                      <w:sdt>
                        <w:sdtPr>
                          <w:alias w:val="Numeris"/>
                          <w:tag w:val="nr_060df7d8432a414790ae5a9fdd2b2b49"/>
                          <w:lock w:val="sdtLocked"/>
                          <w:richText/>
                        </w:sdtPr>
                        <w:sdtContent>
                          <w:r>
                            <w:t>3.12</w:t>
                          </w:r>
                        </w:sdtContent>
                      </w:sdt>
                      <w:r>
                        <w:t xml:space="preserve"> lentelė </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6120"/>
                        <w:gridCol w:w="2520"/>
                      </w:tblGrid>
                      <w:tr>
                        <w:trPr>
                          <w:trHeight w:val="255"/>
                        </w:trPr>
                        <w:tc>
                          <w:tcPr>
                            <w:tcW w:w="735"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lang w:eastAsia="lt-LT"/>
                              </w:rPr>
                            </w:pPr>
                            <w:r>
                              <w:t>Eil. Nr.</w:t>
                            </w:r>
                          </w:p>
                        </w:tc>
                        <w:tc>
                          <w:tcPr>
                            <w:tcW w:w="612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lang w:eastAsia="lt-LT"/>
                              </w:rPr>
                            </w:pPr>
                            <w:r>
                              <w:t>Statybos produkto pavadinimas</w:t>
                            </w:r>
                          </w:p>
                        </w:tc>
                        <w:tc>
                          <w:tcPr>
                            <w:tcW w:w="252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Projektinė šilumos laidumo koeficiento vertė,</w:t>
                            </w:r>
                          </w:p>
                          <w:p>
                            <w:pPr>
                              <w:spacing w:line="276" w:lineRule="auto"/>
                              <w:jc w:val="center"/>
                              <w:rPr>
                                <w:rFonts w:eastAsia="Calibri"/>
                                <w:szCs w:val="22"/>
                                <w:lang w:eastAsia="lt-LT"/>
                              </w:rPr>
                            </w:pPr>
                            <w:r>
                              <w:rPr>
                                <w:i/>
                                <w:iCs/>
                              </w:rPr>
                              <w:sym w:font="Symbol" w:char="F06C"/>
                            </w:r>
                            <w:r>
                              <w:rPr>
                                <w:i/>
                                <w:vertAlign w:val="subscript"/>
                              </w:rPr>
                              <w:t>d.s</w:t>
                            </w:r>
                            <w:r>
                              <w:rPr>
                                <w:vertAlign w:val="subscript"/>
                              </w:rPr>
                              <w:t>.</w:t>
                            </w:r>
                            <w:r>
                              <w:t>, W/(m∙K)</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Keramzito žvyras grindyse ant grunto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0,32</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2.</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Keramzito žvyras rūsio grindyse arba grunte</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0,33</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3.</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Keramzito smėlis grindyse ant grunto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0,46</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4.</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Keramzito smėlis rūsio grindyse arba grunte</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0,51</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5.</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Min. vata grindyse ant grunto pastatuose po 1993 m.</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0,05</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6.</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Min. vata grindyse ant grunto pastatuose iki 1993 m.</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0,07</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7.</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Min. vata rūsio grindyse arba grunte pastatuose po 1993 m.</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0,06</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8.</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Min. vata rūsio grindyse arba grunte pastatuose iki 1993 m.</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0,08</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9.</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Polistireninis putplastis „EPS“ grindyse ant grunto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0,048</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10.</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Polistireninis putplastis „EPS“ rūsio grindyse arba grunte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0,052</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11.</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Polistireninis putplastis „XPS“ grindyse ant grunto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 xml:space="preserve">0,038 </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12.</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Polistireninis putplastis „XPS“ rūsio grindyse arba grunte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0,039</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13.</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Poliuretaninis putplastis grindyse ant grunto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0,041</w:t>
                            </w:r>
                          </w:p>
                        </w:tc>
                      </w:tr>
                      <w:tr>
                        <w:trPr>
                          <w:trHeight w:val="255"/>
                        </w:trPr>
                        <w:tc>
                          <w:tcPr>
                            <w:tcW w:w="735" w:type="dxa"/>
                            <w:tcBorders>
                              <w:top w:val="single" w:sz="4" w:space="0" w:color="auto"/>
                              <w:left w:val="single" w:sz="4" w:space="0" w:color="auto"/>
                              <w:bottom w:val="single" w:sz="4" w:space="0" w:color="auto"/>
                              <w:right w:val="single" w:sz="4" w:space="0" w:color="auto"/>
                            </w:tcBorders>
                            <w:noWrap/>
                            <w:vAlign w:val="bottom"/>
                          </w:tcPr>
                          <w:p>
                            <w:pPr>
                              <w:tabs>
                                <w:tab w:val="left" w:pos="720"/>
                              </w:tabs>
                              <w:spacing w:line="276" w:lineRule="auto"/>
                              <w:ind w:left="527" w:hanging="357"/>
                              <w:jc w:val="center"/>
                              <w:rPr>
                                <w:rFonts w:eastAsia="Calibri"/>
                                <w:szCs w:val="22"/>
                                <w:lang w:eastAsia="lt-LT"/>
                              </w:rPr>
                            </w:pPr>
                            <w:r>
                              <w:rPr>
                                <w:rFonts w:eastAsia="Calibri"/>
                                <w:szCs w:val="22"/>
                                <w:lang w:eastAsia="lt-LT"/>
                              </w:rPr>
                              <w:t>14.</w:t>
                              <w:tab/>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both"/>
                              <w:rPr>
                                <w:rFonts w:eastAsia="Calibri"/>
                                <w:szCs w:val="22"/>
                                <w:lang w:eastAsia="lt-LT"/>
                              </w:rPr>
                            </w:pPr>
                            <w:r>
                              <w:rPr>
                                <w:lang w:eastAsia="lt-LT"/>
                              </w:rPr>
                              <w:t xml:space="preserve">Poliuretaninis putplastis rūsio grindyse arba grunte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pacing w:line="276" w:lineRule="auto"/>
                              <w:jc w:val="center"/>
                              <w:rPr>
                                <w:rFonts w:eastAsia="Calibri"/>
                                <w:szCs w:val="22"/>
                                <w:lang w:eastAsia="lt-LT"/>
                              </w:rPr>
                            </w:pPr>
                            <w:r>
                              <w:rPr>
                                <w:lang w:eastAsia="lt-LT"/>
                              </w:rPr>
                              <w:t>0,045</w:t>
                            </w:r>
                          </w:p>
                        </w:tc>
                      </w:tr>
                    </w:tbl>
                    <w:p>
                      <w:pPr>
                        <w:rPr>
                          <w:rFonts w:eastAsia="Calibri"/>
                          <w:szCs w:val="22"/>
                        </w:rPr>
                      </w:pPr>
                    </w:p>
                  </w:sdtContent>
                </w:sdt>
              </w:sdtContent>
            </w:sdt>
          </w:sdtContent>
        </w:sdt>
        <w:sdt>
          <w:sdtPr>
            <w:alias w:val="3 pr. 8 p."/>
            <w:tag w:val="part_ddf9b2f6b7d54c689ec7d65080dd170a"/>
            <w:lock w:val="sdtLocked"/>
            <w:richText/>
          </w:sdtPr>
          <w:sdtContent>
            <w:p>
              <w:pPr>
                <w:suppressAutoHyphens/>
                <w:ind w:firstLine="600"/>
                <w:jc w:val="both"/>
                <w:rPr>
                  <w:color w:val="000000"/>
                  <w:lang w:eastAsia="lt-LT"/>
                </w:rPr>
              </w:pPr>
              <w:sdt>
                <w:sdtPr>
                  <w:alias w:val="Numeris"/>
                  <w:tag w:val="nr_ddf9b2f6b7d54c689ec7d65080dd170a"/>
                  <w:lock w:val="sdtLocked"/>
                  <w:richText/>
                </w:sdtPr>
                <w:sdtContent>
                  <w:r>
                    <w:rPr>
                      <w:color w:val="000000"/>
                      <w:lang w:eastAsia="lt-LT"/>
                    </w:rPr>
                    <w:t>8</w:t>
                  </w:r>
                </w:sdtContent>
              </w:sdt>
              <w:r>
                <w:rPr>
                  <w:color w:val="000000"/>
                  <w:lang w:eastAsia="lt-LT"/>
                </w:rPr>
                <w:t xml:space="preserve">. Jei atitvaros sluoksnį, kuriame yra 3.7 lentelėje išvardytas statybos produktas, kerta metalinės jungtys, tokios atitvaros šilumos perdavimo koeficientas </w:t>
              </w:r>
              <w:r>
                <w:rPr>
                  <w:i/>
                  <w:color w:val="000000"/>
                  <w:lang w:eastAsia="lt-LT"/>
                </w:rPr>
                <w:t>U</w:t>
              </w:r>
              <w:r>
                <w:rPr>
                  <w:i/>
                  <w:color w:val="000000"/>
                  <w:vertAlign w:val="superscript"/>
                  <w:lang w:eastAsia="lt-LT"/>
                </w:rPr>
                <w:t>I</w:t>
              </w:r>
              <w:r>
                <w:rPr>
                  <w:color w:val="000000"/>
                  <w:lang w:eastAsia="lt-LT"/>
                </w:rPr>
                <w:t xml:space="preserve"> (W/(m²·K)) apskaičiuojamas pagal formulę [3.13]: </w:t>
              </w:r>
            </w:p>
            <w:p>
              <w:pPr>
                <w:suppressAutoHyphens/>
                <w:ind w:firstLine="600"/>
                <w:rPr>
                  <w:color w:val="000000"/>
                  <w:lang w:eastAsia="lt-LT"/>
                </w:rPr>
              </w:pPr>
            </w:p>
            <w:tbl>
              <w:tblPr>
                <w:tblW w:w="0" w:type="auto"/>
                <w:tblLook w:val="01E0" w:firstRow="1" w:lastRow="1" w:firstColumn="1" w:lastColumn="1" w:noHBand="0" w:noVBand="0"/>
              </w:tblPr>
              <w:tblGrid>
                <w:gridCol w:w="8388"/>
                <w:gridCol w:w="1182"/>
              </w:tblGrid>
              <w:tr>
                <w:tc>
                  <w:tcPr>
                    <w:tcW w:w="8388" w:type="dxa"/>
                    <w:hideMark/>
                  </w:tcPr>
                  <w:p>
                    <w:pPr>
                      <w:suppressAutoHyphens/>
                      <w:spacing w:line="276" w:lineRule="auto"/>
                      <w:jc w:val="center"/>
                      <w:rPr>
                        <w:rFonts w:eastAsia="Calibri"/>
                        <w:color w:val="000000"/>
                        <w:szCs w:val="22"/>
                      </w:rPr>
                    </w:pPr>
                    <w:r>
                      <w:rPr>
                        <w:rFonts w:eastAsia="Calibri"/>
                        <w:color w:val="000000"/>
                        <w:position w:val="-14"/>
                        <w:szCs w:val="22"/>
                      </w:rPr>
                      <w:object w:dxaOrig="1404" w:dyaOrig="396">
                        <v:shape id="_x0000_i1874" type="#_x0000_t75" style="width:70.4pt;height:21.85pt" o:ole="">
                          <v:imagedata r:id="rId75" o:title=""/>
                        </v:shape>
                        <o:OLEObject Type="Embed" ProgID="Equation.3" ShapeID="_x0000_i1874" DrawAspect="Content" ObjectID="_0000000001" r:id="rId76"/>
                      </w:object>
                    </w:r>
                    <w:r>
                      <w:rPr>
                        <w:color w:val="000000"/>
                        <w:lang w:eastAsia="lt-LT"/>
                      </w:rPr>
                      <w:t>;</w:t>
                    </w:r>
                  </w:p>
                </w:tc>
                <w:tc>
                  <w:tcPr>
                    <w:tcW w:w="1182" w:type="dxa"/>
                    <w:hideMark/>
                  </w:tcPr>
                  <w:p>
                    <w:pPr>
                      <w:suppressAutoHyphens/>
                      <w:spacing w:line="276" w:lineRule="auto"/>
                      <w:jc w:val="right"/>
                      <w:rPr>
                        <w:rFonts w:eastAsia="Calibri"/>
                        <w:color w:val="000000"/>
                        <w:szCs w:val="22"/>
                      </w:rPr>
                    </w:pPr>
                    <w:r>
                      <w:rPr>
                        <w:color w:val="000000"/>
                        <w:lang w:eastAsia="lt-LT"/>
                      </w:rPr>
                      <w:t>(3.21)</w:t>
                    </w:r>
                  </w:p>
                </w:tc>
              </w:tr>
            </w:tbl>
            <w:p>
              <w:pPr>
                <w:tabs>
                  <w:tab w:val="left" w:pos="567"/>
                </w:tabs>
                <w:suppressAutoHyphens/>
                <w:jc w:val="both"/>
                <w:rPr>
                  <w:rFonts w:eastAsia="Calibri"/>
                  <w:color w:val="000000"/>
                  <w:szCs w:val="22"/>
                </w:rPr>
              </w:pPr>
              <w:r>
                <w:rPr>
                  <w:color w:val="000000"/>
                  <w:lang w:eastAsia="lt-LT"/>
                </w:rPr>
                <w:t xml:space="preserve">čia: </w:t>
                <w:tab/>
              </w:r>
              <w:r>
                <w:rPr>
                  <w:i/>
                  <w:color w:val="000000"/>
                  <w:lang w:eastAsia="lt-LT"/>
                </w:rPr>
                <w:t>U</w:t>
              </w:r>
              <w:r>
                <w:rPr>
                  <w:color w:val="000000"/>
                  <w:lang w:eastAsia="lt-LT"/>
                </w:rPr>
                <w:t xml:space="preserve"> – atitvaros šilumos perdavimo koeficientas, apskaičiuotas nevertinant metalinių jungčių atitvaroje (W/(m²·K)). Apskaičiuojamas pagal Reglamento 2 priedo 2 punkto reikalavimus;</w:t>
              </w:r>
            </w:p>
            <w:p>
              <w:pPr>
                <w:suppressAutoHyphens/>
                <w:ind w:firstLine="567"/>
                <w:jc w:val="both"/>
                <w:rPr>
                  <w:lang w:eastAsia="lt-LT"/>
                </w:rPr>
              </w:pPr>
              <w:r>
                <w:rPr>
                  <w:i/>
                  <w:color w:val="000000"/>
                  <w:lang w:eastAsia="lt-LT"/>
                </w:rPr>
                <w:t>ΔU</w:t>
              </w:r>
              <w:r>
                <w:rPr>
                  <w:i/>
                  <w:color w:val="000000"/>
                  <w:vertAlign w:val="subscript"/>
                  <w:lang w:eastAsia="lt-LT"/>
                </w:rPr>
                <w:t>f</w:t>
              </w:r>
              <w:r>
                <w:rPr>
                  <w:color w:val="000000"/>
                  <w:lang w:eastAsia="lt-LT"/>
                </w:rPr>
                <w:t xml:space="preserve"> – atitvaros šilumos perdavimo koeficiento pataisa dėl metalinių jungčių atitvaroje (W/(m²·K)). Apskaičiuojama pagal LST EN ISO 6946:2008 D.3.2 punkto [3.13] reikalavimus arba tikslesniais LST EN ISO 6946:2008 nurodytais skaičiavimo metodais skaičiavimams naudojant 3.13 lentelėje nurodytas metalų šilumos laidumo koeficientų vertes.</w:t>
              </w:r>
              <w:r>
                <w:rPr>
                  <w:color w:val="FF0000"/>
                  <w:lang w:eastAsia="lt-LT"/>
                </w:rPr>
                <w:t xml:space="preserve"> </w:t>
              </w:r>
              <w:r>
                <w:rPr>
                  <w:lang w:eastAsia="lt-LT"/>
                </w:rPr>
                <w:t xml:space="preserve">Jei pastato energinio naudingumo sertifikavimo metu sertifikavimo užsakovas nurodo, kad termoizoliaciniam sluoksniui tvirtinti buvo panaudotos plastikinės smeigės su metaline šerdimi, tačiau smeigių kiekis viename kvadratiniame metre nežinomas – skaičiavimuose turi būti įvertintos 4 smeigės vienam kvadratiniam metrui; jei nežinomas smeigės plieninės šerdies skersmuo, šis skersmuo turi būti priimtas 5 mm; jei nežinomas plieninės šerdies įgilinimas į termoizoliacinį sluoksnį – turi būti priimta, kad plieninė šerdis neįgilinta. </w:t>
              </w:r>
            </w:p>
            <w:p>
              <w:pPr>
                <w:suppressAutoHyphens/>
                <w:ind w:firstLine="567"/>
                <w:jc w:val="both"/>
                <w:rPr>
                  <w:color w:val="000000"/>
                  <w:lang w:eastAsia="lt-LT"/>
                </w:rPr>
              </w:pPr>
            </w:p>
            <w:p>
              <w:pPr>
                <w:suppressAutoHyphens/>
                <w:ind w:firstLine="567"/>
                <w:jc w:val="both"/>
                <w:rPr>
                  <w:color w:val="000000"/>
                  <w:lang w:eastAsia="lt-LT"/>
                </w:rPr>
              </w:pPr>
              <w:r>
                <w:rPr>
                  <w:i/>
                  <w:color w:val="000000"/>
                  <w:lang w:eastAsia="lt-LT"/>
                </w:rPr>
                <w:t>ΔU</w:t>
              </w:r>
              <w:r>
                <w:rPr>
                  <w:i/>
                  <w:color w:val="000000"/>
                  <w:vertAlign w:val="subscript"/>
                  <w:lang w:eastAsia="lt-LT"/>
                </w:rPr>
                <w:t>f</w:t>
              </w:r>
              <w:r>
                <w:rPr>
                  <w:color w:val="000000"/>
                  <w:lang w:eastAsia="lt-LT"/>
                </w:rPr>
                <w:t xml:space="preserve">  vertė gali būti apskaičiuota ir taip [3.13]:</w:t>
              </w:r>
            </w:p>
            <w:p>
              <w:pPr>
                <w:tabs>
                  <w:tab w:val="left" w:pos="720"/>
                </w:tabs>
                <w:suppressAutoHyphens/>
                <w:ind w:left="567" w:hanging="567"/>
                <w:rPr>
                  <w:color w:val="000000"/>
                  <w:lang w:eastAsia="lt-LT"/>
                </w:rPr>
              </w:pPr>
            </w:p>
            <w:tbl>
              <w:tblPr>
                <w:tblW w:w="0" w:type="auto"/>
                <w:tblLook w:val="01E0" w:firstRow="1" w:lastRow="1" w:firstColumn="1" w:lastColumn="1" w:noHBand="0" w:noVBand="0"/>
              </w:tblPr>
              <w:tblGrid>
                <w:gridCol w:w="8388"/>
                <w:gridCol w:w="1182"/>
              </w:tblGrid>
              <w:tr>
                <w:tc>
                  <w:tcPr>
                    <w:tcW w:w="8388" w:type="dxa"/>
                    <w:hideMark/>
                  </w:tcPr>
                  <w:p>
                    <w:pPr>
                      <w:suppressAutoHyphens/>
                      <w:spacing w:line="276" w:lineRule="auto"/>
                      <w:jc w:val="center"/>
                      <w:rPr>
                        <w:rFonts w:eastAsia="Calibri"/>
                        <w:color w:val="000000"/>
                        <w:szCs w:val="22"/>
                      </w:rPr>
                    </w:pPr>
                    <w:r>
                      <w:rPr>
                        <w:rFonts w:eastAsia="Calibri"/>
                        <w:color w:val="000000"/>
                        <w:position w:val="-14"/>
                        <w:szCs w:val="22"/>
                      </w:rPr>
                      <w:object w:dxaOrig="1200" w:dyaOrig="372">
                        <v:shape id="_x0000_i1875" type="#_x0000_t75" style="width:60.65pt;height:17.8pt" o:ole="">
                          <v:imagedata r:id="rId77" o:title=""/>
                        </v:shape>
                        <o:OLEObject Type="Embed" ProgID="Equation.3" ShapeID="_x0000_i1875" DrawAspect="Content" ObjectID="_0000000001" r:id="rId78"/>
                      </w:object>
                    </w:r>
                    <w:r>
                      <w:rPr>
                        <w:color w:val="000000"/>
                        <w:lang w:eastAsia="lt-LT"/>
                      </w:rPr>
                      <w:t>;</w:t>
                    </w:r>
                  </w:p>
                </w:tc>
                <w:tc>
                  <w:tcPr>
                    <w:tcW w:w="1182" w:type="dxa"/>
                    <w:hideMark/>
                  </w:tcPr>
                  <w:p>
                    <w:pPr>
                      <w:suppressAutoHyphens/>
                      <w:spacing w:line="276" w:lineRule="auto"/>
                      <w:jc w:val="right"/>
                      <w:rPr>
                        <w:rFonts w:eastAsia="Calibri"/>
                        <w:color w:val="000000"/>
                        <w:szCs w:val="22"/>
                      </w:rPr>
                    </w:pPr>
                    <w:r>
                      <w:rPr>
                        <w:color w:val="000000"/>
                        <w:lang w:eastAsia="lt-LT"/>
                      </w:rPr>
                      <w:t>(3.22)</w:t>
                    </w:r>
                  </w:p>
                </w:tc>
              </w:tr>
            </w:tbl>
            <w:p>
              <w:pPr>
                <w:tabs>
                  <w:tab w:val="left" w:pos="567"/>
                </w:tabs>
                <w:suppressAutoHyphens/>
                <w:jc w:val="both"/>
                <w:rPr>
                  <w:rFonts w:eastAsia="Calibri"/>
                  <w:color w:val="000000"/>
                  <w:szCs w:val="22"/>
                </w:rPr>
              </w:pPr>
              <w:r>
                <w:rPr>
                  <w:color w:val="000000"/>
                  <w:lang w:eastAsia="lt-LT"/>
                </w:rPr>
                <w:t>čia:</w:t>
                <w:tab/>
              </w:r>
              <w:r>
                <w:rPr>
                  <w:i/>
                  <w:iCs/>
                  <w:color w:val="000000"/>
                  <w:lang w:eastAsia="lt-LT"/>
                </w:rPr>
                <w:t>χ</w:t>
              </w:r>
              <w:r>
                <w:rPr>
                  <w:color w:val="000000"/>
                  <w:lang w:eastAsia="lt-LT"/>
                </w:rPr>
                <w:t xml:space="preserve"> – taškinio šiluminio tiltelio šilumos perdavimo koeficiento vertė vienam tvirtikliui (W/K). Apskaičiuojama pagal LST EN ISO 10211 [3.15] reikalavimus;</w:t>
              </w:r>
            </w:p>
            <w:p>
              <w:pPr>
                <w:suppressAutoHyphens/>
                <w:ind w:firstLine="567"/>
                <w:rPr>
                  <w:color w:val="000000"/>
                  <w:lang w:eastAsia="lt-LT"/>
                </w:rPr>
              </w:pPr>
              <w:r>
                <w:rPr>
                  <w:i/>
                  <w:iCs/>
                  <w:color w:val="000000"/>
                  <w:lang w:eastAsia="lt-LT"/>
                </w:rPr>
                <w:t>n</w:t>
              </w:r>
              <w:r>
                <w:rPr>
                  <w:i/>
                  <w:iCs/>
                  <w:color w:val="000000"/>
                  <w:vertAlign w:val="subscript"/>
                  <w:lang w:eastAsia="lt-LT"/>
                </w:rPr>
                <w:t>f</w:t>
              </w:r>
              <w:r>
                <w:rPr>
                  <w:color w:val="000000"/>
                  <w:lang w:eastAsia="lt-LT"/>
                </w:rPr>
                <w:t xml:space="preserve">  – tvirtiklių skaičius viename kvadratiniame metre atitvaros (vnt./m²).</w:t>
              </w:r>
            </w:p>
            <w:p>
              <w:pPr>
                <w:suppressAutoHyphens/>
                <w:jc w:val="right"/>
                <w:rPr>
                  <w:lang w:eastAsia="lt-LT"/>
                </w:rPr>
              </w:pPr>
              <w:r>
                <w:rPr>
                  <w:lang w:eastAsia="lt-LT"/>
                </w:rPr>
                <w:t xml:space="preserve">3.13 lentelė </w:t>
              </w:r>
            </w:p>
            <w:p>
              <w:pPr>
                <w:suppressAutoHyphens/>
                <w:jc w:val="center"/>
                <w:rPr>
                  <w:b/>
                  <w:lang w:eastAsia="lt-LT"/>
                </w:rPr>
              </w:pPr>
              <w:r>
                <w:rPr>
                  <w:b/>
                  <w:lang w:eastAsia="lt-LT"/>
                </w:rPr>
                <w:t>Metalų šilumos laidumo koeficientų vertės</w:t>
              </w:r>
            </w:p>
            <w:tbl>
              <w:tblPr>
                <w:tblW w:w="93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6120"/>
                <w:gridCol w:w="2520"/>
              </w:tblGrid>
              <w:tr>
                <w:trPr>
                  <w:trHeight w:val="255"/>
                </w:trPr>
                <w:tc>
                  <w:tcPr>
                    <w:tcW w:w="756"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2"/>
                        <w:lang w:eastAsia="lt-LT"/>
                      </w:rPr>
                    </w:pPr>
                    <w:r>
                      <w:rPr>
                        <w:lang w:eastAsia="lt-LT"/>
                      </w:rPr>
                      <w:t>Eil. Nr.</w:t>
                    </w:r>
                  </w:p>
                </w:tc>
                <w:tc>
                  <w:tcPr>
                    <w:tcW w:w="6120"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2"/>
                        <w:lang w:eastAsia="lt-LT"/>
                      </w:rPr>
                    </w:pPr>
                    <w:r>
                      <w:rPr>
                        <w:lang w:eastAsia="lt-LT"/>
                      </w:rPr>
                      <w:t>Metalo pavadinimas</w:t>
                    </w:r>
                  </w:p>
                </w:tc>
                <w:tc>
                  <w:tcPr>
                    <w:tcW w:w="2520"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lang w:eastAsia="lt-LT"/>
                      </w:rPr>
                    </w:pPr>
                    <w:r>
                      <w:rPr>
                        <w:lang w:eastAsia="lt-LT"/>
                      </w:rPr>
                      <w:t>Šilumos laidumo koeficiento vertė,</w:t>
                    </w:r>
                  </w:p>
                  <w:p>
                    <w:pPr>
                      <w:suppressAutoHyphens/>
                      <w:spacing w:line="276" w:lineRule="auto"/>
                      <w:jc w:val="center"/>
                      <w:rPr>
                        <w:rFonts w:eastAsia="Calibri"/>
                        <w:szCs w:val="22"/>
                        <w:lang w:eastAsia="lt-LT"/>
                      </w:rPr>
                    </w:pPr>
                    <w:r>
                      <w:rPr>
                        <w:i/>
                        <w:iCs/>
                        <w:lang w:eastAsia="lt-LT"/>
                      </w:rPr>
                      <w:sym w:font="Symbol" w:char="F06C"/>
                    </w:r>
                    <w:r>
                      <w:rPr>
                        <w:i/>
                        <w:vertAlign w:val="subscript"/>
                        <w:lang w:eastAsia="lt-LT"/>
                      </w:rPr>
                      <w:t>met.</w:t>
                    </w:r>
                    <w:r>
                      <w:rPr>
                        <w:lang w:eastAsia="lt-LT"/>
                      </w:rPr>
                      <w:t>, W/(m∙K)</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 xml:space="preserve">1. </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Aliuminis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221</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2.</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Aliuminio lydinys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160</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3.</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Bronza</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65</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4.</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Cinkas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110</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5.</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Plienas, cinkuotas plienas, ketus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50</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6.</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Nerūdijantysis plienas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17</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7.</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Varis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380</w:t>
                    </w:r>
                  </w:p>
                </w:tc>
              </w:tr>
              <w:tr>
                <w:trPr>
                  <w:trHeight w:val="255"/>
                </w:trPr>
                <w:tc>
                  <w:tcPr>
                    <w:tcW w:w="756"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8.</w:t>
                    </w:r>
                  </w:p>
                </w:tc>
                <w:tc>
                  <w:tcPr>
                    <w:tcW w:w="61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both"/>
                      <w:rPr>
                        <w:rFonts w:eastAsia="Calibri"/>
                        <w:szCs w:val="22"/>
                        <w:lang w:eastAsia="lt-LT"/>
                      </w:rPr>
                    </w:pPr>
                    <w:r>
                      <w:rPr>
                        <w:lang w:eastAsia="lt-LT"/>
                      </w:rPr>
                      <w:t>Žalvaris</w:t>
                    </w:r>
                  </w:p>
                </w:tc>
                <w:tc>
                  <w:tcPr>
                    <w:tcW w:w="2520" w:type="dxa"/>
                    <w:tcBorders>
                      <w:top w:val="single" w:sz="4" w:space="0" w:color="auto"/>
                      <w:left w:val="single" w:sz="4" w:space="0" w:color="auto"/>
                      <w:bottom w:val="single" w:sz="4" w:space="0" w:color="auto"/>
                      <w:right w:val="single" w:sz="4" w:space="0" w:color="auto"/>
                    </w:tcBorders>
                    <w:noWrap/>
                    <w:vAlign w:val="bottom"/>
                    <w:hideMark/>
                  </w:tcPr>
                  <w:p>
                    <w:pPr>
                      <w:suppressAutoHyphens/>
                      <w:spacing w:line="276" w:lineRule="auto"/>
                      <w:jc w:val="center"/>
                      <w:rPr>
                        <w:rFonts w:eastAsia="Calibri"/>
                        <w:szCs w:val="22"/>
                        <w:lang w:eastAsia="lt-LT"/>
                      </w:rPr>
                    </w:pPr>
                    <w:r>
                      <w:rPr>
                        <w:lang w:eastAsia="lt-LT"/>
                      </w:rPr>
                      <w:t>120</w:t>
                    </w:r>
                  </w:p>
                </w:tc>
              </w:tr>
            </w:tbl>
            <w:p>
              <w:pPr>
                <w:jc w:val="right"/>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3 pr. 9 p."/>
            <w:tag w:val="part_1b4be9c77f634d279927f10b50e26f08"/>
            <w:lock w:val="sdtLocked"/>
            <w:richText/>
          </w:sdtPr>
          <w:sdtContent>
            <w:p>
              <w:pPr>
                <w:suppressLineNumbers/>
                <w:suppressAutoHyphens/>
                <w:ind w:firstLine="567"/>
                <w:jc w:val="both"/>
                <w:rPr>
                  <w:color w:val="000000" w:themeColor="text1"/>
                  <w:spacing w:val="-4"/>
                </w:rPr>
              </w:pPr>
              <w:sdt>
                <w:sdtPr>
                  <w:alias w:val="Numeris"/>
                  <w:tag w:val="nr_1b4be9c77f634d279927f10b50e26f08"/>
                  <w:lock w:val="sdtLocked"/>
                  <w:richText/>
                </w:sdtPr>
                <w:sdtContent>
                  <w:r>
                    <w:rPr>
                      <w:color w:val="000000" w:themeColor="text1"/>
                    </w:rPr>
                    <w:t>9</w:t>
                  </w:r>
                </w:sdtContent>
              </w:sdt>
              <w:r>
                <w:rPr>
                  <w:color w:val="000000" w:themeColor="text1"/>
                </w:rPr>
                <w:t>. Kai stogo termoizoliaciniame sluoksnyje įrengiama oro kanalų sistema (3.1.</w:t>
              </w:r>
              <w:r>
                <w:rPr>
                  <w:bCs/>
                  <w:color w:val="000000" w:themeColor="text1"/>
                </w:rPr>
                <w:t xml:space="preserve"> pav.)</w:t>
              </w:r>
              <w:r>
                <w:rPr>
                  <w:color w:val="000000" w:themeColor="text1"/>
                </w:rPr>
                <w:t xml:space="preserve">, į kurią išorės oras patenka per stogo dangoje įrengtus vėdinimo kaminėlius, tokia stogo konstrukcija priskiriama vėdinamoms atitvaroms. Šio tipo stogo šilumos perdavimo koeficientas apskaičiuojamas 8 punkte nurodyta tvarka laikant, kad sluoksnio </w:t>
              </w:r>
              <w:r>
                <w:rPr>
                  <w:i/>
                  <w:color w:val="000000" w:themeColor="text1"/>
                </w:rPr>
                <w:t>d</w:t>
              </w:r>
              <w:r>
                <w:rPr>
                  <w:i/>
                  <w:color w:val="000000" w:themeColor="text1"/>
                  <w:vertAlign w:val="subscript"/>
                </w:rPr>
                <w:t>2</w:t>
              </w:r>
              <w:r>
                <w:rPr>
                  <w:color w:val="000000" w:themeColor="text1"/>
                </w:rPr>
                <w:t xml:space="preserve"> šiluminė varža </w:t>
              </w:r>
              <w:r>
                <w:rPr>
                  <w:i/>
                  <w:color w:val="000000" w:themeColor="text1"/>
                </w:rPr>
                <w:t>R</w:t>
              </w:r>
              <w:r>
                <w:rPr>
                  <w:i/>
                  <w:color w:val="000000" w:themeColor="text1"/>
                  <w:vertAlign w:val="subscript"/>
                </w:rPr>
                <w:t>s2</w:t>
              </w:r>
              <w:r>
                <w:rPr>
                  <w:color w:val="000000" w:themeColor="text1"/>
                </w:rPr>
                <w:t xml:space="preserve"> (</w:t>
              </w:r>
              <w:r>
                <w:rPr>
                  <w:color w:val="000000" w:themeColor="text1"/>
                  <w:spacing w:val="-6"/>
                </w:rPr>
                <w:t>m²</w:t>
              </w:r>
              <w:r>
                <w:rPr>
                  <w:color w:val="000000" w:themeColor="text1"/>
                </w:rPr>
                <w:sym w:font="Symbol" w:char="F0D7"/>
                <w:t>K/W), be šį sluoksnį kertančių tvirtiklių įtakos, apskaičiuojama taip:</w:t>
              </w:r>
            </w:p>
            <w:tbl>
              <w:tblPr>
                <w:tblW w:w="0" w:type="auto"/>
                <w:tblLook w:val="01E0" w:firstRow="1" w:lastRow="1" w:firstColumn="1" w:lastColumn="1" w:noHBand="0" w:noVBand="0"/>
              </w:tblPr>
              <w:tblGrid>
                <w:gridCol w:w="8427"/>
                <w:gridCol w:w="1143"/>
              </w:tblGrid>
              <w:tr>
                <w:tc>
                  <w:tcPr>
                    <w:tcW w:w="8427" w:type="dxa"/>
                    <w:vAlign w:val="center"/>
                    <w:hideMark/>
                  </w:tcPr>
                  <w:p>
                    <w:pPr>
                      <w:spacing w:line="276" w:lineRule="auto"/>
                      <w:jc w:val="center"/>
                      <w:rPr>
                        <w:rFonts w:eastAsia="Calibri"/>
                        <w:color w:val="000000" w:themeColor="text1"/>
                        <w:szCs w:val="22"/>
                      </w:rPr>
                    </w:pPr>
                    <w:r>
                      <w:rPr>
                        <w:rFonts w:eastAsia="Calibri"/>
                        <w:color w:val="000000" w:themeColor="text1"/>
                        <w:spacing w:val="-4"/>
                        <w:position w:val="-28"/>
                        <w:szCs w:val="22"/>
                      </w:rPr>
                      <w:object w:dxaOrig="1536" w:dyaOrig="648">
                        <v:shape id="_x0000_i1876" type="#_x0000_t75" style="width:77.65pt;height:32.35pt" o:ole="">
                          <v:imagedata r:id="rId79" o:title=""/>
                        </v:shape>
                        <o:OLEObject Type="Embed" ProgID="Equation.3" ShapeID="_x0000_i1876" DrawAspect="Content" ObjectID="_0000000001" r:id="rId80"/>
                      </w:object>
                    </w:r>
                    <w:r>
                      <w:rPr>
                        <w:bCs/>
                        <w:color w:val="000000" w:themeColor="text1"/>
                      </w:rPr>
                      <w:t>;</w:t>
                    </w:r>
                  </w:p>
                </w:tc>
                <w:tc>
                  <w:tcPr>
                    <w:tcW w:w="1143" w:type="dxa"/>
                    <w:vAlign w:val="center"/>
                    <w:hideMark/>
                  </w:tcPr>
                  <w:p>
                    <w:pPr>
                      <w:spacing w:line="276" w:lineRule="auto"/>
                      <w:jc w:val="right"/>
                      <w:rPr>
                        <w:rFonts w:eastAsia="Calibri"/>
                        <w:color w:val="000000" w:themeColor="text1"/>
                        <w:szCs w:val="22"/>
                      </w:rPr>
                    </w:pPr>
                    <w:r>
                      <w:rPr>
                        <w:color w:val="000000" w:themeColor="text1"/>
                      </w:rPr>
                      <w:t>(3.23)</w:t>
                    </w:r>
                  </w:p>
                </w:tc>
              </w:tr>
            </w:tbl>
            <w:p>
              <w:pPr>
                <w:suppressLineNumbers/>
                <w:tabs>
                  <w:tab w:val="left" w:pos="567"/>
                </w:tabs>
                <w:suppressAutoHyphens/>
                <w:rPr>
                  <w:rFonts w:eastAsia="Calibri"/>
                  <w:color w:val="000000" w:themeColor="text1"/>
                  <w:szCs w:val="22"/>
                </w:rPr>
              </w:pPr>
              <w:r>
                <w:rPr>
                  <w:bCs/>
                  <w:color w:val="000000" w:themeColor="text1"/>
                </w:rPr>
                <w:t xml:space="preserve">čia: </w:t>
                <w:tab/>
              </w:r>
              <w:r>
                <w:rPr>
                  <w:i/>
                  <w:color w:val="000000" w:themeColor="text1"/>
                </w:rPr>
                <w:t>λ</w:t>
              </w:r>
              <w:r>
                <w:rPr>
                  <w:i/>
                  <w:color w:val="000000" w:themeColor="text1"/>
                  <w:vertAlign w:val="subscript"/>
                </w:rPr>
                <w:t>ds</w:t>
              </w:r>
              <w:r>
                <w:rPr>
                  <w:color w:val="000000" w:themeColor="text1"/>
                </w:rPr>
                <w:t xml:space="preserve"> – sluoksnio </w:t>
              </w:r>
              <w:r>
                <w:rPr>
                  <w:i/>
                  <w:color w:val="000000" w:themeColor="text1"/>
                </w:rPr>
                <w:t>d</w:t>
              </w:r>
              <w:r>
                <w:rPr>
                  <w:i/>
                  <w:color w:val="000000" w:themeColor="text1"/>
                  <w:vertAlign w:val="subscript"/>
                </w:rPr>
                <w:t>2</w:t>
              </w:r>
              <w:r>
                <w:rPr>
                  <w:color w:val="000000" w:themeColor="text1"/>
                </w:rPr>
                <w:t xml:space="preserve"> projektinis šilumos laidumo koeficientas (W/(m</w:t>
                <w:sym w:font="SymbolPS" w:char="F0D7"/>
                <w:t xml:space="preserve">K)). </w:t>
              </w:r>
            </w:p>
            <w:p>
              <w:pPr>
                <w:suppressLineNumbers/>
                <w:suppressAutoHyphens/>
                <w:jc w:val="center"/>
                <w:rPr>
                  <w:color w:val="000000" w:themeColor="text1"/>
                  <w:spacing w:val="-4"/>
                </w:rPr>
              </w:pPr>
            </w:p>
            <w:p>
              <w:pPr>
                <w:suppressLineNumbers/>
                <w:suppressAutoHyphens/>
                <w:jc w:val="center"/>
                <w:rPr>
                  <w:color w:val="000000" w:themeColor="text1"/>
                  <w:spacing w:val="-4"/>
                </w:rPr>
              </w:pPr>
              <w:r>
                <w:rPr>
                  <w:color w:val="000000" w:themeColor="text1"/>
                  <w:spacing w:val="-4"/>
                  <w:lang w:eastAsia="lt-LT"/>
                </w:rPr>
                <w:drawing>
                  <wp:inline distT="0" distB="0" distL="0" distR="0">
                    <wp:extent cx="2933700" cy="1440180"/>
                    <wp:effectExtent l="0" t="0" r="0" b="7620"/>
                    <wp:docPr id="18" name="Paveikslėlis 18" descr="Stogas su grioveliais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togas su grioveliais 201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933700" cy="1440180"/>
                            </a:xfrm>
                            <a:prstGeom prst="rect">
                              <a:avLst/>
                            </a:prstGeom>
                            <a:noFill/>
                            <a:ln>
                              <a:noFill/>
                            </a:ln>
                          </pic:spPr>
                        </pic:pic>
                      </a:graphicData>
                    </a:graphic>
                  </wp:inline>
                </w:drawing>
              </w:r>
            </w:p>
            <w:sdt>
              <w:sdtPr>
                <w:alias w:val="3 pr. 3.1 pp."/>
                <w:tag w:val="part_49fcd4c63ffc4b75862f12e671f7cca3"/>
                <w:lock w:val="sdtLocked"/>
                <w:richText/>
              </w:sdtPr>
              <w:sdtContent>
                <w:p>
                  <w:pPr>
                    <w:suppressLineNumbers/>
                    <w:suppressAutoHyphens/>
                    <w:jc w:val="both"/>
                    <w:rPr>
                      <w:color w:val="000000" w:themeColor="text1"/>
                      <w:spacing w:val="-4"/>
                    </w:rPr>
                  </w:pPr>
                  <w:sdt>
                    <w:sdtPr>
                      <w:alias w:val="Numeris"/>
                      <w:tag w:val="nr_49fcd4c63ffc4b75862f12e671f7cca3"/>
                      <w:lock w:val="sdtLocked"/>
                      <w:richText/>
                    </w:sdtPr>
                    <w:sdtContent>
                      <w:r>
                        <w:rPr>
                          <w:color w:val="000000" w:themeColor="text1"/>
                        </w:rPr>
                        <w:t>3.1</w:t>
                      </w:r>
                    </w:sdtContent>
                  </w:sdt>
                  <w:r>
                    <w:rPr>
                      <w:color w:val="000000" w:themeColor="text1"/>
                    </w:rPr>
                    <w:t xml:space="preserve">. pav. Stogo atitvaros su oro kanalų sistema schema. Termoizoliacinio sluoksnio viršuje kas </w:t>
                  </w:r>
                  <w:smartTag w:uri="urn:schemas-microsoft-com:office:smarttags" w:element="metricconverter">
                    <w:smartTagPr>
                      <w:attr w:name="ProductID" w:val="200 mm"/>
                    </w:smartTagPr>
                    <w:r>
                      <w:rPr>
                        <w:color w:val="000000" w:themeColor="text1"/>
                      </w:rPr>
                      <w:t>200 mm</w:t>
                    </w:r>
                  </w:smartTag>
                  <w:r>
                    <w:rPr>
                      <w:color w:val="000000" w:themeColor="text1"/>
                    </w:rPr>
                    <w:t xml:space="preserve"> įrengti 20x50 mm ar 30x20 mm oro kanalai, kurie uždengti </w:t>
                  </w:r>
                  <w:smartTag w:uri="urn:schemas-microsoft-com:office:smarttags" w:element="metricconverter">
                    <w:smartTagPr>
                      <w:attr w:name="ProductID" w:val="20 mm"/>
                    </w:smartTagPr>
                    <w:r>
                      <w:rPr>
                        <w:color w:val="000000" w:themeColor="text1"/>
                      </w:rPr>
                      <w:t>20 mm</w:t>
                    </w:r>
                  </w:smartTag>
                  <w:r>
                    <w:rPr>
                      <w:color w:val="000000" w:themeColor="text1"/>
                    </w:rPr>
                    <w:t xml:space="preserve"> storio termoizoliacine plokšte. Oro kanalais cirkuliuoja išorės oras. </w:t>
                  </w:r>
                </w:p>
                <w:p>
                  <w:pPr>
                    <w:rPr>
                      <w:color w:val="000000" w:themeColor="text1"/>
                    </w:rPr>
                  </w:pPr>
                </w:p>
              </w:sdtContent>
            </w:sdt>
          </w:sdtContent>
        </w:sdt>
        <w:sdt>
          <w:sdtPr>
            <w:alias w:val="3 pr. 10 p."/>
            <w:tag w:val="part_ad5c36711bdd48eea1a4e0928e1a8826"/>
            <w:lock w:val="sdtLocked"/>
            <w:richText/>
          </w:sdtPr>
          <w:sdtContent>
            <w:p>
              <w:pPr>
                <w:ind w:firstLine="570"/>
                <w:jc w:val="both"/>
              </w:pPr>
              <w:sdt>
                <w:sdtPr>
                  <w:alias w:val="Numeris"/>
                  <w:tag w:val="nr_ad5c36711bdd48eea1a4e0928e1a8826"/>
                  <w:lock w:val="sdtLocked"/>
                  <w:richText/>
                </w:sdtPr>
                <w:sdtContent>
                  <w:r>
                    <w:rPr>
                      <w:rFonts w:eastAsia="Calibri"/>
                      <w:szCs w:val="24"/>
                    </w:rPr>
                    <w:t>10</w:t>
                  </w:r>
                </w:sdtContent>
              </w:sdt>
              <w:r>
                <w:rPr>
                  <w:rFonts w:eastAsia="Calibri"/>
                  <w:szCs w:val="24"/>
                </w:rPr>
                <w:t>. Pastato energinio naudingumo skaičiavimuose, kai mūro gaminių gamintojas pagal LST EN 1745 [3.41] nustatytus reikalavimus nedeklaruoja šių gaminių mūro projektinės šilumos laidumo koeficiento vertės, ši vertė turi būti nustatyta pagal šio priedo 3, 4 arba 5 punktų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6264d09d3311e79127a823199cc174">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2017-09-18,
paskelbta TAR 2017-09-19, i. k. 2017-14813            </w:t>
              </w:r>
            </w:p>
            <w:p/>
          </w:sdtContent>
        </w:sdt>
        <w:sdt>
          <w:sdtPr>
            <w:alias w:val="11 p."/>
            <w:tag w:val="part_9f9e71781a784ae08155f4953bbfd60a"/>
            <w:lock w:val="sdtLocked"/>
            <w:richText/>
          </w:sdtPr>
          <w:sdtContent>
            <w:p>
              <w:pPr>
                <w:tabs>
                  <w:tab w:val="left" w:pos="8296"/>
                </w:tabs>
                <w:suppressAutoHyphens/>
                <w:ind w:firstLine="567"/>
                <w:jc w:val="both"/>
                <w:rPr>
                  <w:lang w:eastAsia="lt-LT"/>
                </w:rPr>
              </w:pPr>
              <w:sdt>
                <w:sdtPr>
                  <w:alias w:val="Numeris"/>
                  <w:tag w:val="nr_9f9e71781a784ae08155f4953bbfd60a"/>
                  <w:lock w:val="sdtLocked"/>
                  <w:richText/>
                </w:sdtPr>
                <w:sdtContent>
                  <w:r>
                    <w:rPr>
                      <w:lang w:eastAsia="lt-LT"/>
                    </w:rPr>
                    <w:t>11</w:t>
                  </w:r>
                </w:sdtContent>
              </w:sdt>
              <w:r>
                <w:rPr>
                  <w:lang w:eastAsia="lt-LT"/>
                </w:rPr>
                <w:t>. Jei sertifikuojamame pastate yra apdarinės sienos, kurių šiluminės savybės nežinomos, šių sienų atskirų elementų (langų, kitų skaidrių atitvarų, durų, vartų, nepermatomos dalies – „sienų“, ilginių šiluminių tiltelių) savybės turi būti įvertintos taip:</w:t>
              </w:r>
            </w:p>
            <w:sdt>
              <w:sdtPr>
                <w:alias w:val="11.1 pp."/>
                <w:tag w:val="part_9db9afcd2dbf451a80965bb53cad44be"/>
                <w:lock w:val="sdtLocked"/>
                <w:richText/>
              </w:sdtPr>
              <w:sdtContent>
                <w:p>
                  <w:pPr>
                    <w:tabs>
                      <w:tab w:val="left" w:pos="8296"/>
                    </w:tabs>
                    <w:suppressAutoHyphens/>
                    <w:ind w:firstLine="567"/>
                    <w:jc w:val="both"/>
                    <w:rPr>
                      <w:lang w:eastAsia="lt-LT"/>
                    </w:rPr>
                  </w:pPr>
                  <w:sdt>
                    <w:sdtPr>
                      <w:alias w:val="Numeris"/>
                      <w:tag w:val="nr_9db9afcd2dbf451a80965bb53cad44be"/>
                      <w:lock w:val="sdtLocked"/>
                      <w:richText/>
                    </w:sdtPr>
                    <w:sdtContent>
                      <w:r>
                        <w:rPr>
                          <w:lang w:eastAsia="lt-LT"/>
                        </w:rPr>
                        <w:t>11.1</w:t>
                      </w:r>
                    </w:sdtContent>
                  </w:sdt>
                  <w:r>
                    <w:rPr>
                      <w:lang w:eastAsia="lt-LT"/>
                    </w:rPr>
                    <w:t>. langų, kitų skaidrių atitvarų, durų ir vartų šiluminės savybės turi būti įvertintos pagal Reglamento 3 priedo reikalavimus;</w:t>
                  </w:r>
                </w:p>
              </w:sdtContent>
            </w:sdt>
            <w:sdt>
              <w:sdtPr>
                <w:alias w:val="11.2 pp."/>
                <w:tag w:val="part_e91293bd86134aa2bfa7fa7ec2ef9d92"/>
                <w:lock w:val="sdtLocked"/>
                <w:richText/>
              </w:sdtPr>
              <w:sdtContent>
                <w:p>
                  <w:pPr>
                    <w:tabs>
                      <w:tab w:val="left" w:pos="8296"/>
                    </w:tabs>
                    <w:suppressAutoHyphens/>
                    <w:ind w:firstLine="567"/>
                    <w:jc w:val="both"/>
                    <w:rPr>
                      <w:lang w:eastAsia="lt-LT"/>
                    </w:rPr>
                  </w:pPr>
                  <w:sdt>
                    <w:sdtPr>
                      <w:alias w:val="Numeris"/>
                      <w:tag w:val="nr_e91293bd86134aa2bfa7fa7ec2ef9d92"/>
                      <w:lock w:val="sdtLocked"/>
                      <w:richText/>
                    </w:sdtPr>
                    <w:sdtContent>
                      <w:r>
                        <w:rPr>
                          <w:lang w:eastAsia="lt-LT"/>
                        </w:rPr>
                        <w:t>11.2</w:t>
                      </w:r>
                    </w:sdtContent>
                  </w:sdt>
                  <w:r>
                    <w:rPr>
                      <w:lang w:eastAsia="lt-LT"/>
                    </w:rPr>
                    <w:t xml:space="preserve">. apdarinių sienų nepermatomos dalies („sienų“) šilumos perdavimo koeficiento </w:t>
                  </w:r>
                  <w:r>
                    <w:rPr>
                      <w:i/>
                      <w:iCs/>
                      <w:lang w:eastAsia="lt-LT"/>
                    </w:rPr>
                    <w:t>U</w:t>
                  </w:r>
                  <w:r>
                    <w:rPr>
                      <w:i/>
                      <w:iCs/>
                      <w:vertAlign w:val="subscript"/>
                      <w:lang w:eastAsia="lt-LT"/>
                    </w:rPr>
                    <w:t>w</w:t>
                  </w:r>
                  <w:r>
                    <w:rPr>
                      <w:i/>
                      <w:iCs/>
                      <w:lang w:eastAsia="lt-LT"/>
                    </w:rPr>
                    <w:t xml:space="preserve"> </w:t>
                  </w:r>
                  <w:r>
                    <w:rPr>
                      <w:lang w:eastAsia="lt-LT"/>
                    </w:rPr>
                    <w:t>(W/(m²·K)) vertė turi būti apskaičiuota taip:</w:t>
                  </w:r>
                </w:p>
                <w:p>
                  <w:pPr>
                    <w:tabs>
                      <w:tab w:val="left" w:pos="8296"/>
                    </w:tabs>
                    <w:suppressAutoHyphens/>
                    <w:ind w:firstLine="567"/>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0"/>
                    <w:gridCol w:w="1129"/>
                  </w:tblGrid>
                  <w:tr>
                    <w:tc>
                      <w:tcPr>
                        <w:tcW w:w="8500" w:type="dxa"/>
                        <w:tcBorders>
                          <w:top w:val="nil"/>
                          <w:left w:val="nil"/>
                          <w:bottom w:val="nil"/>
                          <w:right w:val="nil"/>
                        </w:tcBorders>
                      </w:tcPr>
                      <w:p>
                        <w:pPr>
                          <w:tabs>
                            <w:tab w:val="left" w:pos="8296"/>
                          </w:tabs>
                          <w:suppressAutoHyphens/>
                          <w:ind w:firstLine="62"/>
                          <w:jc w:val="center"/>
                          <w:rPr>
                            <w:lang w:eastAsia="lt-LT"/>
                          </w:rPr>
                        </w:pPr>
                        <m:oMathPara>
                          <m:oMath>
                            <m:sSub>
                              <m:sSubPr>
                                <m:ctrlPr>
                                  <w:rPr>
                                    <w:rFonts w:ascii="Cambria Math" w:hAnsi="Cambria Math"/>
                                    <w:i/>
                                    <w:lang w:eastAsia="lt-LT"/>
                                  </w:rPr>
                                </m:ctrlPr>
                              </m:sSubPr>
                              <m:e>
                                <m:r>
                                  <w:rPr>
                                    <w:rFonts w:ascii="Cambria Math" w:hAnsi="Cambria Math"/>
                                    <w:lang w:eastAsia="lt-LT"/>
                                  </w:rPr>
                                  <m:t>U</m:t>
                                </m:r>
                              </m:e>
                              <m:sub>
                                <m:r>
                                  <w:rPr>
                                    <w:rFonts w:ascii="Cambria Math" w:hAnsi="Cambria Math"/>
                                    <w:lang w:eastAsia="lt-LT"/>
                                  </w:rPr>
                                  <m:t>w</m:t>
                                </m:r>
                              </m:sub>
                            </m:sSub>
                            <m:r>
                              <w:rPr>
                                <w:rFonts w:ascii="Cambria Math" w:hAnsi="Cambria Math"/>
                                <w:lang w:eastAsia="lt-LT"/>
                              </w:rPr>
                              <m:t>=1,49∙</m:t>
                            </m:r>
                            <m:sSup>
                              <m:sSupPr>
                                <m:ctrlPr>
                                  <w:rPr>
                                    <w:rFonts w:ascii="Cambria Math" w:hAnsi="Cambria Math"/>
                                    <w:i/>
                                    <w:lang w:eastAsia="lt-LT"/>
                                  </w:rPr>
                                </m:ctrlPr>
                              </m:sSupPr>
                              <m:e>
                                <m:r>
                                  <w:rPr>
                                    <w:rFonts w:ascii="Cambria Math" w:hAnsi="Cambria Math"/>
                                    <w:lang w:eastAsia="lt-LT"/>
                                  </w:rPr>
                                  <m:t>δ</m:t>
                                </m:r>
                              </m:e>
                              <m:sup>
                                <m:r>
                                  <w:rPr>
                                    <w:rFonts w:ascii="Cambria Math" w:hAnsi="Cambria Math"/>
                                    <w:lang w:eastAsia="lt-LT"/>
                                  </w:rPr>
                                  <m:t>2</m:t>
                                </m:r>
                              </m:sup>
                            </m:sSup>
                            <m:r>
                              <w:rPr>
                                <w:rFonts w:ascii="Cambria Math" w:hAnsi="Cambria Math"/>
                                <w:lang w:eastAsia="lt-LT"/>
                              </w:rPr>
                              <m:t>-1,44∙δ+0,6</m:t>
                            </m:r>
                          </m:oMath>
                        </m:oMathPara>
                      </w:p>
                    </w:tc>
                    <w:tc>
                      <w:tcPr>
                        <w:tcW w:w="1129" w:type="dxa"/>
                        <w:tcBorders>
                          <w:top w:val="nil"/>
                          <w:left w:val="nil"/>
                          <w:bottom w:val="nil"/>
                          <w:right w:val="nil"/>
                        </w:tcBorders>
                      </w:tcPr>
                      <w:p>
                        <w:pPr>
                          <w:tabs>
                            <w:tab w:val="left" w:pos="8296"/>
                          </w:tabs>
                          <w:suppressAutoHyphens/>
                          <w:jc w:val="right"/>
                          <w:rPr>
                            <w:lang w:eastAsia="lt-LT"/>
                          </w:rPr>
                        </w:pPr>
                        <w:r>
                          <w:rPr>
                            <w:lang w:eastAsia="lt-LT"/>
                          </w:rPr>
                          <w:t>(3.24)</w:t>
                        </w:r>
                      </w:p>
                    </w:tc>
                  </w:tr>
                </w:tbl>
                <w:p>
                  <w:pPr>
                    <w:tabs>
                      <w:tab w:val="left" w:pos="851"/>
                      <w:tab w:val="left" w:pos="8296"/>
                    </w:tabs>
                    <w:suppressAutoHyphens/>
                    <w:jc w:val="both"/>
                    <w:rPr>
                      <w:lang w:eastAsia="lt-LT"/>
                    </w:rPr>
                  </w:pPr>
                  <w:r>
                    <w:rPr>
                      <w:lang w:eastAsia="lt-LT"/>
                    </w:rPr>
                    <w:t xml:space="preserve">čia: </w:t>
                    <w:tab/>
                    <w:sym w:font="Symbol" w:char="F064"/>
                    <w:t xml:space="preserve"> - nepermatomos apdarinių sienų dalies („sienų“) storis, m.</w:t>
                  </w:r>
                </w:p>
              </w:sdtContent>
            </w:sdt>
            <w:sdt>
              <w:sdtPr>
                <w:alias w:val="11.3 pp."/>
                <w:tag w:val="part_0050a6740977492782315fe5fe040a6c"/>
                <w:lock w:val="sdtLocked"/>
                <w:richText/>
              </w:sdtPr>
              <w:sdtContent>
                <w:p>
                  <w:pPr>
                    <w:tabs>
                      <w:tab w:val="left" w:pos="8296"/>
                    </w:tabs>
                    <w:suppressAutoHyphens/>
                    <w:ind w:firstLine="567"/>
                    <w:jc w:val="both"/>
                  </w:pPr>
                  <w:sdt>
                    <w:sdtPr>
                      <w:alias w:val="Numeris"/>
                      <w:tag w:val="nr_0050a6740977492782315fe5fe040a6c"/>
                      <w:lock w:val="sdtLocked"/>
                      <w:richText/>
                    </w:sdtPr>
                    <w:sdtContent>
                      <w:r>
                        <w:rPr>
                          <w:szCs w:val="24"/>
                          <w:lang w:eastAsia="lt-LT"/>
                        </w:rPr>
                        <w:t>11.3</w:t>
                      </w:r>
                    </w:sdtContent>
                  </w:sdt>
                  <w:r>
                    <w:rPr>
                      <w:szCs w:val="24"/>
                      <w:lang w:eastAsia="lt-LT"/>
                    </w:rPr>
                    <w:t>. turi būti įvertinti visi apdarinėje sienoje esantys Reglamento 2 priedo X skyriuje išvardinti ilginiai šiluminiai tilteliai, o šių tiltelių šilumos perdavimo koeficientų vertės turi būti imamos iš Reglamento 6 priedo 6.1 lentelės.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pabaiga"/>
            <w:tag w:val="part_e78e7dcd64d541d1a1604434313255af"/>
            <w:lock w:val="sdtLocked"/>
            <w:richText/>
          </w:sdtPr>
          <w:sdtContent>
            <w:p>
              <w:pPr>
                <w:jc w:val="center"/>
                <w:rPr>
                  <w:color w:val="000000" w:themeColor="text1"/>
                </w:rPr>
              </w:pPr>
              <w:r>
                <w:rPr>
                  <w:color w:val="000000" w:themeColor="text1"/>
                </w:rPr>
                <w:t>_____________</w:t>
              </w:r>
            </w:p>
          </w:sdtContent>
        </w:sdt>
      </w:sdtContent>
    </w:sdt>
    <w:sdt>
      <w:sdtPr>
        <w:alias w:val="4 pr."/>
        <w:tag w:val="part_af3dabd59b3c44c48d0b8c25609c4915"/>
        <w:lock w:val="sdtLocked"/>
        <w:richText/>
      </w:sdtPr>
      <w:sdtContent>
        <w:p>
          <w:pPr>
            <w:tabs>
              <w:tab w:val="left" w:pos="4536"/>
            </w:tabs>
            <w:ind w:left="4536" w:firstLine="709"/>
            <w:sectPr>
              <w:pgSz w:w="11905" w:h="16837"/>
              <w:pgMar w:top="851" w:right="565" w:bottom="851" w:left="1701" w:header="567" w:footer="567" w:gutter="0"/>
              <w:pgNumType w:start="1"/>
              <w:cols w:space="1296"/>
              <w:titlePg/>
              <w:docGrid w:linePitch="326"/>
            </w:sectPr>
          </w:pPr>
        </w:p>
        <w:p>
          <w:pPr>
            <w:tabs>
              <w:tab w:val="left" w:pos="4536"/>
            </w:tabs>
            <w:ind w:left="4536" w:firstLine="709"/>
            <w:rPr>
              <w:color w:val="000000" w:themeColor="text1"/>
            </w:rPr>
          </w:pPr>
          <w:r>
            <w:rPr>
              <w:color w:val="000000" w:themeColor="text1"/>
            </w:rPr>
            <w:t xml:space="preserve">Statybos techninio reglamento </w:t>
          </w:r>
        </w:p>
        <w:p>
          <w:pPr>
            <w:ind w:left="5245"/>
            <w:rPr>
              <w:color w:val="000000" w:themeColor="text1"/>
            </w:rPr>
          </w:pPr>
          <w:r>
            <w:rPr>
              <w:color w:val="000000" w:themeColor="text1"/>
            </w:rPr>
            <w:t>STR 2.01.02:2016 „Pastatų energinio naudingumo projektavimas ir sertifikavimas“</w:t>
          </w:r>
        </w:p>
        <w:p>
          <w:pPr>
            <w:ind w:left="5245"/>
            <w:rPr>
              <w:color w:val="000000" w:themeColor="text1"/>
              <w:sz w:val="20"/>
            </w:rPr>
          </w:pPr>
          <w:sdt>
            <w:sdtPr>
              <w:alias w:val="Numeris"/>
              <w:tag w:val="nr_af3dabd59b3c44c48d0b8c25609c4915"/>
              <w:lock w:val="sdtLocked"/>
              <w:richText/>
            </w:sdtPr>
            <w:sdtContent>
              <w:r>
                <w:rPr>
                  <w:color w:val="000000" w:themeColor="text1"/>
                </w:rPr>
                <w:t>4</w:t>
              </w:r>
            </w:sdtContent>
          </w:sdt>
          <w:r>
            <w:rPr>
              <w:color w:val="000000" w:themeColor="text1"/>
            </w:rPr>
            <w:t xml:space="preserve"> priedas</w:t>
          </w:r>
          <w:r>
            <w:rPr>
              <w:color w:val="000000" w:themeColor="text1"/>
              <w:sz w:val="20"/>
            </w:rPr>
            <w:t xml:space="preserve"> </w:t>
          </w:r>
        </w:p>
        <w:p>
          <w:pPr>
            <w:ind w:left="4253" w:firstLine="283"/>
            <w:rPr>
              <w:color w:val="000000" w:themeColor="text1"/>
              <w:sz w:val="20"/>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af3dabd59b3c44c48d0b8c25609c4915"/>
              <w:lock w:val="sdtLocked"/>
              <w:richText/>
            </w:sdtPr>
            <w:sdtContent>
              <w:r>
                <w:rPr>
                  <w:rFonts w:ascii="Times New Roman Bold" w:hAnsi="Times New Roman Bold"/>
                  <w:b/>
                  <w:caps/>
                  <w:color w:val="000000" w:themeColor="text1"/>
                  <w:sz w:val="4"/>
                  <w:szCs w:val="4"/>
                  <w:lang w:eastAsia="lt-LT"/>
                </w:rPr>
                <w:t>4 priedas.</w:t>
              </w:r>
              <w:r>
                <w:rPr>
                  <w:rFonts w:ascii="Times New Roman Bold" w:hAnsi="Times New Roman Bold"/>
                  <w:b/>
                  <w:caps/>
                  <w:color w:val="000000" w:themeColor="text1"/>
                  <w:lang w:eastAsia="lt-LT"/>
                </w:rPr>
                <w:t xml:space="preserve"> Langų, stoglangių, švieslangių, kitų skaidrių atitvarų, durų ir vartų šiluminių techninių rodiklių vertės pastatų energinio naudingumo skaičiavimams </w:t>
              </w:r>
            </w:sdtContent>
          </w:sdt>
        </w:p>
        <w:p>
          <w:pPr>
            <w:rPr>
              <w:color w:val="000000" w:themeColor="text1"/>
              <w:sz w:val="10"/>
              <w:szCs w:val="10"/>
            </w:rPr>
          </w:pPr>
        </w:p>
        <w:p>
          <w:pPr>
            <w:rPr>
              <w:color w:val="000000" w:themeColor="text1"/>
            </w:rPr>
          </w:pPr>
        </w:p>
        <w:sdt>
          <w:sdtPr>
            <w:alias w:val="4 pr. 1 p."/>
            <w:tag w:val="part_c3899f98919149169602da3cbf06e275"/>
            <w:lock w:val="sdtLocked"/>
            <w:richText/>
          </w:sdtPr>
          <w:sdtContent>
            <w:p>
              <w:pPr>
                <w:ind w:firstLine="567"/>
                <w:jc w:val="both"/>
                <w:rPr>
                  <w:color w:val="000000" w:themeColor="text1"/>
                </w:rPr>
              </w:pPr>
              <w:sdt>
                <w:sdtPr>
                  <w:alias w:val="Numeris"/>
                  <w:tag w:val="nr_c3899f98919149169602da3cbf06e275"/>
                  <w:lock w:val="sdtLocked"/>
                  <w:richText/>
                </w:sdtPr>
                <w:sdtContent>
                  <w:r>
                    <w:rPr>
                      <w:color w:val="000000" w:themeColor="text1"/>
                    </w:rPr>
                    <w:t>1</w:t>
                  </w:r>
                </w:sdtContent>
              </w:sdt>
              <w:r>
                <w:rPr>
                  <w:color w:val="000000" w:themeColor="text1"/>
                </w:rPr>
                <w:t xml:space="preserve">. Pastato energinio naudingumo skaičiavimuose, kai nėra langų ir stoglangių šiluminių techninių rodiklių vertes patvirtinančių dokumentų, naudojamos 4.1 lentelėje nurodytos langų ir stoglangių šilumos perdavimo koeficiento </w:t>
              </w:r>
              <w:r>
                <w:rPr>
                  <w:i/>
                  <w:color w:val="000000" w:themeColor="text1"/>
                </w:rPr>
                <w:t>U</w:t>
              </w:r>
              <w:r>
                <w:rPr>
                  <w:i/>
                  <w:color w:val="000000" w:themeColor="text1"/>
                  <w:vertAlign w:val="subscript"/>
                </w:rPr>
                <w:t>wd</w:t>
              </w:r>
              <w:r>
                <w:rPr>
                  <w:i/>
                  <w:color w:val="000000" w:themeColor="text1"/>
                </w:rPr>
                <w:t xml:space="preserve"> </w:t>
              </w:r>
              <w:r>
                <w:rPr>
                  <w:color w:val="000000" w:themeColor="text1"/>
                </w:rPr>
                <w:t>ir</w:t>
              </w:r>
              <w:r>
                <w:rPr>
                  <w:i/>
                  <w:color w:val="000000" w:themeColor="text1"/>
                </w:rPr>
                <w:t xml:space="preserve"> U</w:t>
              </w:r>
              <w:r>
                <w:rPr>
                  <w:i/>
                  <w:color w:val="000000" w:themeColor="text1"/>
                  <w:vertAlign w:val="subscript"/>
                </w:rPr>
                <w:t>gw</w:t>
              </w:r>
              <w:r>
                <w:rPr>
                  <w:i/>
                  <w:color w:val="000000" w:themeColor="text1"/>
                </w:rPr>
                <w:t xml:space="preserve"> </w:t>
              </w:r>
              <w:r>
                <w:rPr>
                  <w:color w:val="000000" w:themeColor="text1"/>
                </w:rPr>
                <w:t>(W/(m</w:t>
              </w:r>
              <w:r>
                <w:rPr>
                  <w:color w:val="000000" w:themeColor="text1"/>
                  <w:vertAlign w:val="superscript"/>
                </w:rPr>
                <w:t>2</w:t>
              </w:r>
              <w:r>
                <w:rPr>
                  <w:color w:val="000000" w:themeColor="text1"/>
                </w:rPr>
                <w:t>∙K)), įstiklinimo</w:t>
              </w:r>
              <w:r>
                <w:rPr>
                  <w:b/>
                  <w:color w:val="000000" w:themeColor="text1"/>
                </w:rPr>
                <w:t xml:space="preserve"> </w:t>
              </w:r>
              <w:r>
                <w:rPr>
                  <w:bCs/>
                  <w:color w:val="000000" w:themeColor="text1"/>
                </w:rPr>
                <w:t>visuminės saulės energijos praleisties koeficiento</w:t>
              </w:r>
              <w:r>
                <w:rPr>
                  <w:color w:val="000000" w:themeColor="text1"/>
                </w:rPr>
                <w:t xml:space="preserve"> </w:t>
              </w:r>
              <w:r>
                <w:rPr>
                  <w:i/>
                  <w:color w:val="000000" w:themeColor="text1"/>
                </w:rPr>
                <w:t>g</w:t>
              </w:r>
              <w:r>
                <w:rPr>
                  <w:i/>
                  <w:color w:val="000000" w:themeColor="text1"/>
                  <w:vertAlign w:val="subscript"/>
                </w:rPr>
                <w:t>wd</w:t>
              </w:r>
              <w:r>
                <w:rPr>
                  <w:color w:val="000000" w:themeColor="text1"/>
                </w:rPr>
                <w:t xml:space="preserve"> ir</w:t>
              </w:r>
              <w:r>
                <w:rPr>
                  <w:i/>
                  <w:color w:val="000000" w:themeColor="text1"/>
                </w:rPr>
                <w:t xml:space="preserve"> g</w:t>
              </w:r>
              <w:r>
                <w:rPr>
                  <w:i/>
                  <w:color w:val="000000" w:themeColor="text1"/>
                  <w:vertAlign w:val="subscript"/>
                </w:rPr>
                <w:t>gw</w:t>
              </w:r>
              <w:r>
                <w:rPr>
                  <w:color w:val="000000" w:themeColor="text1"/>
                </w:rPr>
                <w:t xml:space="preserve">, bei oro skverbties </w:t>
              </w:r>
              <w:r>
                <w:rPr>
                  <w:i/>
                  <w:color w:val="000000" w:themeColor="text1"/>
                </w:rPr>
                <w:t>G</w:t>
              </w:r>
              <w:r>
                <w:rPr>
                  <w:i/>
                  <w:color w:val="000000" w:themeColor="text1"/>
                  <w:vertAlign w:val="subscript"/>
                </w:rPr>
                <w:t>wd</w:t>
              </w:r>
              <w:r>
                <w:rPr>
                  <w:color w:val="000000" w:themeColor="text1"/>
                </w:rPr>
                <w:t xml:space="preserve"> ir</w:t>
              </w:r>
              <w:r>
                <w:rPr>
                  <w:i/>
                  <w:color w:val="000000" w:themeColor="text1"/>
                </w:rPr>
                <w:t xml:space="preserve"> G</w:t>
              </w:r>
              <w:r>
                <w:rPr>
                  <w:i/>
                  <w:color w:val="000000" w:themeColor="text1"/>
                  <w:vertAlign w:val="subscript"/>
                </w:rPr>
                <w:t>gw</w:t>
              </w:r>
              <w:r>
                <w:rPr>
                  <w:color w:val="000000" w:themeColor="text1"/>
                </w:rPr>
                <w:t xml:space="preserve">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vertės. Jei yra langų ir stoglangių šiluminių techninių rodiklių vertes patvirtinantys dokumentai, naudojamos šiuose dokumentuose nurodytos vertės.</w:t>
              </w:r>
            </w:p>
            <w:p>
              <w:pPr>
                <w:ind w:firstLine="600"/>
                <w:rPr>
                  <w:color w:val="000000" w:themeColor="text1"/>
                  <w:sz w:val="20"/>
                </w:rPr>
              </w:pPr>
            </w:p>
            <w:sdt>
              <w:sdtPr>
                <w:alias w:val="skirsnis"/>
                <w:tag w:val="part_92f2ac067777480cb94ad58054a476a2"/>
                <w:lock w:val="sdtLocked"/>
                <w:richText/>
              </w:sdtPr>
              <w:sdtContent>
                <w:p>
                  <w:pPr>
                    <w:jc w:val="center"/>
                    <w:rPr>
                      <w:b/>
                    </w:rPr>
                  </w:pPr>
                  <w:sdt>
                    <w:sdtPr>
                      <w:alias w:val="Pavadinimas"/>
                      <w:tag w:val="title_92f2ac067777480cb94ad58054a476a2"/>
                      <w:lock w:val="sdtLocked"/>
                      <w:richText/>
                    </w:sdtPr>
                    <w:sdtContent>
                      <w:r>
                        <w:rPr>
                          <w:b/>
                        </w:rPr>
                        <w:t>Langų ir stoglangių šiluminių techninių rodiklių vertės pastatų energinio naudingumo skaičiavimams</w:t>
                      </w:r>
                    </w:sdtContent>
                  </w:sdt>
                </w:p>
                <w:sdt>
                  <w:sdtPr>
                    <w:alias w:val="lentele"/>
                    <w:tag w:val="part_987fd3b38cf4476a823976807a1d3239"/>
                    <w:lock w:val="sdtLocked"/>
                    <w:richText/>
                  </w:sdtPr>
                  <w:sdtContent>
                    <w:p>
                      <w:pPr>
                        <w:jc w:val="right"/>
                      </w:pPr>
                      <w:sdt>
                        <w:sdtPr>
                          <w:alias w:val="Numeris"/>
                          <w:tag w:val="nr_987fd3b38cf4476a823976807a1d3239"/>
                          <w:lock w:val="sdtLocked"/>
                          <w:richText/>
                        </w:sdtPr>
                        <w:sdtContent>
                          <w:r>
                            <w:t>4.1</w:t>
                          </w:r>
                        </w:sdtContent>
                      </w:sdt>
                      <w:r>
                        <w:t xml:space="preserve"> lentelė</w:t>
                      </w:r>
                    </w:p>
                    <w:tbl>
                      <w:tblPr>
                        <w:tblW w:w="5000" w:type="pct"/>
                        <w:tblLook w:val="04A0" w:firstRow="1" w:lastRow="0" w:firstColumn="1" w:lastColumn="0" w:noHBand="0" w:noVBand="1"/>
                      </w:tblPr>
                      <w:tblGrid>
                        <w:gridCol w:w="572"/>
                        <w:gridCol w:w="4259"/>
                        <w:gridCol w:w="1827"/>
                        <w:gridCol w:w="1478"/>
                        <w:gridCol w:w="1719"/>
                      </w:tblGrid>
                      <w:tr>
                        <w:trPr>
                          <w:trHeight w:val="20"/>
                        </w:trPr>
                        <w:tc>
                          <w:tcPr>
                            <w:tcW w:w="2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216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Langai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rPr>
                            </w:pPr>
                            <w:r>
                              <w:t>Šilumos perdavimo koeficientas</w:t>
                            </w:r>
                          </w:p>
                          <w:p>
                            <w:pPr>
                              <w:spacing w:line="276" w:lineRule="auto"/>
                              <w:jc w:val="center"/>
                            </w:pPr>
                            <w:r>
                              <w:rPr>
                                <w:i/>
                              </w:rPr>
                              <w:t>U</w:t>
                            </w:r>
                            <w:r>
                              <w:rPr>
                                <w:i/>
                                <w:vertAlign w:val="subscript"/>
                              </w:rPr>
                              <w:t>wd</w:t>
                            </w:r>
                            <w:r>
                              <w:t xml:space="preserve">, </w:t>
                            </w:r>
                            <w:r>
                              <w:rPr>
                                <w:i/>
                              </w:rPr>
                              <w:t>U</w:t>
                            </w:r>
                            <w:r>
                              <w:rPr>
                                <w:i/>
                                <w:vertAlign w:val="subscript"/>
                              </w:rPr>
                              <w:t>gw</w:t>
                            </w:r>
                            <w:r>
                              <w:t>,</w:t>
                            </w:r>
                          </w:p>
                          <w:p>
                            <w:pPr>
                              <w:spacing w:line="276" w:lineRule="auto"/>
                              <w:jc w:val="center"/>
                              <w:rPr>
                                <w:rFonts w:eastAsia="Calibri"/>
                                <w:szCs w:val="22"/>
                              </w:rPr>
                            </w:pPr>
                            <w:r>
                              <w:t>W/(m</w:t>
                            </w:r>
                            <w:r>
                              <w:rPr>
                                <w:vertAlign w:val="superscript"/>
                              </w:rPr>
                              <w:t>2</w:t>
                            </w:r>
                            <w:r>
                              <w:rPr>
                                <w:rFonts w:ascii="Symbol" w:hAnsi="Symbol"/>
                                <w:sz w:val="22"/>
                              </w:rPr>
                              <w:t></w:t>
                            </w:r>
                            <w:r>
                              <w:t>K)</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Įstiklinimo</w:t>
                            </w:r>
                            <w:r>
                              <w:rPr>
                                <w:b/>
                              </w:rPr>
                              <w:t xml:space="preserve"> </w:t>
                            </w:r>
                            <w:r>
                              <w:rPr>
                                <w:bCs/>
                              </w:rPr>
                              <w:t>visuminės saulės energijos praleisties koeficientas</w:t>
                            </w:r>
                            <w:r>
                              <w:t xml:space="preserve">, </w:t>
                            </w:r>
                            <w:r>
                              <w:rPr>
                                <w:i/>
                              </w:rPr>
                              <w:t>g</w:t>
                            </w:r>
                            <w:r>
                              <w:rPr>
                                <w:i/>
                                <w:vertAlign w:val="subscript"/>
                              </w:rPr>
                              <w:t>wd</w:t>
                            </w:r>
                            <w:r>
                              <w:rPr>
                                <w:i/>
                              </w:rPr>
                              <w:t>, g</w:t>
                            </w:r>
                            <w:r>
                              <w:rPr>
                                <w:i/>
                                <w:vertAlign w:val="subscript"/>
                              </w:rPr>
                              <w:t>gw</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rPr>
                            </w:pPr>
                            <w:r>
                              <w:t>Oro skverbtis</w:t>
                            </w:r>
                          </w:p>
                          <w:p>
                            <w:pPr>
                              <w:spacing w:line="276" w:lineRule="auto"/>
                              <w:jc w:val="center"/>
                            </w:pPr>
                            <w:r>
                              <w:rPr>
                                <w:i/>
                              </w:rPr>
                              <w:t>G</w:t>
                            </w:r>
                            <w:r>
                              <w:rPr>
                                <w:i/>
                                <w:vertAlign w:val="subscript"/>
                              </w:rPr>
                              <w:t>wd</w:t>
                            </w:r>
                            <w:r>
                              <w:t>,</w:t>
                            </w:r>
                            <w:r>
                              <w:rPr>
                                <w:i/>
                              </w:rPr>
                              <w:t xml:space="preserve"> G</w:t>
                            </w:r>
                            <w:r>
                              <w:rPr>
                                <w:i/>
                                <w:vertAlign w:val="subscript"/>
                              </w:rPr>
                              <w:t>gw</w:t>
                            </w:r>
                            <w:r>
                              <w:t>,</w:t>
                            </w:r>
                          </w:p>
                          <w:p>
                            <w:pPr>
                              <w:spacing w:line="276" w:lineRule="auto"/>
                              <w:jc w:val="center"/>
                              <w:rPr>
                                <w:rFonts w:eastAsia="Calibri"/>
                                <w:szCs w:val="22"/>
                              </w:rPr>
                            </w:pPr>
                            <w:r>
                              <w:t>m</w:t>
                            </w:r>
                            <w:r>
                              <w:rPr>
                                <w:vertAlign w:val="superscript"/>
                              </w:rPr>
                              <w:t>3</w:t>
                            </w:r>
                            <w:r>
                              <w:t>/(m</w:t>
                            </w:r>
                            <w:r>
                              <w:rPr>
                                <w:vertAlign w:val="superscript"/>
                              </w:rPr>
                              <w:t>2</w:t>
                            </w:r>
                            <w:r>
                              <w:rPr>
                                <w:rFonts w:ascii="Symbol" w:hAnsi="Symbol"/>
                                <w:sz w:val="22"/>
                              </w:rPr>
                              <w:t></w:t>
                            </w:r>
                            <w:r>
                              <w:t>h)</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(pagaminti iki 1995 metų) su 1 stiklu</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2.</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(pagaminti iki 1995 metų) su 2 stiklais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0,76</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3.</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(pagaminti iki 1995 metų) su 3 stiklais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1,8</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0,71</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4.</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vienkamerinis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5.</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vienkamerinis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1,7</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0,67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6.</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dvikamerinis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7.</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dvikamerinis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1,3</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8.</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Mediniai, dvikamerinis stiklo paketas, 2 stiklai selektyviniai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9.</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(pagaminti iki 1995 metų) su 1 stiklu</w:t>
                            </w:r>
                          </w:p>
                        </w:tc>
                        <w:tc>
                          <w:tcPr>
                            <w:tcW w:w="927"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6,7</w:t>
                            </w:r>
                          </w:p>
                        </w:tc>
                        <w:tc>
                          <w:tcPr>
                            <w:tcW w:w="750"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0,87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10.</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(pagaminti iki 1995 metų) su 2 stiklais</w:t>
                            </w:r>
                          </w:p>
                        </w:tc>
                        <w:tc>
                          <w:tcPr>
                            <w:tcW w:w="927"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2,9</w:t>
                            </w:r>
                          </w:p>
                        </w:tc>
                        <w:tc>
                          <w:tcPr>
                            <w:tcW w:w="750" w:type="pct"/>
                            <w:tcBorders>
                              <w:top w:val="single" w:sz="4" w:space="0" w:color="auto"/>
                              <w:left w:val="nil"/>
                              <w:bottom w:val="single" w:sz="4" w:space="0" w:color="auto"/>
                              <w:right w:val="single" w:sz="4" w:space="0" w:color="auto"/>
                            </w:tcBorders>
                            <w:noWrap/>
                            <w:vAlign w:val="center"/>
                            <w:hideMark/>
                          </w:tcPr>
                          <w:p>
                            <w:pPr>
                              <w:spacing w:line="276" w:lineRule="auto"/>
                              <w:jc w:val="center"/>
                              <w:rPr>
                                <w:rFonts w:eastAsia="Calibri"/>
                                <w:szCs w:val="22"/>
                              </w:rPr>
                            </w:pPr>
                            <w:r>
                              <w:t>0,76</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11.</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vienkamerinis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2,9</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12.</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vienkamerinis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1,9</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0,67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ind w:firstLine="71"/>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13.</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dvikamerinis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14.</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dvikamerinis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1,7</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0,54</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15.</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Metaliniai, dvikamerinis stiklo paketas, 2 stiklai selektyviniai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16.</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su 1 stiklu</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4,5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17.</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vienkamerinis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18.</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vienkamerinis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1,7</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0,67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19.</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dvikamerinis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20.</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dvikamerinis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1,3</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r>
                        <w:trPr>
                          <w:trHeight w:val="20"/>
                        </w:trPr>
                        <w:tc>
                          <w:tcPr>
                            <w:tcW w:w="290" w:type="pct"/>
                            <w:tcBorders>
                              <w:top w:val="single" w:sz="4" w:space="0" w:color="auto"/>
                              <w:left w:val="single" w:sz="4" w:space="0" w:color="auto"/>
                              <w:bottom w:val="single" w:sz="4" w:space="0" w:color="auto"/>
                              <w:right w:val="single" w:sz="4" w:space="0" w:color="auto"/>
                            </w:tcBorders>
                            <w:noWrap/>
                            <w:hideMark/>
                          </w:tcPr>
                          <w:p>
                            <w:pPr>
                              <w:spacing w:line="276" w:lineRule="auto"/>
                              <w:jc w:val="center"/>
                              <w:rPr>
                                <w:rFonts w:eastAsia="Calibri"/>
                                <w:szCs w:val="22"/>
                              </w:rPr>
                            </w:pPr>
                            <w:r>
                              <w:t>21.</w:t>
                            </w:r>
                          </w:p>
                        </w:tc>
                        <w:tc>
                          <w:tcPr>
                            <w:tcW w:w="2161"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Plastikiniai, dvikamerinis stiklo paketas, 2 stiklai selektyviniai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9“</w:t>
                            </w:r>
                          </w:p>
                        </w:tc>
                      </w:tr>
                    </w:tbl>
                    <w:p>
                      <w:pPr>
                        <w:rPr>
                          <w:sz w:val="20"/>
                          <w:szCs w:val="22"/>
                        </w:rPr>
                      </w:pPr>
                    </w:p>
                  </w:sdtContent>
                </w:sdt>
              </w:sdtContent>
            </w:sdt>
          </w:sdtContent>
        </w:sdt>
        <w:sdt>
          <w:sdtPr>
            <w:alias w:val="4 pr. 2 p."/>
            <w:tag w:val="part_88c29c3fbe0d49c4a7fcb9fadd66c8d9"/>
            <w:lock w:val="sdtLocked"/>
            <w:richText/>
          </w:sdtPr>
          <w:sdtContent>
            <w:p>
              <w:pPr>
                <w:ind w:firstLine="567"/>
                <w:jc w:val="both"/>
                <w:rPr>
                  <w:rFonts w:eastAsia="Calibri"/>
                  <w:color w:val="000000" w:themeColor="text1"/>
                </w:rPr>
              </w:pPr>
              <w:sdt>
                <w:sdtPr>
                  <w:alias w:val="Numeris"/>
                  <w:tag w:val="nr_88c29c3fbe0d49c4a7fcb9fadd66c8d9"/>
                  <w:lock w:val="sdtLocked"/>
                  <w:richText/>
                </w:sdtPr>
                <w:sdtContent>
                  <w:r>
                    <w:rPr>
                      <w:color w:val="000000" w:themeColor="text1"/>
                    </w:rPr>
                    <w:t>2</w:t>
                  </w:r>
                </w:sdtContent>
              </w:sdt>
              <w:r>
                <w:rPr>
                  <w:color w:val="000000" w:themeColor="text1"/>
                </w:rPr>
                <w:t xml:space="preserve">. Pastato energinio naudingumo skaičiavimuose, kai nėra išorinių įėjimo durų šiluminių techninių rodiklių vertes patvirtinančių dokumentų, naudojamos 4.2 lentelėje nurodytos durų šilumos perdavimo koeficiento </w:t>
              </w:r>
              <w:r>
                <w:rPr>
                  <w:i/>
                  <w:color w:val="000000" w:themeColor="text1"/>
                </w:rPr>
                <w:t>U</w:t>
              </w:r>
              <w:r>
                <w:rPr>
                  <w:i/>
                  <w:color w:val="000000" w:themeColor="text1"/>
                  <w:vertAlign w:val="subscript"/>
                </w:rPr>
                <w:t>d1</w:t>
              </w:r>
              <w:r>
                <w:rPr>
                  <w:color w:val="000000" w:themeColor="text1"/>
                </w:rPr>
                <w:t xml:space="preserve"> (W/(m</w:t>
              </w:r>
              <w:r>
                <w:rPr>
                  <w:color w:val="000000" w:themeColor="text1"/>
                  <w:vertAlign w:val="superscript"/>
                </w:rPr>
                <w:t>2</w:t>
              </w:r>
              <w:r>
                <w:rPr>
                  <w:color w:val="000000" w:themeColor="text1"/>
                </w:rPr>
                <w:t xml:space="preserve">∙K)) ir oro skverbties </w:t>
              </w:r>
              <w:r>
                <w:rPr>
                  <w:i/>
                  <w:color w:val="000000" w:themeColor="text1"/>
                </w:rPr>
                <w:t>G</w:t>
              </w:r>
              <w:r>
                <w:rPr>
                  <w:i/>
                  <w:color w:val="000000" w:themeColor="text1"/>
                  <w:vertAlign w:val="subscript"/>
                </w:rPr>
                <w:t>d1</w:t>
              </w:r>
              <w:r>
                <w:rPr>
                  <w:color w:val="000000" w:themeColor="text1"/>
                </w:rPr>
                <w:t xml:space="preserve">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vertės. Jei yra išorinių įėjimo durų šiluminių techninių rodiklių vertes patvirtinantys dokumentai, turi būti naudojamos šiuose dokumentuose nurodytos vertės.</w:t>
              </w:r>
            </w:p>
            <w:p>
              <w:pPr>
                <w:ind w:firstLine="600"/>
                <w:rPr>
                  <w:color w:val="000000" w:themeColor="text1"/>
                </w:rPr>
              </w:pPr>
            </w:p>
            <w:sdt>
              <w:sdtPr>
                <w:alias w:val="skirsnis"/>
                <w:tag w:val="part_7efb7f6cf2464f7fb5f2b65ed9f230a5"/>
                <w:lock w:val="sdtLocked"/>
                <w:richText/>
              </w:sdtPr>
              <w:sdtContent>
                <w:p>
                  <w:pPr>
                    <w:jc w:val="center"/>
                    <w:rPr>
                      <w:b/>
                    </w:rPr>
                  </w:pPr>
                  <w:sdt>
                    <w:sdtPr>
                      <w:alias w:val="Pavadinimas"/>
                      <w:tag w:val="title_7efb7f6cf2464f7fb5f2b65ed9f230a5"/>
                      <w:lock w:val="sdtLocked"/>
                      <w:richText/>
                    </w:sdtPr>
                    <w:sdtContent>
                      <w:r>
                        <w:rPr>
                          <w:b/>
                        </w:rPr>
                        <w:t xml:space="preserve">Išorinių įėjimo durų šiluminių techninių rodiklių vertės pastatų energinio naudingumo skaičiavimams </w:t>
                      </w:r>
                    </w:sdtContent>
                  </w:sdt>
                </w:p>
                <w:sdt>
                  <w:sdtPr>
                    <w:alias w:val="lentele"/>
                    <w:tag w:val="part_fca7eefc654541dba2c40e13e52d6ec8"/>
                    <w:lock w:val="sdtLocked"/>
                    <w:richText/>
                  </w:sdtPr>
                  <w:sdtContent>
                    <w:p>
                      <w:pPr>
                        <w:jc w:val="right"/>
                        <w:rPr>
                          <w:color w:val="000000" w:themeColor="text1"/>
                        </w:rPr>
                      </w:pPr>
                      <w:sdt>
                        <w:sdtPr>
                          <w:alias w:val="Numeris"/>
                          <w:tag w:val="nr_fca7eefc654541dba2c40e13e52d6ec8"/>
                          <w:lock w:val="sdtLocked"/>
                          <w:richText/>
                        </w:sdtPr>
                        <w:sdtContent>
                          <w:r>
                            <w:rPr>
                              <w:color w:val="000000" w:themeColor="text1"/>
                            </w:rPr>
                            <w:t>4.2</w:t>
                          </w:r>
                        </w:sdtContent>
                      </w:sdt>
                      <w:r>
                        <w:rPr>
                          <w:color w:val="000000" w:themeColor="text1"/>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
                        <w:gridCol w:w="4998"/>
                        <w:gridCol w:w="1993"/>
                        <w:gridCol w:w="1867"/>
                      </w:tblGrid>
                      <w:tr>
                        <w:trPr>
                          <w:trHeight w:val="705"/>
                        </w:trPr>
                        <w:tc>
                          <w:tcPr>
                            <w:tcW w:w="50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Eil. Nr.</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Išorinės įėjimo durys</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 xml:space="preserve">Šilumos perdavimo koeficientas </w:t>
                            </w:r>
                          </w:p>
                          <w:p>
                            <w:pPr>
                              <w:spacing w:line="276" w:lineRule="auto"/>
                              <w:jc w:val="center"/>
                              <w:rPr>
                                <w:color w:val="000000" w:themeColor="text1"/>
                              </w:rPr>
                            </w:pPr>
                            <w:r>
                              <w:rPr>
                                <w:i/>
                                <w:color w:val="000000" w:themeColor="text1"/>
                              </w:rPr>
                              <w:t>U</w:t>
                            </w:r>
                            <w:r>
                              <w:rPr>
                                <w:i/>
                                <w:color w:val="000000" w:themeColor="text1"/>
                                <w:vertAlign w:val="subscript"/>
                              </w:rPr>
                              <w:t>d1</w:t>
                            </w:r>
                            <w:r>
                              <w:rPr>
                                <w:color w:val="000000" w:themeColor="text1"/>
                              </w:rPr>
                              <w:t xml:space="preserve">, </w:t>
                            </w:r>
                          </w:p>
                          <w:p>
                            <w:pPr>
                              <w:spacing w:line="276" w:lineRule="auto"/>
                              <w:jc w:val="center"/>
                              <w:rPr>
                                <w:rFonts w:eastAsia="Calibri"/>
                                <w:color w:val="000000" w:themeColor="text1"/>
                                <w:szCs w:val="22"/>
                              </w:rPr>
                            </w:pPr>
                            <w:r>
                              <w:rPr>
                                <w:color w:val="000000" w:themeColor="text1"/>
                              </w:rPr>
                              <w:t>W/(m</w:t>
                            </w:r>
                            <w:r>
                              <w:rPr>
                                <w:color w:val="000000" w:themeColor="text1"/>
                                <w:vertAlign w:val="superscript"/>
                              </w:rPr>
                              <w:t>2</w:t>
                            </w:r>
                            <w:r>
                              <w:rPr>
                                <w:rFonts w:ascii="Symbol" w:hAnsi="Symbol"/>
                                <w:color w:val="000000" w:themeColor="text1"/>
                                <w:sz w:val="22"/>
                              </w:rPr>
                              <w:t></w:t>
                            </w:r>
                            <w:r>
                              <w:rPr>
                                <w:color w:val="000000" w:themeColor="text1"/>
                              </w:rPr>
                              <w:t>K)</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 xml:space="preserve">Oro skverbtis </w:t>
                            </w:r>
                          </w:p>
                          <w:p>
                            <w:pPr>
                              <w:spacing w:line="276" w:lineRule="auto"/>
                              <w:jc w:val="center"/>
                              <w:rPr>
                                <w:color w:val="000000" w:themeColor="text1"/>
                              </w:rPr>
                            </w:pPr>
                            <w:r>
                              <w:rPr>
                                <w:i/>
                                <w:color w:val="000000" w:themeColor="text1"/>
                              </w:rPr>
                              <w:t>G</w:t>
                            </w:r>
                            <w:r>
                              <w:rPr>
                                <w:i/>
                                <w:color w:val="000000" w:themeColor="text1"/>
                                <w:vertAlign w:val="subscript"/>
                              </w:rPr>
                              <w:t>d1</w:t>
                            </w:r>
                            <w:r>
                              <w:rPr>
                                <w:color w:val="000000" w:themeColor="text1"/>
                              </w:rPr>
                              <w:t>,</w:t>
                            </w:r>
                          </w:p>
                          <w:p>
                            <w:pPr>
                              <w:spacing w:line="276" w:lineRule="auto"/>
                              <w:jc w:val="center"/>
                              <w:rPr>
                                <w:rFonts w:eastAsia="Calibri"/>
                                <w:color w:val="000000" w:themeColor="text1"/>
                                <w:szCs w:val="22"/>
                              </w:rPr>
                            </w:pPr>
                            <w:r>
                              <w:rPr>
                                <w:color w:val="000000" w:themeColor="text1"/>
                              </w:rPr>
                              <w:t>m</w:t>
                            </w:r>
                            <w:r>
                              <w:rPr>
                                <w:color w:val="000000" w:themeColor="text1"/>
                                <w:vertAlign w:val="superscript"/>
                              </w:rPr>
                              <w:t>3</w:t>
                            </w:r>
                            <w:r>
                              <w:rPr>
                                <w:color w:val="000000" w:themeColor="text1"/>
                              </w:rPr>
                              <w:t>/(m</w:t>
                            </w:r>
                            <w:r>
                              <w:rPr>
                                <w:color w:val="000000" w:themeColor="text1"/>
                                <w:vertAlign w:val="superscript"/>
                              </w:rPr>
                              <w:t>2</w:t>
                            </w:r>
                            <w:r>
                              <w:rPr>
                                <w:rFonts w:ascii="Symbol" w:hAnsi="Symbol"/>
                                <w:color w:val="000000" w:themeColor="text1"/>
                                <w:sz w:val="22"/>
                              </w:rPr>
                              <w:t></w:t>
                            </w:r>
                            <w:r>
                              <w:rPr>
                                <w:color w:val="000000" w:themeColor="text1"/>
                              </w:rPr>
                              <w:t>h)</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1.</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Medinės (pagamintos iki 1995 metų)</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2,6</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50</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2.</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Vienerios durys be tambūro</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2,2</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 xml:space="preserve">3. </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Durys į tambūrą</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2,2</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4.</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Dvejos durys be tambūro tarp jų</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0,8</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5.</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Sukamosios durys</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5,5</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27</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6.</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Durys su oro užuolaida</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2,1</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color w:val="000000" w:themeColor="text1"/>
                                <w:szCs w:val="22"/>
                              </w:rPr>
                            </w:pPr>
                            <w:r>
                              <w:rPr>
                                <w:color w:val="000000" w:themeColor="text1"/>
                              </w:rPr>
                              <w:t>7.</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rPr>
                              <w:t>Automatinės vienerios durys be tambūro</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2,1</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9“</w:t>
                            </w:r>
                          </w:p>
                        </w:tc>
                      </w:tr>
                    </w:tbl>
                    <w:p>
                      <w:pPr>
                        <w:rPr>
                          <w:rFonts w:eastAsia="Calibri"/>
                          <w:color w:val="000000" w:themeColor="text1"/>
                          <w:szCs w:val="22"/>
                        </w:rPr>
                      </w:pPr>
                    </w:p>
                    <w:p>
                      <w:pPr>
                        <w:rPr>
                          <w:color w:val="000000" w:themeColor="text1"/>
                        </w:rPr>
                      </w:pPr>
                    </w:p>
                  </w:sdtContent>
                </w:sdt>
              </w:sdtContent>
            </w:sdt>
          </w:sdtContent>
        </w:sdt>
        <w:sdt>
          <w:sdtPr>
            <w:alias w:val="4 pr. 3 p."/>
            <w:tag w:val="part_1e5b676aa91b480fbff102d9dd5ef882"/>
            <w:lock w:val="sdtLocked"/>
            <w:richText/>
          </w:sdtPr>
          <w:sdtContent>
            <w:p>
              <w:pPr>
                <w:ind w:firstLine="567"/>
                <w:jc w:val="both"/>
                <w:rPr>
                  <w:rFonts w:eastAsia="Calibri"/>
                  <w:color w:val="000000" w:themeColor="text1"/>
                </w:rPr>
              </w:pPr>
              <w:sdt>
                <w:sdtPr>
                  <w:alias w:val="Numeris"/>
                  <w:tag w:val="nr_1e5b676aa91b480fbff102d9dd5ef882"/>
                  <w:lock w:val="sdtLocked"/>
                  <w:richText/>
                </w:sdtPr>
                <w:sdtContent>
                  <w:r>
                    <w:rPr>
                      <w:color w:val="000000" w:themeColor="text1"/>
                    </w:rPr>
                    <w:t>3</w:t>
                  </w:r>
                </w:sdtContent>
              </w:sdt>
              <w:r>
                <w:rPr>
                  <w:color w:val="000000" w:themeColor="text1"/>
                </w:rPr>
                <w:t xml:space="preserve">. Pastato energinio naudingumo skaičiavimuose, kai nėra vartų šiluminių techninių rodiklių vertes patvirtinančių dokumentų, naudojamos 4.3 lentelėje nurodytos vartų šilumos perdavimo koeficiento </w:t>
              </w:r>
              <w:r>
                <w:rPr>
                  <w:i/>
                  <w:color w:val="000000" w:themeColor="text1"/>
                </w:rPr>
                <w:t>U</w:t>
              </w:r>
              <w:r>
                <w:rPr>
                  <w:i/>
                  <w:color w:val="000000" w:themeColor="text1"/>
                  <w:vertAlign w:val="subscript"/>
                </w:rPr>
                <w:t>d2</w:t>
              </w:r>
              <w:r>
                <w:rPr>
                  <w:color w:val="000000" w:themeColor="text1"/>
                </w:rPr>
                <w:t xml:space="preserve"> (W/(m</w:t>
              </w:r>
              <w:r>
                <w:rPr>
                  <w:color w:val="000000" w:themeColor="text1"/>
                  <w:vertAlign w:val="superscript"/>
                </w:rPr>
                <w:t>2</w:t>
              </w:r>
              <w:r>
                <w:rPr>
                  <w:color w:val="000000" w:themeColor="text1"/>
                </w:rPr>
                <w:t xml:space="preserve">∙K)) ir oro skverbties </w:t>
              </w:r>
              <w:r>
                <w:rPr>
                  <w:i/>
                  <w:color w:val="000000" w:themeColor="text1"/>
                </w:rPr>
                <w:t>G</w:t>
              </w:r>
              <w:r>
                <w:rPr>
                  <w:i/>
                  <w:color w:val="000000" w:themeColor="text1"/>
                  <w:vertAlign w:val="subscript"/>
                </w:rPr>
                <w:t xml:space="preserve">d2 </w:t>
              </w:r>
              <w:r>
                <w:rPr>
                  <w:color w:val="000000" w:themeColor="text1"/>
                </w:rPr>
                <w:t xml:space="preserve">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vertės. Jei yra vartų šiluminių techninių rodiklių vertes patvirtinantys dokumentai, turi būti naudojamos šiuose dokumentuose nurodytos vertės.</w:t>
              </w:r>
            </w:p>
            <w:p>
              <w:pPr>
                <w:ind w:firstLine="600"/>
                <w:rPr>
                  <w:color w:val="000000" w:themeColor="text1"/>
                </w:rPr>
              </w:pPr>
            </w:p>
            <w:sdt>
              <w:sdtPr>
                <w:alias w:val="skirsnis"/>
                <w:tag w:val="part_ed74ba1353f542d1bf8da5f7a4894db7"/>
                <w:lock w:val="sdtLocked"/>
                <w:richText/>
              </w:sdtPr>
              <w:sdtContent>
                <w:p>
                  <w:pPr>
                    <w:jc w:val="center"/>
                    <w:rPr>
                      <w:b/>
                    </w:rPr>
                  </w:pPr>
                  <w:sdt>
                    <w:sdtPr>
                      <w:alias w:val="Pavadinimas"/>
                      <w:tag w:val="title_ed74ba1353f542d1bf8da5f7a4894db7"/>
                      <w:lock w:val="sdtLocked"/>
                      <w:richText/>
                    </w:sdtPr>
                    <w:sdtContent>
                      <w:r>
                        <w:rPr>
                          <w:b/>
                        </w:rPr>
                        <w:t>Vartų šiluminių techninių rodiklių vertės pastatų energinio naudingumo skaičiavimams</w:t>
                      </w:r>
                    </w:sdtContent>
                  </w:sdt>
                </w:p>
                <w:sdt>
                  <w:sdtPr>
                    <w:alias w:val="lentele"/>
                    <w:tag w:val="part_d962735b640442679c1e62ff8ff0791e"/>
                    <w:lock w:val="sdtLocked"/>
                    <w:richText/>
                  </w:sdtPr>
                  <w:sdtContent>
                    <w:p>
                      <w:pPr>
                        <w:jc w:val="right"/>
                      </w:pPr>
                      <w:sdt>
                        <w:sdtPr>
                          <w:alias w:val="Numeris"/>
                          <w:tag w:val="nr_d962735b640442679c1e62ff8ff0791e"/>
                          <w:lock w:val="sdtLocked"/>
                          <w:richText/>
                        </w:sdtPr>
                        <w:sdtContent>
                          <w:r>
                            <w:t>4.3</w:t>
                          </w:r>
                        </w:sdtContent>
                      </w:sdt>
                      <w: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
                        <w:gridCol w:w="4998"/>
                        <w:gridCol w:w="1993"/>
                        <w:gridCol w:w="1867"/>
                      </w:tblGrid>
                      <w:tr>
                        <w:trPr>
                          <w:trHeight w:val="705"/>
                        </w:trPr>
                        <w:tc>
                          <w:tcPr>
                            <w:tcW w:w="50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Vartai</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 xml:space="preserve">Šilumos perdavimo koeficientas </w:t>
                            </w:r>
                          </w:p>
                          <w:p>
                            <w:pPr>
                              <w:spacing w:line="276" w:lineRule="auto"/>
                              <w:jc w:val="center"/>
                            </w:pPr>
                            <w:r>
                              <w:rPr>
                                <w:i/>
                              </w:rPr>
                              <w:t>U</w:t>
                            </w:r>
                            <w:r>
                              <w:rPr>
                                <w:i/>
                                <w:vertAlign w:val="subscript"/>
                              </w:rPr>
                              <w:t>d2</w:t>
                            </w:r>
                            <w:r>
                              <w:t xml:space="preserve">, </w:t>
                            </w:r>
                          </w:p>
                          <w:p>
                            <w:pPr>
                              <w:spacing w:line="276" w:lineRule="auto"/>
                              <w:jc w:val="center"/>
                              <w:rPr>
                                <w:rFonts w:eastAsia="Calibri"/>
                                <w:szCs w:val="22"/>
                              </w:rPr>
                            </w:pPr>
                            <w:r>
                              <w:t>W/(m</w:t>
                            </w:r>
                            <w:r>
                              <w:rPr>
                                <w:vertAlign w:val="superscript"/>
                              </w:rPr>
                              <w:t>2</w:t>
                            </w:r>
                            <w:r>
                              <w:rPr>
                                <w:rFonts w:ascii="Symbol" w:hAnsi="Symbol"/>
                                <w:sz w:val="22"/>
                              </w:rPr>
                              <w:t></w:t>
                            </w:r>
                            <w:r>
                              <w:t>K)</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 xml:space="preserve">Oro skverbtis </w:t>
                            </w:r>
                          </w:p>
                          <w:p>
                            <w:pPr>
                              <w:spacing w:line="276" w:lineRule="auto"/>
                              <w:jc w:val="center"/>
                            </w:pPr>
                            <w:r>
                              <w:rPr>
                                <w:i/>
                              </w:rPr>
                              <w:t>G</w:t>
                            </w:r>
                            <w:r>
                              <w:rPr>
                                <w:i/>
                                <w:vertAlign w:val="subscript"/>
                              </w:rPr>
                              <w:t>d2</w:t>
                            </w:r>
                            <w:r>
                              <w:t>,</w:t>
                            </w:r>
                          </w:p>
                          <w:p>
                            <w:pPr>
                              <w:spacing w:line="276" w:lineRule="auto"/>
                              <w:jc w:val="center"/>
                              <w:rPr>
                                <w:rFonts w:eastAsia="Calibri"/>
                                <w:szCs w:val="22"/>
                              </w:rPr>
                            </w:pPr>
                            <w:r>
                              <w:t>m</w:t>
                            </w:r>
                            <w:r>
                              <w:rPr>
                                <w:vertAlign w:val="superscript"/>
                              </w:rPr>
                              <w:t>3</w:t>
                            </w:r>
                            <w:r>
                              <w:t>/(m</w:t>
                            </w:r>
                            <w:r>
                              <w:rPr>
                                <w:vertAlign w:val="superscript"/>
                              </w:rPr>
                              <w:t>2</w:t>
                            </w:r>
                            <w:r>
                              <w:rPr>
                                <w:rFonts w:ascii="Symbol" w:hAnsi="Symbol"/>
                                <w:sz w:val="22"/>
                              </w:rPr>
                              <w:t></w:t>
                            </w:r>
                            <w:r>
                              <w:t>h)</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Vartai (pagaminti iki 1995 metų)</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2,6</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Vieneri vartai be tambūro</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2,2</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38</w:t>
                            </w:r>
                          </w:p>
                        </w:tc>
                      </w:tr>
                      <w:tr>
                        <w:trPr>
                          <w:trHeight w:val="330"/>
                        </w:trPr>
                        <w:tc>
                          <w:tcPr>
                            <w:tcW w:w="506"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3.</w:t>
                            </w:r>
                          </w:p>
                        </w:tc>
                        <w:tc>
                          <w:tcPr>
                            <w:tcW w:w="253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szCs w:val="22"/>
                              </w:rPr>
                            </w:pPr>
                            <w:r>
                              <w:t xml:space="preserve">Vartai į tambūrą </w:t>
                            </w:r>
                          </w:p>
                        </w:tc>
                        <w:tc>
                          <w:tcPr>
                            <w:tcW w:w="101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2,2</w:t>
                            </w:r>
                          </w:p>
                        </w:tc>
                        <w:tc>
                          <w:tcPr>
                            <w:tcW w:w="94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38“</w:t>
                            </w:r>
                          </w:p>
                        </w:tc>
                      </w:tr>
                    </w:tbl>
                    <w:p>
                      <w:pPr>
                        <w:ind w:firstLine="600"/>
                        <w:rPr>
                          <w:szCs w:val="22"/>
                        </w:rPr>
                      </w:pPr>
                    </w:p>
                  </w:sdtContent>
                </w:sdt>
              </w:sdtContent>
            </w:sdt>
          </w:sdtContent>
        </w:sdt>
        <w:sdt>
          <w:sdtPr>
            <w:alias w:val="4 pr. 4 p."/>
            <w:tag w:val="part_ebd1d35bf0ca4e1bbf0b8d025941be8d"/>
            <w:lock w:val="sdtLocked"/>
            <w:richText/>
          </w:sdtPr>
          <w:sdtContent>
            <w:p>
              <w:pPr>
                <w:ind w:firstLine="567"/>
                <w:jc w:val="both"/>
                <w:rPr>
                  <w:rFonts w:eastAsia="Calibri"/>
                  <w:color w:val="000000" w:themeColor="text1"/>
                </w:rPr>
              </w:pPr>
              <w:sdt>
                <w:sdtPr>
                  <w:alias w:val="Numeris"/>
                  <w:tag w:val="nr_ebd1d35bf0ca4e1bbf0b8d025941be8d"/>
                  <w:lock w:val="sdtLocked"/>
                  <w:richText/>
                </w:sdtPr>
                <w:sdtContent>
                  <w:r>
                    <w:rPr>
                      <w:color w:val="000000" w:themeColor="text1"/>
                    </w:rPr>
                    <w:t>4</w:t>
                  </w:r>
                </w:sdtContent>
              </w:sdt>
              <w:r>
                <w:rPr>
                  <w:color w:val="000000" w:themeColor="text1"/>
                </w:rPr>
                <w:t xml:space="preserve">. Pastato energinio naudingumo skaičiavimuose, kai nėra švieslangių šiluminių techninių rodiklių vertes patvirtinančių dokumentų, naudojamos 4.4 lentelėje nurodytos švieslangių šilumos perdavimo koeficiento </w:t>
              </w:r>
              <w:r>
                <w:rPr>
                  <w:i/>
                  <w:color w:val="000000" w:themeColor="text1"/>
                </w:rPr>
                <w:t>U</w:t>
              </w:r>
              <w:r>
                <w:rPr>
                  <w:i/>
                  <w:color w:val="000000" w:themeColor="text1"/>
                  <w:vertAlign w:val="subscript"/>
                </w:rPr>
                <w:t>bw</w:t>
              </w:r>
              <w:r>
                <w:rPr>
                  <w:color w:val="000000" w:themeColor="text1"/>
                </w:rPr>
                <w:t xml:space="preserve"> (W/(m</w:t>
              </w:r>
              <w:r>
                <w:rPr>
                  <w:color w:val="000000" w:themeColor="text1"/>
                  <w:vertAlign w:val="superscript"/>
                </w:rPr>
                <w:t>2</w:t>
              </w:r>
              <w:r>
                <w:rPr>
                  <w:color w:val="000000" w:themeColor="text1"/>
                </w:rPr>
                <w:t>∙K)), įstiklinimo</w:t>
              </w:r>
              <w:r>
                <w:rPr>
                  <w:b/>
                  <w:color w:val="000000" w:themeColor="text1"/>
                </w:rPr>
                <w:t xml:space="preserve"> </w:t>
              </w:r>
              <w:r>
                <w:rPr>
                  <w:bCs/>
                  <w:color w:val="000000" w:themeColor="text1"/>
                </w:rPr>
                <w:t>visuminės saulės energijos praleisties koeficientų</w:t>
              </w:r>
              <w:r>
                <w:rPr>
                  <w:color w:val="000000" w:themeColor="text1"/>
                </w:rPr>
                <w:t xml:space="preserve"> </w:t>
              </w:r>
              <w:r>
                <w:rPr>
                  <w:i/>
                  <w:color w:val="000000" w:themeColor="text1"/>
                </w:rPr>
                <w:t>g</w:t>
              </w:r>
              <w:r>
                <w:rPr>
                  <w:i/>
                  <w:color w:val="000000" w:themeColor="text1"/>
                  <w:vertAlign w:val="subscript"/>
                </w:rPr>
                <w:t>bw</w:t>
              </w:r>
              <w:r>
                <w:rPr>
                  <w:color w:val="000000" w:themeColor="text1"/>
                </w:rPr>
                <w:t xml:space="preserve"> ir oro skverbties </w:t>
              </w:r>
              <w:r>
                <w:rPr>
                  <w:i/>
                  <w:color w:val="000000" w:themeColor="text1"/>
                </w:rPr>
                <w:t>G</w:t>
              </w:r>
              <w:r>
                <w:rPr>
                  <w:i/>
                  <w:color w:val="000000" w:themeColor="text1"/>
                  <w:vertAlign w:val="subscript"/>
                </w:rPr>
                <w:t>bw</w:t>
              </w:r>
              <w:r>
                <w:rPr>
                  <w:color w:val="000000" w:themeColor="text1"/>
                </w:rPr>
                <w:t xml:space="preserve">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vertės. Jei yra švieslangių šiluminių techninių rodiklių vertes patvirtinantys dokumentai, naudojamos šiuose dokumentuose nurodytos vertės.</w:t>
              </w:r>
            </w:p>
            <w:p>
              <w:pPr>
                <w:jc w:val="center"/>
                <w:rPr>
                  <w:b/>
                  <w:color w:val="000000" w:themeColor="text1"/>
                </w:rPr>
              </w:pPr>
            </w:p>
            <w:sdt>
              <w:sdtPr>
                <w:alias w:val="skirsnis"/>
                <w:tag w:val="part_628496e07b1549058d4d2c20251d8eb2"/>
                <w:lock w:val="sdtLocked"/>
                <w:richText/>
              </w:sdtPr>
              <w:sdtContent>
                <w:p>
                  <w:pPr>
                    <w:jc w:val="center"/>
                    <w:rPr>
                      <w:b/>
                    </w:rPr>
                  </w:pPr>
                  <w:sdt>
                    <w:sdtPr>
                      <w:alias w:val="Pavadinimas"/>
                      <w:tag w:val="title_628496e07b1549058d4d2c20251d8eb2"/>
                      <w:lock w:val="sdtLocked"/>
                      <w:richText/>
                    </w:sdtPr>
                    <w:sdtContent>
                      <w:r>
                        <w:rPr>
                          <w:b/>
                        </w:rPr>
                        <w:t>Švieslangių šiluminių techninių rodiklių vertės pastatų energinio naudingumo skaičiavimams</w:t>
                      </w:r>
                    </w:sdtContent>
                  </w:sdt>
                </w:p>
                <w:sdt>
                  <w:sdtPr>
                    <w:alias w:val="lentele"/>
                    <w:tag w:val="part_6fc9cddcce7d47d7affb8e5c487feda1"/>
                    <w:lock w:val="sdtLocked"/>
                    <w:richText/>
                  </w:sdtPr>
                  <w:sdtContent>
                    <w:p>
                      <w:pPr>
                        <w:jc w:val="right"/>
                      </w:pPr>
                      <w:sdt>
                        <w:sdtPr>
                          <w:alias w:val="Numeris"/>
                          <w:tag w:val="nr_6fc9cddcce7d47d7affb8e5c487feda1"/>
                          <w:lock w:val="sdtLocked"/>
                          <w:richText/>
                        </w:sdtPr>
                        <w:sdtContent>
                          <w:r>
                            <w:t>4.4</w:t>
                          </w:r>
                        </w:sdtContent>
                      </w:sdt>
                      <w:r>
                        <w:t xml:space="preserve"> lentelė</w:t>
                      </w:r>
                    </w:p>
                    <w:tbl>
                      <w:tblPr>
                        <w:tblW w:w="5000" w:type="pct"/>
                        <w:tblLook w:val="04A0" w:firstRow="1" w:lastRow="0" w:firstColumn="1" w:lastColumn="0" w:noHBand="0" w:noVBand="1"/>
                      </w:tblPr>
                      <w:tblGrid>
                        <w:gridCol w:w="572"/>
                        <w:gridCol w:w="4259"/>
                        <w:gridCol w:w="1827"/>
                        <w:gridCol w:w="1478"/>
                        <w:gridCol w:w="1719"/>
                      </w:tblGrid>
                      <w:tr>
                        <w:trPr>
                          <w:trHeight w:val="1035"/>
                        </w:trPr>
                        <w:tc>
                          <w:tcPr>
                            <w:tcW w:w="2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2161"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Švieslangiai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rPr>
                            </w:pPr>
                            <w:r>
                              <w:t xml:space="preserve">Šilumos perdavimo koeficientas, </w:t>
                            </w:r>
                          </w:p>
                          <w:p>
                            <w:pPr>
                              <w:spacing w:line="276" w:lineRule="auto"/>
                              <w:jc w:val="center"/>
                            </w:pPr>
                            <w:r>
                              <w:rPr>
                                <w:i/>
                              </w:rPr>
                              <w:t>U</w:t>
                            </w:r>
                            <w:r>
                              <w:rPr>
                                <w:i/>
                                <w:vertAlign w:val="subscript"/>
                              </w:rPr>
                              <w:t>bw</w:t>
                            </w:r>
                            <w:r>
                              <w:t>,</w:t>
                            </w:r>
                          </w:p>
                          <w:p>
                            <w:pPr>
                              <w:spacing w:line="276" w:lineRule="auto"/>
                              <w:jc w:val="center"/>
                              <w:rPr>
                                <w:rFonts w:eastAsia="Calibri"/>
                                <w:szCs w:val="22"/>
                              </w:rPr>
                            </w:pPr>
                            <w:r>
                              <w:t>W/(m</w:t>
                            </w:r>
                            <w:r>
                              <w:rPr>
                                <w:vertAlign w:val="superscript"/>
                              </w:rPr>
                              <w:t>2</w:t>
                            </w:r>
                            <w:r>
                              <w:t>∙K)</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Įstiklinimo</w:t>
                            </w:r>
                            <w:r>
                              <w:rPr>
                                <w:b/>
                              </w:rPr>
                              <w:t xml:space="preserve"> </w:t>
                            </w:r>
                            <w:r>
                              <w:rPr>
                                <w:bCs/>
                              </w:rPr>
                              <w:t>visuminės saulės energijos praleisties koeficientas</w:t>
                            </w:r>
                            <w:r>
                              <w:t xml:space="preserve">, </w:t>
                            </w:r>
                            <w:r>
                              <w:rPr>
                                <w:i/>
                              </w:rPr>
                              <w:t>g</w:t>
                            </w:r>
                            <w:r>
                              <w:rPr>
                                <w:i/>
                                <w:vertAlign w:val="subscript"/>
                              </w:rPr>
                              <w:t>bw</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rPr>
                            </w:pPr>
                            <w:r>
                              <w:t xml:space="preserve">Oro skverbtis,  G</w:t>
                            </w:r>
                            <w:r>
                              <w:rPr>
                                <w:i/>
                                <w:vertAlign w:val="subscript"/>
                              </w:rPr>
                              <w:t>bw</w:t>
                            </w:r>
                            <w:r>
                              <w:t xml:space="preserve">, </w:t>
                            </w:r>
                          </w:p>
                          <w:p>
                            <w:pPr>
                              <w:spacing w:line="276" w:lineRule="auto"/>
                              <w:jc w:val="center"/>
                              <w:rPr>
                                <w:rFonts w:eastAsia="Calibri"/>
                                <w:szCs w:val="22"/>
                              </w:rPr>
                            </w:pPr>
                            <w:r>
                              <w:t>m</w:t>
                            </w:r>
                            <w:r>
                              <w:rPr>
                                <w:vertAlign w:val="superscript"/>
                              </w:rPr>
                              <w:t>3</w:t>
                            </w:r>
                            <w:r>
                              <w:t>/(m</w:t>
                            </w:r>
                            <w:r>
                              <w:rPr>
                                <w:vertAlign w:val="superscript"/>
                              </w:rPr>
                              <w:t>2</w:t>
                            </w:r>
                            <w:r>
                              <w:t>∙h)</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w:t>
                            </w:r>
                          </w:p>
                        </w:tc>
                        <w:tc>
                          <w:tcPr>
                            <w:tcW w:w="2161"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Švieslangiai vienasluoksniai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5,3</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w:t>
                            </w:r>
                          </w:p>
                        </w:tc>
                        <w:tc>
                          <w:tcPr>
                            <w:tcW w:w="2161"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Švieslangiai dvisluoksniai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2,8</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0,76</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3.</w:t>
                            </w:r>
                          </w:p>
                        </w:tc>
                        <w:tc>
                          <w:tcPr>
                            <w:tcW w:w="2161"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Švieslangiai trisluoksniai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1,9</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0,71</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bl>
                    <w:p>
                      <w:pPr>
                        <w:jc w:val="center"/>
                        <w:rPr>
                          <w:szCs w:val="22"/>
                        </w:rPr>
                      </w:pPr>
                    </w:p>
                  </w:sdtContent>
                </w:sdt>
              </w:sdtContent>
            </w:sdt>
          </w:sdtContent>
        </w:sdt>
        <w:sdt>
          <w:sdtPr>
            <w:alias w:val="4 pr. 5 p."/>
            <w:tag w:val="part_004691a3cb994c569ba4b8b54713d45d"/>
            <w:lock w:val="sdtLocked"/>
            <w:richText/>
          </w:sdtPr>
          <w:sdtContent>
            <w:p>
              <w:pPr>
                <w:ind w:firstLine="567"/>
                <w:jc w:val="both"/>
                <w:rPr>
                  <w:rFonts w:eastAsia="Calibri"/>
                  <w:color w:val="000000" w:themeColor="text1"/>
                </w:rPr>
              </w:pPr>
              <w:sdt>
                <w:sdtPr>
                  <w:alias w:val="Numeris"/>
                  <w:tag w:val="nr_004691a3cb994c569ba4b8b54713d45d"/>
                  <w:lock w:val="sdtLocked"/>
                  <w:richText/>
                </w:sdtPr>
                <w:sdtContent>
                  <w:r>
                    <w:rPr>
                      <w:color w:val="000000" w:themeColor="text1"/>
                    </w:rPr>
                    <w:t>5</w:t>
                  </w:r>
                </w:sdtContent>
              </w:sdt>
              <w:r>
                <w:rPr>
                  <w:color w:val="000000" w:themeColor="text1"/>
                </w:rPr>
                <w:t xml:space="preserve">. Pastato energinio naudingumo skaičiavimuose, kai nėra kitų skaidrių atitvarų šiluminių techninių rodiklių vertes patvirtinančių dokumentų, naudojamos 4.5 lentelėje nurodytos šių atitvarų šilumos perdavimo koeficiento </w:t>
              </w:r>
              <w:r>
                <w:rPr>
                  <w:i/>
                  <w:color w:val="000000" w:themeColor="text1"/>
                </w:rPr>
                <w:t>U</w:t>
              </w:r>
              <w:r>
                <w:rPr>
                  <w:i/>
                  <w:color w:val="000000" w:themeColor="text1"/>
                  <w:vertAlign w:val="subscript"/>
                </w:rPr>
                <w:t>og</w:t>
              </w:r>
              <w:r>
                <w:rPr>
                  <w:color w:val="000000" w:themeColor="text1"/>
                </w:rPr>
                <w:t xml:space="preserve"> (W/(m</w:t>
              </w:r>
              <w:r>
                <w:rPr>
                  <w:color w:val="000000" w:themeColor="text1"/>
                  <w:vertAlign w:val="superscript"/>
                </w:rPr>
                <w:t>2</w:t>
              </w:r>
              <w:r>
                <w:rPr>
                  <w:color w:val="000000" w:themeColor="text1"/>
                </w:rPr>
                <w:t>∙K)), įstiklinimo</w:t>
              </w:r>
              <w:r>
                <w:rPr>
                  <w:b/>
                  <w:color w:val="000000" w:themeColor="text1"/>
                </w:rPr>
                <w:t xml:space="preserve"> </w:t>
              </w:r>
              <w:r>
                <w:rPr>
                  <w:bCs/>
                  <w:color w:val="000000" w:themeColor="text1"/>
                </w:rPr>
                <w:t>visuminės saulės energijos praleisties koeficientų</w:t>
              </w:r>
              <w:r>
                <w:rPr>
                  <w:color w:val="000000" w:themeColor="text1"/>
                </w:rPr>
                <w:t xml:space="preserve"> </w:t>
              </w:r>
              <w:r>
                <w:rPr>
                  <w:i/>
                  <w:color w:val="000000" w:themeColor="text1"/>
                </w:rPr>
                <w:t>g</w:t>
              </w:r>
              <w:r>
                <w:rPr>
                  <w:i/>
                  <w:color w:val="000000" w:themeColor="text1"/>
                  <w:vertAlign w:val="subscript"/>
                </w:rPr>
                <w:t>og</w:t>
              </w:r>
              <w:r>
                <w:rPr>
                  <w:color w:val="000000" w:themeColor="text1"/>
                </w:rPr>
                <w:t xml:space="preserve"> ir oro skverbčių </w:t>
              </w:r>
              <w:r>
                <w:rPr>
                  <w:i/>
                  <w:color w:val="000000" w:themeColor="text1"/>
                </w:rPr>
                <w:t>K</w:t>
              </w:r>
              <w:r>
                <w:rPr>
                  <w:i/>
                  <w:color w:val="000000" w:themeColor="text1"/>
                  <w:vertAlign w:val="subscript"/>
                </w:rPr>
                <w:t>og</w:t>
              </w:r>
              <w:r>
                <w:rPr>
                  <w:color w:val="000000" w:themeColor="text1"/>
                </w:rPr>
                <w:t xml:space="preserve"> (m</w:t>
              </w:r>
              <w:r>
                <w:rPr>
                  <w:color w:val="000000" w:themeColor="text1"/>
                  <w:vertAlign w:val="superscript"/>
                </w:rPr>
                <w:t>3</w:t>
              </w:r>
              <w:r>
                <w:rPr>
                  <w:color w:val="000000" w:themeColor="text1"/>
                </w:rPr>
                <w:t>/(m</w:t>
              </w:r>
              <w:r>
                <w:rPr>
                  <w:color w:val="000000" w:themeColor="text1"/>
                  <w:vertAlign w:val="superscript"/>
                </w:rPr>
                <w:t>2</w:t>
              </w:r>
              <w:r>
                <w:rPr>
                  <w:color w:val="000000" w:themeColor="text1"/>
                </w:rPr>
                <w:t>∙h)) vertės. Jei yra kitų skaidrių atitvarų šiluminių techninių rodiklių vertes patvirtinantys dokumentai, naudojamos šiuose dokumentuose nurodytos vertės.</w:t>
              </w:r>
            </w:p>
            <w:p>
              <w:pPr>
                <w:jc w:val="right"/>
                <w:rPr>
                  <w:color w:val="000000" w:themeColor="text1"/>
                </w:rPr>
              </w:pPr>
            </w:p>
            <w:sdt>
              <w:sdtPr>
                <w:alias w:val="skirsnis"/>
                <w:tag w:val="part_071041a662c043449e64ed8733e632b1"/>
                <w:lock w:val="sdtLocked"/>
                <w:richText/>
              </w:sdtPr>
              <w:sdtContent>
                <w:p>
                  <w:pPr>
                    <w:jc w:val="center"/>
                    <w:rPr>
                      <w:b/>
                    </w:rPr>
                  </w:pPr>
                  <w:sdt>
                    <w:sdtPr>
                      <w:alias w:val="Pavadinimas"/>
                      <w:tag w:val="title_071041a662c043449e64ed8733e632b1"/>
                      <w:lock w:val="sdtLocked"/>
                      <w:richText/>
                    </w:sdtPr>
                    <w:sdtContent>
                      <w:r>
                        <w:rPr>
                          <w:b/>
                        </w:rPr>
                        <w:t>Kitų skaidrių atitvarų šiluminių techninių rodiklių vertės pastatų energinio naudingumo skaičiavimams</w:t>
                      </w:r>
                    </w:sdtContent>
                  </w:sdt>
                </w:p>
                <w:sdt>
                  <w:sdtPr>
                    <w:alias w:val="lentele"/>
                    <w:tag w:val="part_e45c9025ab854c1f89122ccf3be34dab"/>
                    <w:lock w:val="sdtLocked"/>
                    <w:richText/>
                  </w:sdtPr>
                  <w:sdtContent>
                    <w:p>
                      <w:pPr>
                        <w:jc w:val="right"/>
                      </w:pPr>
                      <w:sdt>
                        <w:sdtPr>
                          <w:alias w:val="Numeris"/>
                          <w:tag w:val="nr_e45c9025ab854c1f89122ccf3be34dab"/>
                          <w:lock w:val="sdtLocked"/>
                          <w:richText/>
                        </w:sdtPr>
                        <w:sdtContent>
                          <w:r>
                            <w:t>4.5</w:t>
                          </w:r>
                        </w:sdtContent>
                      </w:sdt>
                      <w:r>
                        <w:t xml:space="preserve"> lentelė</w:t>
                      </w:r>
                    </w:p>
                    <w:tbl>
                      <w:tblPr>
                        <w:tblW w:w="5000" w:type="pct"/>
                        <w:tblLook w:val="04A0" w:firstRow="1" w:lastRow="0" w:firstColumn="1" w:lastColumn="0" w:noHBand="0" w:noVBand="1"/>
                      </w:tblPr>
                      <w:tblGrid>
                        <w:gridCol w:w="573"/>
                        <w:gridCol w:w="4258"/>
                        <w:gridCol w:w="1827"/>
                        <w:gridCol w:w="1478"/>
                        <w:gridCol w:w="1719"/>
                      </w:tblGrid>
                      <w:tr>
                        <w:trPr>
                          <w:trHeight w:val="1035"/>
                        </w:trPr>
                        <w:tc>
                          <w:tcPr>
                            <w:tcW w:w="290"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216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 xml:space="preserve">Kitos skaidrios atitvaros </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 xml:space="preserve">Šilumos perdavimo koeficientas, </w:t>
                            </w:r>
                            <w:r>
                              <w:rPr>
                                <w:i/>
                              </w:rPr>
                              <w:t>U</w:t>
                            </w:r>
                            <w:r>
                              <w:rPr>
                                <w:i/>
                                <w:vertAlign w:val="subscript"/>
                              </w:rPr>
                              <w:t>og</w:t>
                            </w:r>
                            <w:r>
                              <w:t>, W/(m</w:t>
                            </w:r>
                            <w:r>
                              <w:rPr>
                                <w:vertAlign w:val="superscript"/>
                              </w:rPr>
                              <w:t>2</w:t>
                            </w:r>
                            <w:r>
                              <w:t>∙K)</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Įstiklinimo</w:t>
                            </w:r>
                            <w:r>
                              <w:rPr>
                                <w:b/>
                              </w:rPr>
                              <w:t xml:space="preserve"> </w:t>
                            </w:r>
                            <w:r>
                              <w:rPr>
                                <w:bCs/>
                              </w:rPr>
                              <w:t>visuminės saulės energijos praleisties koeficientas</w:t>
                            </w:r>
                            <w:r>
                              <w:t xml:space="preserve">, </w:t>
                            </w:r>
                            <w:r>
                              <w:rPr>
                                <w:i/>
                              </w:rPr>
                              <w:t>g</w:t>
                            </w:r>
                            <w:r>
                              <w:rPr>
                                <w:i/>
                                <w:vertAlign w:val="subscript"/>
                              </w:rPr>
                              <w:t>og</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rPr>
                            </w:pPr>
                            <w:r>
                              <w:t xml:space="preserve">Oro skverbtis,  </w:t>
                            </w:r>
                            <w:r>
                              <w:rPr>
                                <w:i/>
                              </w:rPr>
                              <w:t>K</w:t>
                            </w:r>
                            <w:r>
                              <w:rPr>
                                <w:i/>
                                <w:vertAlign w:val="subscript"/>
                              </w:rPr>
                              <w:t>og</w:t>
                            </w:r>
                            <w:r>
                              <w:t>,</w:t>
                            </w:r>
                          </w:p>
                          <w:p>
                            <w:pPr>
                              <w:spacing w:line="276" w:lineRule="auto"/>
                              <w:jc w:val="center"/>
                              <w:rPr>
                                <w:rFonts w:eastAsia="Calibri"/>
                                <w:szCs w:val="22"/>
                              </w:rPr>
                            </w:pPr>
                            <w:r>
                              <w:t>m</w:t>
                            </w:r>
                            <w:r>
                              <w:rPr>
                                <w:vertAlign w:val="superscript"/>
                              </w:rPr>
                              <w:t>3</w:t>
                            </w:r>
                            <w:r>
                              <w:t>/(m</w:t>
                            </w:r>
                            <w:r>
                              <w:rPr>
                                <w:vertAlign w:val="superscript"/>
                              </w:rPr>
                              <w:t>2</w:t>
                            </w:r>
                            <w:r>
                              <w:t>∙h)</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1.</w:t>
                            </w:r>
                          </w:p>
                        </w:tc>
                        <w:tc>
                          <w:tcPr>
                            <w:tcW w:w="2160"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Vitrininis stiklas nehermetiškame rėme</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6,6</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50</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2.</w:t>
                            </w:r>
                          </w:p>
                        </w:tc>
                        <w:tc>
                          <w:tcPr>
                            <w:tcW w:w="2160"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Vitrininis stiklas hermetiškame rėme</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6,6</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0,85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3.</w:t>
                            </w:r>
                          </w:p>
                        </w:tc>
                        <w:tc>
                          <w:tcPr>
                            <w:tcW w:w="2160" w:type="pct"/>
                            <w:tcBorders>
                              <w:top w:val="single" w:sz="4" w:space="0" w:color="auto"/>
                              <w:left w:val="nil"/>
                              <w:bottom w:val="single" w:sz="4" w:space="0" w:color="auto"/>
                              <w:right w:val="single" w:sz="4" w:space="0" w:color="auto"/>
                            </w:tcBorders>
                            <w:vAlign w:val="center"/>
                            <w:hideMark/>
                          </w:tcPr>
                          <w:p>
                            <w:pPr>
                              <w:spacing w:line="276" w:lineRule="auto"/>
                              <w:jc w:val="both"/>
                              <w:rPr>
                                <w:rFonts w:eastAsia="Calibri"/>
                                <w:szCs w:val="22"/>
                              </w:rPr>
                            </w:pPr>
                            <w:r>
                              <w:t>Stiklo blokelių siena, 90–110 mm storio</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3,2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0,4</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4.</w:t>
                            </w:r>
                          </w:p>
                        </w:tc>
                        <w:tc>
                          <w:tcPr>
                            <w:tcW w:w="2160"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Konstrukcinis sandarusis įstiklinimas, vienkamerinis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2,9</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5.</w:t>
                            </w:r>
                          </w:p>
                        </w:tc>
                        <w:tc>
                          <w:tcPr>
                            <w:tcW w:w="2160"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Konstrukcinis sandarusis įstiklinimas, vienkamerinis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1,9</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0,67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6.</w:t>
                            </w:r>
                          </w:p>
                        </w:tc>
                        <w:tc>
                          <w:tcPr>
                            <w:tcW w:w="2160"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Konstrukcinis sandarusis įstiklinimas, dvikamerinis stiklo paketas, paprasti stiklai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2,2</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0,7</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7.</w:t>
                            </w:r>
                          </w:p>
                        </w:tc>
                        <w:tc>
                          <w:tcPr>
                            <w:tcW w:w="2160"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Konstrukcinis sandarusis įstiklinimas, dvikamerinis stiklo paketas, 1 stiklas selektyvinis</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1,7</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0,54</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r>
                        <w:trPr>
                          <w:trHeight w:val="315"/>
                        </w:trPr>
                        <w:tc>
                          <w:tcPr>
                            <w:tcW w:w="290" w:type="pct"/>
                            <w:tcBorders>
                              <w:top w:val="single" w:sz="4" w:space="0" w:color="auto"/>
                              <w:left w:val="single" w:sz="4" w:space="0" w:color="auto"/>
                              <w:bottom w:val="single" w:sz="4" w:space="0" w:color="auto"/>
                              <w:right w:val="single" w:sz="4" w:space="0" w:color="auto"/>
                            </w:tcBorders>
                            <w:noWrap/>
                            <w:vAlign w:val="center"/>
                            <w:hideMark/>
                          </w:tcPr>
                          <w:p>
                            <w:pPr>
                              <w:spacing w:line="276" w:lineRule="auto"/>
                              <w:jc w:val="center"/>
                              <w:rPr>
                                <w:rFonts w:eastAsia="Calibri"/>
                                <w:szCs w:val="22"/>
                              </w:rPr>
                            </w:pPr>
                            <w:r>
                              <w:t>8.</w:t>
                            </w:r>
                          </w:p>
                        </w:tc>
                        <w:tc>
                          <w:tcPr>
                            <w:tcW w:w="2160" w:type="pct"/>
                            <w:tcBorders>
                              <w:top w:val="single" w:sz="4" w:space="0" w:color="auto"/>
                              <w:left w:val="nil"/>
                              <w:bottom w:val="single" w:sz="4" w:space="0" w:color="auto"/>
                              <w:right w:val="single" w:sz="4" w:space="0" w:color="auto"/>
                            </w:tcBorders>
                            <w:vAlign w:val="bottom"/>
                            <w:hideMark/>
                          </w:tcPr>
                          <w:p>
                            <w:pPr>
                              <w:spacing w:line="276" w:lineRule="auto"/>
                              <w:jc w:val="both"/>
                              <w:rPr>
                                <w:rFonts w:eastAsia="Calibri"/>
                                <w:szCs w:val="22"/>
                              </w:rPr>
                            </w:pPr>
                            <w:r>
                              <w:t>Konstrukcinis sandarusis įstiklinimas, dvikamerinis stiklo paketas, 2 stiklai selektyviniai</w:t>
                            </w:r>
                          </w:p>
                        </w:tc>
                        <w:tc>
                          <w:tcPr>
                            <w:tcW w:w="927"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1,5</w:t>
                            </w:r>
                          </w:p>
                        </w:tc>
                        <w:tc>
                          <w:tcPr>
                            <w:tcW w:w="75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0,5</w:t>
                            </w:r>
                          </w:p>
                        </w:tc>
                        <w:tc>
                          <w:tcPr>
                            <w:tcW w:w="87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2"/>
                              </w:rPr>
                            </w:pPr>
                            <w:r>
                              <w:t>1,1</w:t>
                            </w:r>
                          </w:p>
                        </w:tc>
                      </w:tr>
                    </w:tbl>
                    <w:p>
                      <w:pPr>
                        <w:jc w:val="center"/>
                        <w:rPr>
                          <w:szCs w:val="22"/>
                        </w:rPr>
                      </w:pPr>
                    </w:p>
                  </w:sdtContent>
                </w:sdt>
                <w:sdt>
                  <w:sdtPr>
                    <w:alias w:val="pabaiga"/>
                    <w:tag w:val="part_a1325b81d0a242088c01d17b063d034c"/>
                    <w:lock w:val="sdtLocked"/>
                    <w:richText/>
                  </w:sdtPr>
                  <w:sdtContent>
                    <w:p>
                      <w:pPr>
                        <w:jc w:val="center"/>
                        <w:rPr>
                          <w:color w:val="000000" w:themeColor="text1"/>
                        </w:rPr>
                      </w:pPr>
                      <w:r>
                        <w:rPr>
                          <w:color w:val="000000" w:themeColor="text1"/>
                        </w:rPr>
                        <w:t>_______________________</w:t>
                      </w:r>
                    </w:p>
                  </w:sdtContent>
                </w:sdt>
              </w:sdtContent>
            </w:sdt>
          </w:sdtContent>
        </w:sdt>
      </w:sdtContent>
    </w:sdt>
    <w:sdt>
      <w:sdtPr>
        <w:alias w:val="5 pr."/>
        <w:tag w:val="part_841b74dab9484b659efaf564fac89b38"/>
        <w:lock w:val="sdtLocked"/>
        <w:richText/>
      </w:sdtPr>
      <w:sdtContent>
        <w:p>
          <w:pPr>
            <w:ind w:left="5245"/>
            <w:sectPr>
              <w:pgSz w:w="11905" w:h="16837"/>
              <w:pgMar w:top="851" w:right="565" w:bottom="851" w:left="1701" w:header="567" w:footer="567" w:gutter="0"/>
              <w:pgNumType w:start="1"/>
              <w:cols w:space="1296"/>
              <w:titlePg/>
              <w:docGrid w:linePitch="326"/>
            </w:sectPr>
          </w:pPr>
        </w:p>
        <w:p>
          <w:pPr>
            <w:ind w:left="5245"/>
            <w:rPr>
              <w:color w:val="000000" w:themeColor="text1"/>
              <w:szCs w:val="24"/>
            </w:rPr>
          </w:pPr>
          <w:r>
            <w:rPr>
              <w:color w:val="000000" w:themeColor="text1"/>
              <w:szCs w:val="24"/>
            </w:rPr>
            <w:t xml:space="preserve">Statybos techninio reglamento </w:t>
          </w:r>
        </w:p>
        <w:p>
          <w:pPr>
            <w:ind w:left="5245"/>
            <w:rPr>
              <w:bCs/>
              <w:color w:val="000000" w:themeColor="text1"/>
              <w:szCs w:val="24"/>
            </w:rPr>
          </w:pPr>
          <w:r>
            <w:rPr>
              <w:bCs/>
              <w:color w:val="000000" w:themeColor="text1"/>
              <w:szCs w:val="24"/>
            </w:rPr>
            <w:t>STR 2.01.02:2016 „Pastatų energinio naudingumo projektavimas ir sertifikavimas“</w:t>
          </w:r>
        </w:p>
        <w:p>
          <w:pPr>
            <w:ind w:left="5245"/>
            <w:rPr>
              <w:color w:val="000000" w:themeColor="text1"/>
              <w:szCs w:val="24"/>
            </w:rPr>
          </w:pPr>
          <w:sdt>
            <w:sdtPr>
              <w:alias w:val="Numeris"/>
              <w:tag w:val="nr_841b74dab9484b659efaf564fac89b38"/>
              <w:lock w:val="sdtLocked"/>
              <w:richText/>
            </w:sdtPr>
            <w:sdtContent>
              <w:r>
                <w:rPr>
                  <w:color w:val="000000" w:themeColor="text1"/>
                  <w:szCs w:val="24"/>
                </w:rPr>
                <w:t>5</w:t>
              </w:r>
            </w:sdtContent>
          </w:sdt>
          <w:r>
            <w:rPr>
              <w:color w:val="000000" w:themeColor="text1"/>
              <w:szCs w:val="24"/>
            </w:rPr>
            <w:t xml:space="preserve"> priedas</w:t>
          </w:r>
        </w:p>
        <w:p>
          <w:pPr>
            <w:ind w:left="4536"/>
            <w:rPr>
              <w:color w:val="000000" w:themeColor="text1"/>
              <w:sz w:val="20"/>
              <w:szCs w:val="22"/>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szCs w:val="24"/>
              <w:lang w:eastAsia="lt-LT"/>
            </w:rPr>
          </w:pPr>
          <w:sdt>
            <w:sdtPr>
              <w:alias w:val="Pavadinimas"/>
              <w:tag w:val="title_841b74dab9484b659efaf564fac89b38"/>
              <w:lock w:val="sdtLocked"/>
              <w:richText/>
            </w:sdtPr>
            <w:sdtContent>
              <w:r>
                <w:rPr>
                  <w:rFonts w:ascii="Times New Roman Bold" w:hAnsi="Times New Roman Bold"/>
                  <w:b/>
                  <w:caps/>
                  <w:color w:val="000000" w:themeColor="text1"/>
                  <w:sz w:val="4"/>
                  <w:szCs w:val="4"/>
                  <w:lang w:eastAsia="lt-LT"/>
                </w:rPr>
                <w:t>5 priedas.</w:t>
              </w:r>
              <w:r>
                <w:rPr>
                  <w:rFonts w:ascii="Times New Roman Bold" w:hAnsi="Times New Roman Bold"/>
                  <w:b/>
                  <w:caps/>
                  <w:color w:val="000000" w:themeColor="text1"/>
                  <w:lang w:eastAsia="lt-LT"/>
                </w:rPr>
                <w:t>labiausiai paplitusių atitvarų tipų šiluminiai techniniai parametrai pastatų energinio naudingumo skaičiavimams</w:t>
              </w:r>
            </w:sdtContent>
          </w:sdt>
        </w:p>
        <w:p>
          <w:pPr>
            <w:rPr>
              <w:color w:val="000000" w:themeColor="text1"/>
              <w:sz w:val="10"/>
              <w:szCs w:val="10"/>
            </w:rPr>
          </w:pPr>
        </w:p>
        <w:sdt>
          <w:sdtPr>
            <w:alias w:val="5 pr. 1 p."/>
            <w:tag w:val="part_7f3ad40e35aa43bfa0ec4952ca89c0ba"/>
            <w:lock w:val="sdtLocked"/>
            <w:richText/>
          </w:sdtPr>
          <w:sdtContent>
            <w:p>
              <w:pPr>
                <w:ind w:firstLine="567"/>
                <w:jc w:val="both"/>
                <w:rPr>
                  <w:color w:val="000000" w:themeColor="text1"/>
                  <w:szCs w:val="22"/>
                </w:rPr>
              </w:pPr>
              <w:sdt>
                <w:sdtPr>
                  <w:alias w:val="Numeris"/>
                  <w:tag w:val="nr_7f3ad40e35aa43bfa0ec4952ca89c0ba"/>
                  <w:lock w:val="sdtLocked"/>
                  <w:richText/>
                </w:sdtPr>
                <w:sdtContent>
                  <w:r>
                    <w:rPr>
                      <w:color w:val="000000" w:themeColor="text1"/>
                    </w:rPr>
                    <w:t>1</w:t>
                  </w:r>
                </w:sdtContent>
              </w:sdt>
              <w:r>
                <w:rPr>
                  <w:color w:val="000000" w:themeColor="text1"/>
                </w:rPr>
                <w:t>. Kai atitvarų konstrukciniai sprendimai nežinomi, skaičiavimuose naudojamos 5.1 lentelėje nurodytos atitvarų šilumos perdavimo koeficientų vertės.</w:t>
              </w:r>
            </w:p>
            <w:p>
              <w:pPr>
                <w:ind w:firstLine="1296"/>
                <w:rPr>
                  <w:b/>
                  <w:color w:val="000000" w:themeColor="text1"/>
                </w:rPr>
              </w:pPr>
            </w:p>
            <w:sdt>
              <w:sdtPr>
                <w:alias w:val="skirsnis"/>
                <w:tag w:val="part_b4ba4429bc7749768dadcd83fad97aa4"/>
                <w:lock w:val="sdtLocked"/>
                <w:richText/>
              </w:sdtPr>
              <w:sdtContent>
                <w:p>
                  <w:pPr>
                    <w:jc w:val="center"/>
                    <w:rPr>
                      <w:b/>
                    </w:rPr>
                  </w:pPr>
                  <w:sdt>
                    <w:sdtPr>
                      <w:alias w:val="Pavadinimas"/>
                      <w:tag w:val="title_b4ba4429bc7749768dadcd83fad97aa4"/>
                      <w:lock w:val="sdtLocked"/>
                      <w:richText/>
                    </w:sdtPr>
                    <w:sdtContent>
                      <w:r>
                        <w:rPr>
                          <w:b/>
                        </w:rPr>
                        <w:t xml:space="preserve">Labiausiai paplitusių atitvarų šilumos perdavimo koeficientų </w:t>
                      </w:r>
                      <w:r>
                        <w:rPr>
                          <w:b/>
                          <w:i/>
                        </w:rPr>
                        <w:t xml:space="preserve">U </w:t>
                      </w:r>
                      <w:r>
                        <w:rPr>
                          <w:b/>
                          <w:iCs/>
                        </w:rPr>
                        <w:t>(</w:t>
                      </w:r>
                      <w:r>
                        <w:rPr>
                          <w:b/>
                        </w:rPr>
                        <w:t>W/(m</w:t>
                      </w:r>
                      <w:r>
                        <w:rPr>
                          <w:b/>
                          <w:vertAlign w:val="superscript"/>
                        </w:rPr>
                        <w:t>2</w:t>
                      </w:r>
                      <w:r>
                        <w:rPr>
                          <w:b/>
                        </w:rPr>
                        <w:sym w:font="SymbolPS" w:char="F09E"/>
                        <w:t>K)) vertės</w:t>
                      </w:r>
                    </w:sdtContent>
                  </w:sdt>
                </w:p>
                <w:sdt>
                  <w:sdtPr>
                    <w:alias w:val="lentele"/>
                    <w:tag w:val="part_df6aa7999f0347088ca87d7c0b0e9c73"/>
                    <w:lock w:val="sdtLocked"/>
                    <w:richText/>
                  </w:sdtPr>
                  <w:sdtContent>
                    <w:p>
                      <w:pPr>
                        <w:jc w:val="right"/>
                      </w:pPr>
                      <w:sdt>
                        <w:sdtPr>
                          <w:alias w:val="Numeris"/>
                          <w:tag w:val="nr_df6aa7999f0347088ca87d7c0b0e9c73"/>
                          <w:lock w:val="sdtLocked"/>
                          <w:richText/>
                        </w:sdtPr>
                        <w:sdtContent>
                          <w:r>
                            <w:t>5.1</w:t>
                          </w:r>
                        </w:sdtContent>
                      </w:sdt>
                      <w: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7080"/>
                        <w:gridCol w:w="1662"/>
                      </w:tblGrid>
                      <w:tr>
                        <w:tc>
                          <w:tcPr>
                            <w:tcW w:w="82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708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Atitvara</w:t>
                            </w:r>
                          </w:p>
                        </w:tc>
                        <w:tc>
                          <w:tcPr>
                            <w:tcW w:w="16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rPr>
                                <w:i/>
                              </w:rPr>
                              <w:t>U</w:t>
                            </w:r>
                            <w:r>
                              <w:t>,</w:t>
                            </w:r>
                          </w:p>
                          <w:p>
                            <w:pPr>
                              <w:spacing w:line="276" w:lineRule="auto"/>
                              <w:jc w:val="center"/>
                              <w:rPr>
                                <w:rFonts w:eastAsia="Calibri"/>
                                <w:szCs w:val="22"/>
                              </w:rPr>
                            </w:pPr>
                            <w:r>
                              <w:t>W/(m</w:t>
                            </w:r>
                            <w:r>
                              <w:rPr>
                                <w:vertAlign w:val="superscript"/>
                              </w:rPr>
                              <w:t>2</w:t>
                            </w:r>
                            <w:r>
                              <w:sym w:font="SymbolPS" w:char="F09E"/>
                              <w:t>K)</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Akyto betono 200</w:t>
                            </w:r>
                            <w:r>
                              <w:rPr>
                                <w:bCs/>
                              </w:rPr>
                              <w:t>–</w:t>
                            </w:r>
                            <w:r>
                              <w:t>260 mm storio siena</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skylėtų plytų 370</w:t>
                            </w:r>
                            <w:r>
                              <w:rPr>
                                <w:bCs/>
                              </w:rPr>
                              <w:t>–</w:t>
                            </w:r>
                            <w:r>
                              <w:t>430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1,31</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skylėtų plytų 400</w:t>
                            </w:r>
                            <w:r>
                              <w:rPr>
                                <w:bCs/>
                              </w:rPr>
                              <w:t>–</w:t>
                            </w:r>
                            <w:r>
                              <w:t>460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1,06</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4.</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skylėtų plytų 500</w:t>
                            </w:r>
                            <w:r>
                              <w:rPr>
                                <w:bCs/>
                              </w:rPr>
                              <w:t>–</w:t>
                            </w:r>
                            <w:r>
                              <w:t>560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1,05</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5.</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skylėtų plytų 530</w:t>
                            </w:r>
                            <w:r>
                              <w:rPr>
                                <w:bCs/>
                              </w:rPr>
                              <w:t>–</w:t>
                            </w:r>
                            <w:r>
                              <w:t>590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0,88</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6.</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pilnavidurių plytų 370</w:t>
                            </w:r>
                            <w:r>
                              <w:rPr>
                                <w:bCs/>
                              </w:rPr>
                              <w:t>–</w:t>
                            </w:r>
                            <w:r>
                              <w:t>430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1,43</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7.</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pilnavidurių plytų 400</w:t>
                            </w:r>
                            <w:r>
                              <w:rPr>
                                <w:bCs/>
                              </w:rPr>
                              <w:t>–</w:t>
                            </w:r>
                            <w:r>
                              <w:t>460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1,14</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8.</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pilnavidurių plytų 500</w:t>
                            </w:r>
                            <w:r>
                              <w:rPr>
                                <w:bCs/>
                              </w:rPr>
                              <w:t>–</w:t>
                            </w:r>
                            <w:r>
                              <w:t>560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1,16</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9.</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pilnavidurių plytų 530</w:t>
                            </w:r>
                            <w:r>
                              <w:rPr>
                                <w:bCs/>
                              </w:rPr>
                              <w:t>–</w:t>
                            </w:r>
                            <w:r>
                              <w:t>590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0,96</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10.</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skylėtų plytų 370</w:t>
                            </w:r>
                            <w:r>
                              <w:rPr>
                                <w:bCs/>
                              </w:rPr>
                              <w:t>–</w:t>
                            </w:r>
                            <w:r>
                              <w:t>430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1,54</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11.</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skylėtų plytų 400</w:t>
                            </w:r>
                            <w:r>
                              <w:rPr>
                                <w:bCs/>
                              </w:rPr>
                              <w:t>–</w:t>
                            </w:r>
                            <w:r>
                              <w:t>460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1,21</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12.</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skylėtų plytų 500</w:t>
                            </w:r>
                            <w:r>
                              <w:rPr>
                                <w:bCs/>
                              </w:rPr>
                              <w:t>–</w:t>
                            </w:r>
                            <w:r>
                              <w:t>560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1,26</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13.</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skylėtų plytų 530</w:t>
                            </w:r>
                            <w:r>
                              <w:rPr>
                                <w:bCs/>
                              </w:rPr>
                              <w:t>–</w:t>
                            </w:r>
                            <w:r>
                              <w:t>590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1,03</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14.</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pilnavidurių plytų 370</w:t>
                            </w:r>
                            <w:r>
                              <w:rPr>
                                <w:bCs/>
                              </w:rPr>
                              <w:t>–</w:t>
                            </w:r>
                            <w:r>
                              <w:t>430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1,65</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15.</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pilnavidurių plytų 400</w:t>
                            </w:r>
                            <w:r>
                              <w:rPr>
                                <w:bCs/>
                              </w:rPr>
                              <w:t>–</w:t>
                            </w:r>
                            <w:r>
                              <w:t>460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16.</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pilnavidurių plytų 500</w:t>
                            </w:r>
                            <w:r>
                              <w:rPr>
                                <w:bCs/>
                              </w:rPr>
                              <w:t>–</w:t>
                            </w:r>
                            <w:r>
                              <w:t>560 mm storio siena be oro tarpo</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1,36</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17.</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pilnavidurių plytų 530</w:t>
                            </w:r>
                            <w:r>
                              <w:rPr>
                                <w:bCs/>
                              </w:rPr>
                              <w:t>–</w:t>
                            </w:r>
                            <w:r>
                              <w:t>590 mm storio siena su oro tarpu</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1,09</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18.</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Keramzitbetonio 350</w:t>
                            </w:r>
                            <w:r>
                              <w:rPr>
                                <w:bCs/>
                              </w:rPr>
                              <w:t>–</w:t>
                            </w:r>
                            <w:r>
                              <w:t xml:space="preserve">380 mm storio siena  </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1,38</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19.</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Keramzitbetonio 450</w:t>
                            </w:r>
                            <w:r>
                              <w:rPr>
                                <w:bCs/>
                              </w:rPr>
                              <w:t>–</w:t>
                            </w:r>
                            <w:r>
                              <w:t xml:space="preserve">480 mm storio siena  </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1,14</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20.</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Trisluoksnių gelžbetonio plokščių 240–270 mm storio siena </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0,71</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21.</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Gyvenamosios paskirties pastatų stogai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0,85</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22.</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Administracinės, gydymo, maitinimo, prekybos, sporto (išskyrus baseinus), kultūros, viešbučių, paslaugų, poilsio ir specialiosios paskirties pastatų stogai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1,17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23.</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Baseinų pastatų stogai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0,70</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24.</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Mokslo paskirties pastatų stogai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0,95</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25.</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Garažų, gamybos, pramonės, sandėliavimo ir transporto paskirties pastatų stogai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1,48</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26.</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Gyvenamosios paskirties pastatų perdangos, kurios ribojasi su išore,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0,42</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27.</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Administracinės, gydymo, maitinimo, prekybos, sporto (išskyrus baseinus), kultūros, viešbučių, paslaugų, poilsio ir specialiosios paskirties pastatų perdangos, kurios ribojasi su išore, iki 1992 m. pastatytuose pastatuose</w:t>
                            </w:r>
                          </w:p>
                        </w:tc>
                        <w:tc>
                          <w:tcPr>
                            <w:tcW w:w="1662"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Calibri"/>
                              </w:rPr>
                            </w:pPr>
                            <w:r>
                              <w:t>0,53</w:t>
                            </w:r>
                          </w:p>
                          <w:p>
                            <w:pPr>
                              <w:spacing w:line="276" w:lineRule="auto"/>
                              <w:jc w:val="center"/>
                              <w:rPr>
                                <w:rFonts w:eastAsia="Calibri"/>
                                <w:szCs w:val="22"/>
                              </w:rPr>
                            </w:pP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28.</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Baseinų pastatų perdangos, kurios ribojasi su išore,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0,37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29.</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Mokslo paskirties pastatų perdangos, kurios ribojasi su išore,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0,53</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30.</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Garažų, gamybos, pramonės, sandėliavimo ir transporto paskirties pastatų perdangos, kurios ribojasi su išore,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0,53</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31.</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Gyvenamosios paskirties pastatų sienos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32.</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Administracinės, gydymo, maitinimo, prekybos, sporto (išskyrus baseinus), kultūros, viešbučių, paslaugų, poilsio ir specialiosios paskirties pastatų sienos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1,48</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33.</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Baseinų pastatų sienos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0,87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34.</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Mokslo paskirties pastatų sienos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1,27</w:t>
                            </w:r>
                          </w:p>
                        </w:tc>
                      </w:tr>
                      <w:tr>
                        <w:tc>
                          <w:tcPr>
                            <w:tcW w:w="828" w:type="dxa"/>
                            <w:tcBorders>
                              <w:top w:val="single" w:sz="4" w:space="0" w:color="auto"/>
                              <w:left w:val="single" w:sz="4" w:space="0" w:color="auto"/>
                              <w:bottom w:val="single" w:sz="4" w:space="0" w:color="auto"/>
                              <w:right w:val="single" w:sz="4" w:space="0" w:color="auto"/>
                            </w:tcBorders>
                          </w:tcPr>
                          <w:p>
                            <w:pPr>
                              <w:tabs>
                                <w:tab w:val="left" w:pos="720"/>
                              </w:tabs>
                              <w:spacing w:line="276" w:lineRule="auto"/>
                              <w:ind w:left="470" w:hanging="357"/>
                              <w:jc w:val="center"/>
                              <w:rPr>
                                <w:rFonts w:eastAsia="Calibri"/>
                                <w:szCs w:val="22"/>
                              </w:rPr>
                            </w:pPr>
                            <w:r>
                              <w:rPr>
                                <w:rFonts w:eastAsia="Calibri"/>
                                <w:szCs w:val="22"/>
                              </w:rPr>
                              <w:t>35.</w:t>
                              <w:tab/>
                            </w:r>
                          </w:p>
                        </w:tc>
                        <w:tc>
                          <w:tcPr>
                            <w:tcW w:w="708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Garažų, gamybos, pramonės, sandėliavimo ir transporto paskirties pastatų sienos iki 1992 m. pastatytuose pastatuose</w:t>
                            </w:r>
                          </w:p>
                        </w:tc>
                        <w:tc>
                          <w:tcPr>
                            <w:tcW w:w="1662"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1,70</w:t>
                            </w:r>
                          </w:p>
                        </w:tc>
                      </w:tr>
                    </w:tbl>
                    <w:p>
                      <w:pPr>
                        <w:rPr>
                          <w:szCs w:val="22"/>
                        </w:rPr>
                      </w:pPr>
                    </w:p>
                  </w:sdtContent>
                </w:sdt>
              </w:sdtContent>
            </w:sdt>
          </w:sdtContent>
        </w:sdt>
        <w:sdt>
          <w:sdtPr>
            <w:alias w:val="2 p."/>
            <w:tag w:val="part_19ac70d10bf14bd7960d6f9b547b541d"/>
            <w:lock w:val="sdtLocked"/>
            <w:richText/>
          </w:sdtPr>
          <w:sdtContent>
            <w:p>
              <w:pPr>
                <w:ind w:firstLine="567"/>
                <w:jc w:val="both"/>
              </w:pPr>
              <w:sdt>
                <w:sdtPr>
                  <w:alias w:val="Numeris"/>
                  <w:tag w:val="nr_19ac70d10bf14bd7960d6f9b547b541d"/>
                  <w:lock w:val="sdtLocked"/>
                  <w:richText/>
                </w:sdtPr>
                <w:sdtContent>
                  <w:r>
                    <w:rPr>
                      <w:lang w:eastAsia="lt-LT"/>
                    </w:rPr>
                    <w:t>2</w:t>
                  </w:r>
                </w:sdtContent>
              </w:sdt>
              <w:r>
                <w:rPr>
                  <w:lang w:eastAsia="lt-LT"/>
                </w:rPr>
                <w:t xml:space="preserve">. </w:t>
              </w:r>
              <w:r>
                <w:rPr>
                  <w:szCs w:val="24"/>
                </w:rPr>
                <w:t>Kai grindų konstrukciniai sprendimai nežinomi, visų paskirčių pastatų šildomo rūsio grindų, grindų virš nešildomo rūsio, grindų virš vėdinamo pogrindžio ar šildomų patalpų grindų ant grunto suminė šiluminė varža skaičiavimuose turi būti naudojama 1,2 (m</w:t>
              </w:r>
              <w:r>
                <w:rPr>
                  <w:szCs w:val="24"/>
                  <w:vertAlign w:val="superscript"/>
                </w:rPr>
                <w:t>2</w:t>
              </w:r>
              <w:r>
                <w:rPr>
                  <w:szCs w:val="24"/>
                </w:rPr>
                <w:sym w:font="SymbolPS" w:char="F09E"/>
                <w:t>K)/W</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6 pr."/>
        <w:tag w:val="part_6a41ccfa1f974895beac62ce607aea93"/>
        <w:lock w:val="sdtLocked"/>
        <w:richText/>
      </w:sdtPr>
      <w:sdtContent>
        <w:p>
          <w:pPr>
            <w:ind w:firstLine="5245"/>
            <w:sectPr>
              <w:pgSz w:w="11905" w:h="16837"/>
              <w:pgMar w:top="851" w:right="565" w:bottom="851" w:left="1701" w:header="567" w:footer="567" w:gutter="0"/>
              <w:pgNumType w:start="1"/>
              <w:cols w:space="1296"/>
              <w:titlePg/>
              <w:docGrid w:linePitch="326"/>
            </w:sectPr>
          </w:pPr>
        </w:p>
        <w:p>
          <w:pPr>
            <w:ind w:firstLine="5245"/>
            <w:rPr>
              <w:color w:val="000000" w:themeColor="text1"/>
            </w:rPr>
          </w:pPr>
          <w:r>
            <w:rPr>
              <w:color w:val="000000" w:themeColor="text1"/>
            </w:rPr>
            <w:t>Statybos techninio reglamento</w:t>
          </w:r>
        </w:p>
        <w:p>
          <w:pPr>
            <w:ind w:left="5245"/>
            <w:rPr>
              <w:color w:val="000000" w:themeColor="text1"/>
            </w:rPr>
          </w:pPr>
          <w:r>
            <w:rPr>
              <w:color w:val="000000" w:themeColor="text1"/>
            </w:rPr>
            <w:t>STR 2.01.02:2016 „Pastatų energinio naudingumo projektavimas ir sertifikavimas“</w:t>
          </w:r>
        </w:p>
        <w:p>
          <w:pPr>
            <w:ind w:firstLine="5245"/>
            <w:rPr>
              <w:color w:val="000000" w:themeColor="text1"/>
            </w:rPr>
          </w:pPr>
          <w:sdt>
            <w:sdtPr>
              <w:alias w:val="Numeris"/>
              <w:tag w:val="nr_6a41ccfa1f974895beac62ce607aea93"/>
              <w:lock w:val="sdtLocked"/>
              <w:richText/>
            </w:sdtPr>
            <w:sdtContent>
              <w:r>
                <w:rPr>
                  <w:color w:val="000000" w:themeColor="text1"/>
                </w:rPr>
                <w:t>6</w:t>
              </w:r>
            </w:sdtContent>
          </w:sdt>
          <w:r>
            <w:rPr>
              <w:color w:val="000000" w:themeColor="text1"/>
            </w:rPr>
            <w:t xml:space="preserve"> priedas</w:t>
          </w:r>
        </w:p>
        <w:p>
          <w:pPr>
            <w:rPr>
              <w:color w:val="000000" w:themeColor="text1"/>
            </w:rPr>
          </w:pPr>
        </w:p>
        <w:p>
          <w:pPr>
            <w:keepNext/>
            <w:overflowPunct w:val="0"/>
            <w:jc w:val="center"/>
            <w:outlineLvl w:val="1"/>
            <w:rPr>
              <w:rFonts w:ascii="Times New Roman Bold" w:hAnsi="Times New Roman Bold"/>
              <w:b/>
              <w:caps/>
              <w:color w:val="000000" w:themeColor="text1"/>
              <w:lang w:eastAsia="lt-LT"/>
            </w:rPr>
          </w:pPr>
          <w:sdt>
            <w:sdtPr>
              <w:alias w:val="Pavadinimas"/>
              <w:tag w:val="title_6a41ccfa1f974895beac62ce607aea93"/>
              <w:lock w:val="sdtLocked"/>
              <w:richText/>
            </w:sdtPr>
            <w:sdtContent>
              <w:r>
                <w:rPr>
                  <w:rFonts w:ascii="Times New Roman Bold" w:hAnsi="Times New Roman Bold"/>
                  <w:b/>
                  <w:caps/>
                  <w:color w:val="000000" w:themeColor="text1"/>
                  <w:sz w:val="4"/>
                  <w:szCs w:val="4"/>
                  <w:lang w:eastAsia="lt-LT"/>
                </w:rPr>
                <w:t>6 priedas.</w:t>
              </w:r>
              <w:r>
                <w:rPr>
                  <w:rFonts w:ascii="Times New Roman Bold" w:hAnsi="Times New Roman Bold"/>
                  <w:b/>
                  <w:caps/>
                  <w:color w:val="000000" w:themeColor="text1"/>
                  <w:lang w:eastAsia="lt-LT"/>
                </w:rPr>
                <w:t>Atitvarų ilginių šiluminių tiltelių skaičiuojamųjų šilumos perdavimo koeficientų vertės</w:t>
              </w:r>
            </w:sdtContent>
          </w:sdt>
        </w:p>
        <w:p>
          <w:pPr>
            <w:rPr>
              <w:color w:val="000000" w:themeColor="text1"/>
              <w:sz w:val="10"/>
              <w:szCs w:val="10"/>
            </w:rPr>
          </w:pPr>
        </w:p>
        <w:sdt>
          <w:sdtPr>
            <w:alias w:val="6 pr. 1 p."/>
            <w:tag w:val="part_454c68868e7343388efa1f6a2ec2df27"/>
            <w:lock w:val="sdtLocked"/>
            <w:richText/>
          </w:sdtPr>
          <w:sdtContent>
            <w:p>
              <w:pPr>
                <w:tabs>
                  <w:tab w:val="left" w:pos="3060"/>
                </w:tabs>
                <w:ind w:firstLine="567"/>
                <w:jc w:val="both"/>
                <w:rPr>
                  <w:color w:val="000000"/>
                  <w:szCs w:val="24"/>
                </w:rPr>
              </w:pPr>
              <w:sdt>
                <w:sdtPr>
                  <w:alias w:val="Numeris"/>
                  <w:tag w:val="nr_454c68868e7343388efa1f6a2ec2df27"/>
                  <w:lock w:val="sdtLocked"/>
                  <w:richText/>
                </w:sdtPr>
                <w:sdtContent>
                  <w:r>
                    <w:rPr>
                      <w:color w:val="000000"/>
                      <w:szCs w:val="24"/>
                    </w:rPr>
                    <w:t>1</w:t>
                  </w:r>
                </w:sdtContent>
              </w:sdt>
              <w:r>
                <w:rPr>
                  <w:color w:val="000000"/>
                  <w:szCs w:val="24"/>
                </w:rPr>
                <w:t xml:space="preserve">. Jei neatliekami ilginių šiluminių tiltelių šilumos perdavimo koeficientų skaičiavimai, pastatų energinio naudingumo skaičiavimuose turi būti naudojamos 6.1 lentelėje nurodytos ilginių šiluminių tiltelių skaičiuojamosios šilumos perdavimo koeficiento </w:t>
              </w:r>
              <w:r>
                <w:rPr>
                  <w:i/>
                  <w:color w:val="000000"/>
                  <w:szCs w:val="24"/>
                </w:rPr>
                <w:t>Ψ</w:t>
              </w:r>
              <w:r>
                <w:rPr>
                  <w:color w:val="000000"/>
                  <w:szCs w:val="24"/>
                </w:rPr>
                <w:t xml:space="preserve"> (W/(m·K)) vertės.</w:t>
              </w:r>
            </w:p>
            <w:p>
              <w:pPr>
                <w:tabs>
                  <w:tab w:val="left" w:pos="3060"/>
                </w:tabs>
                <w:ind w:firstLine="567"/>
                <w:jc w:val="both"/>
                <w:rPr>
                  <w:color w:val="000000"/>
                  <w:szCs w:val="24"/>
                </w:rPr>
              </w:pPr>
            </w:p>
            <w:sdt>
              <w:sdtPr>
                <w:alias w:val="lentele"/>
                <w:tag w:val="part_1d7dc320f3424ba19eb6b2274eaf8d09"/>
                <w:lock w:val="sdtLocked"/>
                <w:richText/>
              </w:sdtPr>
              <w:sdtContent>
                <w:sdt>
                  <w:sdtPr>
                    <w:alias w:val="Pavadinimas"/>
                    <w:tag w:val="title_1d7dc320f3424ba19eb6b2274eaf8d09"/>
                    <w:lock w:val="sdtLocked"/>
                    <w:richText/>
                  </w:sdtPr>
                  <w:sdtContent>
                    <w:p>
                      <w:pPr>
                        <w:jc w:val="center"/>
                        <w:rPr>
                          <w:b/>
                          <w:szCs w:val="24"/>
                        </w:rPr>
                      </w:pPr>
                      <w:r>
                        <w:rPr>
                          <w:b/>
                          <w:szCs w:val="24"/>
                        </w:rPr>
                        <w:t xml:space="preserve">Ilginių šiluminių tiltelių skaičiuojamosios </w:t>
                      </w:r>
                    </w:p>
                    <w:p>
                      <w:pPr>
                        <w:jc w:val="center"/>
                        <w:rPr>
                          <w:b/>
                          <w:szCs w:val="24"/>
                        </w:rPr>
                      </w:pPr>
                      <w:r>
                        <w:rPr>
                          <w:b/>
                          <w:szCs w:val="24"/>
                        </w:rPr>
                        <w:t xml:space="preserve">šilumos perdavimo koeficiento </w:t>
                      </w:r>
                      <w:r>
                        <w:rPr>
                          <w:b/>
                          <w:i/>
                          <w:szCs w:val="24"/>
                        </w:rPr>
                        <w:t>Ψ</w:t>
                      </w:r>
                      <w:r>
                        <w:rPr>
                          <w:b/>
                          <w:szCs w:val="24"/>
                        </w:rPr>
                        <w:t xml:space="preserve"> vertės (W/(m·K)) </w:t>
                      </w:r>
                    </w:p>
                  </w:sdtContent>
                </w:sdt>
                <w:p>
                  <w:pPr>
                    <w:jc w:val="right"/>
                    <w:rPr>
                      <w:szCs w:val="24"/>
                    </w:rPr>
                  </w:pPr>
                  <w:sdt>
                    <w:sdtPr>
                      <w:alias w:val="Numeris"/>
                      <w:tag w:val="nr_1d7dc320f3424ba19eb6b2274eaf8d09"/>
                      <w:lock w:val="sdtLocked"/>
                      <w:richText/>
                    </w:sdtPr>
                    <w:sdtContent>
                      <w:r>
                        <w:rPr>
                          <w:szCs w:val="24"/>
                        </w:rPr>
                        <w:t>6.1</w:t>
                      </w:r>
                    </w:sdtContent>
                  </w:sdt>
                  <w:r>
                    <w:rPr>
                      <w:szCs w:val="24"/>
                    </w:rPr>
                    <w:t xml:space="preserve">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7440"/>
                    <w:gridCol w:w="1400"/>
                  </w:tblGrid>
                  <w:tr>
                    <w:trPr>
                      <w:cantSplit/>
                      <w:tblHeader/>
                    </w:trPr>
                    <w:tc>
                      <w:tcPr>
                        <w:tcW w:w="56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113" w:right="-91"/>
                          <w:jc w:val="center"/>
                          <w:rPr>
                            <w:rFonts w:eastAsia="Calibri"/>
                            <w:szCs w:val="24"/>
                          </w:rPr>
                        </w:pPr>
                        <w:r>
                          <w:rPr>
                            <w:szCs w:val="24"/>
                          </w:rPr>
                          <w:t>Eil. Nr.</w:t>
                        </w:r>
                      </w:p>
                    </w:tc>
                    <w:tc>
                      <w:tcPr>
                        <w:tcW w:w="744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Ilginis šiluminis tiltelis </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i/>
                            <w:szCs w:val="24"/>
                          </w:rPr>
                          <w:t>Ψ</w:t>
                        </w:r>
                        <w:r>
                          <w:rPr>
                            <w:szCs w:val="24"/>
                          </w:rPr>
                          <w:t>,</w:t>
                        </w:r>
                      </w:p>
                      <w:p>
                        <w:pPr>
                          <w:spacing w:line="276" w:lineRule="auto"/>
                          <w:ind w:firstLine="113"/>
                          <w:jc w:val="center"/>
                          <w:rPr>
                            <w:rFonts w:eastAsia="Calibri"/>
                            <w:szCs w:val="24"/>
                          </w:rPr>
                        </w:pPr>
                        <w:r>
                          <w:rPr>
                            <w:szCs w:val="24"/>
                          </w:rPr>
                          <w:t>W/(m·K)</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1.</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Pastato pamatų ir sienos sandūra. Betoninės grindys ar perdanga. Pamatų ir sienos termoizoliaciniai sluoksniai susisiekia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0,15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2.</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Pastato pamatų ir sienos sandūra. Betoninės grindys ar perdanga. Pamatų ir sienos termoizoliaciniai sluoksniai nesusisiekia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0,2</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3.</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Pastato pamatų ir sienos sandūra. Betoninės grindys ar perdanga. Pamatai ir (ar) sienos neapšiltinti</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0,3</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4.</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Pastato pamatų ir sienos sandūra. Medinės grindys ar perdanga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5.</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Stogo ir sienos sandūra. Stogo ir sienos termoizoliaciniai sluoksniai susisiekia. Išorinis kampas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0,05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6.</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Stogo ir sienos sandūra. Stogo ir sienos termoizoliaciniai sluoksniai susisiekia. Vidinis kampas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0,15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7.</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Stogo ir sienos sandūra. Stogo ir sienos termoizoliaciniai sluoksniai nesusisiekia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0,25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13"/>
                          <w:jc w:val="center"/>
                          <w:rPr>
                            <w:rFonts w:eastAsia="Calibri"/>
                            <w:szCs w:val="24"/>
                          </w:rPr>
                        </w:pPr>
                        <w:r>
                          <w:rPr>
                            <w:szCs w:val="24"/>
                          </w:rPr>
                          <w:t>8.</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Stogo ir sienos sandūra. Stogas ir (ar) siena neapšiltinti</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0,3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firstLine="124"/>
                          <w:jc w:val="center"/>
                          <w:rPr>
                            <w:rFonts w:eastAsia="Calibri"/>
                            <w:szCs w:val="24"/>
                          </w:rPr>
                        </w:pPr>
                        <w:r>
                          <w:rPr>
                            <w:szCs w:val="24"/>
                          </w:rPr>
                          <w:t>9.</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Tarp lango, stoglangio, švieslangio, kitos skaidrios atitvaros, durų, vartų rėmo ir termoizoliacinio sluoksnio sienoje arba stoge</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0,1</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10.</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Tarp lango, stoglangio, švieslangio, kitos skaidrios atitvaros, durų, vartų rėmo ir plytų ar blokelių mūro</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0,2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11.</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Tarp lango, stoglangio, švieslangio, kitos skaidrios atitvaros, durų, vartų rėmo ir apšiltintos gelžbetoninės sąramos ar termoizoliacinio sluoksnio betoniniame pamate</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0,25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12.</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 xml:space="preserve">Tarp lango, stoglangio, švieslangio, kitos skaidrios atitvaros, durų, vartų rėmo ir betono sluoksnio apšiltintoje sienoje arba gelžbetonio sluoksnio apšiltintame stoge </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0,3</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13.</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Tarp lango, kitos skaidrios atitvaros, durų, vartų rėmo ir betono sluoksnio apšiltintame betoniniame pamate</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0,35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szCs w:val="24"/>
                          </w:rPr>
                        </w:pPr>
                        <w:r>
                          <w:rPr>
                            <w:szCs w:val="24"/>
                          </w:rPr>
                          <w:t>14.</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strike/>
                            <w:szCs w:val="24"/>
                          </w:rPr>
                        </w:pPr>
                        <w:r>
                          <w:rPr>
                            <w:szCs w:val="24"/>
                          </w:rPr>
                          <w:t>Tarp lango, kitos skaidrios atitvaros, durų, vartų rėmo ir neapšiltintos gelžbetoninės sąramos ar neapšiltinto betoninio pamato</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szCs w:val="24"/>
                          </w:rPr>
                        </w:pPr>
                        <w:r>
                          <w:rPr>
                            <w:szCs w:val="24"/>
                          </w:rPr>
                          <w:t>0,5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szCs w:val="24"/>
                          </w:rPr>
                        </w:pPr>
                        <w:r>
                          <w:rPr>
                            <w:szCs w:val="24"/>
                          </w:rPr>
                          <w:t>15.</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4"/>
                          </w:rPr>
                        </w:pPr>
                        <w:r>
                          <w:rPr>
                            <w:szCs w:val="24"/>
                          </w:rPr>
                          <w:t>Balkonų grindų ir sienos sandūra. Grindų gelžbetoninė plokštė kerta išorinę sieną. Grindų gelžbetoninė plokštė neapšiltinta arba apšiltinta ne iš visų pusių</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szCs w:val="24"/>
                          </w:rPr>
                        </w:pPr>
                        <w:r>
                          <w:rPr>
                            <w:szCs w:val="24"/>
                          </w:rPr>
                          <w:t>0,45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16.</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Balkonų grindų ir sienos sandūra. Grindų gelžbetoninė plokštė kerta išorinę sieną. Grindų gelžbetoninė plokštė apšiltinta iš visų pusių</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0,3</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17.</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Balkonų grindų ir sienos sandūra. Medinė balkono grindų konstrukcija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18.</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Su išore besiribojančios perdangos ir sienos sandūra. Gelžbetoninės perdangos ir sienos termoizoliaciniai sluoksniai susisiekia. Išorinis kampas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0,05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19.</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Su išore besiribojančios perdangos ir sienos sandūra. Gelžbetoninės perdangos ir sienos termoizoliaciniai sluoksniai susisiekia. Vidinis kampas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0,15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20.</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Su išore besiribojančios perdangos ir sienos sandūra. Gelžbetoninės perdangos ir sienos termoizoliaciniai sluoksniai nesusisiekia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0,3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21.</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Su išore besiribojančios perdangos ir sienos sandūra. Medinė perdanga</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22.</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Sienos išorinis kampas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23.</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Sienos vidinis kampas. Siena apšiltinta iš išorės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0,05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24.</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Sienos vidinis kampas. Siena apšiltinta iš vidaus</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 xml:space="preserve">0,1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25.</w:t>
                        </w:r>
                      </w:p>
                    </w:tc>
                    <w:tc>
                      <w:tcPr>
                        <w:tcW w:w="744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4"/>
                          </w:rPr>
                        </w:pPr>
                        <w:r>
                          <w:rPr>
                            <w:szCs w:val="24"/>
                          </w:rPr>
                          <w:t>Sienos vidinis kampas. Termoizoliacinis sluoksnis sienos viduryje</w:t>
                        </w:r>
                      </w:p>
                    </w:tc>
                    <w:tc>
                      <w:tcPr>
                        <w:tcW w:w="1400"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113"/>
                          <w:jc w:val="center"/>
                          <w:rPr>
                            <w:rFonts w:eastAsia="Calibri"/>
                            <w:szCs w:val="24"/>
                          </w:rPr>
                        </w:pPr>
                        <w:r>
                          <w:rPr>
                            <w:szCs w:val="24"/>
                          </w:rPr>
                          <w:t>0,15</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rFonts w:eastAsia="Calibri"/>
                            <w:szCs w:val="24"/>
                          </w:rPr>
                        </w:pPr>
                        <w:r>
                          <w:rPr>
                            <w:szCs w:val="24"/>
                          </w:rPr>
                          <w:t>26.</w:t>
                        </w:r>
                      </w:p>
                    </w:tc>
                    <w:tc>
                      <w:tcPr>
                        <w:tcW w:w="7440"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szCs w:val="24"/>
                          </w:rPr>
                          <w:t>Sienos vidinis kampas. Termoizoliacinio sluoksnio nėra</w:t>
                        </w:r>
                      </w:p>
                    </w:tc>
                    <w:tc>
                      <w:tcPr>
                        <w:tcW w:w="1400" w:type="dxa"/>
                        <w:tcBorders>
                          <w:top w:val="single" w:sz="4" w:space="0" w:color="auto"/>
                          <w:left w:val="single" w:sz="4" w:space="0" w:color="auto"/>
                          <w:bottom w:val="single" w:sz="4" w:space="0" w:color="auto"/>
                          <w:right w:val="single" w:sz="4" w:space="0" w:color="auto"/>
                        </w:tcBorders>
                        <w:vAlign w:val="center"/>
                        <w:hideMark/>
                      </w:tcPr>
                      <w:p>
                        <w:pPr>
                          <w:ind w:firstLine="113"/>
                          <w:jc w:val="center"/>
                          <w:rPr>
                            <w:rFonts w:eastAsia="Calibri"/>
                            <w:szCs w:val="24"/>
                          </w:rPr>
                        </w:pPr>
                        <w:r>
                          <w:rPr>
                            <w:szCs w:val="24"/>
                          </w:rPr>
                          <w:t xml:space="preserve">0,3 </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szCs w:val="24"/>
                          </w:rPr>
                        </w:pPr>
                        <w:r>
                          <w:rPr>
                            <w:szCs w:val="24"/>
                          </w:rPr>
                          <w:t>27.</w:t>
                        </w:r>
                      </w:p>
                    </w:tc>
                    <w:tc>
                      <w:tcPr>
                        <w:tcW w:w="744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Balkonų grindų ir sienos sandūra. Grindų gelžbetoninė plokštė nekerta išorinės sienos</w:t>
                        </w:r>
                      </w:p>
                    </w:tc>
                    <w:tc>
                      <w:tcPr>
                        <w:tcW w:w="1400" w:type="dxa"/>
                        <w:tcBorders>
                          <w:top w:val="single" w:sz="4" w:space="0" w:color="auto"/>
                          <w:left w:val="single" w:sz="4" w:space="0" w:color="auto"/>
                          <w:bottom w:val="single" w:sz="4" w:space="0" w:color="auto"/>
                          <w:right w:val="single" w:sz="4" w:space="0" w:color="auto"/>
                        </w:tcBorders>
                        <w:vAlign w:val="center"/>
                        <w:hideMark/>
                      </w:tcPr>
                      <w:p>
                        <w:pPr>
                          <w:ind w:firstLine="113"/>
                          <w:jc w:val="center"/>
                          <w:rPr>
                            <w:szCs w:val="24"/>
                          </w:rPr>
                        </w:pPr>
                        <w:r>
                          <w:rPr>
                            <w:szCs w:val="24"/>
                          </w:rPr>
                          <w:t>0</w:t>
                        </w:r>
                      </w:p>
                    </w:tc>
                  </w:tr>
                  <w:tr>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720"/>
                          </w:tabs>
                          <w:spacing w:line="276" w:lineRule="auto"/>
                          <w:ind w:left="-113"/>
                          <w:jc w:val="center"/>
                          <w:rPr>
                            <w:szCs w:val="24"/>
                          </w:rPr>
                        </w:pPr>
                        <w:r>
                          <w:rPr>
                            <w:szCs w:val="24"/>
                          </w:rPr>
                          <w:t>28.</w:t>
                        </w:r>
                      </w:p>
                    </w:tc>
                    <w:tc>
                      <w:tcPr>
                        <w:tcW w:w="744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Balkonų grindų ir sienos sandūra. Grindų gelžbetoninė plokštė pritvirtinta prie sienos plieno strypais ir ši plokštė nekerta išorinės sienos</w:t>
                        </w:r>
                      </w:p>
                    </w:tc>
                    <w:tc>
                      <w:tcPr>
                        <w:tcW w:w="1400" w:type="dxa"/>
                        <w:tcBorders>
                          <w:top w:val="single" w:sz="4" w:space="0" w:color="auto"/>
                          <w:left w:val="single" w:sz="4" w:space="0" w:color="auto"/>
                          <w:bottom w:val="single" w:sz="4" w:space="0" w:color="auto"/>
                          <w:right w:val="single" w:sz="4" w:space="0" w:color="auto"/>
                        </w:tcBorders>
                        <w:vAlign w:val="center"/>
                        <w:hideMark/>
                      </w:tcPr>
                      <w:p>
                        <w:pPr>
                          <w:ind w:firstLine="113"/>
                          <w:jc w:val="center"/>
                          <w:rPr>
                            <w:szCs w:val="24"/>
                          </w:rPr>
                        </w:pPr>
                        <w:r>
                          <w:rPr>
                            <w:szCs w:val="24"/>
                          </w:rPr>
                          <w:t>0,2</w:t>
                        </w:r>
                      </w:p>
                    </w:tc>
                  </w:tr>
                </w:tbl>
                <w:p>
                  <w:pPr>
                    <w:jc w:val="center"/>
                    <w:rPr>
                      <w:rFonts w:eastAsia="Calibri"/>
                      <w:szCs w:val="22"/>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6 pr. 2 p."/>
            <w:tag w:val="part_4337b76ccbd64692b95769ee5494fc7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2019-02-01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pabaiga"/>
            <w:tag w:val="part_8a2577cc1db642ffa4067d939556abcb"/>
            <w:lock w:val="sdtLocked"/>
            <w:richText/>
          </w:sdtPr>
          <w:sdtContent>
            <w:p>
              <w:pPr>
                <w:jc w:val="center"/>
                <w:rPr>
                  <w:color w:val="000000" w:themeColor="text1"/>
                </w:rPr>
              </w:pPr>
              <w:r>
                <w:rPr>
                  <w:color w:val="000000" w:themeColor="text1"/>
                </w:rPr>
                <w:t>________________________</w:t>
              </w:r>
            </w:p>
          </w:sdtContent>
        </w:sdt>
      </w:sdtContent>
    </w:sdt>
    <w:sdt>
      <w:sdtPr>
        <w:alias w:val="7 pr."/>
        <w:tag w:val="part_17d12e2c6a4643da8ea798ad08b9314d"/>
        <w:lock w:val="sdtLocked"/>
        <w:richText/>
      </w:sdtPr>
      <w:sdtContent>
        <w:p>
          <w:pPr>
            <w:ind w:left="3888" w:firstLine="1296"/>
            <w:sectPr>
              <w:pgSz w:w="11905" w:h="16837"/>
              <w:pgMar w:top="851" w:right="565" w:bottom="851" w:left="1701" w:header="567" w:footer="567" w:gutter="0"/>
              <w:pgNumType w:start="1"/>
              <w:cols w:space="1296"/>
              <w:titlePg/>
              <w:docGrid w:linePitch="326"/>
            </w:sectPr>
          </w:pPr>
        </w:p>
        <w:p>
          <w:pPr>
            <w:ind w:left="3888" w:firstLine="1296"/>
            <w:rPr>
              <w:color w:val="000000" w:themeColor="text1"/>
            </w:rPr>
          </w:pPr>
          <w:r>
            <w:rPr>
              <w:color w:val="000000" w:themeColor="text1"/>
            </w:rPr>
            <w:t xml:space="preserve">Statybos techninio reglamento </w:t>
          </w:r>
        </w:p>
        <w:p>
          <w:pPr>
            <w:ind w:left="5184"/>
            <w:rPr>
              <w:color w:val="000000" w:themeColor="text1"/>
            </w:rPr>
          </w:pPr>
          <w:r>
            <w:rPr>
              <w:color w:val="000000" w:themeColor="text1"/>
            </w:rPr>
            <w:t>STR 2.01.02:2016 „Pastatų energinis naudingumo projektavimas ir sertifikavimas“</w:t>
          </w:r>
        </w:p>
        <w:p>
          <w:pPr>
            <w:ind w:left="3888" w:firstLine="1296"/>
            <w:rPr>
              <w:color w:val="000000" w:themeColor="text1"/>
            </w:rPr>
          </w:pPr>
          <w:sdt>
            <w:sdtPr>
              <w:alias w:val="Numeris"/>
              <w:tag w:val="nr_17d12e2c6a4643da8ea798ad08b9314d"/>
              <w:lock w:val="sdtLocked"/>
              <w:richText/>
            </w:sdtPr>
            <w:sdtContent>
              <w:r>
                <w:rPr>
                  <w:color w:val="000000" w:themeColor="text1"/>
                </w:rPr>
                <w:t>7</w:t>
              </w:r>
            </w:sdtContent>
          </w:sdt>
          <w:r>
            <w:rPr>
              <w:color w:val="000000" w:themeColor="text1"/>
            </w:rPr>
            <w:t xml:space="preserve"> priedas</w:t>
          </w:r>
        </w:p>
        <w:p>
          <w:pPr>
            <w:rPr>
              <w:color w:val="000000" w:themeColor="text1"/>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17d12e2c6a4643da8ea798ad08b9314d"/>
              <w:lock w:val="sdtLocked"/>
              <w:richText/>
            </w:sdtPr>
            <w:sdtContent>
              <w:r>
                <w:rPr>
                  <w:rFonts w:ascii="Times New Roman Bold" w:hAnsi="Times New Roman Bold"/>
                  <w:b/>
                  <w:caps/>
                  <w:color w:val="000000" w:themeColor="text1"/>
                  <w:sz w:val="4"/>
                  <w:szCs w:val="4"/>
                  <w:lang w:eastAsia="lt-LT"/>
                </w:rPr>
                <w:t>7 priedas.</w:t>
              </w:r>
              <w:r>
                <w:rPr>
                  <w:rFonts w:ascii="Times New Roman Bold" w:hAnsi="Times New Roman Bold"/>
                  <w:b/>
                  <w:caps/>
                  <w:color w:val="000000" w:themeColor="text1"/>
                  <w:lang w:eastAsia="lt-LT"/>
                </w:rPr>
                <w:t>Pastato matmenys</w:t>
              </w:r>
            </w:sdtContent>
          </w:sdt>
        </w:p>
        <w:p>
          <w:pPr>
            <w:rPr>
              <w:color w:val="000000" w:themeColor="text1"/>
              <w:sz w:val="10"/>
              <w:szCs w:val="10"/>
            </w:rPr>
          </w:pPr>
        </w:p>
        <w:sdt>
          <w:sdtPr>
            <w:alias w:val="7 pr. 1 p."/>
            <w:tag w:val="part_f7f07631cc554e5d8ae64ff203c07b12"/>
            <w:lock w:val="sdtLocked"/>
            <w:richText/>
          </w:sdtPr>
          <w:sdtContent>
            <w:p>
              <w:pPr>
                <w:ind w:firstLine="567"/>
                <w:jc w:val="both"/>
                <w:rPr>
                  <w:color w:val="000000" w:themeColor="text1"/>
                </w:rPr>
              </w:pPr>
              <w:sdt>
                <w:sdtPr>
                  <w:alias w:val="Numeris"/>
                  <w:tag w:val="nr_f7f07631cc554e5d8ae64ff203c07b12"/>
                  <w:lock w:val="sdtLocked"/>
                  <w:richText/>
                </w:sdtPr>
                <w:sdtContent>
                  <w:r>
                    <w:rPr>
                      <w:color w:val="000000" w:themeColor="text1"/>
                    </w:rPr>
                    <w:t>1</w:t>
                  </w:r>
                </w:sdtContent>
              </w:sdt>
              <w:r>
                <w:rPr>
                  <w:color w:val="000000" w:themeColor="text1"/>
                </w:rPr>
                <w:t xml:space="preserve">. Matmenys naudojami dviejų ženklų po kablelio tikslumu, metrais. </w:t>
              </w:r>
            </w:p>
          </w:sdtContent>
        </w:sdt>
        <w:sdt>
          <w:sdtPr>
            <w:alias w:val="7 pr. 2 p."/>
            <w:tag w:val="part_80d3af1050494f6da377031c0351689b"/>
            <w:lock w:val="sdtLocked"/>
            <w:richText/>
          </w:sdtPr>
          <w:sdtContent>
            <w:p>
              <w:pPr>
                <w:ind w:firstLine="567"/>
                <w:jc w:val="both"/>
                <w:rPr>
                  <w:color w:val="000000" w:themeColor="text1"/>
                </w:rPr>
              </w:pPr>
              <w:sdt>
                <w:sdtPr>
                  <w:alias w:val="Numeris"/>
                  <w:tag w:val="nr_80d3af1050494f6da377031c0351689b"/>
                  <w:lock w:val="sdtLocked"/>
                  <w:richText/>
                </w:sdtPr>
                <w:sdtContent>
                  <w:r>
                    <w:rPr>
                      <w:color w:val="000000" w:themeColor="text1"/>
                    </w:rPr>
                    <w:t>2</w:t>
                  </w:r>
                </w:sdtContent>
              </w:sdt>
              <w:r>
                <w:rPr>
                  <w:color w:val="000000" w:themeColor="text1"/>
                </w:rPr>
                <w:t>. Plotai naudojami dviejų ženklų po kablelio tikslumu, kvadratiniais metrais.</w:t>
              </w:r>
            </w:p>
          </w:sdtContent>
        </w:sdt>
        <w:sdt>
          <w:sdtPr>
            <w:alias w:val="7 pr. 2 p."/>
            <w:tag w:val="part_e366ca1a59e54e37b4c5a36345e55ddc"/>
            <w:lock w:val="sdtLocked"/>
            <w:richText/>
          </w:sdtPr>
          <w:sdtContent>
            <w:p>
              <w:pPr>
                <w:ind w:firstLine="567"/>
                <w:jc w:val="both"/>
                <w:rPr>
                  <w:color w:val="000000" w:themeColor="text1"/>
                </w:rPr>
              </w:pPr>
              <w:sdt>
                <w:sdtPr>
                  <w:alias w:val="Numeris"/>
                  <w:tag w:val="nr_e366ca1a59e54e37b4c5a36345e55ddc"/>
                  <w:lock w:val="sdtLocked"/>
                  <w:richText/>
                </w:sdtPr>
                <w:sdtContent>
                  <w:r>
                    <w:rPr>
                      <w:color w:val="000000" w:themeColor="text1"/>
                    </w:rPr>
                    <w:t>2</w:t>
                  </w:r>
                </w:sdtContent>
              </w:sdt>
              <w:r>
                <w:rPr>
                  <w:color w:val="000000" w:themeColor="text1"/>
                </w:rPr>
                <w:t>. Matmenys imami iš statybinių brėžinių arba matuojant tiesiogiai. Pastato ilgis, aukštis ir plotis pastatų energinio naudingumo skaičiavimuose naudojami vamzdynų ilgiams apskaičiuoti ir šie matmenys nustatomi taip:</w:t>
              </w:r>
            </w:p>
            <w:sdt>
              <w:sdtPr>
                <w:alias w:val="7 pr. 2.1 pp."/>
                <w:tag w:val="part_c7433ab144eb460c84c8cf447e46d4dd"/>
                <w:lock w:val="sdtLocked"/>
                <w:richText/>
              </w:sdtPr>
              <w:sdtContent>
                <w:p>
                  <w:pPr>
                    <w:ind w:firstLine="567"/>
                    <w:jc w:val="both"/>
                    <w:rPr>
                      <w:color w:val="000000" w:themeColor="text1"/>
                    </w:rPr>
                  </w:pPr>
                  <w:sdt>
                    <w:sdtPr>
                      <w:alias w:val="Numeris"/>
                      <w:tag w:val="nr_c7433ab144eb460c84c8cf447e46d4dd"/>
                      <w:lock w:val="sdtLocked"/>
                      <w:richText/>
                    </w:sdtPr>
                    <w:sdtContent>
                      <w:r>
                        <w:rPr>
                          <w:color w:val="000000" w:themeColor="text1"/>
                        </w:rPr>
                        <w:t>2.1</w:t>
                      </w:r>
                    </w:sdtContent>
                  </w:sdt>
                  <w:r>
                    <w:rPr>
                      <w:color w:val="000000" w:themeColor="text1"/>
                    </w:rPr>
                    <w:t>. pastato ilgis nustatomas pagal didžiausius pastato ilgio matmenis;</w:t>
                  </w:r>
                </w:p>
              </w:sdtContent>
            </w:sdt>
            <w:sdt>
              <w:sdtPr>
                <w:alias w:val="7 pr. 2.2 pp."/>
                <w:tag w:val="part_77d009817fce46f98d51f4124d049e4a"/>
                <w:lock w:val="sdtLocked"/>
                <w:richText/>
              </w:sdtPr>
              <w:sdtContent>
                <w:p>
                  <w:pPr>
                    <w:ind w:firstLine="567"/>
                    <w:jc w:val="both"/>
                    <w:rPr>
                      <w:color w:val="000000" w:themeColor="text1"/>
                    </w:rPr>
                  </w:pPr>
                  <w:sdt>
                    <w:sdtPr>
                      <w:alias w:val="Numeris"/>
                      <w:tag w:val="nr_77d009817fce46f98d51f4124d049e4a"/>
                      <w:lock w:val="sdtLocked"/>
                      <w:richText/>
                    </w:sdtPr>
                    <w:sdtContent>
                      <w:r>
                        <w:rPr>
                          <w:color w:val="000000" w:themeColor="text1"/>
                        </w:rPr>
                        <w:t>2.2</w:t>
                      </w:r>
                    </w:sdtContent>
                  </w:sdt>
                  <w:r>
                    <w:rPr>
                      <w:color w:val="000000" w:themeColor="text1"/>
                    </w:rPr>
                    <w:t>. pastato plotis nustatomas pagal didžiausius pastato pločio matmenis;</w:t>
                  </w:r>
                </w:p>
              </w:sdtContent>
            </w:sdt>
            <w:sdt>
              <w:sdtPr>
                <w:alias w:val="7 pr. 2.3 pp."/>
                <w:tag w:val="part_a0b994d31b174e998ca3956817ed7039"/>
                <w:lock w:val="sdtLocked"/>
                <w:richText/>
              </w:sdtPr>
              <w:sdtContent>
                <w:p>
                  <w:pPr>
                    <w:ind w:firstLine="567"/>
                    <w:jc w:val="both"/>
                    <w:rPr>
                      <w:color w:val="000000" w:themeColor="text1"/>
                    </w:rPr>
                  </w:pPr>
                  <w:sdt>
                    <w:sdtPr>
                      <w:alias w:val="Numeris"/>
                      <w:tag w:val="nr_a0b994d31b174e998ca3956817ed7039"/>
                      <w:lock w:val="sdtLocked"/>
                      <w:richText/>
                    </w:sdtPr>
                    <w:sdtContent>
                      <w:r>
                        <w:rPr>
                          <w:color w:val="000000" w:themeColor="text1"/>
                        </w:rPr>
                        <w:t>2.3</w:t>
                      </w:r>
                    </w:sdtContent>
                  </w:sdt>
                  <w:r>
                    <w:rPr>
                      <w:color w:val="000000" w:themeColor="text1"/>
                    </w:rPr>
                    <w:t>. pastato aukštis nustatomas taip:</w:t>
                  </w:r>
                </w:p>
                <w:sdt>
                  <w:sdtPr>
                    <w:alias w:val="7 pr. 2.3.1 pp."/>
                    <w:tag w:val="part_2d158826579a4c47869e474ca2336ce5"/>
                    <w:lock w:val="sdtLocked"/>
                    <w:richText/>
                  </w:sdtPr>
                  <w:sdtContent>
                    <w:p>
                      <w:pPr>
                        <w:ind w:firstLine="567"/>
                        <w:jc w:val="both"/>
                        <w:rPr>
                          <w:color w:val="000000" w:themeColor="text1"/>
                        </w:rPr>
                      </w:pPr>
                      <w:sdt>
                        <w:sdtPr>
                          <w:alias w:val="Numeris"/>
                          <w:tag w:val="nr_2d158826579a4c47869e474ca2336ce5"/>
                          <w:lock w:val="sdtLocked"/>
                          <w:richText/>
                        </w:sdtPr>
                        <w:sdtContent>
                          <w:r>
                            <w:rPr>
                              <w:color w:val="000000" w:themeColor="text1"/>
                            </w:rPr>
                            <w:t>2.3.1</w:t>
                          </w:r>
                        </w:sdtContent>
                      </w:sdt>
                      <w:r>
                        <w:rPr>
                          <w:color w:val="000000" w:themeColor="text1"/>
                        </w:rPr>
                        <w:t>. jei sertifikuojamas visas pastatas ir šiame pastate nėra šildomo rūsio, pastato aukštis imamas nuo grunto paviršiaus vidurkio iki aukščiausiai pastate esančių šildomų patalpų lubų;</w:t>
                      </w:r>
                    </w:p>
                  </w:sdtContent>
                </w:sdt>
                <w:sdt>
                  <w:sdtPr>
                    <w:alias w:val="7 pr. 2.3.2 pp."/>
                    <w:tag w:val="part_9949ac9ace2f488982818306b05993ac"/>
                    <w:lock w:val="sdtLocked"/>
                    <w:richText/>
                  </w:sdtPr>
                  <w:sdtContent>
                    <w:p>
                      <w:pPr>
                        <w:ind w:firstLine="567"/>
                        <w:jc w:val="both"/>
                        <w:rPr>
                          <w:color w:val="000000" w:themeColor="text1"/>
                        </w:rPr>
                      </w:pPr>
                      <w:sdt>
                        <w:sdtPr>
                          <w:alias w:val="Numeris"/>
                          <w:tag w:val="nr_9949ac9ace2f488982818306b05993ac"/>
                          <w:lock w:val="sdtLocked"/>
                          <w:richText/>
                        </w:sdtPr>
                        <w:sdtContent>
                          <w:r>
                            <w:rPr>
                              <w:color w:val="000000" w:themeColor="text1"/>
                            </w:rPr>
                            <w:t>2.3.2</w:t>
                          </w:r>
                        </w:sdtContent>
                      </w:sdt>
                      <w:r>
                        <w:rPr>
                          <w:color w:val="000000" w:themeColor="text1"/>
                        </w:rPr>
                        <w:t>. jei sertifikuojamas visas pastatas ir šiame pastate yra šildomas rūsys, pastato aukštis imamas nuo šildomo rūsio grindų paviršiaus iki aukščiausiai pastate esančių šildomų patalpų lubų;</w:t>
                      </w:r>
                    </w:p>
                  </w:sdtContent>
                </w:sdt>
                <w:sdt>
                  <w:sdtPr>
                    <w:alias w:val="7 pr. 2.3.3 pp."/>
                    <w:tag w:val="part_67e822eb8b624dd38f485ce721f59780"/>
                    <w:lock w:val="sdtLocked"/>
                    <w:richText/>
                  </w:sdtPr>
                  <w:sdtContent>
                    <w:p>
                      <w:pPr>
                        <w:ind w:firstLine="567"/>
                        <w:jc w:val="both"/>
                        <w:rPr>
                          <w:color w:val="000000" w:themeColor="text1"/>
                        </w:rPr>
                      </w:pPr>
                      <w:sdt>
                        <w:sdtPr>
                          <w:alias w:val="Numeris"/>
                          <w:tag w:val="nr_67e822eb8b624dd38f485ce721f59780"/>
                          <w:lock w:val="sdtLocked"/>
                          <w:richText/>
                        </w:sdtPr>
                        <w:sdtContent>
                          <w:r>
                            <w:rPr>
                              <w:color w:val="000000" w:themeColor="text1"/>
                            </w:rPr>
                            <w:t>2.3.3</w:t>
                          </w:r>
                        </w:sdtContent>
                      </w:sdt>
                      <w:r>
                        <w:rPr>
                          <w:color w:val="000000" w:themeColor="text1"/>
                        </w:rPr>
                        <w:t xml:space="preserve">. jei sertifikuojama pastato dalis, turi būti nustatytas šios pastato dalies aukštis, t. y. jei sertifikuojamas butas viduriniame pastato aukšte, šios pastato dalies aukštis turi būti imamas nuo sertifikuojamo buto grindų paviršiaus iki virš šio buto esančio buto grindų paviršiaus. </w:t>
                      </w:r>
                    </w:p>
                  </w:sdtContent>
                </w:sdt>
              </w:sdtContent>
            </w:sdt>
          </w:sdtContent>
        </w:sdt>
        <w:sdt>
          <w:sdtPr>
            <w:alias w:val="7 pr. 3 p."/>
            <w:tag w:val="part_5f2e8612895c4780a1d3818309e581b9"/>
            <w:lock w:val="sdtLocked"/>
            <w:richText/>
          </w:sdtPr>
          <w:sdtContent>
            <w:p>
              <w:pPr>
                <w:ind w:firstLine="567"/>
                <w:jc w:val="both"/>
                <w:rPr>
                  <w:color w:val="000000" w:themeColor="text1"/>
                </w:rPr>
              </w:pPr>
              <w:sdt>
                <w:sdtPr>
                  <w:alias w:val="Numeris"/>
                  <w:tag w:val="nr_5f2e8612895c4780a1d3818309e581b9"/>
                  <w:lock w:val="sdtLocked"/>
                  <w:richText/>
                </w:sdtPr>
                <w:sdtContent>
                  <w:r>
                    <w:rPr>
                      <w:color w:val="000000" w:themeColor="text1"/>
                    </w:rPr>
                    <w:t>3</w:t>
                  </w:r>
                </w:sdtContent>
              </w:sdt>
              <w:r>
                <w:rPr>
                  <w:color w:val="000000" w:themeColor="text1"/>
                </w:rPr>
                <w:t>. Pastato šildomas plotas apskaičiuojamas pagal vidinius pastato matmenis, t. y. atėmus pertvarų storius. Šį plotą sudaro visų šildomų pastato patalpų grindų plotų suma, įskaitant:</w:t>
              </w:r>
            </w:p>
            <w:sdt>
              <w:sdtPr>
                <w:alias w:val="7 pr. 3.1 pp."/>
                <w:tag w:val="part_12a10abc0f53462a89a1b013596b3d6e"/>
                <w:lock w:val="sdtLocked"/>
                <w:richText/>
              </w:sdtPr>
              <w:sdtContent>
                <w:p>
                  <w:pPr>
                    <w:ind w:firstLine="567"/>
                    <w:jc w:val="both"/>
                    <w:rPr>
                      <w:color w:val="000000" w:themeColor="text1"/>
                    </w:rPr>
                  </w:pPr>
                  <w:sdt>
                    <w:sdtPr>
                      <w:alias w:val="Numeris"/>
                      <w:tag w:val="nr_12a10abc0f53462a89a1b013596b3d6e"/>
                      <w:lock w:val="sdtLocked"/>
                      <w:richText/>
                    </w:sdtPr>
                    <w:sdtContent>
                      <w:r>
                        <w:rPr>
                          <w:color w:val="000000" w:themeColor="text1"/>
                        </w:rPr>
                        <w:t>3.1</w:t>
                      </w:r>
                    </w:sdtContent>
                  </w:sdt>
                  <w:r>
                    <w:rPr>
                      <w:color w:val="000000" w:themeColor="text1"/>
                    </w:rPr>
                    <w:t>. šildomų rūsių patalpų plotus;</w:t>
                  </w:r>
                </w:p>
              </w:sdtContent>
            </w:sdt>
            <w:sdt>
              <w:sdtPr>
                <w:alias w:val="7 pr. 3.2 pp."/>
                <w:tag w:val="part_be41486fac584b3c9cbcda0cce8d425e"/>
                <w:lock w:val="sdtLocked"/>
                <w:richText/>
              </w:sdtPr>
              <w:sdtContent>
                <w:p>
                  <w:pPr>
                    <w:ind w:firstLine="567"/>
                    <w:jc w:val="both"/>
                    <w:rPr>
                      <w:color w:val="000000" w:themeColor="text1"/>
                    </w:rPr>
                  </w:pPr>
                  <w:sdt>
                    <w:sdtPr>
                      <w:alias w:val="Numeris"/>
                      <w:tag w:val="nr_be41486fac584b3c9cbcda0cce8d425e"/>
                      <w:lock w:val="sdtLocked"/>
                      <w:richText/>
                    </w:sdtPr>
                    <w:sdtContent>
                      <w:r>
                        <w:rPr>
                          <w:color w:val="000000" w:themeColor="text1"/>
                        </w:rPr>
                        <w:t>3.2</w:t>
                      </w:r>
                    </w:sdtContent>
                  </w:sdt>
                  <w:r>
                    <w:rPr>
                      <w:color w:val="000000" w:themeColor="text1"/>
                    </w:rPr>
                    <w:t>. šildomų laiptinių plotus. Apskaičiuojant šiuos plotus, sumuojami kiekvieno aukšto plane užimami laiptinės plotai;</w:t>
                  </w:r>
                </w:p>
              </w:sdtContent>
            </w:sdt>
            <w:sdt>
              <w:sdtPr>
                <w:alias w:val="7 pr. 3.3 pp."/>
                <w:tag w:val="part_979e223e10ec4d0890d83b2f5e9e578a"/>
                <w:lock w:val="sdtLocked"/>
                <w:richText/>
              </w:sdtPr>
              <w:sdtContent>
                <w:p>
                  <w:pPr>
                    <w:ind w:firstLine="567"/>
                    <w:jc w:val="both"/>
                    <w:rPr>
                      <w:color w:val="000000" w:themeColor="text1"/>
                    </w:rPr>
                  </w:pPr>
                  <w:sdt>
                    <w:sdtPr>
                      <w:alias w:val="Numeris"/>
                      <w:tag w:val="nr_979e223e10ec4d0890d83b2f5e9e578a"/>
                      <w:lock w:val="sdtLocked"/>
                      <w:richText/>
                    </w:sdtPr>
                    <w:sdtContent>
                      <w:r>
                        <w:rPr>
                          <w:color w:val="000000" w:themeColor="text1"/>
                        </w:rPr>
                        <w:t>3.3</w:t>
                      </w:r>
                    </w:sdtContent>
                  </w:sdt>
                  <w:r>
                    <w:rPr>
                      <w:color w:val="000000" w:themeColor="text1"/>
                    </w:rPr>
                    <w:t>. bendrojo naudojimo ir kitų šildomų patalpų plotus;</w:t>
                  </w:r>
                </w:p>
              </w:sdtContent>
            </w:sdt>
            <w:sdt>
              <w:sdtPr>
                <w:alias w:val="7 pr. 3.4 pp."/>
                <w:tag w:val="part_ffedb6abb62b46fa8df0fe5117e17160"/>
                <w:lock w:val="sdtLocked"/>
                <w:richText/>
              </w:sdtPr>
              <w:sdtContent>
                <w:p>
                  <w:pPr>
                    <w:ind w:firstLine="567"/>
                    <w:jc w:val="both"/>
                    <w:rPr>
                      <w:color w:val="000000" w:themeColor="text1"/>
                    </w:rPr>
                  </w:pPr>
                  <w:sdt>
                    <w:sdtPr>
                      <w:alias w:val="Numeris"/>
                      <w:tag w:val="nr_ffedb6abb62b46fa8df0fe5117e17160"/>
                      <w:lock w:val="sdtLocked"/>
                      <w:richText/>
                    </w:sdtPr>
                    <w:sdtContent>
                      <w:r>
                        <w:rPr>
                          <w:color w:val="000000" w:themeColor="text1"/>
                        </w:rPr>
                        <w:t>3.4</w:t>
                      </w:r>
                    </w:sdtContent>
                  </w:sdt>
                  <w:r>
                    <w:rPr>
                      <w:color w:val="000000" w:themeColor="text1"/>
                    </w:rPr>
                    <w:t>. plotus patalpų, kurias iš visų pusių riboja šildomos patalpos;</w:t>
                  </w:r>
                </w:p>
              </w:sdtContent>
            </w:sdt>
            <w:sdt>
              <w:sdtPr>
                <w:alias w:val="7 pr. 3.5 pp."/>
                <w:tag w:val="part_c427e66969a04e5b885627241d21a7e9"/>
                <w:lock w:val="sdtLocked"/>
                <w:richText/>
              </w:sdtPr>
              <w:sdtContent>
                <w:p>
                  <w:pPr>
                    <w:ind w:firstLine="567"/>
                    <w:jc w:val="both"/>
                    <w:rPr>
                      <w:color w:val="000000" w:themeColor="text1"/>
                    </w:rPr>
                  </w:pPr>
                  <w:sdt>
                    <w:sdtPr>
                      <w:alias w:val="Numeris"/>
                      <w:tag w:val="nr_c427e66969a04e5b885627241d21a7e9"/>
                      <w:lock w:val="sdtLocked"/>
                      <w:richText/>
                    </w:sdtPr>
                    <w:sdtContent>
                      <w:r>
                        <w:rPr>
                          <w:color w:val="000000" w:themeColor="text1"/>
                        </w:rPr>
                        <w:t>3.5</w:t>
                      </w:r>
                    </w:sdtContent>
                  </w:sdt>
                  <w:r>
                    <w:rPr>
                      <w:color w:val="000000" w:themeColor="text1"/>
                    </w:rPr>
                    <w:t>. lifto šachtų plotus. Apskaičiuojant šiuos plotus, sumuojami kiekvieno aukšto plane lifto šachtų užimami vidiniai plotai;</w:t>
                  </w:r>
                </w:p>
              </w:sdtContent>
            </w:sdt>
            <w:sdt>
              <w:sdtPr>
                <w:alias w:val="7 pr. 3.6 pp."/>
                <w:tag w:val="part_f844d4b28c8440248aa3f41873488baf"/>
                <w:lock w:val="sdtLocked"/>
                <w:richText/>
              </w:sdtPr>
              <w:sdtContent>
                <w:p>
                  <w:pPr>
                    <w:ind w:firstLine="567"/>
                    <w:jc w:val="both"/>
                    <w:rPr>
                      <w:color w:val="000000" w:themeColor="text1"/>
                    </w:rPr>
                  </w:pPr>
                  <w:sdt>
                    <w:sdtPr>
                      <w:alias w:val="Numeris"/>
                      <w:tag w:val="nr_f844d4b28c8440248aa3f41873488baf"/>
                      <w:lock w:val="sdtLocked"/>
                      <w:richText/>
                    </w:sdtPr>
                    <w:sdtContent>
                      <w:r>
                        <w:rPr>
                          <w:color w:val="000000" w:themeColor="text1"/>
                        </w:rPr>
                        <w:t>3.6</w:t>
                      </w:r>
                    </w:sdtContent>
                  </w:sdt>
                  <w:r>
                    <w:rPr>
                      <w:color w:val="000000" w:themeColor="text1"/>
                    </w:rPr>
                    <w:t>. nešildomų tambūrų plotus, jei sienų tarp tambūrų ir išorės šilumos perdavimo koeficientų vertės ne mažiau kaip du kartus mažesnės už sienų tarp tambūrų ir vidaus patalpų šilumos perdavimo koeficientų vertes, o durų tarp tambūrų ir išorės šilumos perdavimo koeficientas ne didesnis kaip 1,6 W/(m²·K).</w:t>
                  </w:r>
                </w:p>
              </w:sdtContent>
            </w:sdt>
          </w:sdtContent>
        </w:sdt>
        <w:sdt>
          <w:sdtPr>
            <w:alias w:val="7 pr. 4 p."/>
            <w:tag w:val="part_5a8f1e07de87417c9e27f16c6e0c376f"/>
            <w:lock w:val="sdtLocked"/>
            <w:richText/>
          </w:sdtPr>
          <w:sdtContent>
            <w:p>
              <w:pPr>
                <w:ind w:firstLine="567"/>
                <w:jc w:val="both"/>
                <w:rPr>
                  <w:color w:val="000000" w:themeColor="text1"/>
                </w:rPr>
              </w:pPr>
              <w:sdt>
                <w:sdtPr>
                  <w:alias w:val="Numeris"/>
                  <w:tag w:val="nr_5a8f1e07de87417c9e27f16c6e0c376f"/>
                  <w:lock w:val="sdtLocked"/>
                  <w:richText/>
                </w:sdtPr>
                <w:sdtContent>
                  <w:r>
                    <w:rPr>
                      <w:color w:val="000000" w:themeColor="text1"/>
                    </w:rPr>
                    <w:t>4</w:t>
                  </w:r>
                </w:sdtContent>
              </w:sdt>
              <w:r>
                <w:rPr>
                  <w:color w:val="000000" w:themeColor="text1"/>
                </w:rPr>
                <w:t xml:space="preserve">. Pastato šildomų patalpų tūris apskaičiuojamas pagal vidinius šildomų patalpų matmenis dviejų ženklų po kablelio tikslumu, kubiniais metrais. </w:t>
              </w:r>
            </w:p>
          </w:sdtContent>
        </w:sdt>
        <w:sdt>
          <w:sdtPr>
            <w:alias w:val="7 pr. 5 p."/>
            <w:tag w:val="part_84fae998d48f474e90b8f3c3b3291f0a"/>
            <w:lock w:val="sdtLocked"/>
            <w:richText/>
          </w:sdtPr>
          <w:sdtContent>
            <w:p>
              <w:pPr>
                <w:ind w:firstLine="567"/>
                <w:jc w:val="both"/>
                <w:rPr>
                  <w:color w:val="000000" w:themeColor="text1"/>
                </w:rPr>
              </w:pPr>
              <w:sdt>
                <w:sdtPr>
                  <w:alias w:val="Numeris"/>
                  <w:tag w:val="nr_84fae998d48f474e90b8f3c3b3291f0a"/>
                  <w:lock w:val="sdtLocked"/>
                  <w:richText/>
                </w:sdtPr>
                <w:sdtContent>
                  <w:r>
                    <w:rPr>
                      <w:color w:val="000000" w:themeColor="text1"/>
                    </w:rPr>
                    <w:t>5</w:t>
                  </w:r>
                </w:sdtContent>
              </w:sdt>
              <w:r>
                <w:rPr>
                  <w:color w:val="000000" w:themeColor="text1"/>
                </w:rPr>
                <w:t xml:space="preserve">. Sienų plotas apskaičiuojamas iš bendro sienos ploto atėmus sienoje esančių langų ir durų plotus, apskaičiuotus pagal mažiausius statybinių angų išorinius matmenis. </w:t>
              </w:r>
            </w:p>
          </w:sdtContent>
        </w:sdt>
        <w:sdt>
          <w:sdtPr>
            <w:alias w:val="7 pr. 6 p."/>
            <w:tag w:val="part_8f3069922eb9471786641ed4bc371f15"/>
            <w:lock w:val="sdtLocked"/>
            <w:richText/>
          </w:sdtPr>
          <w:sdtContent>
            <w:p>
              <w:pPr>
                <w:ind w:firstLine="567"/>
                <w:jc w:val="both"/>
                <w:rPr>
                  <w:color w:val="000000" w:themeColor="text1"/>
                </w:rPr>
              </w:pPr>
              <w:sdt>
                <w:sdtPr>
                  <w:alias w:val="Numeris"/>
                  <w:tag w:val="nr_8f3069922eb9471786641ed4bc371f15"/>
                  <w:lock w:val="sdtLocked"/>
                  <w:richText/>
                </w:sdtPr>
                <w:sdtContent>
                  <w:r>
                    <w:rPr>
                      <w:color w:val="000000" w:themeColor="text1"/>
                    </w:rPr>
                    <w:t>6</w:t>
                  </w:r>
                </w:sdtContent>
              </w:sdt>
              <w:r>
                <w:rPr>
                  <w:color w:val="000000" w:themeColor="text1"/>
                </w:rPr>
                <w:t>. Sienų aukštis nustatomas taip:</w:t>
              </w:r>
            </w:p>
            <w:sdt>
              <w:sdtPr>
                <w:alias w:val="7 pr. 6.1 pp."/>
                <w:tag w:val="part_411b5661bdf749b6bbe16a2ffe6d0359"/>
                <w:lock w:val="sdtLocked"/>
                <w:richText/>
              </w:sdtPr>
              <w:sdtContent>
                <w:p>
                  <w:pPr>
                    <w:ind w:firstLine="567"/>
                    <w:jc w:val="both"/>
                    <w:rPr>
                      <w:color w:val="000000" w:themeColor="text1"/>
                      <w:spacing w:val="-8"/>
                    </w:rPr>
                  </w:pPr>
                  <w:sdt>
                    <w:sdtPr>
                      <w:alias w:val="Numeris"/>
                      <w:tag w:val="nr_411b5661bdf749b6bbe16a2ffe6d0359"/>
                      <w:lock w:val="sdtLocked"/>
                      <w:richText/>
                    </w:sdtPr>
                    <w:sdtContent>
                      <w:r>
                        <w:rPr>
                          <w:color w:val="000000" w:themeColor="text1"/>
                          <w:spacing w:val="-8"/>
                        </w:rPr>
                        <w:t>6.1</w:t>
                      </w:r>
                    </w:sdtContent>
                  </w:sdt>
                  <w:r>
                    <w:rPr>
                      <w:color w:val="000000" w:themeColor="text1"/>
                      <w:spacing w:val="-8"/>
                    </w:rPr>
                    <w:t>. jei yra šlaitinis stogas su karnizu ir sienos sandūros su stogu konstrukcinis sprendimas nežinomas, sienų aukštis matuojamas iki karnizo susikirtimo vietos su sienos plokštuma (</w:t>
                  </w:r>
                  <w:r>
                    <w:rPr>
                      <w:i/>
                      <w:color w:val="000000" w:themeColor="text1"/>
                      <w:spacing w:val="-8"/>
                    </w:rPr>
                    <w:t>h</w:t>
                  </w:r>
                  <w:r>
                    <w:rPr>
                      <w:i/>
                      <w:color w:val="000000" w:themeColor="text1"/>
                      <w:spacing w:val="-8"/>
                      <w:vertAlign w:val="subscript"/>
                    </w:rPr>
                    <w:t>e</w:t>
                  </w:r>
                  <w:r>
                    <w:rPr>
                      <w:color w:val="000000" w:themeColor="text1"/>
                      <w:spacing w:val="-8"/>
                    </w:rPr>
                    <w:t xml:space="preserve"> arba </w:t>
                  </w:r>
                  <w:r>
                    <w:rPr>
                      <w:i/>
                      <w:color w:val="000000" w:themeColor="text1"/>
                      <w:spacing w:val="-8"/>
                    </w:rPr>
                    <w:t>h</w:t>
                  </w:r>
                  <w:r>
                    <w:rPr>
                      <w:i/>
                      <w:color w:val="000000" w:themeColor="text1"/>
                      <w:spacing w:val="-8"/>
                      <w:vertAlign w:val="subscript"/>
                    </w:rPr>
                    <w:t>e2</w:t>
                  </w:r>
                  <w:r>
                    <w:rPr>
                      <w:color w:val="000000" w:themeColor="text1"/>
                      <w:spacing w:val="-8"/>
                    </w:rPr>
                    <w:t xml:space="preserve"> matmenys, 7.2. pav.); kai sienos sandūros su stogu konstrukcinis sprendimas žinomas, esant nevėdinamai stogo konstrukcijai, sienos aukštis matuojamas iki sienos plokštumos susikirtimo vietos su stogo išorine plokštuma arba, esant vėdinamai stogo konstrukcijai, – iki sienos plokštumos susikirtimo vietos su vėdinamo oro tarpo apatine plokštuma;</w:t>
                  </w:r>
                </w:p>
              </w:sdtContent>
            </w:sdt>
            <w:sdt>
              <w:sdtPr>
                <w:alias w:val="7 pr. 6.2 pp."/>
                <w:tag w:val="part_cd281696841248dcb1e88bcded79a1af"/>
                <w:lock w:val="sdtLocked"/>
                <w:richText/>
              </w:sdtPr>
              <w:sdtContent>
                <w:p>
                  <w:pPr>
                    <w:ind w:firstLine="567"/>
                    <w:jc w:val="both"/>
                    <w:rPr>
                      <w:color w:val="000000" w:themeColor="text1"/>
                    </w:rPr>
                  </w:pPr>
                  <w:sdt>
                    <w:sdtPr>
                      <w:alias w:val="Numeris"/>
                      <w:tag w:val="nr_cd281696841248dcb1e88bcded79a1af"/>
                      <w:lock w:val="sdtLocked"/>
                      <w:richText/>
                    </w:sdtPr>
                    <w:sdtContent>
                      <w:r>
                        <w:rPr>
                          <w:color w:val="000000" w:themeColor="text1"/>
                        </w:rPr>
                        <w:t>6.2</w:t>
                      </w:r>
                    </w:sdtContent>
                  </w:sdt>
                  <w:r>
                    <w:rPr>
                      <w:color w:val="000000" w:themeColor="text1"/>
                    </w:rPr>
                    <w:t>. pastatų su šlaitiniais stogais, kurių pastogėse įrengtos šildomos patalpos, sienų aukštis matuojamas iki šių patalpų lubų perdenginio viršaus;</w:t>
                  </w:r>
                </w:p>
              </w:sdtContent>
            </w:sdt>
            <w:sdt>
              <w:sdtPr>
                <w:alias w:val="7 pr. 6.3 pp."/>
                <w:tag w:val="part_6b08a673645941bf9e42e5a2d7602206"/>
                <w:lock w:val="sdtLocked"/>
                <w:richText/>
              </w:sdtPr>
              <w:sdtContent>
                <w:p>
                  <w:pPr>
                    <w:ind w:firstLine="567"/>
                    <w:jc w:val="both"/>
                    <w:rPr>
                      <w:color w:val="000000" w:themeColor="text1"/>
                    </w:rPr>
                  </w:pPr>
                  <w:sdt>
                    <w:sdtPr>
                      <w:alias w:val="Numeris"/>
                      <w:tag w:val="nr_6b08a673645941bf9e42e5a2d7602206"/>
                      <w:lock w:val="sdtLocked"/>
                      <w:richText/>
                    </w:sdtPr>
                    <w:sdtContent>
                      <w:r>
                        <w:rPr>
                          <w:color w:val="000000" w:themeColor="text1"/>
                        </w:rPr>
                        <w:t>6.3</w:t>
                      </w:r>
                    </w:sdtContent>
                  </w:sdt>
                  <w:r>
                    <w:rPr>
                      <w:color w:val="000000" w:themeColor="text1"/>
                    </w:rPr>
                    <w:t>. jei virš šildomų patalpų įrengtas plokščias stogas ir parapetai, sienų aukštis matuojamas iki stogo viršutinės plokštumos susikirtimo vietos su parapetu;</w:t>
                  </w:r>
                </w:p>
              </w:sdtContent>
            </w:sdt>
            <w:sdt>
              <w:sdtPr>
                <w:alias w:val="7 pr. 6.4 pp."/>
                <w:tag w:val="part_9a4fa7602ed544a9ad6013e057a06269"/>
                <w:lock w:val="sdtLocked"/>
                <w:richText/>
              </w:sdtPr>
              <w:sdtContent>
                <w:p>
                  <w:pPr>
                    <w:ind w:firstLine="567"/>
                    <w:jc w:val="both"/>
                    <w:rPr>
                      <w:color w:val="000000" w:themeColor="text1"/>
                    </w:rPr>
                  </w:pPr>
                  <w:sdt>
                    <w:sdtPr>
                      <w:alias w:val="Numeris"/>
                      <w:tag w:val="nr_9a4fa7602ed544a9ad6013e057a06269"/>
                      <w:lock w:val="sdtLocked"/>
                      <w:richText/>
                    </w:sdtPr>
                    <w:sdtContent>
                      <w:r>
                        <w:rPr>
                          <w:color w:val="000000" w:themeColor="text1"/>
                        </w:rPr>
                        <w:t>6.4</w:t>
                      </w:r>
                    </w:sdtContent>
                  </w:sdt>
                  <w:r>
                    <w:rPr>
                      <w:color w:val="000000" w:themeColor="text1"/>
                    </w:rPr>
                    <w:t>. jei pastate su plokščiu stogu viršutiniame aukšte įrengtos nešildomos patalpos, sienų aukštis matuojamas iki viršutinio aukšto šildomų patalpų lubų perdenginio viršaus;</w:t>
                  </w:r>
                </w:p>
              </w:sdtContent>
            </w:sdt>
            <w:sdt>
              <w:sdtPr>
                <w:alias w:val="7 pr. 6.5 pp."/>
                <w:tag w:val="part_ae0c050808044cf6b882d6b5bfdce982"/>
                <w:lock w:val="sdtLocked"/>
                <w:richText/>
              </w:sdtPr>
              <w:sdtContent>
                <w:p>
                  <w:pPr>
                    <w:ind w:firstLine="567"/>
                    <w:jc w:val="both"/>
                    <w:rPr>
                      <w:color w:val="000000" w:themeColor="text1"/>
                    </w:rPr>
                  </w:pPr>
                  <w:sdt>
                    <w:sdtPr>
                      <w:alias w:val="Numeris"/>
                      <w:tag w:val="nr_ae0c050808044cf6b882d6b5bfdce982"/>
                      <w:lock w:val="sdtLocked"/>
                      <w:richText/>
                    </w:sdtPr>
                    <w:sdtContent>
                      <w:r>
                        <w:rPr>
                          <w:color w:val="000000" w:themeColor="text1"/>
                        </w:rPr>
                        <w:t>6.5</w:t>
                      </w:r>
                    </w:sdtContent>
                  </w:sdt>
                  <w:r>
                    <w:rPr>
                      <w:color w:val="000000" w:themeColor="text1"/>
                    </w:rPr>
                    <w:t>. po perdangomis, kurios ribojasi su išore, esančių sienų aukštis matuojamas iki šių perdangų apačios;</w:t>
                  </w:r>
                </w:p>
              </w:sdtContent>
            </w:sdt>
            <w:sdt>
              <w:sdtPr>
                <w:alias w:val="7 pr. 6.6 pp."/>
                <w:tag w:val="part_6df2d424b14848db9129a09479f7b47b"/>
                <w:lock w:val="sdtLocked"/>
                <w:richText/>
              </w:sdtPr>
              <w:sdtContent>
                <w:p>
                  <w:pPr>
                    <w:ind w:firstLine="567"/>
                    <w:jc w:val="both"/>
                    <w:rPr>
                      <w:color w:val="000000" w:themeColor="text1"/>
                    </w:rPr>
                  </w:pPr>
                  <w:sdt>
                    <w:sdtPr>
                      <w:alias w:val="Numeris"/>
                      <w:tag w:val="nr_6df2d424b14848db9129a09479f7b47b"/>
                      <w:lock w:val="sdtLocked"/>
                      <w:richText/>
                    </w:sdtPr>
                    <w:sdtContent>
                      <w:r>
                        <w:rPr>
                          <w:color w:val="000000" w:themeColor="text1"/>
                        </w:rPr>
                        <w:t>6.6</w:t>
                      </w:r>
                    </w:sdtContent>
                  </w:sdt>
                  <w:r>
                    <w:rPr>
                      <w:color w:val="000000" w:themeColor="text1"/>
                    </w:rPr>
                    <w:t>. jei išorinių sienų viršus yra skirtingame lygyje, turi būti apskaičiuotas sienos aukščio vidurkis;</w:t>
                  </w:r>
                </w:p>
              </w:sdtContent>
            </w:sdt>
            <w:sdt>
              <w:sdtPr>
                <w:alias w:val="7 pr. 6.7 pp."/>
                <w:tag w:val="part_7dfdf726bc2543f28572676be1d2a3c0"/>
                <w:lock w:val="sdtLocked"/>
                <w:richText/>
              </w:sdtPr>
              <w:sdtContent>
                <w:p>
                  <w:pPr>
                    <w:ind w:firstLine="567"/>
                    <w:jc w:val="both"/>
                    <w:rPr>
                      <w:color w:val="000000" w:themeColor="text1"/>
                    </w:rPr>
                  </w:pPr>
                  <w:sdt>
                    <w:sdtPr>
                      <w:alias w:val="Numeris"/>
                      <w:tag w:val="nr_7dfdf726bc2543f28572676be1d2a3c0"/>
                      <w:lock w:val="sdtLocked"/>
                      <w:richText/>
                    </w:sdtPr>
                    <w:sdtContent>
                      <w:r>
                        <w:rPr>
                          <w:color w:val="000000" w:themeColor="text1"/>
                        </w:rPr>
                        <w:t>6.7</w:t>
                      </w:r>
                    </w:sdtContent>
                  </w:sdt>
                  <w:r>
                    <w:rPr>
                      <w:color w:val="000000" w:themeColor="text1"/>
                    </w:rPr>
                    <w:t>. jei pirmo aukšto perdangos apačia žemiau grunto paviršiaus, sienos aukštis matuojamas nuo grunto paviršiaus;</w:t>
                  </w:r>
                </w:p>
              </w:sdtContent>
            </w:sdt>
            <w:sdt>
              <w:sdtPr>
                <w:alias w:val="7 pr. 6.8 pp."/>
                <w:tag w:val="part_0365ec345b98466ba44b7e40cfff983a"/>
                <w:lock w:val="sdtLocked"/>
                <w:richText/>
              </w:sdtPr>
              <w:sdtContent>
                <w:p>
                  <w:pPr>
                    <w:ind w:firstLine="567"/>
                    <w:jc w:val="both"/>
                    <w:rPr>
                      <w:color w:val="000000" w:themeColor="text1"/>
                    </w:rPr>
                  </w:pPr>
                  <w:sdt>
                    <w:sdtPr>
                      <w:alias w:val="Numeris"/>
                      <w:tag w:val="nr_0365ec345b98466ba44b7e40cfff983a"/>
                      <w:lock w:val="sdtLocked"/>
                      <w:richText/>
                    </w:sdtPr>
                    <w:sdtContent>
                      <w:r>
                        <w:rPr>
                          <w:color w:val="000000" w:themeColor="text1"/>
                        </w:rPr>
                        <w:t>6.8</w:t>
                      </w:r>
                    </w:sdtContent>
                  </w:sdt>
                  <w:r>
                    <w:rPr>
                      <w:color w:val="000000" w:themeColor="text1"/>
                    </w:rPr>
                    <w:t>. jei pirmo aukšto perdangos apačia virš grunto paviršiaus, sienos aukštis matuojamas nuo pirmo aukšto perdenginio apačios;</w:t>
                  </w:r>
                </w:p>
              </w:sdtContent>
            </w:sdt>
            <w:sdt>
              <w:sdtPr>
                <w:alias w:val="7 pr. 6.9 pp."/>
                <w:tag w:val="part_b99ffb1ee5184b04b77c9b27246afee6"/>
                <w:lock w:val="sdtLocked"/>
                <w:richText/>
              </w:sdtPr>
              <w:sdtContent>
                <w:p>
                  <w:pPr>
                    <w:ind w:firstLine="567"/>
                    <w:jc w:val="both"/>
                    <w:rPr>
                      <w:color w:val="000000" w:themeColor="text1"/>
                    </w:rPr>
                  </w:pPr>
                  <w:sdt>
                    <w:sdtPr>
                      <w:alias w:val="Numeris"/>
                      <w:tag w:val="nr_b99ffb1ee5184b04b77c9b27246afee6"/>
                      <w:lock w:val="sdtLocked"/>
                      <w:richText/>
                    </w:sdtPr>
                    <w:sdtContent>
                      <w:r>
                        <w:rPr>
                          <w:color w:val="000000" w:themeColor="text1"/>
                        </w:rPr>
                        <w:t>6.9</w:t>
                      </w:r>
                    </w:sdtContent>
                  </w:sdt>
                  <w:r>
                    <w:rPr>
                      <w:color w:val="000000" w:themeColor="text1"/>
                    </w:rPr>
                    <w:t>. sienų, įrengtų ant perdangų, kurios ribojasi su išore, aukštis matuojamas nuo perdangos apačios;</w:t>
                  </w:r>
                </w:p>
              </w:sdtContent>
            </w:sdt>
            <w:sdt>
              <w:sdtPr>
                <w:alias w:val="7 pr. 6.10 pp."/>
                <w:tag w:val="part_2c81197dea0a49cd82cdcfec35e4f0e4"/>
                <w:lock w:val="sdtLocked"/>
                <w:richText/>
              </w:sdtPr>
              <w:sdtContent>
                <w:p>
                  <w:pPr>
                    <w:ind w:firstLine="567"/>
                    <w:jc w:val="both"/>
                    <w:rPr>
                      <w:color w:val="000000" w:themeColor="text1"/>
                    </w:rPr>
                  </w:pPr>
                  <w:sdt>
                    <w:sdtPr>
                      <w:alias w:val="Numeris"/>
                      <w:tag w:val="nr_2c81197dea0a49cd82cdcfec35e4f0e4"/>
                      <w:lock w:val="sdtLocked"/>
                      <w:richText/>
                    </w:sdtPr>
                    <w:sdtContent>
                      <w:r>
                        <w:rPr>
                          <w:color w:val="000000" w:themeColor="text1"/>
                        </w:rPr>
                        <w:t>6.10</w:t>
                      </w:r>
                    </w:sdtContent>
                  </w:sdt>
                  <w:r>
                    <w:rPr>
                      <w:color w:val="000000" w:themeColor="text1"/>
                    </w:rPr>
                    <w:t>. sienų, įrengtų ant perdangų virš nešildomų rūsių ir pogrindžių, aukštis matuojamas nuo perdangos apačios;</w:t>
                  </w:r>
                </w:p>
              </w:sdtContent>
            </w:sdt>
            <w:sdt>
              <w:sdtPr>
                <w:alias w:val="7 pr. 6.11 pp."/>
                <w:tag w:val="part_0e9444c4d7ab41bd89bd9be1fa5a9fee"/>
                <w:lock w:val="sdtLocked"/>
                <w:richText/>
              </w:sdtPr>
              <w:sdtContent>
                <w:p>
                  <w:pPr>
                    <w:ind w:firstLine="567"/>
                    <w:jc w:val="both"/>
                    <w:rPr>
                      <w:color w:val="000000" w:themeColor="text1"/>
                    </w:rPr>
                  </w:pPr>
                  <w:sdt>
                    <w:sdtPr>
                      <w:alias w:val="Numeris"/>
                      <w:tag w:val="nr_0e9444c4d7ab41bd89bd9be1fa5a9fee"/>
                      <w:lock w:val="sdtLocked"/>
                      <w:richText/>
                    </w:sdtPr>
                    <w:sdtContent>
                      <w:r>
                        <w:rPr>
                          <w:color w:val="000000" w:themeColor="text1"/>
                        </w:rPr>
                        <w:t>6.11</w:t>
                      </w:r>
                    </w:sdtContent>
                  </w:sdt>
                  <w:r>
                    <w:rPr>
                      <w:color w:val="000000" w:themeColor="text1"/>
                    </w:rPr>
                    <w:t>. pastatų, kurių grindys įrengtos ant grunto, sienų aukštis matuojamas nuo šių grindų paviršiaus.</w:t>
                  </w:r>
                </w:p>
              </w:sdtContent>
            </w:sdt>
          </w:sdtContent>
        </w:sdt>
        <w:sdt>
          <w:sdtPr>
            <w:alias w:val="7 pr. 7 p."/>
            <w:tag w:val="part_cb150b5090b54f43a9f4496bdc3e1024"/>
            <w:lock w:val="sdtLocked"/>
            <w:richText/>
          </w:sdtPr>
          <w:sdtContent>
            <w:p>
              <w:pPr>
                <w:ind w:firstLine="567"/>
                <w:jc w:val="both"/>
                <w:rPr>
                  <w:color w:val="000000" w:themeColor="text1"/>
                </w:rPr>
              </w:pPr>
              <w:sdt>
                <w:sdtPr>
                  <w:alias w:val="Numeris"/>
                  <w:tag w:val="nr_cb150b5090b54f43a9f4496bdc3e1024"/>
                  <w:lock w:val="sdtLocked"/>
                  <w:richText/>
                </w:sdtPr>
                <w:sdtContent>
                  <w:r>
                    <w:rPr>
                      <w:color w:val="000000" w:themeColor="text1"/>
                    </w:rPr>
                    <w:t>7</w:t>
                  </w:r>
                </w:sdtContent>
              </w:sdt>
              <w:r>
                <w:rPr>
                  <w:color w:val="000000" w:themeColor="text1"/>
                </w:rPr>
                <w:t xml:space="preserve">. Sienų plotis nustatomas  pagal  išorinius pastato matmenis (matmenys </w:t>
              </w:r>
              <w:r>
                <w:rPr>
                  <w:i/>
                  <w:color w:val="000000" w:themeColor="text1"/>
                </w:rPr>
                <w:t>l</w:t>
              </w:r>
              <w:r>
                <w:rPr>
                  <w:i/>
                  <w:color w:val="000000" w:themeColor="text1"/>
                  <w:vertAlign w:val="subscript"/>
                </w:rPr>
                <w:t>e,</w:t>
              </w:r>
              <w:r>
                <w:rPr>
                  <w:iCs/>
                  <w:color w:val="000000" w:themeColor="text1"/>
                </w:rPr>
                <w:t>, 7.1 pav.</w:t>
              </w:r>
              <w:r>
                <w:rPr>
                  <w:color w:val="000000" w:themeColor="text1"/>
                </w:rPr>
                <w:t xml:space="preserve">). Šildomų patalpų, įrengtų pastatų su šlaitiniais stogais pastogėse, sienų plotis atitinka atstumą tarp priešpriešinių patalpų sienų išorinių paviršių. </w:t>
              </w:r>
            </w:p>
          </w:sdtContent>
        </w:sdt>
        <w:sdt>
          <w:sdtPr>
            <w:alias w:val="7 pr. 8 p."/>
            <w:tag w:val="part_efd90c456db4496fa38e0dff6b53d91e"/>
            <w:lock w:val="sdtLocked"/>
            <w:richText/>
          </w:sdtPr>
          <w:sdtContent>
            <w:p>
              <w:pPr>
                <w:ind w:firstLine="567"/>
                <w:jc w:val="both"/>
                <w:rPr>
                  <w:color w:val="000000" w:themeColor="text1"/>
                </w:rPr>
              </w:pPr>
              <w:sdt>
                <w:sdtPr>
                  <w:alias w:val="Numeris"/>
                  <w:tag w:val="nr_efd90c456db4496fa38e0dff6b53d91e"/>
                  <w:lock w:val="sdtLocked"/>
                  <w:richText/>
                </w:sdtPr>
                <w:sdtContent>
                  <w:r>
                    <w:rPr>
                      <w:color w:val="000000" w:themeColor="text1"/>
                    </w:rPr>
                    <w:t>8</w:t>
                  </w:r>
                </w:sdtContent>
              </w:sdt>
              <w:r>
                <w:rPr>
                  <w:color w:val="000000" w:themeColor="text1"/>
                </w:rPr>
                <w:t xml:space="preserve">. Langų, stoglangių, švieslangių, kitų skaidrių atitvarų ir durų matmenys imami pagal mažiausius statybinių angų išorinius matmenis (matmenys </w:t>
              </w:r>
              <w:r>
                <w:rPr>
                  <w:i/>
                  <w:color w:val="000000" w:themeColor="text1"/>
                </w:rPr>
                <w:t>l</w:t>
              </w:r>
              <w:r>
                <w:rPr>
                  <w:i/>
                  <w:color w:val="000000" w:themeColor="text1"/>
                  <w:vertAlign w:val="subscript"/>
                </w:rPr>
                <w:t>min</w:t>
              </w:r>
              <w:r>
                <w:rPr>
                  <w:color w:val="000000" w:themeColor="text1"/>
                </w:rPr>
                <w:t>,</w:t>
              </w:r>
              <w:r>
                <w:rPr>
                  <w:iCs/>
                  <w:color w:val="000000" w:themeColor="text1"/>
                </w:rPr>
                <w:t xml:space="preserve"> 7.1. pav. ir </w:t>
              </w:r>
              <w:r>
                <w:rPr>
                  <w:i/>
                  <w:color w:val="000000" w:themeColor="text1"/>
                </w:rPr>
                <w:t>h</w:t>
              </w:r>
              <w:r>
                <w:rPr>
                  <w:i/>
                  <w:color w:val="000000" w:themeColor="text1"/>
                  <w:vertAlign w:val="subscript"/>
                </w:rPr>
                <w:t>min</w:t>
              </w:r>
              <w:r>
                <w:rPr>
                  <w:color w:val="000000" w:themeColor="text1"/>
                </w:rPr>
                <w:t xml:space="preserve">, </w:t>
              </w:r>
              <w:r>
                <w:rPr>
                  <w:iCs/>
                  <w:color w:val="000000" w:themeColor="text1"/>
                </w:rPr>
                <w:t>7.2. pav.</w:t>
              </w:r>
              <w:r>
                <w:rPr>
                  <w:color w:val="000000" w:themeColor="text1"/>
                </w:rPr>
                <w:t>).</w:t>
              </w:r>
            </w:p>
          </w:sdtContent>
        </w:sdt>
        <w:sdt>
          <w:sdtPr>
            <w:alias w:val="7 pr. 9 p."/>
            <w:tag w:val="part_cdc07e5747ef4686bd203276fcbfcedc"/>
            <w:lock w:val="sdtLocked"/>
            <w:richText/>
          </w:sdtPr>
          <w:sdtContent>
            <w:p>
              <w:pPr>
                <w:ind w:firstLine="567"/>
                <w:jc w:val="both"/>
                <w:rPr>
                  <w:color w:val="000000" w:themeColor="text1"/>
                </w:rPr>
              </w:pPr>
              <w:sdt>
                <w:sdtPr>
                  <w:alias w:val="Numeris"/>
                  <w:tag w:val="nr_cdc07e5747ef4686bd203276fcbfcedc"/>
                  <w:lock w:val="sdtLocked"/>
                  <w:richText/>
                </w:sdtPr>
                <w:sdtContent>
                  <w:r>
                    <w:rPr>
                      <w:color w:val="000000" w:themeColor="text1"/>
                    </w:rPr>
                    <w:t>9</w:t>
                  </w:r>
                </w:sdtContent>
              </w:sdt>
              <w:r>
                <w:rPr>
                  <w:color w:val="000000" w:themeColor="text1"/>
                </w:rPr>
                <w:t>. Langų, stoglangių, švieslangių ir kitų skaidrių atitvarų įstiklintos dalies matmenys imami pagal mažiausius šių atitvarų angų įstiklinimui matmenis.</w:t>
              </w:r>
            </w:p>
          </w:sdtContent>
        </w:sdt>
        <w:sdt>
          <w:sdtPr>
            <w:alias w:val="7 pr. 10 p."/>
            <w:tag w:val="part_86f1896658e7413780244c1d41a4496d"/>
            <w:lock w:val="sdtLocked"/>
            <w:richText/>
          </w:sdtPr>
          <w:sdtContent>
            <w:p>
              <w:pPr>
                <w:ind w:firstLine="567"/>
                <w:jc w:val="both"/>
                <w:rPr>
                  <w:color w:val="000000" w:themeColor="text1"/>
                </w:rPr>
              </w:pPr>
              <w:sdt>
                <w:sdtPr>
                  <w:alias w:val="Numeris"/>
                  <w:tag w:val="nr_86f1896658e7413780244c1d41a4496d"/>
                  <w:lock w:val="sdtLocked"/>
                  <w:richText/>
                </w:sdtPr>
                <w:sdtContent>
                  <w:r>
                    <w:rPr>
                      <w:color w:val="000000" w:themeColor="text1"/>
                    </w:rPr>
                    <w:t>10</w:t>
                  </w:r>
                </w:sdtContent>
              </w:sdt>
              <w:r>
                <w:rPr>
                  <w:color w:val="000000" w:themeColor="text1"/>
                </w:rPr>
                <w:t xml:space="preserve">. Stogo plotas nustatomas iš bendro stogo ploto atėmus jame esančių stoglangių ir švieslangių plotus, apskaičiuotus pagal mažiausius statybinių angų išorinius matmenis. Stogo paviršiuje esančių vėdinimo kaminėlių, alsuoklių, kaminų ir vėdinimo šachtų užimami plotai įskaičiuojami į bendrą stogo plotą. </w:t>
              </w:r>
            </w:p>
          </w:sdtContent>
        </w:sdt>
        <w:sdt>
          <w:sdtPr>
            <w:alias w:val="7 pr. 11 p."/>
            <w:tag w:val="part_08f3442ce6a648d7aefe148b8bfd5b23"/>
            <w:lock w:val="sdtLocked"/>
            <w:richText/>
          </w:sdtPr>
          <w:sdtContent>
            <w:p>
              <w:pPr>
                <w:ind w:firstLine="567"/>
                <w:jc w:val="both"/>
                <w:rPr>
                  <w:color w:val="000000" w:themeColor="text1"/>
                </w:rPr>
              </w:pPr>
              <w:sdt>
                <w:sdtPr>
                  <w:alias w:val="Numeris"/>
                  <w:tag w:val="nr_08f3442ce6a648d7aefe148b8bfd5b23"/>
                  <w:lock w:val="sdtLocked"/>
                  <w:richText/>
                </w:sdtPr>
                <w:sdtContent>
                  <w:r>
                    <w:rPr>
                      <w:color w:val="000000" w:themeColor="text1"/>
                    </w:rPr>
                    <w:t>11</w:t>
                  </w:r>
                </w:sdtContent>
              </w:sdt>
              <w:r>
                <w:rPr>
                  <w:color w:val="000000" w:themeColor="text1"/>
                </w:rPr>
                <w:t>. Stogo plotis ir ilgis nustatomas pagal išorinius pastato matmenis:</w:t>
              </w:r>
            </w:p>
            <w:sdt>
              <w:sdtPr>
                <w:alias w:val="7 pr. 11.1 pp."/>
                <w:tag w:val="part_f5bd146b34eb4ca6a240fe61a9d44ad3"/>
                <w:lock w:val="sdtLocked"/>
                <w:richText/>
              </w:sdtPr>
              <w:sdtContent>
                <w:p>
                  <w:pPr>
                    <w:ind w:firstLine="567"/>
                    <w:jc w:val="both"/>
                    <w:rPr>
                      <w:color w:val="000000" w:themeColor="text1"/>
                    </w:rPr>
                  </w:pPr>
                  <w:sdt>
                    <w:sdtPr>
                      <w:alias w:val="Numeris"/>
                      <w:tag w:val="nr_f5bd146b34eb4ca6a240fe61a9d44ad3"/>
                      <w:lock w:val="sdtLocked"/>
                      <w:richText/>
                    </w:sdtPr>
                    <w:sdtContent>
                      <w:r>
                        <w:rPr>
                          <w:color w:val="000000" w:themeColor="text1"/>
                        </w:rPr>
                        <w:t>11.1</w:t>
                      </w:r>
                    </w:sdtContent>
                  </w:sdt>
                  <w:r>
                    <w:rPr>
                      <w:color w:val="000000" w:themeColor="text1"/>
                    </w:rPr>
                    <w:t xml:space="preserve">. jei virš šildomų patalpų įrengtas šlaitinis stogas, stogo ilgis atitinka stogo šlaitų ilgių sumą nuo stogo išorinės plokštumos susikirtimo vietos su sienos plokštuma iki kraigo (atstumas </w:t>
                  </w:r>
                  <w:r>
                    <w:rPr>
                      <w:i/>
                      <w:color w:val="000000" w:themeColor="text1"/>
                    </w:rPr>
                    <w:t>l</w:t>
                  </w:r>
                  <w:r>
                    <w:rPr>
                      <w:i/>
                      <w:color w:val="000000" w:themeColor="text1"/>
                      <w:vertAlign w:val="subscript"/>
                    </w:rPr>
                    <w:t>e.2</w:t>
                  </w:r>
                  <w:r>
                    <w:rPr>
                      <w:color w:val="000000" w:themeColor="text1"/>
                    </w:rPr>
                    <w:t>,</w:t>
                  </w:r>
                  <w:r>
                    <w:rPr>
                      <w:i/>
                      <w:color w:val="000000" w:themeColor="text1"/>
                    </w:rPr>
                    <w:t xml:space="preserve"> </w:t>
                  </w:r>
                  <w:r>
                    <w:rPr>
                      <w:color w:val="000000" w:themeColor="text1"/>
                    </w:rPr>
                    <w:t>7.2. pav.) ir nuo kraigo iki priešpriešinės sienos išorinės plokštumos susikirtimo vietos su stogo išorine plokštuma;</w:t>
                  </w:r>
                </w:p>
              </w:sdtContent>
            </w:sdt>
            <w:sdt>
              <w:sdtPr>
                <w:alias w:val="7 pr. 11.2 pp."/>
                <w:tag w:val="part_c580a2b0975a408b86fac3bb61c439b6"/>
                <w:lock w:val="sdtLocked"/>
                <w:richText/>
              </w:sdtPr>
              <w:sdtContent>
                <w:p>
                  <w:pPr>
                    <w:ind w:firstLine="567"/>
                    <w:jc w:val="both"/>
                    <w:rPr>
                      <w:color w:val="000000" w:themeColor="text1"/>
                    </w:rPr>
                  </w:pPr>
                  <w:sdt>
                    <w:sdtPr>
                      <w:alias w:val="Numeris"/>
                      <w:tag w:val="nr_c580a2b0975a408b86fac3bb61c439b6"/>
                      <w:lock w:val="sdtLocked"/>
                      <w:richText/>
                    </w:sdtPr>
                    <w:sdtContent>
                      <w:r>
                        <w:rPr>
                          <w:color w:val="000000" w:themeColor="text1"/>
                        </w:rPr>
                        <w:t>11.2</w:t>
                      </w:r>
                    </w:sdtContent>
                  </w:sdt>
                  <w:r>
                    <w:rPr>
                      <w:color w:val="000000" w:themeColor="text1"/>
                    </w:rPr>
                    <w:t>. jei virš šildomų patalpų įrengtas dvišlaitis stogas, stogo plotis atitinka atstumą tarp priešpriešinių sienų išorinių plokštumų;</w:t>
                  </w:r>
                </w:p>
              </w:sdtContent>
            </w:sdt>
            <w:sdt>
              <w:sdtPr>
                <w:alias w:val="7 pr. 11.3 pp."/>
                <w:tag w:val="part_d1912518507f4f34acf3b2263181e53c"/>
                <w:lock w:val="sdtLocked"/>
                <w:richText/>
              </w:sdtPr>
              <w:sdtContent>
                <w:p>
                  <w:pPr>
                    <w:ind w:firstLine="567"/>
                    <w:jc w:val="both"/>
                    <w:rPr>
                      <w:color w:val="000000" w:themeColor="text1"/>
                    </w:rPr>
                  </w:pPr>
                  <w:sdt>
                    <w:sdtPr>
                      <w:alias w:val="Numeris"/>
                      <w:tag w:val="nr_d1912518507f4f34acf3b2263181e53c"/>
                      <w:lock w:val="sdtLocked"/>
                      <w:richText/>
                    </w:sdtPr>
                    <w:sdtContent>
                      <w:r>
                        <w:rPr>
                          <w:color w:val="000000" w:themeColor="text1"/>
                        </w:rPr>
                        <w:t>11.3</w:t>
                      </w:r>
                    </w:sdtContent>
                  </w:sdt>
                  <w:r>
                    <w:rPr>
                      <w:color w:val="000000" w:themeColor="text1"/>
                    </w:rPr>
                    <w:t>. jei virš šildomų patalpų įrengtas dvišlaitis stogas, kuris pločio matavimo kryptimi turi nuolydžius, stogo plotis matuojamas kaip nurodyta 11.2 punkte;</w:t>
                  </w:r>
                </w:p>
              </w:sdtContent>
            </w:sdt>
            <w:sdt>
              <w:sdtPr>
                <w:alias w:val="7 pr. 11.4 pp."/>
                <w:tag w:val="part_591fae51c0d94edd85c84cc2fbc10296"/>
                <w:lock w:val="sdtLocked"/>
                <w:richText/>
              </w:sdtPr>
              <w:sdtContent>
                <w:p>
                  <w:pPr>
                    <w:ind w:firstLine="567"/>
                    <w:jc w:val="both"/>
                    <w:rPr>
                      <w:color w:val="000000" w:themeColor="text1"/>
                    </w:rPr>
                  </w:pPr>
                  <w:sdt>
                    <w:sdtPr>
                      <w:alias w:val="Numeris"/>
                      <w:tag w:val="nr_591fae51c0d94edd85c84cc2fbc10296"/>
                      <w:lock w:val="sdtLocked"/>
                      <w:richText/>
                    </w:sdtPr>
                    <w:sdtContent>
                      <w:r>
                        <w:rPr>
                          <w:color w:val="000000" w:themeColor="text1"/>
                        </w:rPr>
                        <w:t>11.4</w:t>
                      </w:r>
                    </w:sdtContent>
                  </w:sdt>
                  <w:r>
                    <w:rPr>
                      <w:color w:val="000000" w:themeColor="text1"/>
                    </w:rPr>
                    <w:t xml:space="preserve">. jei pastogė po šlaitiniu stogu nešildoma, perdenginys po nešildoma pastoge priskiriamas stogų atitvaroms, o perdenginio ilgis matuojamas kaip parodyta 7.2.b pav. (atstumas </w:t>
                  </w:r>
                  <w:r>
                    <w:rPr>
                      <w:i/>
                      <w:color w:val="000000" w:themeColor="text1"/>
                    </w:rPr>
                    <w:t>l</w:t>
                  </w:r>
                  <w:r>
                    <w:rPr>
                      <w:i/>
                      <w:color w:val="000000" w:themeColor="text1"/>
                      <w:vertAlign w:val="subscript"/>
                    </w:rPr>
                    <w:t>e2</w:t>
                  </w:r>
                  <w:r>
                    <w:rPr>
                      <w:color w:val="000000" w:themeColor="text1"/>
                    </w:rPr>
                    <w:t>);</w:t>
                  </w:r>
                </w:p>
              </w:sdtContent>
            </w:sdt>
            <w:sdt>
              <w:sdtPr>
                <w:alias w:val="7 pr. 11.5 pp."/>
                <w:tag w:val="part_4a007c1b70bd43ac9278b5e3823bb256"/>
                <w:lock w:val="sdtLocked"/>
                <w:richText/>
              </w:sdtPr>
              <w:sdtContent>
                <w:p>
                  <w:pPr>
                    <w:ind w:firstLine="567"/>
                    <w:jc w:val="both"/>
                    <w:rPr>
                      <w:color w:val="000000" w:themeColor="text1"/>
                    </w:rPr>
                  </w:pPr>
                  <w:sdt>
                    <w:sdtPr>
                      <w:alias w:val="Numeris"/>
                      <w:tag w:val="nr_4a007c1b70bd43ac9278b5e3823bb256"/>
                      <w:lock w:val="sdtLocked"/>
                      <w:richText/>
                    </w:sdtPr>
                    <w:sdtContent>
                      <w:r>
                        <w:rPr>
                          <w:color w:val="000000" w:themeColor="text1"/>
                        </w:rPr>
                        <w:t>11.5</w:t>
                      </w:r>
                    </w:sdtContent>
                  </w:sdt>
                  <w:r>
                    <w:rPr>
                      <w:color w:val="000000" w:themeColor="text1"/>
                    </w:rPr>
                    <w:t>. jei virš šildomų patalpų įrengtas plokščias stogas, stogo ilgis ir plotis atitinka atstumą tarp priešpriešinių sienų išorinių plokštumų, t. y. pločio ar ilgio padidėjimas dėl stogo nuolydžio nevertinami.</w:t>
                  </w:r>
                </w:p>
                <w:p>
                  <w:pPr>
                    <w:rPr>
                      <w:color w:val="000000" w:themeColor="text1"/>
                      <w:sz w:val="10"/>
                      <w:szCs w:val="10"/>
                    </w:rPr>
                  </w:pPr>
                </w:p>
                <w:p>
                  <w:pPr>
                    <w:jc w:val="center"/>
                    <w:rPr>
                      <w:color w:val="000000" w:themeColor="text1"/>
                      <w:spacing w:val="-8"/>
                    </w:rPr>
                  </w:pPr>
                  <w:r>
                    <w:rPr>
                      <w:color w:val="000000" w:themeColor="text1"/>
                      <w:lang w:eastAsia="lt-LT"/>
                    </w:rPr>
                    <w:drawing>
                      <wp:inline distT="0" distB="0" distL="0" distR="0">
                        <wp:extent cx="5356860" cy="2590800"/>
                        <wp:effectExtent l="0" t="0" r="0" b="0"/>
                        <wp:docPr id="38" name="Paveikslėlis 38" descr="pastato ir jo atitavru matmenys plane_taisy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stato ir jo atitavru matmenys plane_taisytas"/>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56860" cy="2590800"/>
                                </a:xfrm>
                                <a:prstGeom prst="rect">
                                  <a:avLst/>
                                </a:prstGeom>
                                <a:noFill/>
                                <a:ln>
                                  <a:noFill/>
                                </a:ln>
                              </pic:spPr>
                            </pic:pic>
                          </a:graphicData>
                        </a:graphic>
                      </wp:inline>
                    </w:drawing>
                  </w:r>
                </w:p>
                <w:p>
                  <w:pPr>
                    <w:jc w:val="center"/>
                    <w:rPr>
                      <w:color w:val="000000" w:themeColor="text1"/>
                    </w:rPr>
                  </w:pPr>
                </w:p>
                <w:p>
                  <w:pPr>
                    <w:jc w:val="center"/>
                    <w:rPr>
                      <w:color w:val="000000" w:themeColor="text1"/>
                    </w:rPr>
                  </w:pPr>
                  <w:r>
                    <w:rPr>
                      <w:color w:val="000000" w:themeColor="text1"/>
                    </w:rPr>
                    <w:t>7.1. pav. Pastato ir jo atitvarų matmenys plane.</w:t>
                  </w:r>
                </w:p>
                <w:p>
                  <w:pPr>
                    <w:ind w:firstLine="62"/>
                    <w:jc w:val="center"/>
                    <w:rPr>
                      <w:color w:val="000000" w:themeColor="text1"/>
                    </w:rPr>
                  </w:pPr>
                  <w:r>
                    <w:rPr>
                      <w:i/>
                      <w:color w:val="000000" w:themeColor="text1"/>
                    </w:rPr>
                    <w:t>l</w:t>
                  </w:r>
                  <w:r>
                    <w:rPr>
                      <w:i/>
                      <w:color w:val="000000" w:themeColor="text1"/>
                      <w:vertAlign w:val="subscript"/>
                    </w:rPr>
                    <w:t>e</w:t>
                  </w:r>
                  <w:r>
                    <w:rPr>
                      <w:color w:val="000000" w:themeColor="text1"/>
                    </w:rPr>
                    <w:t xml:space="preserve"> – išoriniai matmenys, </w:t>
                  </w:r>
                  <w:r>
                    <w:rPr>
                      <w:i/>
                      <w:color w:val="000000" w:themeColor="text1"/>
                    </w:rPr>
                    <w:t>l</w:t>
                  </w:r>
                  <w:r>
                    <w:rPr>
                      <w:i/>
                      <w:color w:val="000000" w:themeColor="text1"/>
                      <w:vertAlign w:val="subscript"/>
                    </w:rPr>
                    <w:t>i</w:t>
                  </w:r>
                  <w:r>
                    <w:rPr>
                      <w:color w:val="000000" w:themeColor="text1"/>
                    </w:rPr>
                    <w:t xml:space="preserve"> – vidiniai matmenys, </w:t>
                  </w:r>
                  <w:r>
                    <w:rPr>
                      <w:i/>
                      <w:color w:val="000000" w:themeColor="text1"/>
                    </w:rPr>
                    <w:t>l</w:t>
                  </w:r>
                  <w:r>
                    <w:rPr>
                      <w:i/>
                      <w:color w:val="000000" w:themeColor="text1"/>
                      <w:vertAlign w:val="subscript"/>
                    </w:rPr>
                    <w:t>min</w:t>
                  </w:r>
                  <w:r>
                    <w:rPr>
                      <w:color w:val="000000" w:themeColor="text1"/>
                    </w:rPr>
                    <w:t xml:space="preserve"> – mažiausias angos plotis. </w:t>
                  </w:r>
                </w:p>
                <w:p>
                  <w:pPr>
                    <w:ind w:firstLine="62"/>
                    <w:jc w:val="center"/>
                    <w:rPr>
                      <w:color w:val="000000" w:themeColor="text1"/>
                      <w:lang w:eastAsia="lt-LT"/>
                    </w:rPr>
                  </w:pPr>
                </w:p>
                <w:p>
                  <w:pPr>
                    <w:ind w:firstLine="62"/>
                    <w:jc w:val="center"/>
                    <w:rPr>
                      <w:color w:val="000000" w:themeColor="text1"/>
                      <w:lang w:eastAsia="lt-LT"/>
                    </w:rPr>
                  </w:pPr>
                  <w:r>
                    <w:rPr>
                      <w:lang w:eastAsia="lt-LT"/>
                    </w:rPr>
                    <w:drawing>
                      <wp:inline distT="0" distB="0" distL="0" distR="0">
                        <wp:extent cx="4886325" cy="4010025"/>
                        <wp:effectExtent l="0" t="0" r="9525" b="9525"/>
                        <wp:docPr id="43" name="Paveikslėli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4886325" cy="4010025"/>
                                </a:xfrm>
                                <a:prstGeom prst="rect">
                                  <a:avLst/>
                                </a:prstGeom>
                              </pic:spPr>
                            </pic:pic>
                          </a:graphicData>
                        </a:graphic>
                      </wp:inline>
                    </w:drawing>
                  </w:r>
                </w:p>
                <w:p>
                  <w:pPr>
                    <w:rPr>
                      <w:color w:val="000000" w:themeColor="text1"/>
                    </w:rPr>
                  </w:pPr>
                </w:p>
                <w:p>
                  <w:pPr>
                    <w:jc w:val="center"/>
                    <w:rPr>
                      <w:rFonts w:eastAsia="Calibri"/>
                      <w:color w:val="000000" w:themeColor="text1"/>
                      <w:szCs w:val="22"/>
                    </w:rPr>
                  </w:pPr>
                  <w:r>
                    <w:rPr>
                      <w:color w:val="000000" w:themeColor="text1"/>
                    </w:rPr>
                    <w:t>7.2. pav. Pastato ir jo atitvarų matmenys vertikaliame pjūvyje.</w:t>
                  </w:r>
                </w:p>
                <w:p>
                  <w:pPr>
                    <w:jc w:val="center"/>
                    <w:rPr>
                      <w:color w:val="000000" w:themeColor="text1"/>
                    </w:rPr>
                  </w:pPr>
                  <w:r>
                    <w:rPr>
                      <w:i/>
                      <w:color w:val="000000" w:themeColor="text1"/>
                    </w:rPr>
                    <w:t>h</w:t>
                  </w:r>
                  <w:r>
                    <w:rPr>
                      <w:i/>
                      <w:color w:val="000000" w:themeColor="text1"/>
                      <w:vertAlign w:val="subscript"/>
                    </w:rPr>
                    <w:t>e</w:t>
                  </w:r>
                  <w:r>
                    <w:rPr>
                      <w:color w:val="000000" w:themeColor="text1"/>
                    </w:rPr>
                    <w:t xml:space="preserve"> – bendras sienos aukštis pagal išorinius matmenis, </w:t>
                  </w:r>
                  <w:r>
                    <w:rPr>
                      <w:i/>
                      <w:color w:val="000000" w:themeColor="text1"/>
                    </w:rPr>
                    <w:t>l</w:t>
                  </w:r>
                  <w:r>
                    <w:rPr>
                      <w:i/>
                      <w:color w:val="000000" w:themeColor="text1"/>
                      <w:vertAlign w:val="subscript"/>
                    </w:rPr>
                    <w:t>e.2</w:t>
                  </w:r>
                  <w:r>
                    <w:rPr>
                      <w:color w:val="000000" w:themeColor="text1"/>
                    </w:rPr>
                    <w:t xml:space="preserve"> – stogo šlaito ilgis, </w:t>
                  </w:r>
                  <w:r>
                    <w:rPr>
                      <w:i/>
                      <w:color w:val="000000" w:themeColor="text1"/>
                    </w:rPr>
                    <w:t>h</w:t>
                  </w:r>
                  <w:r>
                    <w:rPr>
                      <w:i/>
                      <w:color w:val="000000" w:themeColor="text1"/>
                      <w:vertAlign w:val="subscript"/>
                    </w:rPr>
                    <w:t>min</w:t>
                  </w:r>
                  <w:r>
                    <w:rPr>
                      <w:color w:val="000000" w:themeColor="text1"/>
                    </w:rPr>
                    <w:t xml:space="preserve"> – mažiausias angos aukštis, </w:t>
                  </w:r>
                  <w:r>
                    <w:rPr>
                      <w:i/>
                      <w:color w:val="000000" w:themeColor="text1"/>
                    </w:rPr>
                    <w:t>h</w:t>
                  </w:r>
                  <w:r>
                    <w:rPr>
                      <w:i/>
                      <w:color w:val="000000" w:themeColor="text1"/>
                      <w:vertAlign w:val="subscript"/>
                    </w:rPr>
                    <w:t>e.2</w:t>
                  </w:r>
                  <w:r>
                    <w:rPr>
                      <w:color w:val="000000" w:themeColor="text1"/>
                    </w:rPr>
                    <w:t xml:space="preserve"> – sienos dalies aukštis pagal išorinius matmenis.</w:t>
                  </w:r>
                </w:p>
                <w:p>
                  <w:pPr>
                    <w:ind w:firstLine="567"/>
                    <w:rPr>
                      <w:color w:val="000000" w:themeColor="text1"/>
                      <w:spacing w:val="-8"/>
                    </w:rPr>
                  </w:pPr>
                </w:p>
              </w:sdtContent>
            </w:sdt>
          </w:sdtContent>
        </w:sdt>
        <w:sdt>
          <w:sdtPr>
            <w:alias w:val="7 pr. 12 p."/>
            <w:tag w:val="part_0214d40c240745329279d9b51756543d"/>
            <w:lock w:val="sdtLocked"/>
            <w:richText/>
          </w:sdtPr>
          <w:sdtContent>
            <w:p>
              <w:pPr>
                <w:ind w:firstLine="567"/>
                <w:jc w:val="both"/>
                <w:rPr>
                  <w:color w:val="000000" w:themeColor="text1"/>
                </w:rPr>
              </w:pPr>
              <w:sdt>
                <w:sdtPr>
                  <w:alias w:val="Numeris"/>
                  <w:tag w:val="nr_0214d40c240745329279d9b51756543d"/>
                  <w:lock w:val="sdtLocked"/>
                  <w:richText/>
                </w:sdtPr>
                <w:sdtContent>
                  <w:r>
                    <w:rPr>
                      <w:color w:val="000000" w:themeColor="text1"/>
                    </w:rPr>
                    <w:t>12</w:t>
                  </w:r>
                </w:sdtContent>
              </w:sdt>
              <w:r>
                <w:rPr>
                  <w:color w:val="000000" w:themeColor="text1"/>
                </w:rPr>
                <w:t>. Stoglangių ir švieslangių matmenys imami pagal mažiausius statybinių angų išorinius matmenis.</w:t>
              </w:r>
            </w:p>
          </w:sdtContent>
        </w:sdt>
        <w:sdt>
          <w:sdtPr>
            <w:alias w:val="7 pr. 13 p."/>
            <w:tag w:val="part_6d1da84443224c2f9c576f4cecd79643"/>
            <w:lock w:val="sdtLocked"/>
            <w:richText/>
          </w:sdtPr>
          <w:sdtContent>
            <w:p>
              <w:pPr>
                <w:ind w:firstLine="567"/>
                <w:jc w:val="both"/>
                <w:rPr>
                  <w:color w:val="000000" w:themeColor="text1"/>
                </w:rPr>
              </w:pPr>
              <w:sdt>
                <w:sdtPr>
                  <w:alias w:val="Numeris"/>
                  <w:tag w:val="nr_6d1da84443224c2f9c576f4cecd79643"/>
                  <w:lock w:val="sdtLocked"/>
                  <w:richText/>
                </w:sdtPr>
                <w:sdtContent>
                  <w:r>
                    <w:rPr>
                      <w:color w:val="000000" w:themeColor="text1"/>
                    </w:rPr>
                    <w:t>13</w:t>
                  </w:r>
                </w:sdtContent>
              </w:sdt>
              <w:r>
                <w:rPr>
                  <w:color w:val="000000" w:themeColor="text1"/>
                </w:rPr>
                <w:t>. Perdangų, kurios ribojasi su išore, matmenys imami pagal išorinius perdangos matmenis. Jei vidinės pertvaros suskirsto perdangą į dvi ar daugiau dalių, laikoma, kad pertvarų užimamas plotas perdangos ploto nesumažina.</w:t>
              </w:r>
            </w:p>
          </w:sdtContent>
        </w:sdt>
        <w:sdt>
          <w:sdtPr>
            <w:alias w:val="7 pr. 14 p."/>
            <w:tag w:val="part_c9350fabadbe437f974cdcceb36b1393"/>
            <w:lock w:val="sdtLocked"/>
            <w:richText/>
          </w:sdtPr>
          <w:sdtContent>
            <w:p>
              <w:pPr>
                <w:ind w:firstLine="567"/>
                <w:jc w:val="both"/>
                <w:rPr>
                  <w:color w:val="000000" w:themeColor="text1"/>
                </w:rPr>
              </w:pPr>
              <w:sdt>
                <w:sdtPr>
                  <w:alias w:val="Numeris"/>
                  <w:tag w:val="nr_c9350fabadbe437f974cdcceb36b1393"/>
                  <w:lock w:val="sdtLocked"/>
                  <w:richText/>
                </w:sdtPr>
                <w:sdtContent>
                  <w:r>
                    <w:rPr>
                      <w:color w:val="000000" w:themeColor="text1"/>
                    </w:rPr>
                    <w:t>14</w:t>
                  </w:r>
                </w:sdtContent>
              </w:sdt>
              <w:r>
                <w:rPr>
                  <w:color w:val="000000" w:themeColor="text1"/>
                </w:rPr>
                <w:t>. Perdangų virš nešildomų rūsių ir pogrindžių matmenys imami pagal vidinius perdangos matmenis. Jei vidinės pertvaros suskirsto perdangą į dvi ar daugiau dalių, laikoma, kad pertvarų užimamas plotas perdangos ploto nesumažina.</w:t>
              </w:r>
            </w:p>
          </w:sdtContent>
        </w:sdt>
        <w:sdt>
          <w:sdtPr>
            <w:alias w:val="7 pr. 15 p."/>
            <w:tag w:val="part_a28ab24ccc614020bee9fc9034c090eb"/>
            <w:lock w:val="sdtLocked"/>
            <w:richText/>
          </w:sdtPr>
          <w:sdtContent>
            <w:p>
              <w:pPr>
                <w:ind w:firstLine="567"/>
                <w:jc w:val="both"/>
                <w:rPr>
                  <w:color w:val="000000" w:themeColor="text1"/>
                </w:rPr>
              </w:pPr>
              <w:sdt>
                <w:sdtPr>
                  <w:alias w:val="Numeris"/>
                  <w:tag w:val="nr_a28ab24ccc614020bee9fc9034c090eb"/>
                  <w:lock w:val="sdtLocked"/>
                  <w:richText/>
                </w:sdtPr>
                <w:sdtContent>
                  <w:r>
                    <w:rPr>
                      <w:color w:val="000000" w:themeColor="text1"/>
                    </w:rPr>
                    <w:t>15</w:t>
                  </w:r>
                </w:sdtContent>
              </w:sdt>
              <w:r>
                <w:rPr>
                  <w:color w:val="000000" w:themeColor="text1"/>
                </w:rPr>
                <w:t>. Grindų ant grunto matmenys imami pagal vidinius grindų ant grunto matmenis. Jei vidinės pertvaros suskirsto grindis ant grunto į dvi ar daugiau dalių, laikoma, kad pertvarų užimamas plotas grindų ant grunto ploto nesumažina.</w:t>
              </w:r>
            </w:p>
          </w:sdtContent>
        </w:sdt>
        <w:sdt>
          <w:sdtPr>
            <w:alias w:val="7 pr. 16 p."/>
            <w:tag w:val="part_2359da4adffe41fb8e5a7311f4a92f52"/>
            <w:lock w:val="sdtLocked"/>
            <w:richText/>
          </w:sdtPr>
          <w:sdtContent>
            <w:p>
              <w:pPr>
                <w:ind w:firstLine="567"/>
                <w:jc w:val="both"/>
                <w:rPr>
                  <w:color w:val="000000" w:themeColor="text1"/>
                </w:rPr>
              </w:pPr>
              <w:sdt>
                <w:sdtPr>
                  <w:alias w:val="Numeris"/>
                  <w:tag w:val="nr_2359da4adffe41fb8e5a7311f4a92f52"/>
                  <w:lock w:val="sdtLocked"/>
                  <w:richText/>
                </w:sdtPr>
                <w:sdtContent>
                  <w:r>
                    <w:rPr>
                      <w:color w:val="000000" w:themeColor="text1"/>
                    </w:rPr>
                    <w:t>16</w:t>
                  </w:r>
                </w:sdtContent>
              </w:sdt>
              <w:r>
                <w:rPr>
                  <w:color w:val="000000" w:themeColor="text1"/>
                </w:rPr>
                <w:t>. Grindų ant grunto, kurios apšiltintos pakraščiuose, matmenys imami pagal vidinius grindų matmenis. Jei vidinės pertvaros suskirsto grindis į dvi ar daugiau dalių, laikoma, kad pertvarų užimamas plotas grindų ant grunto ploto nesumažina.</w:t>
              </w:r>
            </w:p>
          </w:sdtContent>
        </w:sdt>
        <w:sdt>
          <w:sdtPr>
            <w:alias w:val="7 pr. 17 p."/>
            <w:tag w:val="part_d78a366e84894dd3b73c1a8de687278a"/>
            <w:lock w:val="sdtLocked"/>
            <w:richText/>
          </w:sdtPr>
          <w:sdtContent>
            <w:p>
              <w:pPr>
                <w:ind w:firstLine="567"/>
                <w:jc w:val="both"/>
                <w:rPr>
                  <w:color w:val="000000" w:themeColor="text1"/>
                </w:rPr>
              </w:pPr>
              <w:sdt>
                <w:sdtPr>
                  <w:alias w:val="Numeris"/>
                  <w:tag w:val="nr_d78a366e84894dd3b73c1a8de687278a"/>
                  <w:lock w:val="sdtLocked"/>
                  <w:richText/>
                </w:sdtPr>
                <w:sdtContent>
                  <w:r>
                    <w:rPr>
                      <w:color w:val="000000" w:themeColor="text1"/>
                    </w:rPr>
                    <w:t>17</w:t>
                  </w:r>
                </w:sdtContent>
              </w:sdt>
              <w:r>
                <w:rPr>
                  <w:color w:val="000000" w:themeColor="text1"/>
                </w:rPr>
                <w:t>. Grindų ant grunto šildomuose rūsiuose matmenys imami pagal vidinius grindų matmenis. Jei vidinės pertvaros suskirsto grindis į dvi ar daugiau dalių, laikoma, kad pertvarų užimamas plotas grindų ant grunto ploto nesumažina.</w:t>
              </w:r>
            </w:p>
          </w:sdtContent>
        </w:sdt>
        <w:sdt>
          <w:sdtPr>
            <w:alias w:val="7 pr. 18 p."/>
            <w:tag w:val="part_6f9742e500444d92b3669ac3ef1e4b9d"/>
            <w:lock w:val="sdtLocked"/>
            <w:richText/>
          </w:sdtPr>
          <w:sdtContent>
            <w:p>
              <w:pPr>
                <w:ind w:firstLine="567"/>
                <w:jc w:val="both"/>
                <w:rPr>
                  <w:color w:val="000000" w:themeColor="text1"/>
                </w:rPr>
              </w:pPr>
              <w:sdt>
                <w:sdtPr>
                  <w:alias w:val="Numeris"/>
                  <w:tag w:val="nr_6f9742e500444d92b3669ac3ef1e4b9d"/>
                  <w:lock w:val="sdtLocked"/>
                  <w:richText/>
                </w:sdtPr>
                <w:sdtContent>
                  <w:r>
                    <w:rPr>
                      <w:color w:val="000000" w:themeColor="text1"/>
                    </w:rPr>
                    <w:t>18</w:t>
                  </w:r>
                </w:sdtContent>
              </w:sdt>
              <w:r>
                <w:rPr>
                  <w:color w:val="000000" w:themeColor="text1"/>
                </w:rPr>
                <w:t>. Grindų virš nešildomų rūsių matmenys imami pagal vidinius grindų matmenis. Jei vidinės pertvaros suskirsto grindis į dvi ar daugiau dalių, laikoma, kad pertvarų užimamas plotas grindų ploto nesumažina.</w:t>
              </w:r>
            </w:p>
          </w:sdtContent>
        </w:sdt>
        <w:sdt>
          <w:sdtPr>
            <w:alias w:val="7 pr. 18 p."/>
            <w:tag w:val="part_cca6c378a6504a48aa8e65f4bad961a7"/>
            <w:lock w:val="sdtLocked"/>
            <w:richText/>
          </w:sdtPr>
          <w:sdtContent>
            <w:p>
              <w:pPr>
                <w:ind w:firstLine="567"/>
                <w:jc w:val="both"/>
                <w:rPr>
                  <w:color w:val="000000" w:themeColor="text1"/>
                </w:rPr>
              </w:pPr>
              <w:sdt>
                <w:sdtPr>
                  <w:alias w:val="Numeris"/>
                  <w:tag w:val="nr_cca6c378a6504a48aa8e65f4bad961a7"/>
                  <w:lock w:val="sdtLocked"/>
                  <w:richText/>
                </w:sdtPr>
                <w:sdtContent>
                  <w:r>
                    <w:rPr>
                      <w:color w:val="000000" w:themeColor="text1"/>
                    </w:rPr>
                    <w:t>18</w:t>
                  </w:r>
                </w:sdtContent>
              </w:sdt>
              <w:r>
                <w:rPr>
                  <w:color w:val="000000" w:themeColor="text1"/>
                </w:rPr>
                <w:t>. Vėdinamo pogrindžio, šildomo ir vėdinamo nešildomo rūsio ar pogrindžio grindų gylis nuo grunto paviršiaus (žr. Reglamento 2 priedo 2.7</w:t>
              </w:r>
              <w:r>
                <w:rPr>
                  <w:bCs/>
                  <w:color w:val="000000" w:themeColor="text1"/>
                </w:rPr>
                <w:t>–</w:t>
              </w:r>
              <w:r>
                <w:rPr>
                  <w:color w:val="000000" w:themeColor="text1"/>
                </w:rPr>
                <w:t xml:space="preserve">2.10 pav. dydis </w:t>
              </w:r>
              <w:r>
                <w:rPr>
                  <w:i/>
                  <w:color w:val="000000" w:themeColor="text1"/>
                </w:rPr>
                <w:t>z</w:t>
              </w:r>
              <w:r>
                <w:rPr>
                  <w:i/>
                  <w:color w:val="000000" w:themeColor="text1"/>
                  <w:vertAlign w:val="subscript"/>
                </w:rPr>
                <w:t>bf</w:t>
              </w:r>
              <w:r>
                <w:rPr>
                  <w:color w:val="000000" w:themeColor="text1"/>
                </w:rPr>
                <w:t xml:space="preserve">) atitinka atstumą nuo grindų paruošiamojo sluoksnio apačios iki grunto paviršiaus. Jei grindų storis nežinomas, jis prilyginamas 0,1 m. Jei pastato perimetru gylis </w:t>
              </w:r>
              <w:r>
                <w:rPr>
                  <w:i/>
                  <w:color w:val="000000" w:themeColor="text1"/>
                </w:rPr>
                <w:t>z</w:t>
              </w:r>
              <w:r>
                <w:rPr>
                  <w:i/>
                  <w:color w:val="000000" w:themeColor="text1"/>
                  <w:vertAlign w:val="subscript"/>
                </w:rPr>
                <w:t>bf</w:t>
              </w:r>
              <w:r>
                <w:rPr>
                  <w:color w:val="000000" w:themeColor="text1"/>
                </w:rPr>
                <w:t xml:space="preserve"> nevienodas, turi būti apskaičiuota vidutinė grindų gylio vertė.</w:t>
              </w:r>
            </w:p>
          </w:sdtContent>
        </w:sdt>
        <w:sdt>
          <w:sdtPr>
            <w:alias w:val="7 pr. 20 p."/>
            <w:tag w:val="part_27d83bccfac4425d868a192f62e19738"/>
            <w:lock w:val="sdtLocked"/>
            <w:richText/>
          </w:sdtPr>
          <w:sdtContent>
            <w:p>
              <w:pPr>
                <w:ind w:firstLine="567"/>
                <w:jc w:val="both"/>
                <w:rPr>
                  <w:color w:val="000000" w:themeColor="text1"/>
                </w:rPr>
              </w:pPr>
              <w:sdt>
                <w:sdtPr>
                  <w:alias w:val="Numeris"/>
                  <w:tag w:val="nr_27d83bccfac4425d868a192f62e19738"/>
                  <w:lock w:val="sdtLocked"/>
                  <w:richText/>
                </w:sdtPr>
                <w:sdtContent>
                  <w:r>
                    <w:rPr>
                      <w:color w:val="000000" w:themeColor="text1"/>
                    </w:rPr>
                    <w:t>20</w:t>
                  </w:r>
                </w:sdtContent>
              </w:sdt>
              <w:r>
                <w:rPr>
                  <w:color w:val="000000" w:themeColor="text1"/>
                </w:rPr>
                <w:t>. Vėdinamo nešildomo rūsio patalpų tūris apskaičiuojamas sumuojant visų šiame rūsyje esančių patalpų tūrius, t. y. pertvarų užimami tūriai į rūsio patalpų tūrį neįskaitomi. Turi būti nustatytas tik tas vėdinamo rūsio tūris, kuris yra po grindimis virš vėdinamo rūsio. Kai nėra duomenų pakankamai tiksliai nustatyti vėdinamo rūsio tūrį</w:t>
              </w:r>
              <w:r>
                <w:rPr>
                  <w:i/>
                  <w:color w:val="000000" w:themeColor="text1"/>
                </w:rPr>
                <w:t xml:space="preserve"> V</w:t>
              </w:r>
              <w:r>
                <w:rPr>
                  <w:i/>
                  <w:color w:val="000000" w:themeColor="text1"/>
                  <w:vertAlign w:val="subscript"/>
                </w:rPr>
                <w:t>5</w:t>
              </w:r>
              <w:r>
                <w:rPr>
                  <w:color w:val="000000" w:themeColor="text1"/>
                </w:rPr>
                <w:t xml:space="preserve"> (m³), šis tūris gali būti apskaičiuotas taip:</w:t>
              </w:r>
            </w:p>
            <w:tbl>
              <w:tblPr>
                <w:tblW w:w="0" w:type="auto"/>
                <w:tblLook w:val="04A0" w:firstRow="1" w:lastRow="0" w:firstColumn="1" w:lastColumn="0" w:noHBand="0" w:noVBand="1"/>
              </w:tblPr>
              <w:tblGrid>
                <w:gridCol w:w="8755"/>
                <w:gridCol w:w="1099"/>
              </w:tblGrid>
              <w:tr>
                <w:tc>
                  <w:tcPr>
                    <w:tcW w:w="8755" w:type="dxa"/>
                    <w:vAlign w:val="center"/>
                    <w:hideMark/>
                  </w:tcPr>
                  <w:p>
                    <w:pPr>
                      <w:spacing w:line="276" w:lineRule="auto"/>
                      <w:jc w:val="center"/>
                      <w:rPr>
                        <w:rFonts w:eastAsia="Calibri"/>
                        <w:color w:val="000000" w:themeColor="text1"/>
                        <w:szCs w:val="22"/>
                      </w:rPr>
                    </w:pPr>
                    <w:r>
                      <w:rPr>
                        <w:rFonts w:eastAsia="Calibri"/>
                        <w:b/>
                        <w:bCs/>
                        <w:color w:val="000000" w:themeColor="text1"/>
                        <w:position w:val="-14"/>
                        <w:szCs w:val="22"/>
                      </w:rPr>
                      <w:object w:dxaOrig="2436" w:dyaOrig="372">
                        <v:shape id="_x0000_i1877" type="#_x0000_t75" style="width:122.15pt;height:17.8pt" o:ole="">
                          <v:imagedata r:id="rId84" o:title=""/>
                        </v:shape>
                        <o:OLEObject Type="Embed" ProgID="Equation.3" ShapeID="_x0000_i1877" DrawAspect="Content" ObjectID="_0000000001" r:id="rId85"/>
                      </w:object>
                    </w:r>
                  </w:p>
                </w:tc>
                <w:tc>
                  <w:tcPr>
                    <w:tcW w:w="1099" w:type="dxa"/>
                    <w:vAlign w:val="center"/>
                    <w:hideMark/>
                  </w:tcPr>
                  <w:p>
                    <w:pPr>
                      <w:spacing w:line="276" w:lineRule="auto"/>
                      <w:jc w:val="right"/>
                      <w:rPr>
                        <w:rFonts w:eastAsia="Calibri"/>
                        <w:color w:val="000000" w:themeColor="text1"/>
                        <w:szCs w:val="22"/>
                      </w:rPr>
                    </w:pPr>
                    <w:r>
                      <w:rPr>
                        <w:color w:val="000000" w:themeColor="text1"/>
                      </w:rPr>
                      <w:t>(7.1)</w:t>
                    </w:r>
                  </w:p>
                </w:tc>
              </w:tr>
            </w:tbl>
            <w:p>
              <w:pPr>
                <w:tabs>
                  <w:tab w:val="left" w:pos="567"/>
                </w:tabs>
                <w:rPr>
                  <w:rFonts w:eastAsia="Calibri"/>
                  <w:color w:val="000000" w:themeColor="text1"/>
                  <w:szCs w:val="22"/>
                </w:rPr>
              </w:pPr>
              <w:r>
                <w:rPr>
                  <w:color w:val="000000" w:themeColor="text1"/>
                </w:rPr>
                <w:t>čia:</w:t>
                <w:tab/>
              </w:r>
              <w:r>
                <w:rPr>
                  <w:bCs/>
                  <w:i/>
                  <w:color w:val="000000" w:themeColor="text1"/>
                </w:rPr>
                <w:t>A</w:t>
              </w:r>
              <w:r>
                <w:rPr>
                  <w:bCs/>
                  <w:i/>
                  <w:color w:val="000000" w:themeColor="text1"/>
                  <w:vertAlign w:val="subscript"/>
                </w:rPr>
                <w:t>fg5</w:t>
              </w:r>
              <w:r>
                <w:rPr>
                  <w:color w:val="000000" w:themeColor="text1"/>
                </w:rPr>
                <w:t xml:space="preserve"> – grindų virš nešildomo rūsio plotas (m</w:t>
              </w:r>
              <w:r>
                <w:rPr>
                  <w:color w:val="000000" w:themeColor="text1"/>
                  <w:vertAlign w:val="superscript"/>
                </w:rPr>
                <w:t>2</w:t>
              </w:r>
              <w:r>
                <w:rPr>
                  <w:color w:val="000000" w:themeColor="text1"/>
                </w:rPr>
                <w:t>);</w:t>
              </w:r>
            </w:p>
            <w:p>
              <w:pPr>
                <w:ind w:firstLine="567"/>
                <w:rPr>
                  <w:color w:val="000000" w:themeColor="text1"/>
                </w:rPr>
              </w:pPr>
              <w:r>
                <w:rPr>
                  <w:i/>
                  <w:color w:val="000000" w:themeColor="text1"/>
                </w:rPr>
                <w:t>n</w:t>
              </w:r>
              <w:r>
                <w:rPr>
                  <w:bCs/>
                  <w:i/>
                  <w:color w:val="000000" w:themeColor="text1"/>
                  <w:vertAlign w:val="subscript"/>
                </w:rPr>
                <w:t xml:space="preserve"> fg5</w:t>
              </w:r>
              <w:r>
                <w:rPr>
                  <w:color w:val="000000" w:themeColor="text1"/>
                </w:rPr>
                <w:t xml:space="preserve"> – nešildomo rūsio aukštų kiekis (vnt.);</w:t>
              </w:r>
            </w:p>
            <w:p>
              <w:pPr>
                <w:ind w:firstLine="567"/>
                <w:rPr>
                  <w:color w:val="000000" w:themeColor="text1"/>
                </w:rPr>
              </w:pPr>
              <w:r>
                <w:rPr>
                  <w:i/>
                  <w:color w:val="000000" w:themeColor="text1"/>
                </w:rPr>
                <w:t>h</w:t>
              </w:r>
              <w:r>
                <w:rPr>
                  <w:bCs/>
                  <w:i/>
                  <w:color w:val="000000" w:themeColor="text1"/>
                  <w:vertAlign w:val="subscript"/>
                </w:rPr>
                <w:t xml:space="preserve"> fg5</w:t>
              </w:r>
              <w:r>
                <w:rPr>
                  <w:color w:val="000000" w:themeColor="text1"/>
                </w:rPr>
                <w:t xml:space="preserve"> – nešildomo rūsio patalpų aukštis (m).</w:t>
              </w:r>
            </w:p>
            <w:p>
              <w:pPr>
                <w:ind w:firstLine="567"/>
                <w:rPr>
                  <w:color w:val="000000" w:themeColor="text1"/>
                  <w:spacing w:val="-8"/>
                </w:rPr>
              </w:pPr>
            </w:p>
          </w:sdtContent>
        </w:sdt>
        <w:sdt>
          <w:sdtPr>
            <w:alias w:val="7 pr. 21 p."/>
            <w:tag w:val="part_dcbd741878a9430ea72203baafd7a7d3"/>
            <w:lock w:val="sdtLocked"/>
            <w:richText/>
          </w:sdtPr>
          <w:sdtContent>
            <w:p>
              <w:pPr>
                <w:ind w:firstLine="567"/>
                <w:jc w:val="both"/>
                <w:rPr>
                  <w:color w:val="000000" w:themeColor="text1"/>
                </w:rPr>
              </w:pPr>
              <w:sdt>
                <w:sdtPr>
                  <w:alias w:val="Numeris"/>
                  <w:tag w:val="nr_dcbd741878a9430ea72203baafd7a7d3"/>
                  <w:lock w:val="sdtLocked"/>
                  <w:richText/>
                </w:sdtPr>
                <w:sdtContent>
                  <w:r>
                    <w:rPr>
                      <w:color w:val="000000" w:themeColor="text1"/>
                    </w:rPr>
                    <w:t>21</w:t>
                  </w:r>
                </w:sdtContent>
              </w:sdt>
              <w:r>
                <w:rPr>
                  <w:color w:val="000000" w:themeColor="text1"/>
                </w:rPr>
                <w:t>. Ilginių šiluminių tiltelių ilgis tarp pastato pamatų ir išorinių sienų imamas pagal išorinius matmenis.</w:t>
              </w:r>
            </w:p>
          </w:sdtContent>
        </w:sdt>
        <w:sdt>
          <w:sdtPr>
            <w:alias w:val="7 pr. 22 p."/>
            <w:tag w:val="part_a631457e0b5b456288a78f1e2aa96022"/>
            <w:lock w:val="sdtLocked"/>
            <w:richText/>
          </w:sdtPr>
          <w:sdtContent>
            <w:p>
              <w:pPr>
                <w:ind w:firstLine="567"/>
                <w:jc w:val="both"/>
                <w:rPr>
                  <w:color w:val="000000" w:themeColor="text1"/>
                </w:rPr>
              </w:pPr>
              <w:sdt>
                <w:sdtPr>
                  <w:alias w:val="Numeris"/>
                  <w:tag w:val="nr_a631457e0b5b456288a78f1e2aa96022"/>
                  <w:lock w:val="sdtLocked"/>
                  <w:richText/>
                </w:sdtPr>
                <w:sdtContent>
                  <w:r>
                    <w:rPr>
                      <w:color w:val="000000" w:themeColor="text1"/>
                    </w:rPr>
                    <w:t>22</w:t>
                  </w:r>
                </w:sdtContent>
              </w:sdt>
              <w:r>
                <w:rPr>
                  <w:color w:val="000000" w:themeColor="text1"/>
                </w:rPr>
                <w:t>. Ilginių šiluminių tiltelių ilgis apie langų apie išorinių įėjimo angas sienose imamas pagal mažiausius angų išorinius matmenis.</w:t>
              </w:r>
            </w:p>
          </w:sdtContent>
        </w:sdt>
        <w:sdt>
          <w:sdtPr>
            <w:alias w:val="7 pr. 23 p."/>
            <w:tag w:val="part_b642f991379f4c1594a4dfb507d0cdc9"/>
            <w:lock w:val="sdtLocked"/>
            <w:richText/>
          </w:sdtPr>
          <w:sdtContent>
            <w:p>
              <w:pPr>
                <w:ind w:firstLine="567"/>
                <w:jc w:val="both"/>
                <w:rPr>
                  <w:color w:val="000000" w:themeColor="text1"/>
                </w:rPr>
              </w:pPr>
              <w:sdt>
                <w:sdtPr>
                  <w:alias w:val="Numeris"/>
                  <w:tag w:val="nr_b642f991379f4c1594a4dfb507d0cdc9"/>
                  <w:lock w:val="sdtLocked"/>
                  <w:richText/>
                </w:sdtPr>
                <w:sdtContent>
                  <w:r>
                    <w:rPr>
                      <w:color w:val="000000" w:themeColor="text1"/>
                    </w:rPr>
                    <w:t>23</w:t>
                  </w:r>
                </w:sdtContent>
              </w:sdt>
              <w:r>
                <w:rPr>
                  <w:color w:val="000000" w:themeColor="text1"/>
                </w:rPr>
                <w:t>. Ilginių šiluminių tiltelių ilgis tarp pastato sienų ir stogo imamas pagal išorinį sienos ilgį sienos plokštumoje.</w:t>
              </w:r>
            </w:p>
          </w:sdtContent>
        </w:sdt>
        <w:sdt>
          <w:sdtPr>
            <w:alias w:val="7 pr. 24 p."/>
            <w:tag w:val="part_48779ff9e7604ab68a02e821daf60105"/>
            <w:lock w:val="sdtLocked"/>
            <w:richText/>
          </w:sdtPr>
          <w:sdtContent>
            <w:p>
              <w:pPr>
                <w:ind w:firstLine="567"/>
                <w:jc w:val="both"/>
                <w:rPr>
                  <w:color w:val="000000" w:themeColor="text1"/>
                </w:rPr>
              </w:pPr>
              <w:sdt>
                <w:sdtPr>
                  <w:alias w:val="Numeris"/>
                  <w:tag w:val="nr_48779ff9e7604ab68a02e821daf60105"/>
                  <w:lock w:val="sdtLocked"/>
                  <w:richText/>
                </w:sdtPr>
                <w:sdtContent>
                  <w:r>
                    <w:rPr>
                      <w:color w:val="000000" w:themeColor="text1"/>
                    </w:rPr>
                    <w:t>24</w:t>
                  </w:r>
                </w:sdtContent>
              </w:sdt>
              <w:r>
                <w:rPr>
                  <w:color w:val="000000" w:themeColor="text1"/>
                </w:rPr>
                <w:t>. Ilginių šiluminių tiltelių ilgis fasadų išoriniuose ir vidiniuose kampuose imamas pagal išorinius matmenis.</w:t>
              </w:r>
            </w:p>
          </w:sdtContent>
        </w:sdt>
        <w:sdt>
          <w:sdtPr>
            <w:alias w:val="7 pr. 25 p."/>
            <w:tag w:val="part_1341f9e8d94f4249bebdbc5e60a1dc21"/>
            <w:lock w:val="sdtLocked"/>
            <w:richText/>
          </w:sdtPr>
          <w:sdtContent>
            <w:p>
              <w:pPr>
                <w:ind w:firstLine="567"/>
                <w:jc w:val="both"/>
                <w:rPr>
                  <w:color w:val="000000" w:themeColor="text1"/>
                </w:rPr>
              </w:pPr>
              <w:sdt>
                <w:sdtPr>
                  <w:alias w:val="Numeris"/>
                  <w:tag w:val="nr_1341f9e8d94f4249bebdbc5e60a1dc21"/>
                  <w:lock w:val="sdtLocked"/>
                  <w:richText/>
                </w:sdtPr>
                <w:sdtContent>
                  <w:r>
                    <w:rPr>
                      <w:color w:val="000000" w:themeColor="text1"/>
                    </w:rPr>
                    <w:t>25</w:t>
                  </w:r>
                </w:sdtContent>
              </w:sdt>
              <w:r>
                <w:rPr>
                  <w:color w:val="000000" w:themeColor="text1"/>
                </w:rPr>
                <w:t>. Ilginių šiluminių tiltelių ilgis balkonų grindų susikirtimo vietose su išorinėmis sienomis imamas pagal išorinius matmenis balkono grindų ir išorinių sienų susikirtimo vietoje.</w:t>
              </w:r>
            </w:p>
          </w:sdtContent>
        </w:sdt>
        <w:sdt>
          <w:sdtPr>
            <w:alias w:val="7 pr. 26 p."/>
            <w:tag w:val="part_43989acdcad545a3ac92e0f41446e5e3"/>
            <w:lock w:val="sdtLocked"/>
            <w:richText/>
          </w:sdtPr>
          <w:sdtContent>
            <w:p>
              <w:pPr>
                <w:ind w:firstLine="567"/>
                <w:jc w:val="both"/>
                <w:rPr>
                  <w:color w:val="000000" w:themeColor="text1"/>
                </w:rPr>
              </w:pPr>
              <w:sdt>
                <w:sdtPr>
                  <w:alias w:val="Numeris"/>
                  <w:tag w:val="nr_43989acdcad545a3ac92e0f41446e5e3"/>
                  <w:lock w:val="sdtLocked"/>
                  <w:richText/>
                </w:sdtPr>
                <w:sdtContent>
                  <w:r>
                    <w:rPr>
                      <w:color w:val="000000" w:themeColor="text1"/>
                    </w:rPr>
                    <w:t>26</w:t>
                  </w:r>
                </w:sdtContent>
              </w:sdt>
              <w:r>
                <w:rPr>
                  <w:color w:val="000000" w:themeColor="text1"/>
                </w:rPr>
                <w:t>. Ilginių šiluminių tiltelių ilgis tarp perdangų, kurios ribojasi su išore, ir sienų imamas pagal išorinius matmenis šių perdangų ir išorinių sienų susikirtimo vietoje.</w:t>
              </w:r>
            </w:p>
          </w:sdtContent>
        </w:sdt>
        <w:sdt>
          <w:sdtPr>
            <w:alias w:val="7 pr. 27 p."/>
            <w:tag w:val="part_467e904cdd704740930c7724941ea86f"/>
            <w:lock w:val="sdtLocked"/>
            <w:richText/>
          </w:sdtPr>
          <w:sdtContent>
            <w:p>
              <w:pPr>
                <w:ind w:firstLine="567"/>
                <w:jc w:val="both"/>
                <w:rPr>
                  <w:color w:val="000000" w:themeColor="text1"/>
                </w:rPr>
              </w:pPr>
              <w:sdt>
                <w:sdtPr>
                  <w:alias w:val="Numeris"/>
                  <w:tag w:val="nr_467e904cdd704740930c7724941ea86f"/>
                  <w:lock w:val="sdtLocked"/>
                  <w:richText/>
                </w:sdtPr>
                <w:sdtContent>
                  <w:r>
                    <w:rPr>
                      <w:color w:val="000000" w:themeColor="text1"/>
                    </w:rPr>
                    <w:t>27</w:t>
                  </w:r>
                </w:sdtContent>
              </w:sdt>
              <w:r>
                <w:rPr>
                  <w:color w:val="000000" w:themeColor="text1"/>
                </w:rPr>
                <w:t>. Ilginių šiluminių tiltelių ilgis stoglangių ir švieslangių angų perimetru imamas pagal mažiausius angų išorinius matmenis.</w:t>
              </w:r>
            </w:p>
          </w:sdtContent>
        </w:sdt>
        <w:sdt>
          <w:sdtPr>
            <w:alias w:val="7 pr. 28 p."/>
            <w:tag w:val="part_b7c3f17388234d7dbb54557d73c2af8a"/>
            <w:lock w:val="sdtLocked"/>
            <w:richText/>
          </w:sdtPr>
          <w:sdtContent>
            <w:p>
              <w:pPr>
                <w:ind w:firstLine="567"/>
                <w:jc w:val="both"/>
                <w:rPr>
                  <w:color w:val="000000" w:themeColor="text1"/>
                </w:rPr>
              </w:pPr>
              <w:sdt>
                <w:sdtPr>
                  <w:alias w:val="Numeris"/>
                  <w:tag w:val="nr_b7c3f17388234d7dbb54557d73c2af8a"/>
                  <w:lock w:val="sdtLocked"/>
                  <w:richText/>
                </w:sdtPr>
                <w:sdtContent>
                  <w:r>
                    <w:rPr>
                      <w:color w:val="000000" w:themeColor="text1"/>
                    </w:rPr>
                    <w:t>28</w:t>
                  </w:r>
                </w:sdtContent>
              </w:sdt>
              <w:r>
                <w:rPr>
                  <w:color w:val="000000" w:themeColor="text1"/>
                </w:rPr>
                <w:t xml:space="preserve">. Jei atliekami atitvarų tarp šildomų patalpų ir nešildomos apšiltintos patalpos Reglamento 14 priede nurodyti skaičiavimai, šių atitvarų matmenys turi būti išmatuoti kaip nurodyta 7.3. pav. </w:t>
              </w:r>
            </w:p>
            <w:p>
              <w:pPr>
                <w:jc w:val="center"/>
                <w:rPr>
                  <w:color w:val="000000" w:themeColor="text1"/>
                  <w:highlight w:val="green"/>
                </w:rPr>
              </w:pPr>
              <w:r>
                <w:rPr>
                  <w:color w:val="000000" w:themeColor="text1"/>
                  <w:lang w:eastAsia="lt-LT"/>
                </w:rPr>
                <w:drawing>
                  <wp:inline distT="0" distB="0" distL="0" distR="0">
                    <wp:extent cx="4328160" cy="2674620"/>
                    <wp:effectExtent l="0" t="0" r="0" b="0"/>
                    <wp:docPr id="35" name="Paveikslėlis 35" descr="Balkonu ir sienu i balkonus matmen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alkonu ir sienu i balkonus matmenys"/>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328160" cy="2674620"/>
                            </a:xfrm>
                            <a:prstGeom prst="rect">
                              <a:avLst/>
                            </a:prstGeom>
                            <a:noFill/>
                            <a:ln>
                              <a:noFill/>
                            </a:ln>
                          </pic:spPr>
                        </pic:pic>
                      </a:graphicData>
                    </a:graphic>
                  </wp:inline>
                </w:drawing>
              </w:r>
            </w:p>
            <w:p>
              <w:pPr>
                <w:jc w:val="center"/>
                <w:rPr>
                  <w:color w:val="000000" w:themeColor="text1"/>
                </w:rPr>
              </w:pPr>
              <w:r>
                <w:rPr>
                  <w:color w:val="000000" w:themeColor="text1"/>
                </w:rPr>
                <w:t>7.3. pav. Pastato ir jo atitvarų matmenys plane, kai pastato šildomos patalpos ribojasi su apšiltinta nešildoma patalpa.</w:t>
              </w:r>
            </w:p>
            <w:p>
              <w:pPr>
                <w:jc w:val="center"/>
                <w:rPr>
                  <w:color w:val="000000" w:themeColor="text1"/>
                </w:rPr>
              </w:pPr>
              <w:r>
                <w:rPr>
                  <w:i/>
                  <w:color w:val="000000" w:themeColor="text1"/>
                </w:rPr>
                <w:t>l</w:t>
              </w:r>
              <w:r>
                <w:rPr>
                  <w:i/>
                  <w:color w:val="000000" w:themeColor="text1"/>
                  <w:vertAlign w:val="subscript"/>
                </w:rPr>
                <w:t>e</w:t>
              </w:r>
              <w:r>
                <w:rPr>
                  <w:color w:val="000000" w:themeColor="text1"/>
                </w:rPr>
                <w:t xml:space="preserve"> – atitvarų tarp šildomų patalpų ir nešildomos apšiltintos patalpos matmenys, </w:t>
              </w:r>
              <w:r>
                <w:rPr>
                  <w:i/>
                  <w:color w:val="000000" w:themeColor="text1"/>
                </w:rPr>
                <w:t>l</w:t>
              </w:r>
              <w:r>
                <w:rPr>
                  <w:i/>
                  <w:color w:val="000000" w:themeColor="text1"/>
                  <w:vertAlign w:val="subscript"/>
                </w:rPr>
                <w:t>en</w:t>
              </w:r>
              <w:r>
                <w:rPr>
                  <w:color w:val="000000" w:themeColor="text1"/>
                </w:rPr>
                <w:t xml:space="preserve"> – atitvarų tarp nešildomos apšiltintos patalpos ir išorės matmenys.</w:t>
              </w:r>
            </w:p>
            <w:p>
              <w:pPr>
                <w:jc w:val="center"/>
                <w:rPr>
                  <w:color w:val="000000" w:themeColor="text1"/>
                </w:rPr>
              </w:pPr>
            </w:p>
          </w:sdtContent>
        </w:sdt>
        <w:sdt>
          <w:sdtPr>
            <w:alias w:val="pabaiga"/>
            <w:tag w:val="part_2177733f378e4d7ba3375c6b183a9d88"/>
            <w:lock w:val="sdtLocked"/>
            <w:richText/>
          </w:sdtPr>
          <w:sdtContent>
            <w:p>
              <w:pPr>
                <w:jc w:val="center"/>
                <w:rPr>
                  <w:color w:val="000000" w:themeColor="text1"/>
                </w:rPr>
              </w:pPr>
              <w:r>
                <w:rPr>
                  <w:color w:val="000000" w:themeColor="text1"/>
                </w:rPr>
                <w:t>_____________________</w:t>
              </w:r>
            </w:p>
          </w:sdtContent>
        </w:sdt>
      </w:sdtContent>
    </w:sdt>
    <w:sdt>
      <w:sdtPr>
        <w:alias w:val="8 pr."/>
        <w:tag w:val="part_0a8aa107df54456cbbef14fdf65783ab"/>
        <w:lock w:val="sdtLocked"/>
        <w:richText/>
      </w:sdtPr>
      <w:sdtContent>
        <w:p>
          <w:pPr>
            <w:ind w:left="5184"/>
            <w:sectPr>
              <w:pgSz w:w="11905" w:h="16837"/>
              <w:pgMar w:top="851" w:right="565" w:bottom="851" w:left="1701" w:header="567" w:footer="567" w:gutter="0"/>
              <w:pgNumType w:start="1"/>
              <w:cols w:space="1296"/>
              <w:titlePg/>
              <w:docGrid w:linePitch="326"/>
            </w:sectPr>
          </w:pPr>
        </w:p>
        <w:p>
          <w:pPr>
            <w:ind w:left="5184"/>
            <w:rPr>
              <w:color w:val="000000" w:themeColor="text1"/>
            </w:rPr>
          </w:pPr>
          <w:r>
            <w:rPr>
              <w:color w:val="000000" w:themeColor="text1"/>
            </w:rPr>
            <w:t xml:space="preserve">Statybos techninio reglamento </w:t>
          </w:r>
        </w:p>
        <w:p>
          <w:pPr>
            <w:ind w:left="5184"/>
            <w:rPr>
              <w:color w:val="000000" w:themeColor="text1"/>
            </w:rPr>
          </w:pPr>
          <w:r>
            <w:rPr>
              <w:color w:val="000000" w:themeColor="text1"/>
            </w:rPr>
            <w:t>STR 2.01.02:2016 „Pastatų energinio naudingumo projektavimas ir sertifikavimas“</w:t>
          </w:r>
        </w:p>
        <w:p>
          <w:pPr>
            <w:ind w:left="3888" w:firstLine="1296"/>
            <w:rPr>
              <w:color w:val="000000" w:themeColor="text1"/>
              <w:szCs w:val="24"/>
            </w:rPr>
          </w:pPr>
          <w:sdt>
            <w:sdtPr>
              <w:alias w:val="Numeris"/>
              <w:tag w:val="nr_0a8aa107df54456cbbef14fdf65783ab"/>
              <w:lock w:val="sdtLocked"/>
              <w:richText/>
            </w:sdtPr>
            <w:sdtContent>
              <w:r>
                <w:rPr>
                  <w:color w:val="000000" w:themeColor="text1"/>
                  <w:szCs w:val="24"/>
                </w:rPr>
                <w:t>8</w:t>
              </w:r>
            </w:sdtContent>
          </w:sdt>
          <w:r>
            <w:rPr>
              <w:color w:val="000000" w:themeColor="text1"/>
              <w:szCs w:val="24"/>
            </w:rPr>
            <w:t xml:space="preserve"> priedas </w:t>
          </w:r>
        </w:p>
        <w:p>
          <w:pPr>
            <w:jc w:val="center"/>
            <w:rPr>
              <w:b/>
              <w:caps/>
              <w:color w:val="000000" w:themeColor="text1"/>
              <w:szCs w:val="22"/>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0a8aa107df54456cbbef14fdf65783ab"/>
              <w:lock w:val="sdtLocked"/>
              <w:richText/>
            </w:sdtPr>
            <w:sdtContent>
              <w:r>
                <w:rPr>
                  <w:rFonts w:ascii="Times New Roman Bold" w:hAnsi="Times New Roman Bold"/>
                  <w:b/>
                  <w:caps/>
                  <w:color w:val="000000" w:themeColor="text1"/>
                  <w:sz w:val="4"/>
                  <w:szCs w:val="4"/>
                  <w:lang w:eastAsia="lt-LT"/>
                </w:rPr>
                <w:t>8 priedas.</w:t>
              </w:r>
              <w:r>
                <w:rPr>
                  <w:rFonts w:ascii="Times New Roman Bold" w:hAnsi="Times New Roman Bold"/>
                  <w:b/>
                  <w:caps/>
                  <w:color w:val="000000" w:themeColor="text1"/>
                  <w:lang w:eastAsia="lt-LT"/>
                </w:rPr>
                <w:t xml:space="preserve"> Karšto vandens vamzdynų apšiltinimo ilginių šilumos perdavimo koeficientų skaičiavimas</w:t>
              </w:r>
            </w:sdtContent>
          </w:sdt>
        </w:p>
        <w:p>
          <w:pPr>
            <w:rPr>
              <w:color w:val="000000" w:themeColor="text1"/>
              <w:sz w:val="10"/>
              <w:szCs w:val="10"/>
            </w:rPr>
          </w:pPr>
        </w:p>
        <w:sdt>
          <w:sdtPr>
            <w:alias w:val="8 pr. 1 p."/>
            <w:tag w:val="part_b86b1ae1edd94186941faa2252cb5ae4"/>
            <w:lock w:val="sdtLocked"/>
            <w:richText/>
          </w:sdtPr>
          <w:sdtContent>
            <w:p>
              <w:pPr>
                <w:ind w:firstLine="567"/>
                <w:jc w:val="both"/>
                <w:rPr>
                  <w:szCs w:val="24"/>
                </w:rPr>
              </w:pPr>
              <w:sdt>
                <w:sdtPr>
                  <w:alias w:val="Numeris"/>
                  <w:tag w:val="nr_b86b1ae1edd94186941faa2252cb5ae4"/>
                  <w:lock w:val="sdtLocked"/>
                  <w:richText/>
                </w:sdtPr>
                <w:sdtContent>
                  <w:r>
                    <w:rPr>
                      <w:lang w:eastAsia="lt-LT"/>
                    </w:rPr>
                    <w:t>1</w:t>
                  </w:r>
                </w:sdtContent>
              </w:sdt>
              <w:r>
                <w:rPr>
                  <w:lang w:eastAsia="lt-LT"/>
                </w:rPr>
                <w:t xml:space="preserve">. </w:t>
              </w:r>
              <w:r>
                <w:rPr>
                  <w:szCs w:val="24"/>
                </w:rPr>
                <w:t xml:space="preserve">Karšto vandens vamzdynų apšiltinimo ilginis šilumos perdavimo koeficientas </w:t>
              </w:r>
              <w:r>
                <w:rPr>
                  <w:i/>
                  <w:szCs w:val="24"/>
                </w:rPr>
                <w:t>U</w:t>
              </w:r>
              <w:r>
                <w:rPr>
                  <w:i/>
                  <w:szCs w:val="24"/>
                  <w:vertAlign w:val="superscript"/>
                </w:rPr>
                <w:t>‘</w:t>
              </w:r>
              <w:r>
                <w:rPr>
                  <w:i/>
                  <w:szCs w:val="24"/>
                  <w:vertAlign w:val="subscript"/>
                </w:rPr>
                <w:t>hw</w:t>
              </w:r>
              <w:r>
                <w:rPr>
                  <w:szCs w:val="24"/>
                </w:rPr>
                <w:t xml:space="preserve"> (W/(m·K)) apskaičiuojamas pagal formulę [3.22]:</w:t>
              </w:r>
            </w:p>
            <w:tbl>
              <w:tblPr>
                <w:tblW w:w="5000" w:type="pct"/>
                <w:tblLook w:val="01E0" w:firstRow="1" w:lastRow="1" w:firstColumn="1" w:lastColumn="1" w:noHBand="0" w:noVBand="0"/>
              </w:tblPr>
              <w:tblGrid>
                <w:gridCol w:w="8637"/>
                <w:gridCol w:w="1218"/>
              </w:tblGrid>
              <w:tr>
                <w:tc>
                  <w:tcPr>
                    <w:tcW w:w="4382" w:type="pct"/>
                    <w:vAlign w:val="center"/>
                  </w:tcPr>
                  <w:p>
                    <w:pPr>
                      <w:jc w:val="center"/>
                      <w:rPr>
                        <w:rFonts w:eastAsia="Calibri"/>
                        <w:szCs w:val="24"/>
                      </w:rPr>
                    </w:pPr>
                  </w:p>
                </w:tc>
                <w:tc>
                  <w:tcPr>
                    <w:tcW w:w="618" w:type="pct"/>
                    <w:vAlign w:val="center"/>
                  </w:tcPr>
                  <w:p>
                    <w:pPr>
                      <w:jc w:val="right"/>
                      <w:rPr>
                        <w:rFonts w:eastAsia="Calibri"/>
                        <w:szCs w:val="24"/>
                      </w:rPr>
                    </w:pPr>
                  </w:p>
                </w:tc>
              </w:tr>
              <w:tr>
                <w:tc>
                  <w:tcPr>
                    <w:tcW w:w="4382" w:type="pct"/>
                    <w:vAlign w:val="center"/>
                    <w:hideMark/>
                  </w:tcPr>
                  <w:p>
                    <w:pPr>
                      <w:jc w:val="center"/>
                      <w:rPr>
                        <w:rFonts w:eastAsia="Calibri"/>
                        <w:szCs w:val="24"/>
                      </w:rPr>
                    </w:pPr>
                    <w:r>
                      <w:rPr>
                        <w:rFonts w:eastAsia="Calibri"/>
                        <w:position w:val="-56"/>
                        <w:szCs w:val="24"/>
                      </w:rPr>
                      <w:object w:dxaOrig="2952" w:dyaOrig="936">
                        <v:shape id="_x0000_i1879" type="#_x0000_t75" style="width:148.85pt;height:47.75pt" o:ole="">
                          <v:imagedata r:id="rId87" o:title=""/>
                        </v:shape>
                        <o:OLEObject Type="Embed" ProgID="Equation.3" ShapeID="_x0000_i1879" DrawAspect="Content" ObjectID="_0000000001" r:id="rId88"/>
                      </w:object>
                    </w:r>
                    <w:r>
                      <w:rPr>
                        <w:szCs w:val="24"/>
                      </w:rPr>
                      <w:t>;</w:t>
                    </w:r>
                  </w:p>
                </w:tc>
                <w:tc>
                  <w:tcPr>
                    <w:tcW w:w="618" w:type="pct"/>
                    <w:vAlign w:val="center"/>
                    <w:hideMark/>
                  </w:tcPr>
                  <w:p>
                    <w:pPr>
                      <w:jc w:val="right"/>
                      <w:rPr>
                        <w:rFonts w:eastAsia="Calibri"/>
                        <w:szCs w:val="24"/>
                      </w:rPr>
                    </w:pPr>
                    <w:r>
                      <w:rPr>
                        <w:szCs w:val="24"/>
                      </w:rPr>
                      <w:t>(8.1)</w:t>
                    </w:r>
                  </w:p>
                </w:tc>
              </w:tr>
            </w:tbl>
            <w:p>
              <w:pPr>
                <w:tabs>
                  <w:tab w:val="left" w:pos="567"/>
                </w:tabs>
                <w:ind w:firstLine="567"/>
                <w:jc w:val="both"/>
                <w:rPr>
                  <w:rFonts w:eastAsia="Calibri"/>
                  <w:szCs w:val="24"/>
                </w:rPr>
              </w:pPr>
              <w:r>
                <w:rPr>
                  <w:szCs w:val="24"/>
                </w:rPr>
                <w:t xml:space="preserve">čia: </w:t>
              </w:r>
              <w:r>
                <w:rPr>
                  <w:i/>
                  <w:szCs w:val="24"/>
                </w:rPr>
                <w:t>λ</w:t>
              </w:r>
              <w:r>
                <w:rPr>
                  <w:i/>
                  <w:szCs w:val="24"/>
                  <w:vertAlign w:val="subscript"/>
                </w:rPr>
                <w:t>ds.50</w:t>
              </w:r>
              <w:r>
                <w:rPr>
                  <w:szCs w:val="24"/>
                </w:rPr>
                <w:t xml:space="preserve"> – termoizoliacinio sluoksnio projektinis šilumos laidumo koeficientas esant 50 °C temperatūrai (W/(m·K)). Jei yra šią projektinę šilumos laidumo koeficientų vertę patvirtinantys termoizoliacinio sluoksnio statybos produkto dokumentai, ši koeficiento vertė turi būti naudojama skaičiavimuose. Kitais atvejais skaičiavimuose naudojami 8.1 lentelėje nurodyti duomenys;</w:t>
              </w:r>
            </w:p>
            <w:p>
              <w:pPr>
                <w:ind w:firstLine="567"/>
                <w:jc w:val="both"/>
                <w:rPr>
                  <w:szCs w:val="24"/>
                </w:rPr>
              </w:pPr>
              <w:r>
                <w:rPr>
                  <w:i/>
                  <w:szCs w:val="24"/>
                </w:rPr>
                <w:t>D</w:t>
              </w:r>
              <w:r>
                <w:rPr>
                  <w:i/>
                  <w:szCs w:val="24"/>
                  <w:vertAlign w:val="subscript"/>
                </w:rPr>
                <w:t>e</w:t>
              </w:r>
              <w:r>
                <w:rPr>
                  <w:szCs w:val="24"/>
                </w:rPr>
                <w:t xml:space="preserve"> – vamzdžio išorinis skersmuo (įskaitant termoizoliacinio sluoksnio storį) (m);</w:t>
              </w:r>
            </w:p>
            <w:p>
              <w:pPr>
                <w:ind w:firstLine="567"/>
                <w:jc w:val="both"/>
                <w:rPr>
                  <w:szCs w:val="24"/>
                </w:rPr>
              </w:pPr>
              <w:r>
                <w:rPr>
                  <w:i/>
                  <w:szCs w:val="24"/>
                </w:rPr>
                <w:t>D</w:t>
              </w:r>
              <w:r>
                <w:rPr>
                  <w:i/>
                  <w:szCs w:val="24"/>
                  <w:vertAlign w:val="subscript"/>
                </w:rPr>
                <w:t>i</w:t>
              </w:r>
              <w:r>
                <w:rPr>
                  <w:szCs w:val="24"/>
                </w:rPr>
                <w:t xml:space="preserve"> – termoizoliacijos vidinis skersmuo (vamzdžio išorinis skersmuo be termoizoliacinio sluoksnio) (m);</w:t>
              </w:r>
            </w:p>
            <w:p>
              <w:pPr>
                <w:ind w:firstLine="567"/>
                <w:jc w:val="both"/>
                <w:rPr>
                  <w:color w:val="000000" w:themeColor="text1"/>
                </w:rPr>
              </w:pPr>
              <w:r>
                <w:rPr>
                  <w:i/>
                  <w:szCs w:val="24"/>
                </w:rPr>
                <w:t>h</w:t>
              </w:r>
              <w:r>
                <w:rPr>
                  <w:i/>
                  <w:szCs w:val="24"/>
                  <w:vertAlign w:val="subscript"/>
                </w:rPr>
                <w:t>e</w:t>
              </w:r>
              <w:r>
                <w:rPr>
                  <w:szCs w:val="24"/>
                  <w:vertAlign w:val="subscript"/>
                </w:rPr>
                <w:t xml:space="preserve"> </w:t>
              </w:r>
              <w:r>
                <w:rPr>
                  <w:szCs w:val="24"/>
                </w:rPr>
                <w:t>– vamzdžio paviršiaus šilumos perdavimo koeficientas (W/(m</w:t>
              </w:r>
              <w:r>
                <w:rPr>
                  <w:szCs w:val="24"/>
                  <w:vertAlign w:val="superscript"/>
                </w:rPr>
                <w:t>2</w:t>
              </w:r>
              <w:r>
                <w:rPr>
                  <w:szCs w:val="24"/>
                </w:rPr>
                <w:t xml:space="preserve">·K)). Apšiltintų vamzdžių, esančių patalpose </w:t>
              </w:r>
              <w:r>
                <w:rPr>
                  <w:i/>
                  <w:szCs w:val="24"/>
                </w:rPr>
                <w:t>h</w:t>
              </w:r>
              <w:r>
                <w:rPr>
                  <w:i/>
                  <w:szCs w:val="24"/>
                  <w:vertAlign w:val="subscript"/>
                </w:rPr>
                <w:t>e</w:t>
              </w:r>
              <w:r>
                <w:rPr>
                  <w:szCs w:val="24"/>
                </w:rPr>
                <w:t xml:space="preserve"> = 8 W/(m</w:t>
              </w:r>
              <w:r>
                <w:rPr>
                  <w:szCs w:val="24"/>
                  <w:vertAlign w:val="superscript"/>
                </w:rPr>
                <w:t>2</w:t>
              </w:r>
              <w:r>
                <w:rPr>
                  <w:szCs w:val="24"/>
                </w:rPr>
                <w:t xml:space="preserve">·K), patalpose neapšiltintų vamzdžių </w:t>
              </w:r>
              <w:r>
                <w:rPr>
                  <w:i/>
                  <w:szCs w:val="24"/>
                </w:rPr>
                <w:t>h</w:t>
              </w:r>
              <w:r>
                <w:rPr>
                  <w:i/>
                  <w:szCs w:val="24"/>
                  <w:vertAlign w:val="subscript"/>
                </w:rPr>
                <w:t>e</w:t>
              </w:r>
              <w:r>
                <w:rPr>
                  <w:szCs w:val="24"/>
                </w:rPr>
                <w:t xml:space="preserve"> = 14 W/(m</w:t>
              </w:r>
              <w:r>
                <w:rPr>
                  <w:szCs w:val="24"/>
                  <w:vertAlign w:val="superscript"/>
                </w:rPr>
                <w:t>2</w:t>
              </w:r>
              <w:r>
                <w:rPr>
                  <w:szCs w:val="24"/>
                </w:rPr>
                <w:t xml:space="preserve">·K) [3.22]. Apšiltintų vamzdžių, esančių kanaluose, </w:t>
              </w:r>
              <w:r>
                <w:rPr>
                  <w:i/>
                  <w:szCs w:val="24"/>
                </w:rPr>
                <w:t>h</w:t>
              </w:r>
              <w:r>
                <w:rPr>
                  <w:i/>
                  <w:szCs w:val="24"/>
                  <w:vertAlign w:val="subscript"/>
                </w:rPr>
                <w:t>e</w:t>
              </w:r>
              <w:r>
                <w:rPr>
                  <w:szCs w:val="24"/>
                </w:rPr>
                <w:t xml:space="preserve"> =4 W/(m</w:t>
              </w:r>
              <w:r>
                <w:rPr>
                  <w:szCs w:val="24"/>
                  <w:vertAlign w:val="superscript"/>
                </w:rPr>
                <w:t>2</w:t>
              </w:r>
              <w:r>
                <w:rPr>
                  <w:szCs w:val="24"/>
                </w:rPr>
                <w:t xml:space="preserve">·K), kanaluose esančių neapšiltintų vamzdžių </w:t>
              </w:r>
              <w:r>
                <w:rPr>
                  <w:i/>
                  <w:szCs w:val="24"/>
                </w:rPr>
                <w:t>h</w:t>
              </w:r>
              <w:r>
                <w:rPr>
                  <w:i/>
                  <w:szCs w:val="24"/>
                  <w:vertAlign w:val="subscript"/>
                </w:rPr>
                <w:t>e </w:t>
              </w:r>
              <w:r>
                <w:rPr>
                  <w:szCs w:val="24"/>
                </w:rPr>
                <w:t>= 7 W/(m</w:t>
              </w:r>
              <w:r>
                <w:rPr>
                  <w:szCs w:val="24"/>
                  <w:vertAlign w:val="superscript"/>
                </w:rPr>
                <w:t>2</w:t>
              </w:r>
              <w:r>
                <w:rPr>
                  <w:szCs w:val="24"/>
                </w:rPr>
                <w:t>·K). Apšiltintų ir neapšiltintų v</w:t>
              </w:r>
              <w:r>
                <w:rPr>
                  <w:bCs/>
                  <w:szCs w:val="24"/>
                </w:rPr>
                <w:t xml:space="preserve">amzdžių, </w:t>
              </w:r>
              <w:r>
                <w:rPr>
                  <w:szCs w:val="24"/>
                </w:rPr>
                <w:t xml:space="preserve">turinčių sąlytį su tinku, betonu ar bet kuriuo kitu statybos produktu, </w:t>
              </w:r>
              <w:r>
                <w:rPr>
                  <w:i/>
                  <w:szCs w:val="24"/>
                </w:rPr>
                <w:t>h</w:t>
              </w:r>
              <w:r>
                <w:rPr>
                  <w:i/>
                  <w:szCs w:val="24"/>
                  <w:vertAlign w:val="subscript"/>
                </w:rPr>
                <w:t>e</w:t>
              </w:r>
              <w:r>
                <w:rPr>
                  <w:szCs w:val="24"/>
                </w:rPr>
                <w:t xml:space="preserve"> = 100 W/(m</w:t>
              </w:r>
              <w:r>
                <w:rPr>
                  <w:szCs w:val="24"/>
                  <w:vertAlign w:val="superscript"/>
                </w:rPr>
                <w:t>2</w:t>
              </w:r>
              <w:r>
                <w:rPr>
                  <w:szCs w:val="24"/>
                </w:rPr>
                <w:t>·K).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
          <w:sdtPr>
            <w:alias w:val="8 pr. 2 p."/>
            <w:tag w:val="part_8988b77388c644918d5eef34c519c02c"/>
            <w:lock w:val="sdtLocked"/>
            <w:richText/>
          </w:sdtPr>
          <w:sdtContent>
            <w:p>
              <w:pPr>
                <w:ind w:firstLine="600"/>
                <w:jc w:val="both"/>
                <w:rPr>
                  <w:color w:val="000000" w:themeColor="text1"/>
                </w:rPr>
              </w:pPr>
              <w:sdt>
                <w:sdtPr>
                  <w:alias w:val="Numeris"/>
                  <w:tag w:val="nr_8988b77388c644918d5eef34c519c02c"/>
                  <w:lock w:val="sdtLocked"/>
                  <w:richText/>
                </w:sdtPr>
                <w:sdtContent>
                  <w:r>
                    <w:rPr>
                      <w:color w:val="000000" w:themeColor="text1"/>
                    </w:rPr>
                    <w:t>2</w:t>
                  </w:r>
                </w:sdtContent>
              </w:sdt>
              <w:r>
                <w:rPr>
                  <w:color w:val="000000" w:themeColor="text1"/>
                </w:rPr>
                <w:t xml:space="preserve">. </w:t>
              </w:r>
              <w:r>
                <w:rPr>
                  <w:i/>
                  <w:color w:val="000000" w:themeColor="text1"/>
                </w:rPr>
                <w:t>l</w:t>
              </w:r>
              <w:r>
                <w:rPr>
                  <w:color w:val="000000" w:themeColor="text1"/>
                </w:rPr>
                <w:t xml:space="preserve"> (m) ilgio vamzdyno, kuriame yra skirtingo skersmens ir skirtingai apšiltinti vamzdžiai, vidutinis ilginis šilumos perdavimo koeficientas </w:t>
              </w:r>
              <w:r>
                <w:rPr>
                  <w:i/>
                  <w:color w:val="000000" w:themeColor="text1"/>
                </w:rPr>
                <w:t>U</w:t>
              </w:r>
              <w:r>
                <w:rPr>
                  <w:i/>
                  <w:color w:val="000000" w:themeColor="text1"/>
                  <w:vertAlign w:val="superscript"/>
                </w:rPr>
                <w:t>‘</w:t>
              </w:r>
              <w:r>
                <w:rPr>
                  <w:i/>
                  <w:color w:val="000000" w:themeColor="text1"/>
                  <w:vertAlign w:val="subscript"/>
                </w:rPr>
                <w:t>hw.avg</w:t>
              </w:r>
              <w:r>
                <w:rPr>
                  <w:color w:val="000000" w:themeColor="text1"/>
                </w:rPr>
                <w:t xml:space="preserve"> (W/(m·K)) apskaičiuojamas taip: </w:t>
              </w:r>
            </w:p>
            <w:tbl>
              <w:tblPr>
                <w:tblW w:w="5000" w:type="pct"/>
                <w:tblLook w:val="01E0" w:firstRow="1" w:lastRow="1" w:firstColumn="1" w:lastColumn="1" w:noHBand="0" w:noVBand="0"/>
              </w:tblPr>
              <w:tblGrid>
                <w:gridCol w:w="8637"/>
                <w:gridCol w:w="1218"/>
              </w:tblGrid>
              <w:tr>
                <w:tc>
                  <w:tcPr>
                    <w:tcW w:w="4382" w:type="pct"/>
                    <w:vAlign w:val="center"/>
                    <w:hideMark/>
                  </w:tcPr>
                  <w:p>
                    <w:pPr>
                      <w:spacing w:line="276" w:lineRule="auto"/>
                      <w:jc w:val="center"/>
                      <w:rPr>
                        <w:rFonts w:eastAsia="Calibri"/>
                        <w:color w:val="000000" w:themeColor="text1"/>
                        <w:szCs w:val="22"/>
                      </w:rPr>
                    </w:pPr>
                    <w:r>
                      <w:rPr>
                        <w:rFonts w:eastAsia="Calibri"/>
                        <w:color w:val="000000" w:themeColor="text1"/>
                        <w:position w:val="-28"/>
                        <w:szCs w:val="22"/>
                      </w:rPr>
                      <w:object w:dxaOrig="2448" w:dyaOrig="636">
                        <v:shape id="_x0000_i1880" type="#_x0000_t75" style="width:122.15pt;height:32.35pt" o:ole="">
                          <v:imagedata r:id="rId89" o:title=""/>
                        </v:shape>
                        <o:OLEObject Type="Embed" ProgID="Equation.3" ShapeID="_x0000_i1880" DrawAspect="Content" ObjectID="_0000000001" r:id="rId90"/>
                      </w:object>
                    </w:r>
                    <w:r>
                      <w:rPr>
                        <w:color w:val="000000" w:themeColor="text1"/>
                      </w:rPr>
                      <w:t>;</w:t>
                    </w:r>
                  </w:p>
                </w:tc>
                <w:tc>
                  <w:tcPr>
                    <w:tcW w:w="618" w:type="pct"/>
                    <w:vAlign w:val="center"/>
                    <w:hideMark/>
                  </w:tcPr>
                  <w:p>
                    <w:pPr>
                      <w:spacing w:line="276" w:lineRule="auto"/>
                      <w:jc w:val="right"/>
                      <w:rPr>
                        <w:rFonts w:eastAsia="Calibri"/>
                        <w:color w:val="000000" w:themeColor="text1"/>
                        <w:szCs w:val="22"/>
                      </w:rPr>
                    </w:pPr>
                    <w:r>
                      <w:rPr>
                        <w:color w:val="000000" w:themeColor="text1"/>
                      </w:rPr>
                      <w:t>(8.2)</w:t>
                    </w:r>
                  </w:p>
                </w:tc>
              </w:tr>
            </w:tbl>
            <w:p>
              <w:pPr>
                <w:tabs>
                  <w:tab w:val="left" w:pos="567"/>
                </w:tabs>
                <w:rPr>
                  <w:rFonts w:eastAsia="Calibri"/>
                  <w:color w:val="000000" w:themeColor="text1"/>
                  <w:szCs w:val="22"/>
                </w:rPr>
              </w:pPr>
              <w:r>
                <w:rPr>
                  <w:color w:val="000000" w:themeColor="text1"/>
                </w:rPr>
                <w:t>čia:</w:t>
                <w:tab/>
              </w:r>
              <w:r>
                <w:rPr>
                  <w:i/>
                  <w:color w:val="000000" w:themeColor="text1"/>
                </w:rPr>
                <w:t>U‘</w:t>
              </w:r>
              <w:r>
                <w:rPr>
                  <w:i/>
                  <w:color w:val="000000" w:themeColor="text1"/>
                  <w:vertAlign w:val="subscript"/>
                </w:rPr>
                <w:t>hw,y</w:t>
              </w:r>
              <w:r>
                <w:rPr>
                  <w:color w:val="000000" w:themeColor="text1"/>
                </w:rPr>
                <w:t xml:space="preserve"> – vamzdyno atkarpoje </w:t>
              </w:r>
              <w:r>
                <w:rPr>
                  <w:i/>
                  <w:color w:val="000000" w:themeColor="text1"/>
                </w:rPr>
                <w:t>l</w:t>
              </w:r>
              <w:r>
                <w:rPr>
                  <w:i/>
                  <w:color w:val="000000" w:themeColor="text1"/>
                  <w:vertAlign w:val="subscript"/>
                </w:rPr>
                <w:t>y</w:t>
              </w:r>
              <w:r>
                <w:rPr>
                  <w:color w:val="000000" w:themeColor="text1"/>
                </w:rPr>
                <w:t xml:space="preserve"> ilginis šilumos perdavimo koeficientas (W/(m·K));</w:t>
              </w:r>
            </w:p>
            <w:p>
              <w:pPr>
                <w:ind w:firstLine="567"/>
                <w:rPr>
                  <w:color w:val="000000" w:themeColor="text1"/>
                </w:rPr>
              </w:pPr>
              <w:r>
                <w:rPr>
                  <w:i/>
                  <w:color w:val="000000" w:themeColor="text1"/>
                </w:rPr>
                <w:t>l</w:t>
              </w:r>
              <w:r>
                <w:rPr>
                  <w:i/>
                  <w:color w:val="000000" w:themeColor="text1"/>
                  <w:vertAlign w:val="subscript"/>
                </w:rPr>
                <w:t>y</w:t>
              </w:r>
              <w:r>
                <w:rPr>
                  <w:color w:val="000000" w:themeColor="text1"/>
                </w:rPr>
                <w:t xml:space="preserve"> – atitinkamos </w:t>
              </w:r>
              <w:r>
                <w:rPr>
                  <w:i/>
                  <w:color w:val="000000" w:themeColor="text1"/>
                </w:rPr>
                <w:t>„y“</w:t>
              </w:r>
              <w:r>
                <w:rPr>
                  <w:color w:val="000000" w:themeColor="text1"/>
                </w:rPr>
                <w:t xml:space="preserve"> vamzdyno atkarpos ilgis (m).</w:t>
              </w:r>
            </w:p>
            <w:p>
              <w:pPr>
                <w:rPr>
                  <w:color w:val="000000" w:themeColor="text1"/>
                </w:rPr>
              </w:pPr>
            </w:p>
            <w:sdt>
              <w:sdtPr>
                <w:alias w:val="lentele"/>
                <w:tag w:val="part_4890b39f57994330a9b35a63e48f49fd"/>
                <w:lock w:val="sdtLocked"/>
                <w:richText/>
              </w:sdtPr>
              <w:sdtContent>
                <w:p>
                  <w:pPr>
                    <w:jc w:val="right"/>
                  </w:pPr>
                  <w:sdt>
                    <w:sdtPr>
                      <w:alias w:val="Numeris"/>
                      <w:tag w:val="nr_4890b39f57994330a9b35a63e48f49fd"/>
                      <w:lock w:val="sdtLocked"/>
                      <w:richText/>
                    </w:sdtPr>
                    <w:sdtContent>
                      <w:r>
                        <w:t>8.1</w:t>
                      </w:r>
                    </w:sdtContent>
                  </w:sdt>
                  <w:r>
                    <w:t xml:space="preserve"> lentelė </w:t>
                  </w:r>
                </w:p>
                <w:p>
                  <w:pPr>
                    <w:jc w:val="center"/>
                    <w:rPr>
                      <w:b/>
                    </w:rPr>
                  </w:pPr>
                  <w:sdt>
                    <w:sdtPr>
                      <w:alias w:val="Pavadinimas"/>
                      <w:tag w:val="title_4890b39f57994330a9b35a63e48f49fd"/>
                      <w:lock w:val="sdtLocked"/>
                      <w:richText/>
                    </w:sdtPr>
                    <w:sdtContent>
                      <w:r>
                        <w:rPr>
                          <w:b/>
                        </w:rPr>
                        <w:t>Statybos produktų, naudojamų karšto vandens vamzdynų termoizoliaciniams sluoksniams, projektinės šilumos laidumo koeficientų vertės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6720"/>
                    <w:gridCol w:w="2262"/>
                  </w:tblGrid>
                  <w:tr>
                    <w:tc>
                      <w:tcPr>
                        <w:tcW w:w="58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672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Statybos produktas</w:t>
                        </w:r>
                      </w:p>
                    </w:tc>
                    <w:tc>
                      <w:tcPr>
                        <w:tcW w:w="22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rPr>
                        </w:pPr>
                        <w:r>
                          <w:t xml:space="preserve">Projektinė šilumos laidumo koeficiento </w:t>
                        </w:r>
                        <w:r>
                          <w:rPr>
                            <w:i/>
                          </w:rPr>
                          <w:t>λ</w:t>
                        </w:r>
                        <w:r>
                          <w:rPr>
                            <w:i/>
                            <w:vertAlign w:val="subscript"/>
                          </w:rPr>
                          <w:t xml:space="preserve">ds50 </w:t>
                        </w:r>
                        <w:r>
                          <w:t>vertė,</w:t>
                        </w:r>
                      </w:p>
                      <w:p>
                        <w:pPr>
                          <w:spacing w:line="276" w:lineRule="auto"/>
                          <w:jc w:val="center"/>
                          <w:rPr>
                            <w:rFonts w:eastAsia="Calibri"/>
                            <w:szCs w:val="22"/>
                          </w:rPr>
                        </w:pPr>
                        <w:r>
                          <w:t>W/(m∙K)</w:t>
                        </w:r>
                      </w:p>
                    </w:tc>
                  </w:tr>
                  <w:tr>
                    <w:tc>
                      <w:tcPr>
                        <w:tcW w:w="588"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1.</w:t>
                        </w:r>
                      </w:p>
                    </w:tc>
                    <w:tc>
                      <w:tcPr>
                        <w:tcW w:w="672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Mineralinė vata po 1993 metų statytuose pastatuose</w:t>
                        </w:r>
                      </w:p>
                    </w:tc>
                    <w:tc>
                      <w:tcPr>
                        <w:tcW w:w="22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0,045</w:t>
                        </w:r>
                      </w:p>
                    </w:tc>
                  </w:tr>
                  <w:tr>
                    <w:tc>
                      <w:tcPr>
                        <w:tcW w:w="588"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2.</w:t>
                        </w:r>
                      </w:p>
                    </w:tc>
                    <w:tc>
                      <w:tcPr>
                        <w:tcW w:w="672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Mineralinė vata iki 1993 metų statytuose pastatuose</w:t>
                        </w:r>
                      </w:p>
                    </w:tc>
                    <w:tc>
                      <w:tcPr>
                        <w:tcW w:w="22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0,08</w:t>
                        </w:r>
                      </w:p>
                    </w:tc>
                  </w:tr>
                  <w:tr>
                    <w:tc>
                      <w:tcPr>
                        <w:tcW w:w="588"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3.</w:t>
                        </w:r>
                      </w:p>
                    </w:tc>
                    <w:tc>
                      <w:tcPr>
                        <w:tcW w:w="672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Polietileninis putplastis (kevalai)</w:t>
                        </w:r>
                      </w:p>
                    </w:tc>
                    <w:tc>
                      <w:tcPr>
                        <w:tcW w:w="22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0,045</w:t>
                        </w:r>
                      </w:p>
                    </w:tc>
                  </w:tr>
                  <w:tr>
                    <w:tc>
                      <w:tcPr>
                        <w:tcW w:w="588"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4.</w:t>
                        </w:r>
                      </w:p>
                    </w:tc>
                    <w:tc>
                      <w:tcPr>
                        <w:tcW w:w="6720"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Poliuretaninis putplastis (kevalai)</w:t>
                        </w:r>
                      </w:p>
                    </w:tc>
                    <w:tc>
                      <w:tcPr>
                        <w:tcW w:w="22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0,04</w:t>
                        </w:r>
                      </w:p>
                    </w:tc>
                  </w:tr>
                </w:tbl>
                <w:p>
                  <w:pPr>
                    <w:ind w:left="1296" w:hanging="1296"/>
                    <w:rPr>
                      <w:rFonts w:eastAsia="Calibri"/>
                      <w:szCs w:val="22"/>
                    </w:rPr>
                  </w:pPr>
                </w:p>
              </w:sdtContent>
            </w:sdt>
          </w:sdtContent>
        </w:sdt>
        <w:sdt>
          <w:sdtPr>
            <w:alias w:val="pabaiga"/>
            <w:tag w:val="part_b077c4c621534c548cd011a45f1bf688"/>
            <w:lock w:val="sdtLocked"/>
            <w:richText/>
          </w:sdtPr>
          <w:sdtContent>
            <w:p>
              <w:pPr>
                <w:ind w:left="1296" w:hanging="1296"/>
                <w:jc w:val="center"/>
                <w:rPr>
                  <w:color w:val="000000" w:themeColor="text1"/>
                </w:rPr>
              </w:pPr>
              <w:r>
                <w:rPr>
                  <w:color w:val="000000" w:themeColor="text1"/>
                </w:rPr>
                <w:t>__________________________</w:t>
              </w:r>
            </w:p>
          </w:sdtContent>
        </w:sdt>
      </w:sdtContent>
    </w:sdt>
    <w:sdt>
      <w:sdtPr>
        <w:alias w:val="9 pr."/>
        <w:tag w:val="part_b67e46e47b0f4fe9a973b4e7e8b3b984"/>
        <w:lock w:val="sdtLocked"/>
        <w:richText/>
      </w:sdtPr>
      <w:sdtContent>
        <w:p>
          <w:pPr>
            <w:ind w:left="4962"/>
            <w:sectPr>
              <w:pgSz w:w="11905" w:h="16837"/>
              <w:pgMar w:top="851" w:right="565" w:bottom="851" w:left="1701" w:header="567" w:footer="567" w:gutter="0"/>
              <w:pgNumType w:start="1"/>
              <w:cols w:space="1296"/>
              <w:titlePg/>
              <w:docGrid w:linePitch="326"/>
            </w:sectPr>
          </w:pPr>
        </w:p>
        <w:p>
          <w:pPr>
            <w:ind w:left="4962"/>
            <w:rPr>
              <w:color w:val="000000" w:themeColor="text1"/>
            </w:rPr>
          </w:pPr>
          <w:r>
            <w:rPr>
              <w:color w:val="000000" w:themeColor="text1"/>
            </w:rPr>
            <w:t xml:space="preserve">Statybos techninio reglamento </w:t>
          </w:r>
        </w:p>
        <w:p>
          <w:pPr>
            <w:ind w:left="4962"/>
            <w:rPr>
              <w:color w:val="000000" w:themeColor="text1"/>
            </w:rPr>
          </w:pPr>
          <w:r>
            <w:rPr>
              <w:color w:val="000000" w:themeColor="text1"/>
            </w:rPr>
            <w:t>STR 2.01.02:2016 „Pastatų energinio naudingumo projektavimas ir sertifikavimas“</w:t>
          </w:r>
        </w:p>
        <w:p>
          <w:pPr>
            <w:ind w:left="4962"/>
            <w:rPr>
              <w:color w:val="000000" w:themeColor="text1"/>
            </w:rPr>
          </w:pPr>
          <w:sdt>
            <w:sdtPr>
              <w:alias w:val="Numeris"/>
              <w:tag w:val="nr_b67e46e47b0f4fe9a973b4e7e8b3b984"/>
              <w:lock w:val="sdtLocked"/>
              <w:richText/>
            </w:sdtPr>
            <w:sdtContent>
              <w:r>
                <w:rPr>
                  <w:color w:val="000000" w:themeColor="text1"/>
                </w:rPr>
                <w:t>9</w:t>
              </w:r>
            </w:sdtContent>
          </w:sdt>
          <w:r>
            <w:rPr>
              <w:color w:val="000000" w:themeColor="text1"/>
            </w:rPr>
            <w:t xml:space="preserve"> priedas</w:t>
          </w:r>
        </w:p>
        <w:p>
          <w:pPr>
            <w:ind w:left="4962"/>
            <w:rPr>
              <w:color w:val="000000" w:themeColor="text1"/>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b67e46e47b0f4fe9a973b4e7e8b3b984"/>
              <w:lock w:val="sdtLocked"/>
              <w:richText/>
            </w:sdtPr>
            <w:sdtContent>
              <w:r>
                <w:rPr>
                  <w:rFonts w:ascii="Times New Roman Bold" w:hAnsi="Times New Roman Bold"/>
                  <w:b/>
                  <w:caps/>
                  <w:color w:val="000000" w:themeColor="text1"/>
                  <w:lang w:eastAsia="lt-LT"/>
                </w:rPr>
                <w:t>Duomenys atitvarų drėgminei būklei projektuoti</w:t>
              </w:r>
            </w:sdtContent>
          </w:sdt>
        </w:p>
        <w:p>
          <w:pPr>
            <w:rPr>
              <w:color w:val="000000" w:themeColor="text1"/>
              <w:sz w:val="10"/>
              <w:szCs w:val="10"/>
            </w:rPr>
          </w:pPr>
        </w:p>
        <w:sdt>
          <w:sdtPr>
            <w:alias w:val="9 pr. 1 p."/>
            <w:tag w:val="part_87741ef4ae0447389dc7befb1b1277c4"/>
            <w:lock w:val="sdtLocked"/>
            <w:richText/>
          </w:sdtPr>
          <w:sdtContent>
            <w:p>
              <w:pPr>
                <w:ind w:firstLine="567"/>
                <w:jc w:val="both"/>
                <w:rPr>
                  <w:color w:val="000000" w:themeColor="text1"/>
                </w:rPr>
              </w:pPr>
              <w:sdt>
                <w:sdtPr>
                  <w:alias w:val="Numeris"/>
                  <w:tag w:val="nr_87741ef4ae0447389dc7befb1b1277c4"/>
                  <w:lock w:val="sdtLocked"/>
                  <w:richText/>
                </w:sdtPr>
                <w:sdtContent>
                  <w:r>
                    <w:rPr>
                      <w:color w:val="000000" w:themeColor="text1"/>
                    </w:rPr>
                    <w:t>1</w:t>
                  </w:r>
                </w:sdtContent>
              </w:sdt>
              <w:r>
                <w:rPr>
                  <w:color w:val="000000" w:themeColor="text1"/>
                </w:rPr>
                <w:t>. Per metus atitvarų viduje susikaupiančio/išgaruojančio drėgmės kiekio ir kondensacijos atitvarų viduje projektiniams skaičiavimams naudojamos 9.1 lentelėje nurodytos projektinės išorės oro temperatūros ir santykiniai išorės oro drėgniai.</w:t>
              </w:r>
            </w:p>
          </w:sdtContent>
        </w:sdt>
        <w:sdt>
          <w:sdtPr>
            <w:alias w:val="9 pr. 2 p."/>
            <w:tag w:val="part_50469c0465f147c79a1fa14181d08ca2"/>
            <w:lock w:val="sdtLocked"/>
            <w:richText/>
          </w:sdtPr>
          <w:sdtContent>
            <w:p>
              <w:pPr>
                <w:ind w:firstLine="567"/>
                <w:jc w:val="both"/>
                <w:rPr>
                  <w:color w:val="000000" w:themeColor="text1"/>
                </w:rPr>
              </w:pPr>
              <w:sdt>
                <w:sdtPr>
                  <w:alias w:val="Numeris"/>
                  <w:tag w:val="nr_50469c0465f147c79a1fa14181d08ca2"/>
                  <w:lock w:val="sdtLocked"/>
                  <w:richText/>
                </w:sdtPr>
                <w:sdtContent>
                  <w:r>
                    <w:rPr>
                      <w:color w:val="000000" w:themeColor="text1"/>
                    </w:rPr>
                    <w:t>2</w:t>
                  </w:r>
                </w:sdtContent>
              </w:sdt>
              <w:r>
                <w:rPr>
                  <w:color w:val="000000" w:themeColor="text1"/>
                </w:rPr>
                <w:t>. Statybos produktų šiluminių techninių rodiklių duomenys atitvarų drėgminei būklei skaičiuoti nurodyti 9.2, 9.3 ir 9.4 lentelėse. Šiose lentelėse nurodyti duomenys turi būti naudojami šia tvarka:</w:t>
              </w:r>
            </w:p>
            <w:sdt>
              <w:sdtPr>
                <w:alias w:val="9 pr. 2.1 pp."/>
                <w:tag w:val="part_b1891dab64fa40e293fc05a21efe37f5"/>
                <w:lock w:val="sdtLocked"/>
                <w:richText/>
              </w:sdtPr>
              <w:sdtContent>
                <w:p>
                  <w:pPr>
                    <w:ind w:firstLine="567"/>
                    <w:jc w:val="both"/>
                    <w:rPr>
                      <w:color w:val="000000" w:themeColor="text1"/>
                    </w:rPr>
                  </w:pPr>
                  <w:sdt>
                    <w:sdtPr>
                      <w:alias w:val="Numeris"/>
                      <w:tag w:val="nr_b1891dab64fa40e293fc05a21efe37f5"/>
                      <w:lock w:val="sdtLocked"/>
                      <w:richText/>
                    </w:sdtPr>
                    <w:sdtContent>
                      <w:r>
                        <w:rPr>
                          <w:color w:val="000000" w:themeColor="text1"/>
                        </w:rPr>
                        <w:t>2.1</w:t>
                      </w:r>
                    </w:sdtContent>
                  </w:sdt>
                  <w:r>
                    <w:rPr>
                      <w:color w:val="000000" w:themeColor="text1"/>
                    </w:rPr>
                    <w:t xml:space="preserve">. kai nėra 9.2 ir 9.3 lentelėse išvardintų statybos produktų nurodytus šiluminių techninių verčių derinį patvirtinančių dokumentų, naudojamas šiose lentelėse nurodytas verčių derinys. Jei šiose lentelėse išvardintus šiluminių techninių verčių derinį patvirtinantys dokumentai yra, naudojamas šiuose dokumentuose nurodytas šiluminių techninių verčių derinys; </w:t>
                  </w:r>
                </w:p>
              </w:sdtContent>
            </w:sdt>
            <w:sdt>
              <w:sdtPr>
                <w:alias w:val="9 pr. 2.2 pp."/>
                <w:tag w:val="part_4f24d12b46b944df8b39701284812ff9"/>
                <w:lock w:val="sdtLocked"/>
                <w:richText/>
              </w:sdtPr>
              <w:sdtContent>
                <w:p>
                  <w:pPr>
                    <w:ind w:firstLine="567"/>
                    <w:jc w:val="both"/>
                    <w:rPr>
                      <w:color w:val="000000" w:themeColor="text1"/>
                    </w:rPr>
                  </w:pPr>
                  <w:sdt>
                    <w:sdtPr>
                      <w:alias w:val="Numeris"/>
                      <w:tag w:val="nr_4f24d12b46b944df8b39701284812ff9"/>
                      <w:lock w:val="sdtLocked"/>
                      <w:richText/>
                    </w:sdtPr>
                    <w:sdtContent>
                      <w:r>
                        <w:rPr>
                          <w:color w:val="000000" w:themeColor="text1"/>
                        </w:rPr>
                        <w:t>2.2</w:t>
                      </w:r>
                    </w:sdtContent>
                  </w:sdt>
                  <w:r>
                    <w:rPr>
                      <w:color w:val="000000" w:themeColor="text1"/>
                    </w:rPr>
                    <w:t>. kai nėra 9.4 lentelėje išvardintų plonųjų statybos produktų vandens garų varžai lygiaverčio oro sluoksnio storio vertes patvirtinančių dokumentų, naudojamos šioje lentelėje nurodytos vertės. Jei šioje lentelėje išvardytų statybos produktų vandens garų varžai lygiaverčio oro sluoksnio storio vertes patvirtinantys dokumentai yra, naudojamos šiuose dokumentuose nurodytos vertės.</w:t>
                  </w:r>
                </w:p>
                <w:p>
                  <w:pPr>
                    <w:ind w:firstLine="567"/>
                    <w:jc w:val="both"/>
                    <w:rPr>
                      <w:color w:val="000000" w:themeColor="text1"/>
                      <w:szCs w:val="24"/>
                      <w:lang w:eastAsia="lt-LT"/>
                    </w:rPr>
                  </w:pPr>
                </w:p>
              </w:sdtContent>
            </w:sdt>
            <w:sdt>
              <w:sdtPr>
                <w:alias w:val="skirsnis"/>
                <w:tag w:val="part_88135f959d2c45e6a7023dcf5b521468"/>
                <w:lock w:val="sdtLocked"/>
                <w:richText/>
              </w:sdtPr>
              <w:sdtContent>
                <w:p>
                  <w:pPr>
                    <w:jc w:val="center"/>
                    <w:rPr>
                      <w:b/>
                    </w:rPr>
                  </w:pPr>
                  <w:sdt>
                    <w:sdtPr>
                      <w:alias w:val="Pavadinimas"/>
                      <w:tag w:val="title_88135f959d2c45e6a7023dcf5b521468"/>
                      <w:lock w:val="sdtLocked"/>
                      <w:richText/>
                    </w:sdtPr>
                    <w:sdtContent>
                      <w:r>
                        <w:rPr>
                          <w:b/>
                        </w:rPr>
                        <w:t xml:space="preserve">Vidutinės mėnesio išorės oro temperatūros </w:t>
                      </w:r>
                      <w:r>
                        <w:rPr>
                          <w:b/>
                          <w:i/>
                        </w:rPr>
                        <w:t>θ</w:t>
                      </w:r>
                      <w:r>
                        <w:rPr>
                          <w:b/>
                          <w:i/>
                          <w:vertAlign w:val="subscript"/>
                        </w:rPr>
                        <w:t>e,m</w:t>
                      </w:r>
                      <w:r>
                        <w:rPr>
                          <w:b/>
                        </w:rPr>
                        <w:t xml:space="preserve"> (°C) ir santykiniai oro drėgniai </w:t>
                      </w:r>
                      <w:r>
                        <w:rPr>
                          <w:b/>
                          <w:i/>
                        </w:rPr>
                        <w:t>φ</w:t>
                      </w:r>
                      <w:r>
                        <w:rPr>
                          <w:b/>
                          <w:i/>
                          <w:vertAlign w:val="subscript"/>
                        </w:rPr>
                        <w:t>e,m</w:t>
                      </w:r>
                      <w:r>
                        <w:rPr>
                          <w:b/>
                          <w:i/>
                        </w:rPr>
                        <w:t xml:space="preserve"> (%) </w:t>
                      </w:r>
                      <w:r>
                        <w:rPr>
                          <w:b/>
                        </w:rPr>
                        <w:t>projektiniams atitvarų drėgminės būklės per metus skaičiavimams</w:t>
                      </w:r>
                    </w:sdtContent>
                  </w:sdt>
                </w:p>
                <w:sdt>
                  <w:sdtPr>
                    <w:alias w:val="lentele"/>
                    <w:tag w:val="part_42f0c317fb4e4ce49ad9319db81c54b7"/>
                    <w:lock w:val="sdtLocked"/>
                    <w:richText/>
                  </w:sdtPr>
                  <w:sdtContent>
                    <w:p>
                      <w:pPr>
                        <w:ind w:left="1347" w:hanging="780"/>
                        <w:jc w:val="both"/>
                        <w:rPr>
                          <w:b/>
                          <w:szCs w:val="24"/>
                        </w:rPr>
                      </w:pPr>
                      <w:sdt>
                        <w:sdtPr>
                          <w:alias w:val="Pavadinimas"/>
                          <w:tag w:val="title_42f0c317fb4e4ce49ad9319db81c54b7"/>
                          <w:lock w:val="sdtLocked"/>
                          <w:richText/>
                        </w:sdtPr>
                        <w:sdtContent>
                          <w:r>
                            <w:rPr>
                              <w:b/>
                              <w:szCs w:val="24"/>
                            </w:rPr>
                            <w:t xml:space="preserve">Vidutinės mėnesio išorės oro temperatūros </w:t>
                          </w:r>
                          <w:r>
                            <w:rPr>
                              <w:b/>
                              <w:i/>
                              <w:szCs w:val="24"/>
                            </w:rPr>
                            <w:t>θ</w:t>
                          </w:r>
                          <w:r>
                            <w:rPr>
                              <w:b/>
                              <w:i/>
                              <w:szCs w:val="24"/>
                              <w:vertAlign w:val="subscript"/>
                            </w:rPr>
                            <w:t>e,m</w:t>
                          </w:r>
                          <w:r>
                            <w:rPr>
                              <w:b/>
                              <w:szCs w:val="24"/>
                            </w:rPr>
                            <w:t xml:space="preserve"> (°C) ir santykiniai oro drėgniai </w:t>
                          </w:r>
                          <w:r>
                            <w:rPr>
                              <w:b/>
                              <w:i/>
                              <w:szCs w:val="24"/>
                            </w:rPr>
                            <w:t>φ</w:t>
                          </w:r>
                          <w:r>
                            <w:rPr>
                              <w:b/>
                              <w:i/>
                              <w:szCs w:val="24"/>
                              <w:vertAlign w:val="subscript"/>
                            </w:rPr>
                            <w:t>e,m</w:t>
                          </w:r>
                          <w:r>
                            <w:rPr>
                              <w:b/>
                              <w:i/>
                              <w:szCs w:val="24"/>
                            </w:rPr>
                            <w:t xml:space="preserve"> (%) </w:t>
                          </w:r>
                          <w:r>
                            <w:rPr>
                              <w:b/>
                              <w:szCs w:val="24"/>
                            </w:rPr>
                            <w:t>projektiniam atitvarų drėgniui per metus skaičiuoti</w:t>
                          </w:r>
                        </w:sdtContent>
                      </w:sdt>
                    </w:p>
                    <w:p>
                      <w:pPr>
                        <w:jc w:val="right"/>
                        <w:rPr>
                          <w:szCs w:val="24"/>
                        </w:rPr>
                      </w:pPr>
                      <w:sdt>
                        <w:sdtPr>
                          <w:alias w:val="Numeris"/>
                          <w:tag w:val="nr_42f0c317fb4e4ce49ad9319db81c54b7"/>
                          <w:lock w:val="sdtLocked"/>
                          <w:richText/>
                        </w:sdtPr>
                        <w:sdtContent>
                          <w:r>
                            <w:rPr>
                              <w:szCs w:val="24"/>
                            </w:rPr>
                            <w:t>9.1</w:t>
                          </w:r>
                        </w:sdtContent>
                      </w:sdt>
                      <w:r>
                        <w:rPr>
                          <w:szCs w:val="24"/>
                        </w:rPr>
                        <w:t xml:space="preserve"> lentelė</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7"/>
                        <w:gridCol w:w="716"/>
                        <w:gridCol w:w="716"/>
                        <w:gridCol w:w="717"/>
                        <w:gridCol w:w="716"/>
                        <w:gridCol w:w="716"/>
                        <w:gridCol w:w="716"/>
                        <w:gridCol w:w="716"/>
                        <w:gridCol w:w="716"/>
                        <w:gridCol w:w="716"/>
                        <w:gridCol w:w="722"/>
                        <w:gridCol w:w="723"/>
                        <w:gridCol w:w="617"/>
                      </w:tblGrid>
                      <w:tr>
                        <w:trPr>
                          <w:gridBefore w:val="1"/>
                          <w:wBefore w:w="957" w:type="dxa"/>
                          <w:trHeight w:val="309"/>
                        </w:trPr>
                        <w:tc>
                          <w:tcPr>
                            <w:tcW w:w="8507" w:type="dxa"/>
                            <w:gridSpan w:val="12"/>
                            <w:tcBorders>
                              <w:top w:val="single" w:sz="4" w:space="0" w:color="auto"/>
                              <w:left w:val="single" w:sz="4" w:space="0" w:color="auto"/>
                              <w:bottom w:val="single" w:sz="4" w:space="0" w:color="auto"/>
                              <w:right w:val="single" w:sz="4" w:space="0" w:color="auto"/>
                            </w:tcBorders>
                            <w:hideMark/>
                          </w:tcPr>
                          <w:p>
                            <w:pPr>
                              <w:spacing w:line="276" w:lineRule="auto"/>
                              <w:ind w:left="851" w:hanging="851"/>
                              <w:jc w:val="center"/>
                              <w:rPr>
                                <w:rFonts w:eastAsia="Calibri"/>
                                <w:spacing w:val="-6"/>
                                <w:szCs w:val="24"/>
                              </w:rPr>
                            </w:pPr>
                            <w:r>
                              <w:rPr>
                                <w:spacing w:val="-6"/>
                                <w:szCs w:val="24"/>
                              </w:rPr>
                              <w:t>Metų mėnesio numeris</w:t>
                            </w:r>
                          </w:p>
                        </w:tc>
                      </w:tr>
                      <w:tr>
                        <w:tc>
                          <w:tcPr>
                            <w:tcW w:w="957"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1</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2</w:t>
                            </w:r>
                          </w:p>
                        </w:tc>
                        <w:tc>
                          <w:tcPr>
                            <w:tcW w:w="71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3</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4</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5</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6</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7</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8</w:t>
                            </w:r>
                          </w:p>
                        </w:tc>
                        <w:tc>
                          <w:tcPr>
                            <w:tcW w:w="71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9</w:t>
                            </w:r>
                          </w:p>
                        </w:tc>
                        <w:tc>
                          <w:tcPr>
                            <w:tcW w:w="722"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10</w:t>
                            </w:r>
                          </w:p>
                        </w:tc>
                        <w:tc>
                          <w:tcPr>
                            <w:tcW w:w="723"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11</w:t>
                            </w:r>
                          </w:p>
                        </w:tc>
                        <w:tc>
                          <w:tcPr>
                            <w:tcW w:w="61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szCs w:val="24"/>
                              </w:rPr>
                              <w:t>12</w:t>
                            </w:r>
                          </w:p>
                        </w:tc>
                      </w:tr>
                      <w:tr>
                        <w:tc>
                          <w:tcPr>
                            <w:tcW w:w="95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szCs w:val="24"/>
                              </w:rPr>
                            </w:pPr>
                            <w:r>
                              <w:rPr>
                                <w:i/>
                                <w:szCs w:val="24"/>
                              </w:rPr>
                              <w:t>θ</w:t>
                            </w:r>
                            <w:r>
                              <w:rPr>
                                <w:i/>
                                <w:szCs w:val="24"/>
                                <w:vertAlign w:val="subscript"/>
                              </w:rPr>
                              <w:t>e,m</w:t>
                            </w:r>
                            <w:r>
                              <w:rPr>
                                <w:i/>
                                <w:szCs w:val="24"/>
                              </w:rPr>
                              <w:t>,</w:t>
                            </w:r>
                            <w:r>
                              <w:rPr>
                                <w:szCs w:val="24"/>
                              </w:rPr>
                              <w:t>°C</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-2,9</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-2,5</w:t>
                            </w:r>
                          </w:p>
                        </w:tc>
                        <w:tc>
                          <w:tcPr>
                            <w:tcW w:w="717"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0,9</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7,2</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12,5</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15,9</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18,3</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17,6</w:t>
                            </w:r>
                          </w:p>
                        </w:tc>
                        <w:tc>
                          <w:tcPr>
                            <w:tcW w:w="716"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12,8</w:t>
                            </w:r>
                          </w:p>
                        </w:tc>
                        <w:tc>
                          <w:tcPr>
                            <w:tcW w:w="722"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7,3</w:t>
                            </w:r>
                          </w:p>
                        </w:tc>
                        <w:tc>
                          <w:tcPr>
                            <w:tcW w:w="723"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2,6</w:t>
                            </w:r>
                          </w:p>
                        </w:tc>
                        <w:tc>
                          <w:tcPr>
                            <w:tcW w:w="617" w:type="dxa"/>
                            <w:tcBorders>
                              <w:top w:val="single" w:sz="4" w:space="0" w:color="auto"/>
                              <w:left w:val="single" w:sz="4" w:space="0" w:color="auto"/>
                              <w:bottom w:val="single" w:sz="4" w:space="0" w:color="auto"/>
                              <w:right w:val="single" w:sz="4" w:space="0" w:color="auto"/>
                            </w:tcBorders>
                            <w:vAlign w:val="center"/>
                          </w:tcPr>
                          <w:p>
                            <w:pPr>
                              <w:spacing w:line="276" w:lineRule="auto"/>
                              <w:ind w:left="851" w:hanging="851"/>
                              <w:jc w:val="center"/>
                              <w:rPr>
                                <w:rFonts w:eastAsia="Calibri"/>
                                <w:szCs w:val="24"/>
                              </w:rPr>
                            </w:pPr>
                            <w:r>
                              <w:rPr>
                                <w:szCs w:val="24"/>
                                <w:lang w:eastAsia="lt-LT"/>
                              </w:rPr>
                              <w:t>-1,1</w:t>
                            </w:r>
                          </w:p>
                        </w:tc>
                      </w:tr>
                      <w:tr>
                        <w:tc>
                          <w:tcPr>
                            <w:tcW w:w="957" w:type="dxa"/>
                            <w:tcBorders>
                              <w:top w:val="single" w:sz="4" w:space="0" w:color="auto"/>
                              <w:left w:val="single" w:sz="4" w:space="0" w:color="auto"/>
                              <w:bottom w:val="single" w:sz="4" w:space="0" w:color="auto"/>
                              <w:right w:val="single" w:sz="4" w:space="0" w:color="auto"/>
                            </w:tcBorders>
                            <w:vAlign w:val="center"/>
                            <w:hideMark/>
                          </w:tcPr>
                          <w:p>
                            <w:pPr>
                              <w:spacing w:line="276" w:lineRule="auto"/>
                              <w:ind w:left="851" w:hanging="851"/>
                              <w:jc w:val="center"/>
                              <w:rPr>
                                <w:rFonts w:eastAsia="Calibri"/>
                                <w:i/>
                                <w:szCs w:val="24"/>
                              </w:rPr>
                            </w:pPr>
                            <w:r>
                              <w:rPr>
                                <w:i/>
                                <w:szCs w:val="24"/>
                              </w:rPr>
                              <w:t>φ</w:t>
                            </w:r>
                            <w:r>
                              <w:rPr>
                                <w:i/>
                                <w:szCs w:val="24"/>
                                <w:vertAlign w:val="subscript"/>
                              </w:rPr>
                              <w:t>e,m</w:t>
                            </w:r>
                            <w:r>
                              <w:rPr>
                                <w:i/>
                                <w:szCs w:val="24"/>
                              </w:rPr>
                              <w:t>, %</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86</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84</w:t>
                            </w:r>
                          </w:p>
                        </w:tc>
                        <w:tc>
                          <w:tcPr>
                            <w:tcW w:w="717"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75</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71</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74</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77</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78</w:t>
                            </w:r>
                          </w:p>
                        </w:tc>
                        <w:tc>
                          <w:tcPr>
                            <w:tcW w:w="716"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82</w:t>
                            </w:r>
                          </w:p>
                        </w:tc>
                        <w:tc>
                          <w:tcPr>
                            <w:tcW w:w="722"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85</w:t>
                            </w:r>
                          </w:p>
                        </w:tc>
                        <w:tc>
                          <w:tcPr>
                            <w:tcW w:w="723"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88</w:t>
                            </w:r>
                          </w:p>
                        </w:tc>
                        <w:tc>
                          <w:tcPr>
                            <w:tcW w:w="617" w:type="dxa"/>
                            <w:tcBorders>
                              <w:top w:val="single" w:sz="4" w:space="0" w:color="auto"/>
                              <w:left w:val="single" w:sz="4" w:space="0" w:color="auto"/>
                              <w:bottom w:val="single" w:sz="4" w:space="0" w:color="auto"/>
                              <w:right w:val="single" w:sz="4" w:space="0" w:color="auto"/>
                            </w:tcBorders>
                            <w:vAlign w:val="bottom"/>
                            <w:hideMark/>
                          </w:tcPr>
                          <w:p>
                            <w:pPr>
                              <w:spacing w:line="276" w:lineRule="auto"/>
                              <w:jc w:val="center"/>
                              <w:rPr>
                                <w:rFonts w:eastAsia="Calibri"/>
                                <w:bCs/>
                                <w:szCs w:val="24"/>
                              </w:rPr>
                            </w:pPr>
                            <w:r>
                              <w:rPr>
                                <w:bCs/>
                                <w:szCs w:val="24"/>
                              </w:rPr>
                              <w:t>89</w:t>
                            </w:r>
                          </w:p>
                        </w:tc>
                      </w:tr>
                    </w:tbl>
                    <w:p>
                      <w:pPr>
                        <w:rPr>
                          <w:rFonts w:eastAsia="Calibri"/>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a91651dfc811f08918e1adc7c5b1ec">
                        <w:r w:rsidRPr="00532B9F">
                          <w:rPr>
                            <w:rFonts w:ascii="Times New Roman" w:eastAsia="MS Mincho" w:hAnsi="Times New Roman"/>
                            <w:sz w:val="20"/>
                            <w:i/>
                            <w:iCs/>
                            <w:color w:val="0000FF" w:themeColor="hyperlink"/>
                            <w:u w:val="single"/>
                          </w:rPr>
                          <w:t>D1-209</w:t>
                        </w:r>
                      </w:fldSimple>
                      <w:r>
                        <w:rPr>
                          <w:rFonts w:ascii="Times New Roman" w:eastAsia="MS Mincho" w:hAnsi="Times New Roman"/>
                          <w:sz w:val="20"/>
                          <w:i/>
                          <w:iCs/>
                        </w:rPr>
                        <w:t>,
2025-12-23,
paskelbta TAR 2025-12-23, i. k. 2025-22474            </w:t>
                      </w:r>
                    </w:p>
                    <w:p/>
                  </w:sdtContent>
                </w:sdt>
              </w:sdtContent>
            </w:sdt>
            <w:sdt>
              <w:sdtPr>
                <w:alias w:val="skirsnis"/>
                <w:tag w:val="part_0794f00adf1b490ebb511d011cc54ed9"/>
                <w:lock w:val="sdtLocked"/>
                <w:richText/>
              </w:sdtPr>
              <w:sdtContent>
                <w:p>
                  <w:pPr>
                    <w:spacing w:line="312" w:lineRule="auto"/>
                    <w:jc w:val="center"/>
                    <w:rPr>
                      <w:b/>
                      <w:szCs w:val="24"/>
                      <w:lang w:eastAsia="lt-LT"/>
                    </w:rPr>
                  </w:pPr>
                  <w:sdt>
                    <w:sdtPr>
                      <w:alias w:val="Pavadinimas"/>
                      <w:tag w:val="title_0794f00adf1b490ebb511d011cc54ed9"/>
                      <w:lock w:val="sdtLocked"/>
                      <w:richText/>
                    </w:sdtPr>
                    <w:sdtContent>
                      <w:r>
                        <w:rPr>
                          <w:b/>
                          <w:szCs w:val="24"/>
                          <w:lang w:eastAsia="lt-LT"/>
                        </w:rPr>
                        <w:t>Termoizoliaciniams statybos produktams nepriskiriamų įvairaus tankio medžiagų ir gaminių šiluminių techninių rodiklių vertės atitvarų drėgminei būklei projektuoti</w:t>
                      </w:r>
                    </w:sdtContent>
                  </w:sdt>
                </w:p>
                <w:sdt>
                  <w:sdtPr>
                    <w:alias w:val="lentele"/>
                    <w:tag w:val="part_ac6d73a1d84c4641a9515c89ff148a47"/>
                    <w:lock w:val="sdtLocked"/>
                    <w:richText/>
                  </w:sdtPr>
                  <w:sdtContent>
                    <w:p>
                      <w:pPr>
                        <w:ind w:firstLine="567"/>
                        <w:jc w:val="right"/>
                        <w:rPr>
                          <w:bCs/>
                          <w:i/>
                          <w:iCs/>
                          <w:color w:val="000000" w:themeColor="text1"/>
                        </w:rPr>
                      </w:pPr>
                      <w:sdt>
                        <w:sdtPr>
                          <w:alias w:val="Numeris"/>
                          <w:tag w:val="nr_ac6d73a1d84c4641a9515c89ff148a47"/>
                          <w:lock w:val="sdtLocked"/>
                          <w:richText/>
                        </w:sdtPr>
                        <w:sdtContent>
                          <w:r>
                            <w:rPr>
                              <w:bCs/>
                              <w:color w:val="000000" w:themeColor="text1"/>
                            </w:rPr>
                            <w:t>9.2</w:t>
                          </w:r>
                        </w:sdtContent>
                      </w:sdt>
                      <w:r>
                        <w:rPr>
                          <w:bCs/>
                          <w:color w:val="000000" w:themeColor="text1"/>
                        </w:rPr>
                        <w:t xml:space="preserve"> lentelė</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56"/>
                        <w:gridCol w:w="3033"/>
                        <w:gridCol w:w="870"/>
                        <w:gridCol w:w="1735"/>
                        <w:gridCol w:w="1276"/>
                        <w:gridCol w:w="1079"/>
                        <w:gridCol w:w="1106"/>
                      </w:tblGrid>
                      <w:tr>
                        <w:trPr>
                          <w:trHeight w:val="176"/>
                        </w:trPr>
                        <w:tc>
                          <w:tcPr>
                            <w:tcW w:w="282" w:type="pct"/>
                            <w:vMerge w:val="restart"/>
                            <w:tcBorders>
                              <w:top w:val="single" w:sz="6" w:space="0" w:color="000000"/>
                              <w:left w:val="single" w:sz="6" w:space="0" w:color="000000"/>
                              <w:bottom w:val="single" w:sz="6" w:space="0" w:color="000000"/>
                              <w:right w:val="single" w:sz="6" w:space="0" w:color="000000"/>
                            </w:tcBorders>
                            <w:vAlign w:val="center"/>
                            <w:hideMark/>
                          </w:tcPr>
                          <w:p>
                            <w:pPr>
                              <w:rPr>
                                <w:color w:val="000000" w:themeColor="text1"/>
                                <w:sz w:val="18"/>
                                <w:szCs w:val="18"/>
                              </w:rPr>
                            </w:pPr>
                          </w:p>
                          <w:p>
                            <w:pPr>
                              <w:keepLines/>
                              <w:spacing w:line="276" w:lineRule="auto"/>
                              <w:outlineLvl w:val="2"/>
                              <w:rPr>
                                <w:bCs/>
                                <w:color w:val="000000" w:themeColor="text1"/>
                              </w:rPr>
                            </w:pPr>
                            <w:r>
                              <w:rPr>
                                <w:bCs/>
                                <w:color w:val="000000" w:themeColor="text1"/>
                              </w:rPr>
                              <w:t>Eil. Nr.</w:t>
                            </w:r>
                          </w:p>
                        </w:tc>
                        <w:tc>
                          <w:tcPr>
                            <w:tcW w:w="1556" w:type="pct"/>
                            <w:vMerge w:val="restart"/>
                            <w:tcBorders>
                              <w:top w:val="single" w:sz="6" w:space="0" w:color="000000"/>
                              <w:left w:val="single" w:sz="6" w:space="0" w:color="000000"/>
                              <w:bottom w:val="single" w:sz="6" w:space="0" w:color="000000"/>
                              <w:right w:val="single" w:sz="6" w:space="0" w:color="000000"/>
                            </w:tcBorders>
                            <w:vAlign w:val="center"/>
                            <w:hideMark/>
                          </w:tcPr>
                          <w:p>
                            <w:pPr>
                              <w:rPr>
                                <w:color w:val="000000" w:themeColor="text1"/>
                                <w:sz w:val="18"/>
                                <w:szCs w:val="18"/>
                              </w:rPr>
                            </w:pPr>
                          </w:p>
                          <w:p>
                            <w:pPr>
                              <w:keepLines/>
                              <w:spacing w:line="276" w:lineRule="auto"/>
                              <w:outlineLvl w:val="2"/>
                              <w:rPr>
                                <w:bCs/>
                                <w:color w:val="000000" w:themeColor="text1"/>
                                <w:vertAlign w:val="superscript"/>
                              </w:rPr>
                            </w:pPr>
                            <w:r>
                              <w:rPr>
                                <w:color w:val="000000" w:themeColor="text1"/>
                              </w:rPr>
                              <w:t>Statybos produktas</w:t>
                            </w:r>
                          </w:p>
                        </w:tc>
                        <w:tc>
                          <w:tcPr>
                            <w:tcW w:w="452"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4"/>
                              </w:rPr>
                            </w:pPr>
                            <w:r>
                              <w:rPr>
                                <w:bCs/>
                                <w:color w:val="000000" w:themeColor="text1"/>
                              </w:rPr>
                              <w:t>Tankis</w:t>
                            </w:r>
                          </w:p>
                          <w:p>
                            <w:pPr>
                              <w:spacing w:line="276" w:lineRule="auto"/>
                              <w:jc w:val="center"/>
                              <w:rPr>
                                <w:rFonts w:eastAsia="Calibri"/>
                                <w:bCs/>
                                <w:color w:val="000000" w:themeColor="text1"/>
                                <w:szCs w:val="22"/>
                              </w:rPr>
                            </w:pPr>
                            <w:r>
                              <w:rPr>
                                <w:bCs/>
                                <w:i/>
                                <w:iCs/>
                                <w:color w:val="000000" w:themeColor="text1"/>
                              </w:rPr>
                              <w:sym w:font="Symbol" w:char="F072"/>
                            </w:r>
                            <w:r>
                              <w:rPr>
                                <w:bCs/>
                                <w:color w:val="000000" w:themeColor="text1"/>
                              </w:rPr>
                              <w:t>, kg/m</w:t>
                            </w:r>
                            <w:r>
                              <w:rPr>
                                <w:bCs/>
                                <w:color w:val="000000" w:themeColor="text1"/>
                                <w:vertAlign w:val="superscript"/>
                              </w:rPr>
                              <w:t>3</w:t>
                            </w:r>
                          </w:p>
                        </w:tc>
                        <w:tc>
                          <w:tcPr>
                            <w:tcW w:w="90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2"/>
                              </w:rPr>
                            </w:pPr>
                            <w:r>
                              <w:rPr>
                                <w:bCs/>
                                <w:color w:val="000000" w:themeColor="text1"/>
                              </w:rPr>
                              <w:t xml:space="preserve">Projektinis šilumos laidumo koeficientas </w:t>
                            </w:r>
                            <w:r>
                              <w:rPr>
                                <w:bCs/>
                                <w:i/>
                                <w:iCs/>
                                <w:color w:val="000000" w:themeColor="text1"/>
                              </w:rPr>
                              <w:sym w:font="Symbol" w:char="F06C"/>
                            </w:r>
                            <w:r>
                              <w:rPr>
                                <w:bCs/>
                                <w:i/>
                                <w:iCs/>
                                <w:color w:val="000000" w:themeColor="text1"/>
                                <w:vertAlign w:val="subscript"/>
                              </w:rPr>
                              <w:t>ds</w:t>
                            </w:r>
                            <w:r>
                              <w:rPr>
                                <w:bCs/>
                                <w:color w:val="000000" w:themeColor="text1"/>
                              </w:rPr>
                              <w:t>, W/(m</w:t>
                              <w:sym w:font="Symbol" w:char="F0D7"/>
                              <w:t>K)</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rPr>
                            </w:pPr>
                            <w:r>
                              <w:rPr>
                                <w:bCs/>
                                <w:color w:val="000000" w:themeColor="text1"/>
                              </w:rPr>
                              <w:t>Savitoji šiluminė talpa</w:t>
                            </w:r>
                          </w:p>
                          <w:p>
                            <w:pPr>
                              <w:spacing w:line="276" w:lineRule="auto"/>
                              <w:jc w:val="center"/>
                              <w:rPr>
                                <w:rFonts w:eastAsia="Calibri"/>
                                <w:bCs/>
                                <w:i/>
                                <w:iCs/>
                                <w:color w:val="000000" w:themeColor="text1"/>
                                <w:szCs w:val="22"/>
                              </w:rPr>
                            </w:pPr>
                            <w:r>
                              <w:rPr>
                                <w:bCs/>
                                <w:i/>
                                <w:iCs/>
                                <w:color w:val="000000" w:themeColor="text1"/>
                              </w:rPr>
                              <w:t>c</w:t>
                            </w:r>
                            <w:r>
                              <w:rPr>
                                <w:bCs/>
                                <w:i/>
                                <w:iCs/>
                                <w:color w:val="000000" w:themeColor="text1"/>
                                <w:vertAlign w:val="subscript"/>
                              </w:rPr>
                              <w:t>p</w:t>
                            </w:r>
                            <w:r>
                              <w:rPr>
                                <w:bCs/>
                                <w:color w:val="000000" w:themeColor="text1"/>
                              </w:rPr>
                              <w:t>, J/(kg</w:t>
                              <w:sym w:font="Symbol" w:char="F0D7"/>
                              <w:t>K)</w:t>
                            </w:r>
                          </w:p>
                        </w:tc>
                        <w:tc>
                          <w:tcPr>
                            <w:tcW w:w="1143" w:type="pct"/>
                            <w:gridSpan w:val="2"/>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rPr>
                            </w:pPr>
                            <w:r>
                              <w:rPr>
                                <w:bCs/>
                                <w:color w:val="000000" w:themeColor="text1"/>
                              </w:rPr>
                              <w:t>Vandens garų varžos faktorius</w:t>
                            </w:r>
                          </w:p>
                          <w:p>
                            <w:pPr>
                              <w:spacing w:line="276" w:lineRule="auto"/>
                              <w:jc w:val="center"/>
                              <w:rPr>
                                <w:rFonts w:eastAsia="Calibri"/>
                                <w:bCs/>
                                <w:i/>
                                <w:iCs/>
                                <w:color w:val="000000" w:themeColor="text1"/>
                                <w:szCs w:val="22"/>
                              </w:rPr>
                            </w:pPr>
                            <w:r>
                              <w:rPr>
                                <w:bCs/>
                                <w:i/>
                                <w:iCs/>
                                <w:color w:val="000000" w:themeColor="text1"/>
                              </w:rPr>
                              <w:sym w:font="Symbol" w:char="F06D"/>
                            </w:r>
                          </w:p>
                        </w:tc>
                      </w:tr>
                      <w:tr>
                        <w:trPr>
                          <w:trHeight w:val="176"/>
                        </w:trPr>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ascii="Times New Roman Bold" w:hAnsi="Times New Roman Bold"/>
                                <w:color w:val="000000" w:themeColor="text1"/>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color w:val="000000" w:themeColor="text1"/>
                                <w:szCs w:val="24"/>
                                <w:vertAlign w:val="superscript"/>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bCs/>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bCs/>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bCs/>
                                <w:i/>
                                <w:iCs/>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2"/>
                              </w:rPr>
                            </w:pPr>
                            <w:r>
                              <w:rPr>
                                <w:bCs/>
                                <w:color w:val="000000" w:themeColor="text1"/>
                              </w:rPr>
                              <w:t>sausas</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2"/>
                              </w:rPr>
                            </w:pPr>
                            <w:r>
                              <w:rPr>
                                <w:bCs/>
                                <w:color w:val="000000" w:themeColor="text1"/>
                              </w:rPr>
                              <w:t>drėgnas</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Bitumas ir jo gaminiai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Asfaltas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2100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0,70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 w:val="left" w:pos="960"/>
                                <w:tab w:val="left" w:pos="1440"/>
                                <w:tab w:val="left" w:pos="1920"/>
                                <w:tab w:val="left" w:pos="2400"/>
                                <w:tab w:val="left" w:pos="2880"/>
                                <w:tab w:val="left" w:pos="3360"/>
                                <w:tab w:val="left" w:pos="3840"/>
                                <w:tab w:val="left" w:pos="4320"/>
                              </w:tabs>
                              <w:spacing w:line="276" w:lineRule="auto"/>
                              <w:jc w:val="center"/>
                              <w:rPr>
                                <w:color w:val="000000" w:themeColor="text1"/>
                                <w:szCs w:val="24"/>
                              </w:rPr>
                            </w:pPr>
                            <w:r>
                              <w:rPr>
                                <w:color w:val="000000" w:themeColor="text1"/>
                                <w:szCs w:val="24"/>
                              </w:rPr>
                              <w:t>2.</w:t>
                              <w:tab/>
                            </w:r>
                          </w:p>
                        </w:tc>
                        <w:tc>
                          <w:tcPr>
                            <w:tcW w:w="1556" w:type="pct"/>
                            <w:tcBorders>
                              <w:top w:val="single" w:sz="6" w:space="0" w:color="000000"/>
                              <w:left w:val="single" w:sz="6" w:space="0" w:color="000000"/>
                              <w:bottom w:val="single" w:sz="6" w:space="0" w:color="000000"/>
                              <w:right w:val="single" w:sz="6" w:space="0" w:color="000000"/>
                            </w:tcBorders>
                            <w:hideMark/>
                          </w:tcPr>
                          <w:p>
                            <w:pPr>
                              <w:rPr>
                                <w:color w:val="000000" w:themeColor="text1"/>
                                <w:sz w:val="4"/>
                                <w:szCs w:val="4"/>
                              </w:rPr>
                            </w:pPr>
                          </w:p>
                          <w:p>
                            <w:pPr>
                              <w:tabs>
                                <w:tab w:val="left" w:pos="480"/>
                                <w:tab w:val="left" w:pos="960"/>
                                <w:tab w:val="left" w:pos="1440"/>
                                <w:tab w:val="left" w:pos="1920"/>
                                <w:tab w:val="left" w:pos="2400"/>
                                <w:tab w:val="left" w:pos="2880"/>
                                <w:tab w:val="left" w:pos="3360"/>
                                <w:tab w:val="left" w:pos="3840"/>
                                <w:tab w:val="left" w:pos="4320"/>
                              </w:tabs>
                              <w:spacing w:line="276" w:lineRule="auto"/>
                              <w:rPr>
                                <w:color w:val="000000" w:themeColor="text1"/>
                                <w:szCs w:val="24"/>
                              </w:rPr>
                            </w:pPr>
                            <w:r>
                              <w:rPr>
                                <w:color w:val="000000" w:themeColor="text1"/>
                                <w:szCs w:val="24"/>
                              </w:rPr>
                              <w:t>Bitumas grynas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4"/>
                              </w:rPr>
                            </w:pPr>
                            <w:r>
                              <w:rPr>
                                <w:color w:val="000000" w:themeColor="text1"/>
                              </w:rPr>
                              <w:t>1050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0,17</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 w:val="left" w:pos="960"/>
                                <w:tab w:val="left" w:pos="1440"/>
                                <w:tab w:val="left" w:pos="1920"/>
                                <w:tab w:val="left" w:pos="2400"/>
                                <w:tab w:val="left" w:pos="2880"/>
                                <w:tab w:val="left" w:pos="3360"/>
                                <w:tab w:val="left" w:pos="3840"/>
                                <w:tab w:val="left" w:pos="4320"/>
                              </w:tabs>
                              <w:spacing w:line="276" w:lineRule="auto"/>
                              <w:jc w:val="center"/>
                              <w:rPr>
                                <w:color w:val="000000" w:themeColor="text1"/>
                                <w:szCs w:val="24"/>
                              </w:rPr>
                            </w:pPr>
                            <w:r>
                              <w:rPr>
                                <w:color w:val="000000" w:themeColor="text1"/>
                                <w:szCs w:val="24"/>
                              </w:rPr>
                              <w:t>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4"/>
                              </w:rPr>
                            </w:pPr>
                            <w:r>
                              <w:rPr>
                                <w:color w:val="000000" w:themeColor="text1"/>
                              </w:rPr>
                              <w:t>Bitumuotas veltinis/ lakštai</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0,23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Betonas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4.</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Vidutinio tankio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1,15</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5.</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1,35</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6.</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1,65</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70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Didelio tankio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2400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Armuotas (su 1 % plieno)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2300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Armuotas (su 2 % plieno)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2400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10.</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Akytasis betonas (stambios plokštės)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11.</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12.</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13.</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0,29</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204"/>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Keramzitbetonis su keramzitiniu smėliu ir putų keramzitbetonis</w:t>
                            </w:r>
                          </w:p>
                        </w:tc>
                        <w:tc>
                          <w:tcPr>
                            <w:tcW w:w="452"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w:t>
                            </w:r>
                          </w:p>
                        </w:tc>
                        <w:tc>
                          <w:tcPr>
                            <w:tcW w:w="904"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0,24</w:t>
                            </w:r>
                          </w:p>
                        </w:tc>
                        <w:tc>
                          <w:tcPr>
                            <w:tcW w:w="6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28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0,28</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w:t>
                            </w:r>
                          </w:p>
                        </w:tc>
                      </w:tr>
                      <w:tr>
                        <w:trPr>
                          <w:trHeight w:val="24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0,4</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r>
                      <w:tr>
                        <w:trPr>
                          <w:trHeight w:val="312"/>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18.</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0,5</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19.</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0,7</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20.</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0,8</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21.</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0,9</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22.</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Keramzitbetonis su perlito smėliu</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0,36</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23.</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0,42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24.</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Perlitbetonis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0,24</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25.</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26.</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0,39</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27.</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Pjuvenų betonas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28.</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jc w:val="center"/>
                              <w:rPr>
                                <w:rFonts w:eastAsia="Calibri"/>
                                <w:color w:val="000000" w:themeColor="text1"/>
                                <w:szCs w:val="22"/>
                              </w:rPr>
                            </w:pPr>
                            <w:r>
                              <w:rPr>
                                <w:rFonts w:eastAsia="Calibri"/>
                                <w:color w:val="000000" w:themeColor="text1"/>
                                <w:szCs w:val="22"/>
                              </w:rPr>
                              <w:t>29.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Spalių betonas (200 kg spalių 1 m</w:t>
                            </w:r>
                            <w:r>
                              <w:rPr>
                                <w:color w:val="000000" w:themeColor="text1"/>
                                <w:vertAlign w:val="superscript"/>
                              </w:rPr>
                              <w:t>3</w:t>
                            </w:r>
                            <w:r>
                              <w:rPr>
                                <w:color w:val="000000" w:themeColor="text1"/>
                              </w:rPr>
                              <w:t xml:space="preserve"> betono)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0,32</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Grindų dangos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Guma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bCs/>
                                <w:color w:val="000000" w:themeColor="text1"/>
                                <w:szCs w:val="24"/>
                              </w:rPr>
                            </w:pPr>
                            <w:r>
                              <w:rPr>
                                <w:bCs/>
                                <w:color w:val="000000" w:themeColor="text1"/>
                                <w:szCs w:val="24"/>
                              </w:rPr>
                              <w:t>Pagrindas: akytoji guma arba plastikas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4"/>
                              </w:rPr>
                            </w:pPr>
                            <w:r>
                              <w:rPr>
                                <w:color w:val="000000" w:themeColor="text1"/>
                              </w:rPr>
                              <w:t>270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Pagrindas: veltinis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Pagrindas: vilna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0,06</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Pagrindas: kamštena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&lt;200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Paklotas: kamštena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&gt;400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0,065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Kilimas/tekstilės danga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0,06</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Linoleumas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Dujos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Anglies dioksidas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1,95</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0,014</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820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39.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Argonas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519</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Kriptonas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3,56</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0,0090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245</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Ksenonas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5,68</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0,0054</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Oras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1,23</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1008</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Sieros heksafluoridas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6,36</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0,013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614</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Stiklas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Natrio-kalkių</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750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Kvarcinis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2200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1,40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750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Mozaikinis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1,20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750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Vanduo</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Ledas -10 </w:t>
                            </w:r>
                            <w:r>
                              <w:rPr>
                                <w:color w:val="000000" w:themeColor="text1"/>
                                <w:vertAlign w:val="superscript"/>
                              </w:rPr>
                              <w:t>o</w:t>
                            </w:r>
                            <w:r>
                              <w:rPr>
                                <w:color w:val="000000" w:themeColor="text1"/>
                              </w:rPr>
                              <w:t>C temperatūroje</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920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2,30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Ledas 0 </w:t>
                            </w:r>
                            <w:r>
                              <w:rPr>
                                <w:color w:val="000000" w:themeColor="text1"/>
                                <w:vertAlign w:val="superscript"/>
                              </w:rPr>
                              <w:t>o</w:t>
                            </w:r>
                            <w:r>
                              <w:rPr>
                                <w:color w:val="000000" w:themeColor="text1"/>
                              </w:rPr>
                              <w:t>C temperatūroje</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49.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ind w:right="-164"/>
                              <w:jc w:val="both"/>
                              <w:rPr>
                                <w:rFonts w:eastAsia="Calibri"/>
                                <w:color w:val="000000" w:themeColor="text1"/>
                                <w:szCs w:val="22"/>
                              </w:rPr>
                            </w:pPr>
                            <w:r>
                              <w:rPr>
                                <w:color w:val="000000" w:themeColor="text1"/>
                                <w:spacing w:val="-12"/>
                              </w:rPr>
                              <w:t>Sniegas, naujai iškritęs (&lt;30 mm)</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ind w:right="-164"/>
                              <w:jc w:val="both"/>
                              <w:rPr>
                                <w:rFonts w:eastAsia="Calibri"/>
                                <w:color w:val="000000" w:themeColor="text1"/>
                                <w:spacing w:val="-12"/>
                                <w:szCs w:val="22"/>
                              </w:rPr>
                            </w:pPr>
                            <w:r>
                              <w:rPr>
                                <w:color w:val="000000" w:themeColor="text1"/>
                                <w:spacing w:val="-12"/>
                              </w:rPr>
                              <w:t>Sniegas, minkštas (30 … 70 mm)</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0,12</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bCs/>
                                <w:color w:val="000000" w:themeColor="text1"/>
                                <w:spacing w:val="-12"/>
                                <w:szCs w:val="24"/>
                              </w:rPr>
                            </w:pPr>
                            <w:r>
                              <w:rPr>
                                <w:bCs/>
                                <w:color w:val="000000" w:themeColor="text1"/>
                                <w:szCs w:val="24"/>
                              </w:rPr>
                              <w:t>Sniegas, lengvai sutrintas (70…100 mm)</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4"/>
                              </w:rPr>
                            </w:pPr>
                            <w:r>
                              <w:rPr>
                                <w:color w:val="000000" w:themeColor="text1"/>
                              </w:rPr>
                              <w:t>300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ind w:right="-164"/>
                              <w:jc w:val="both"/>
                              <w:rPr>
                                <w:rFonts w:eastAsia="Calibri"/>
                                <w:color w:val="000000" w:themeColor="text1"/>
                                <w:spacing w:val="-12"/>
                                <w:szCs w:val="22"/>
                              </w:rPr>
                            </w:pPr>
                            <w:r>
                              <w:rPr>
                                <w:color w:val="000000" w:themeColor="text1"/>
                                <w:spacing w:val="-8"/>
                              </w:rPr>
                              <w:t>Sniegas, sutankintas (&lt;200 mm)</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0,60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pacing w:val="-12"/>
                                <w:szCs w:val="22"/>
                              </w:rPr>
                            </w:pPr>
                            <w:r>
                              <w:rPr>
                                <w:color w:val="000000" w:themeColor="text1"/>
                              </w:rPr>
                              <w:t xml:space="preserve">Vanduo 10 </w:t>
                            </w:r>
                            <w:r>
                              <w:rPr>
                                <w:color w:val="000000" w:themeColor="text1"/>
                                <w:vertAlign w:val="superscript"/>
                              </w:rPr>
                              <w:t>o</w:t>
                            </w:r>
                            <w:r>
                              <w:rPr>
                                <w:color w:val="000000" w:themeColor="text1"/>
                              </w:rPr>
                              <w:t>C</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0,60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4190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pacing w:val="-12"/>
                                <w:szCs w:val="22"/>
                              </w:rPr>
                            </w:pPr>
                            <w:r>
                              <w:rPr>
                                <w:color w:val="000000" w:themeColor="text1"/>
                              </w:rPr>
                              <w:t xml:space="preserve">Vanduo 40 </w:t>
                            </w:r>
                            <w:r>
                              <w:rPr>
                                <w:color w:val="000000" w:themeColor="text1"/>
                                <w:vertAlign w:val="superscript"/>
                              </w:rPr>
                              <w:t>o</w:t>
                            </w:r>
                            <w:r>
                              <w:rPr>
                                <w:color w:val="000000" w:themeColor="text1"/>
                              </w:rPr>
                              <w:t>C</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990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0,63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4190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Vanduo 80 </w:t>
                            </w:r>
                            <w:r>
                              <w:rPr>
                                <w:color w:val="000000" w:themeColor="text1"/>
                                <w:vertAlign w:val="superscript"/>
                              </w:rPr>
                              <w:t>o</w:t>
                            </w:r>
                            <w:r>
                              <w:rPr>
                                <w:color w:val="000000" w:themeColor="text1"/>
                              </w:rPr>
                              <w:t>C</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970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0,67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4190</w:t>
                            </w:r>
                          </w:p>
                        </w:tc>
                        <w:tc>
                          <w:tcPr>
                            <w:tcW w:w="564"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c>
                          <w:tcPr>
                            <w:tcW w:w="579" w:type="pct"/>
                            <w:tcBorders>
                              <w:top w:val="single" w:sz="6" w:space="0" w:color="000000"/>
                              <w:left w:val="single" w:sz="6" w:space="0" w:color="000000"/>
                              <w:bottom w:val="single" w:sz="6" w:space="0" w:color="000000"/>
                              <w:right w:val="single" w:sz="6" w:space="0" w:color="000000"/>
                            </w:tcBorders>
                            <w:vAlign w:val="center"/>
                          </w:tcPr>
                          <w:p>
                            <w:pPr>
                              <w:spacing w:line="276" w:lineRule="auto"/>
                              <w:jc w:val="center"/>
                              <w:rPr>
                                <w:rFonts w:eastAsia="Calibri"/>
                                <w:color w:val="000000" w:themeColor="text1"/>
                                <w:szCs w:val="22"/>
                              </w:rPr>
                            </w:pP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Metalai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Aliuminio lydinys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160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880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Bronza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8700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380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Cinkas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7200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380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59.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Geležis, ketus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450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Nerūdijantysis plienas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7900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17</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Plienas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450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Švinas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11300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130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Varis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8900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380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380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Žalvaris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8400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120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380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Plastikai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Akrilas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Epoksidinė derva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Fenolio derva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Polikarbonatas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69.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Politetrafluoretilenas (PTFE)</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Polivinilchloridas (PVC)</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1390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Polimetilmetakrilatas (PMMA)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1180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0,18</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Poliacetatas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1410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Poliamidas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8"/>
                              </w:rPr>
                              <w:t>Poliamidas 6,6 su 25% stiklo pluošto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Polietilenas, didelio tankio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980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0,50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Polietilenas, mažo tankio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920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0,33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2200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Polistirenas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0,16</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1300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Polipropilenas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910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0,22</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79.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ind w:right="-125"/>
                              <w:jc w:val="both"/>
                              <w:rPr>
                                <w:rFonts w:eastAsia="Calibri"/>
                                <w:color w:val="000000" w:themeColor="text1"/>
                                <w:szCs w:val="22"/>
                              </w:rPr>
                            </w:pPr>
                            <w:r>
                              <w:rPr>
                                <w:color w:val="000000" w:themeColor="text1"/>
                                <w:spacing w:val="-6"/>
                              </w:rPr>
                              <w:t>Polipropilenas su 25% stiklo pluošto</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Poliuretanas (PU)</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1800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Poliesterio derva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0,19</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Guma</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Butadienas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980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8"/>
                              </w:rPr>
                              <w:t>Butilas, kietasis, karštai lydytas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0,24</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EPDM (etileno propileno monomeras)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Kietoji guma (ebonitas) </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1400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Natūrali guma</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910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Neoprenas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1240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2140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Putgumė</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60–80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0,06</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7000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7000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89.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Poliizobutilenas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930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1100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90.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Polisulfidas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0,40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spacing w:val="-4"/>
                              </w:rPr>
                              <w:t>Sandarinimo medžiagos, hermetikai ir šiluminiai intarpai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91.</w:t>
                              <w:tab/>
                            </w:r>
                          </w:p>
                        </w:tc>
                        <w:tc>
                          <w:tcPr>
                            <w:tcW w:w="1556" w:type="pct"/>
                            <w:tcBorders>
                              <w:top w:val="single" w:sz="6" w:space="0" w:color="000000"/>
                              <w:left w:val="single" w:sz="6" w:space="0" w:color="000000"/>
                              <w:bottom w:val="single" w:sz="6" w:space="0" w:color="000000"/>
                              <w:right w:val="single" w:sz="6" w:space="0" w:color="000000"/>
                            </w:tcBorders>
                            <w:hideMark/>
                          </w:tcPr>
                          <w:p>
                            <w:pPr>
                              <w:pageBreakBefore/>
                              <w:spacing w:line="276" w:lineRule="auto"/>
                              <w:jc w:val="both"/>
                              <w:rPr>
                                <w:rFonts w:eastAsia="Calibri"/>
                                <w:color w:val="000000" w:themeColor="text1"/>
                                <w:spacing w:val="-4"/>
                                <w:szCs w:val="22"/>
                              </w:rPr>
                            </w:pPr>
                            <w:r>
                              <w:rPr>
                                <w:color w:val="000000" w:themeColor="text1"/>
                              </w:rPr>
                              <w:t>Silikagelis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720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0,13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sym w:font="Symbol" w:char="F0A5"/>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92.</w:t>
                              <w:tab/>
                            </w:r>
                          </w:p>
                        </w:tc>
                        <w:tc>
                          <w:tcPr>
                            <w:tcW w:w="1556" w:type="pct"/>
                            <w:tcBorders>
                              <w:top w:val="single" w:sz="6" w:space="0" w:color="000000"/>
                              <w:left w:val="single" w:sz="6" w:space="0" w:color="000000"/>
                              <w:bottom w:val="single" w:sz="6" w:space="0" w:color="000000"/>
                              <w:right w:val="single" w:sz="6" w:space="0" w:color="000000"/>
                            </w:tcBorders>
                            <w:hideMark/>
                          </w:tcPr>
                          <w:p>
                            <w:pPr>
                              <w:pageBreakBefore/>
                              <w:spacing w:line="276" w:lineRule="auto"/>
                              <w:jc w:val="both"/>
                              <w:rPr>
                                <w:rFonts w:eastAsia="Calibri"/>
                                <w:color w:val="000000" w:themeColor="text1"/>
                                <w:szCs w:val="22"/>
                              </w:rPr>
                            </w:pPr>
                            <w:r>
                              <w:rPr>
                                <w:color w:val="000000" w:themeColor="text1"/>
                              </w:rPr>
                              <w:t>Silikonas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0,35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5000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5000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93.</w:t>
                              <w:tab/>
                            </w:r>
                          </w:p>
                        </w:tc>
                        <w:tc>
                          <w:tcPr>
                            <w:tcW w:w="1556" w:type="pct"/>
                            <w:tcBorders>
                              <w:top w:val="single" w:sz="6" w:space="0" w:color="000000"/>
                              <w:left w:val="single" w:sz="6" w:space="0" w:color="000000"/>
                              <w:bottom w:val="single" w:sz="6" w:space="0" w:color="000000"/>
                              <w:right w:val="single" w:sz="6" w:space="0" w:color="000000"/>
                            </w:tcBorders>
                            <w:hideMark/>
                          </w:tcPr>
                          <w:p>
                            <w:pPr>
                              <w:pageBreakBefore/>
                              <w:spacing w:line="276" w:lineRule="auto"/>
                              <w:jc w:val="both"/>
                              <w:rPr>
                                <w:rFonts w:eastAsia="Calibri"/>
                                <w:color w:val="000000" w:themeColor="text1"/>
                                <w:szCs w:val="22"/>
                              </w:rPr>
                            </w:pPr>
                            <w:r>
                              <w:rPr>
                                <w:color w:val="000000" w:themeColor="text1"/>
                              </w:rPr>
                              <w:t>Silikonas su užpildu</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1450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0,50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5000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5000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94.</w:t>
                              <w:tab/>
                            </w:r>
                          </w:p>
                        </w:tc>
                        <w:tc>
                          <w:tcPr>
                            <w:tcW w:w="1556" w:type="pct"/>
                            <w:tcBorders>
                              <w:top w:val="single" w:sz="6" w:space="0" w:color="000000"/>
                              <w:left w:val="single" w:sz="6" w:space="0" w:color="000000"/>
                              <w:bottom w:val="single" w:sz="6" w:space="0" w:color="000000"/>
                              <w:right w:val="single" w:sz="6" w:space="0" w:color="000000"/>
                            </w:tcBorders>
                            <w:hideMark/>
                          </w:tcPr>
                          <w:p>
                            <w:pPr>
                              <w:pageBreakBefore/>
                              <w:spacing w:line="276" w:lineRule="auto"/>
                              <w:jc w:val="both"/>
                              <w:rPr>
                                <w:rFonts w:eastAsia="Calibri"/>
                                <w:color w:val="000000" w:themeColor="text1"/>
                                <w:szCs w:val="22"/>
                              </w:rPr>
                            </w:pPr>
                            <w:r>
                              <w:rPr>
                                <w:color w:val="000000" w:themeColor="text1"/>
                              </w:rPr>
                              <w:t>Silikono putos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750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0,12</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b/>
                                <w:color w:val="000000" w:themeColor="text1"/>
                                <w:szCs w:val="24"/>
                              </w:rPr>
                            </w:pPr>
                            <w:r>
                              <w:rPr>
                                <w:b/>
                                <w:color w:val="000000" w:themeColor="text1"/>
                                <w:szCs w:val="24"/>
                              </w:rPr>
                              <w:t>95.</w:t>
                              <w:tab/>
                            </w:r>
                          </w:p>
                        </w:tc>
                        <w:tc>
                          <w:tcPr>
                            <w:tcW w:w="1556" w:type="pct"/>
                            <w:tcBorders>
                              <w:top w:val="single" w:sz="6" w:space="0" w:color="000000"/>
                              <w:left w:val="single" w:sz="6" w:space="0" w:color="000000"/>
                              <w:bottom w:val="single" w:sz="6" w:space="0" w:color="000000"/>
                              <w:right w:val="single" w:sz="6" w:space="0" w:color="000000"/>
                            </w:tcBorders>
                            <w:hideMark/>
                          </w:tcPr>
                          <w:p>
                            <w:pPr>
                              <w:pageBreakBefore/>
                              <w:spacing w:line="276" w:lineRule="auto"/>
                              <w:rPr>
                                <w:rFonts w:eastAsia="Calibri"/>
                                <w:color w:val="000000" w:themeColor="text1"/>
                                <w:szCs w:val="24"/>
                              </w:rPr>
                            </w:pPr>
                            <w:r>
                              <w:rPr>
                                <w:color w:val="000000" w:themeColor="text1"/>
                              </w:rPr>
                              <w:t>Uretanas/poliuretanas</w:t>
                            </w:r>
                          </w:p>
                          <w:p>
                            <w:pPr>
                              <w:pageBreakBefore/>
                              <w:spacing w:line="276" w:lineRule="auto"/>
                              <w:jc w:val="both"/>
                              <w:rPr>
                                <w:rFonts w:eastAsia="Calibri"/>
                                <w:color w:val="000000" w:themeColor="text1"/>
                                <w:spacing w:val="-4"/>
                                <w:szCs w:val="22"/>
                              </w:rPr>
                            </w:pPr>
                            <w:r>
                              <w:rPr>
                                <w:color w:val="000000" w:themeColor="text1"/>
                              </w:rPr>
                              <w:t>(šiluminiai intarpai)</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1300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0,21</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1800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60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pageBreakBefore/>
                              <w:spacing w:line="276" w:lineRule="auto"/>
                              <w:jc w:val="center"/>
                              <w:rPr>
                                <w:rFonts w:eastAsia="Calibri"/>
                                <w:color w:val="000000" w:themeColor="text1"/>
                                <w:szCs w:val="22"/>
                              </w:rPr>
                            </w:pPr>
                            <w:r>
                              <w:rPr>
                                <w:color w:val="000000" w:themeColor="text1"/>
                              </w:rPr>
                              <w:t>60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color w:val="000000" w:themeColor="text1"/>
                                <w:szCs w:val="24"/>
                              </w:rPr>
                            </w:pPr>
                            <w:r>
                              <w:rPr>
                                <w:color w:val="000000" w:themeColor="text1"/>
                                <w:szCs w:val="24"/>
                              </w:rPr>
                              <w:t>96.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rPr>
                                <w:color w:val="000000" w:themeColor="text1"/>
                                <w:szCs w:val="24"/>
                              </w:rPr>
                            </w:pPr>
                            <w:r>
                              <w:rPr>
                                <w:color w:val="000000" w:themeColor="text1"/>
                                <w:szCs w:val="24"/>
                              </w:rPr>
                              <w:t xml:space="preserve">Polivinilchloridas (PVC), </w:t>
                            </w:r>
                          </w:p>
                          <w:p>
                            <w:pPr>
                              <w:spacing w:line="276" w:lineRule="auto"/>
                              <w:rPr>
                                <w:color w:val="000000" w:themeColor="text1"/>
                                <w:szCs w:val="24"/>
                              </w:rPr>
                            </w:pPr>
                            <w:r>
                              <w:rPr>
                                <w:color w:val="000000" w:themeColor="text1"/>
                                <w:szCs w:val="24"/>
                              </w:rPr>
                              <w:t>su 40% minkštikliu</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4"/>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0,14</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2"/>
                              </w:rPr>
                            </w:pPr>
                            <w:r>
                              <w:rPr>
                                <w:color w:val="000000" w:themeColor="text1"/>
                              </w:rPr>
                              <w:t>100000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bCs/>
                                <w:color w:val="000000" w:themeColor="text1"/>
                                <w:szCs w:val="22"/>
                              </w:rPr>
                            </w:pPr>
                            <w:r>
                              <w:rPr>
                                <w:color w:val="000000" w:themeColor="text1"/>
                              </w:rPr>
                              <w:t>100000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color w:val="000000" w:themeColor="text1"/>
                                <w:szCs w:val="24"/>
                              </w:rPr>
                            </w:pPr>
                            <w:r>
                              <w:rPr>
                                <w:color w:val="000000" w:themeColor="text1"/>
                                <w:szCs w:val="24"/>
                              </w:rPr>
                              <w:t>97.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4"/>
                              </w:rPr>
                            </w:pPr>
                            <w:r>
                              <w:rPr>
                                <w:color w:val="000000" w:themeColor="text1"/>
                              </w:rPr>
                              <w:t>Elastomero putos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60–80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b/>
                                <w:color w:val="000000" w:themeColor="text1"/>
                                <w:szCs w:val="24"/>
                              </w:rPr>
                            </w:pPr>
                            <w:r>
                              <w:rPr>
                                <w:b/>
                                <w:color w:val="000000" w:themeColor="text1"/>
                                <w:szCs w:val="24"/>
                              </w:rPr>
                              <w:t>98.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4"/>
                              </w:rPr>
                            </w:pPr>
                            <w:r>
                              <w:rPr>
                                <w:color w:val="000000" w:themeColor="text1"/>
                              </w:rPr>
                              <w:t>Poliuretano (PU) putos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70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b/>
                                <w:color w:val="000000" w:themeColor="text1"/>
                                <w:szCs w:val="24"/>
                              </w:rPr>
                            </w:pPr>
                            <w:r>
                              <w:rPr>
                                <w:b/>
                                <w:color w:val="000000" w:themeColor="text1"/>
                                <w:szCs w:val="24"/>
                              </w:rPr>
                              <w:t>99.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4"/>
                              </w:rPr>
                            </w:pPr>
                            <w:r>
                              <w:rPr>
                                <w:color w:val="000000" w:themeColor="text1"/>
                              </w:rPr>
                              <w:t>Polietileno putos</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70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0,05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2300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Gipsas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100.</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Gipso blokeliai ir kiti gaminiai</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0,18</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101.</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900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0,30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102.</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0,43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103.</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0,56</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104.</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Gipso plokštė</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0,21</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4</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105.</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900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0,25</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Tinkai ir/arba skiediniai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Cemento–smėlio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Kalkių–smėlio </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0,80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Kalkių–smėlio-cemento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1700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0,9</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109.</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Gipso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0,40</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110.</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1300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0,57</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111.</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Gipso–smėlio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0,58</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112.</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0,80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ind w:left="1296" w:hanging="1296"/>
                              <w:jc w:val="both"/>
                              <w:rPr>
                                <w:rFonts w:eastAsia="Calibri"/>
                                <w:color w:val="000000" w:themeColor="text1"/>
                                <w:szCs w:val="22"/>
                              </w:rPr>
                            </w:pPr>
                            <w:r>
                              <w:rPr>
                                <w:color w:val="000000" w:themeColor="text1"/>
                              </w:rPr>
                              <w:t>Termoizoliaciniai gipso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0,18</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Gruntas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114.</w:t>
                              <w:tab/>
                            </w:r>
                          </w:p>
                        </w:tc>
                        <w:tc>
                          <w:tcPr>
                            <w:tcW w:w="1556" w:type="pct"/>
                            <w:tcBorders>
                              <w:top w:val="single" w:sz="6" w:space="0" w:color="000000"/>
                              <w:left w:val="single" w:sz="6" w:space="0" w:color="000000"/>
                              <w:bottom w:val="single" w:sz="6" w:space="0" w:color="000000"/>
                              <w:right w:val="single" w:sz="6" w:space="0" w:color="000000"/>
                            </w:tcBorders>
                          </w:tcPr>
                          <w:p>
                            <w:pPr>
                              <w:spacing w:line="276" w:lineRule="auto"/>
                              <w:rPr>
                                <w:rFonts w:eastAsia="Calibri"/>
                                <w:color w:val="000000" w:themeColor="text1"/>
                              </w:rPr>
                            </w:pPr>
                            <w:r>
                              <w:rPr>
                                <w:color w:val="000000" w:themeColor="text1"/>
                              </w:rPr>
                              <w:t>Molis ir sąnašos</w:t>
                            </w:r>
                          </w:p>
                          <w:p>
                            <w:pPr>
                              <w:spacing w:line="276" w:lineRule="auto"/>
                              <w:ind w:firstLine="360"/>
                              <w:jc w:val="both"/>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1200–1800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pacing w:val="-8"/>
                                <w:szCs w:val="22"/>
                              </w:rPr>
                            </w:pPr>
                            <w:r>
                              <w:rPr>
                                <w:color w:val="000000" w:themeColor="text1"/>
                                <w:spacing w:val="-8"/>
                              </w:rPr>
                              <w:t>1670–2500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Priemolis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1800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1500-2500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Smėlis ir žvyras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1700–2200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pacing w:val="-8"/>
                                <w:szCs w:val="22"/>
                              </w:rPr>
                            </w:pPr>
                            <w:r>
                              <w:rPr>
                                <w:color w:val="000000" w:themeColor="text1"/>
                              </w:rPr>
                              <w:t>910</w:t>
                            </w:r>
                            <w:r>
                              <w:rPr>
                                <w:color w:val="000000" w:themeColor="text1"/>
                                <w:spacing w:val="-8"/>
                              </w:rPr>
                              <w:t>–</w:t>
                            </w:r>
                            <w:r>
                              <w:rPr>
                                <w:color w:val="000000" w:themeColor="text1"/>
                              </w:rPr>
                              <w:t>1180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Akmuo</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117.</w:t>
                              <w:tab/>
                            </w:r>
                          </w:p>
                        </w:tc>
                        <w:tc>
                          <w:tcPr>
                            <w:tcW w:w="1556" w:type="pct"/>
                            <w:tcBorders>
                              <w:top w:val="single" w:sz="6" w:space="0" w:color="000000"/>
                              <w:left w:val="single" w:sz="6" w:space="0" w:color="000000"/>
                              <w:bottom w:val="single" w:sz="6" w:space="0" w:color="000000"/>
                              <w:right w:val="single" w:sz="6" w:space="0" w:color="000000"/>
                            </w:tcBorders>
                          </w:tcPr>
                          <w:p>
                            <w:pPr>
                              <w:spacing w:line="276" w:lineRule="auto"/>
                              <w:rPr>
                                <w:rFonts w:eastAsia="Calibri"/>
                                <w:color w:val="000000" w:themeColor="text1"/>
                              </w:rPr>
                            </w:pPr>
                            <w:r>
                              <w:rPr>
                                <w:color w:val="000000" w:themeColor="text1"/>
                              </w:rPr>
                              <w:t>Bazaltas</w:t>
                            </w:r>
                          </w:p>
                          <w:p>
                            <w:pPr>
                              <w:spacing w:line="276" w:lineRule="auto"/>
                              <w:ind w:firstLine="561"/>
                              <w:jc w:val="both"/>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spacing w:val="-8"/>
                              </w:rPr>
                              <w:t>2700–3000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Dirbtiniai akmenys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rPr>
                              <w:t>1750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119.</w:t>
                              <w:tab/>
                            </w:r>
                          </w:p>
                        </w:tc>
                        <w:tc>
                          <w:tcPr>
                            <w:tcW w:w="1556" w:type="pct"/>
                            <w:tcBorders>
                              <w:top w:val="single" w:sz="6" w:space="0" w:color="000000"/>
                              <w:left w:val="single" w:sz="6" w:space="0" w:color="000000"/>
                              <w:bottom w:val="single" w:sz="6" w:space="0" w:color="000000"/>
                              <w:right w:val="single" w:sz="6" w:space="0" w:color="000000"/>
                            </w:tcBorders>
                          </w:tcPr>
                          <w:p>
                            <w:pPr>
                              <w:spacing w:line="276" w:lineRule="auto"/>
                              <w:rPr>
                                <w:rFonts w:eastAsia="Calibri"/>
                                <w:color w:val="000000" w:themeColor="text1"/>
                              </w:rPr>
                            </w:pPr>
                            <w:r>
                              <w:rPr>
                                <w:color w:val="000000" w:themeColor="text1"/>
                              </w:rPr>
                              <w:t>Gneisas</w:t>
                            </w:r>
                          </w:p>
                          <w:p>
                            <w:pPr>
                              <w:spacing w:line="276" w:lineRule="auto"/>
                              <w:ind w:firstLine="561"/>
                              <w:jc w:val="both"/>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2400–2700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3,5</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120.</w:t>
                              <w:tab/>
                            </w:r>
                          </w:p>
                        </w:tc>
                        <w:tc>
                          <w:tcPr>
                            <w:tcW w:w="1556" w:type="pct"/>
                            <w:tcBorders>
                              <w:top w:val="single" w:sz="6" w:space="0" w:color="000000"/>
                              <w:left w:val="single" w:sz="6" w:space="0" w:color="000000"/>
                              <w:bottom w:val="single" w:sz="6" w:space="0" w:color="000000"/>
                              <w:right w:val="single" w:sz="6" w:space="0" w:color="000000"/>
                            </w:tcBorders>
                          </w:tcPr>
                          <w:p>
                            <w:pPr>
                              <w:spacing w:line="276" w:lineRule="auto"/>
                              <w:rPr>
                                <w:rFonts w:eastAsia="Calibri"/>
                                <w:color w:val="000000" w:themeColor="text1"/>
                              </w:rPr>
                            </w:pPr>
                            <w:r>
                              <w:rPr>
                                <w:color w:val="000000" w:themeColor="text1"/>
                              </w:rPr>
                              <w:t>Granitas</w:t>
                            </w:r>
                          </w:p>
                          <w:p>
                            <w:pPr>
                              <w:spacing w:line="276" w:lineRule="auto"/>
                              <w:ind w:firstLine="561"/>
                              <w:jc w:val="both"/>
                              <w:rPr>
                                <w:rFonts w:eastAsia="Calibri"/>
                                <w:color w:val="000000" w:themeColor="text1"/>
                                <w:szCs w:val="22"/>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2500–2700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2,8</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8"/>
                              </w:rPr>
                              <w:t>Kalkakmenis, labai minkštas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rPr>
                              <w:t>1600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0,85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122.</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pacing w:val="-8"/>
                                <w:szCs w:val="22"/>
                              </w:rPr>
                            </w:pPr>
                            <w:r>
                              <w:rPr>
                                <w:color w:val="000000" w:themeColor="text1"/>
                              </w:rPr>
                              <w:t>Kalkakmenis, minkštas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25</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Kalkakmenis, vid. kietumo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1,4</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Kalkakmenis, kietas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2200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1,7</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Kalkakmenis, labai kietas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Marmuras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2800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Natūrali kristalinė uoliena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2800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128.</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Natūrali nuosėdinė uoliena  </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129.</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8"/>
                              </w:rPr>
                              <w:t>Natūrali nuosėdinė uoliena, lengva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0,85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130.</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8"/>
                              </w:rPr>
                              <w:t>Natūrali porėtoji uoliena, lava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0,55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131.</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Natūralioji pemza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0,12</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132.</w:t>
                              <w:tab/>
                            </w:r>
                          </w:p>
                        </w:tc>
                        <w:tc>
                          <w:tcPr>
                            <w:tcW w:w="1556" w:type="pct"/>
                            <w:tcBorders>
                              <w:top w:val="single" w:sz="6" w:space="0" w:color="000000"/>
                              <w:left w:val="single" w:sz="6" w:space="0" w:color="000000"/>
                              <w:bottom w:val="single" w:sz="6" w:space="0" w:color="000000"/>
                              <w:right w:val="single" w:sz="6" w:space="0" w:color="000000"/>
                            </w:tcBorders>
                          </w:tcPr>
                          <w:p>
                            <w:pPr>
                              <w:spacing w:line="276" w:lineRule="auto"/>
                              <w:rPr>
                                <w:rFonts w:eastAsia="Calibri"/>
                                <w:color w:val="000000" w:themeColor="text1"/>
                                <w:szCs w:val="22"/>
                              </w:rPr>
                            </w:pPr>
                            <w:r>
                              <w:rPr>
                                <w:color w:val="000000" w:themeColor="text1"/>
                              </w:rPr>
                              <w:t>Skalūnas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pacing w:val="-8"/>
                                <w:szCs w:val="22"/>
                              </w:rPr>
                            </w:pPr>
                            <w:r>
                              <w:rPr>
                                <w:color w:val="000000" w:themeColor="text1"/>
                                <w:spacing w:val="-8"/>
                              </w:rPr>
                              <w:t>2000–2800</w:t>
                            </w:r>
                          </w:p>
                        </w:tc>
                        <w:tc>
                          <w:tcPr>
                            <w:tcW w:w="904" w:type="pct"/>
                            <w:tcBorders>
                              <w:top w:val="single" w:sz="6" w:space="0" w:color="000000"/>
                              <w:left w:val="single" w:sz="6" w:space="0" w:color="000000"/>
                              <w:bottom w:val="single" w:sz="6" w:space="0" w:color="000000"/>
                              <w:right w:val="single" w:sz="6" w:space="0" w:color="000000"/>
                            </w:tcBorders>
                          </w:tcPr>
                          <w:p>
                            <w:pPr>
                              <w:spacing w:line="276" w:lineRule="auto"/>
                              <w:jc w:val="center"/>
                              <w:rPr>
                                <w:rFonts w:eastAsia="Calibri"/>
                                <w:color w:val="000000" w:themeColor="text1"/>
                                <w:szCs w:val="22"/>
                              </w:rPr>
                            </w:pPr>
                            <w:r>
                              <w:rPr>
                                <w:color w:val="000000" w:themeColor="text1"/>
                              </w:rPr>
                              <w:t>2,2</w:t>
                            </w:r>
                          </w:p>
                        </w:tc>
                        <w:tc>
                          <w:tcPr>
                            <w:tcW w:w="664" w:type="pct"/>
                            <w:tcBorders>
                              <w:top w:val="single" w:sz="6" w:space="0" w:color="000000"/>
                              <w:left w:val="single" w:sz="6" w:space="0" w:color="000000"/>
                              <w:bottom w:val="single" w:sz="6" w:space="0" w:color="000000"/>
                              <w:right w:val="single" w:sz="6" w:space="0" w:color="000000"/>
                            </w:tcBorders>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79" w:type="pct"/>
                            <w:tcBorders>
                              <w:top w:val="single" w:sz="6" w:space="0" w:color="000000"/>
                              <w:left w:val="single" w:sz="6" w:space="0" w:color="000000"/>
                              <w:bottom w:val="single" w:sz="6" w:space="0" w:color="000000"/>
                              <w:right w:val="single" w:sz="6" w:space="0" w:color="000000"/>
                            </w:tcBorders>
                          </w:tcPr>
                          <w:p>
                            <w:pPr>
                              <w:spacing w:line="276" w:lineRule="auto"/>
                              <w:jc w:val="center"/>
                              <w:rPr>
                                <w:rFonts w:eastAsia="Calibri"/>
                                <w:color w:val="000000" w:themeColor="text1"/>
                                <w:szCs w:val="22"/>
                              </w:rPr>
                            </w:pPr>
                            <w:r>
                              <w:rPr>
                                <w:color w:val="000000" w:themeColor="text1"/>
                              </w:rPr>
                              <w:t>800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133.</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Smiltainis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2600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Čerpės (stogo medžiagos)</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134.</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Betono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2100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60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Keraminės/porcelianinės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2300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1,3</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840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sym w:font="Symbol" w:char="F0A5"/>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136.</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Molio</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137.</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Plastikinės</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0,20</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10000</w:t>
                            </w:r>
                          </w:p>
                        </w:tc>
                      </w:tr>
                      <w:tr>
                        <w:trPr>
                          <w:trHeight w:val="176"/>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Mediena ir jos gaminiai</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138.</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vertAlign w:val="superscript"/>
                              </w:rPr>
                            </w:pPr>
                            <w:r>
                              <w:rPr>
                                <w:color w:val="000000" w:themeColor="text1"/>
                              </w:rPr>
                              <w:t>Mediena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450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0,12</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139.</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vertAlign w:val="superscript"/>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140.</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vertAlign w:val="superscript"/>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0,18</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141.</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vertAlign w:val="superscript"/>
                              </w:rPr>
                            </w:pPr>
                            <w:r>
                              <w:rPr>
                                <w:color w:val="000000" w:themeColor="text1"/>
                              </w:rPr>
                              <w:t>Fanera</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0,09</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1600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142.</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vertAlign w:val="superscript"/>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500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143.</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vertAlign w:val="superscript"/>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700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0,17</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220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90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144.</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vertAlign w:val="superscript"/>
                              </w:rPr>
                            </w:pP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0,24</w:t>
                            </w:r>
                          </w:p>
                        </w:tc>
                        <w:tc>
                          <w:tcPr>
                            <w:tcW w:w="6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56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250</w:t>
                            </w:r>
                          </w:p>
                        </w:tc>
                        <w:tc>
                          <w:tcPr>
                            <w:tcW w:w="579"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145.</w:t>
                              <w:tab/>
                            </w:r>
                          </w:p>
                        </w:tc>
                        <w:tc>
                          <w:tcPr>
                            <w:tcW w:w="1556" w:type="pc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Medienos plokštės su cemento rišikliu</w:t>
                            </w:r>
                          </w:p>
                        </w:tc>
                        <w:tc>
                          <w:tcPr>
                            <w:tcW w:w="452"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0,23</w:t>
                            </w:r>
                          </w:p>
                        </w:tc>
                        <w:tc>
                          <w:tcPr>
                            <w:tcW w:w="6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1500</w:t>
                            </w:r>
                          </w:p>
                        </w:tc>
                        <w:tc>
                          <w:tcPr>
                            <w:tcW w:w="564"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30</w:t>
                            </w:r>
                          </w:p>
                        </w:tc>
                      </w:tr>
                      <w:tr>
                        <w:trPr>
                          <w:trHeight w:val="204"/>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146.</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Medžio pjuvenų plokštės</w:t>
                            </w:r>
                          </w:p>
                        </w:tc>
                        <w:tc>
                          <w:tcPr>
                            <w:tcW w:w="452"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300</w:t>
                            </w:r>
                          </w:p>
                        </w:tc>
                        <w:tc>
                          <w:tcPr>
                            <w:tcW w:w="904"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0,10</w:t>
                            </w:r>
                          </w:p>
                        </w:tc>
                        <w:tc>
                          <w:tcPr>
                            <w:tcW w:w="6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1700</w:t>
                            </w:r>
                          </w:p>
                        </w:tc>
                        <w:tc>
                          <w:tcPr>
                            <w:tcW w:w="564" w:type="pct"/>
                            <w:vMerge w:val="restar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r>
                      <w:tr>
                        <w:trPr>
                          <w:trHeight w:val="28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147.</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15</w:t>
                            </w:r>
                          </w:p>
                        </w:tc>
                      </w:tr>
                      <w:tr>
                        <w:trPr>
                          <w:trHeight w:val="312"/>
                        </w:trPr>
                        <w:tc>
                          <w:tcPr>
                            <w:tcW w:w="282" w:type="pct"/>
                            <w:tcBorders>
                              <w:top w:val="single" w:sz="4" w:space="0" w:color="auto"/>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148.</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900</w:t>
                            </w:r>
                          </w:p>
                        </w:tc>
                        <w:tc>
                          <w:tcPr>
                            <w:tcW w:w="90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0,18</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552"/>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149.</w:t>
                              <w:tab/>
                            </w:r>
                          </w:p>
                        </w:tc>
                        <w:tc>
                          <w:tcPr>
                            <w:tcW w:w="1556" w:type="pct"/>
                            <w:tcBorders>
                              <w:top w:val="single" w:sz="6" w:space="0" w:color="000000"/>
                              <w:left w:val="single" w:sz="6" w:space="0" w:color="000000"/>
                              <w:bottom w:val="single" w:sz="4" w:space="0" w:color="auto"/>
                              <w:right w:val="single" w:sz="6" w:space="0" w:color="000000"/>
                            </w:tcBorders>
                            <w:hideMark/>
                          </w:tcPr>
                          <w:p>
                            <w:pPr>
                              <w:spacing w:line="276" w:lineRule="auto"/>
                              <w:jc w:val="both"/>
                              <w:rPr>
                                <w:rFonts w:eastAsia="Calibri"/>
                                <w:color w:val="000000" w:themeColor="text1"/>
                                <w:szCs w:val="22"/>
                              </w:rPr>
                            </w:pPr>
                            <w:r>
                              <w:rPr>
                                <w:color w:val="000000" w:themeColor="text1"/>
                              </w:rPr>
                              <w:t>Orientuotų medžio skiedrų (OSB) plokštės</w:t>
                            </w:r>
                          </w:p>
                        </w:tc>
                        <w:tc>
                          <w:tcPr>
                            <w:tcW w:w="452" w:type="pct"/>
                            <w:tcBorders>
                              <w:top w:val="single" w:sz="6" w:space="0" w:color="000000"/>
                              <w:left w:val="single" w:sz="6" w:space="0" w:color="000000"/>
                              <w:bottom w:val="single" w:sz="4" w:space="0" w:color="auto"/>
                              <w:right w:val="single" w:sz="6" w:space="0" w:color="000000"/>
                            </w:tcBorders>
                          </w:tcPr>
                          <w:p>
                            <w:pPr>
                              <w:spacing w:line="276" w:lineRule="auto"/>
                              <w:jc w:val="center"/>
                              <w:rPr>
                                <w:rFonts w:eastAsia="Calibri"/>
                                <w:color w:val="000000" w:themeColor="text1"/>
                              </w:rPr>
                            </w:pPr>
                            <w:r>
                              <w:rPr>
                                <w:color w:val="000000" w:themeColor="text1"/>
                              </w:rPr>
                              <w:t>650</w:t>
                            </w:r>
                          </w:p>
                          <w:p>
                            <w:pPr>
                              <w:spacing w:line="276" w:lineRule="auto"/>
                              <w:jc w:val="center"/>
                              <w:rPr>
                                <w:rFonts w:eastAsia="Calibri"/>
                                <w:color w:val="000000" w:themeColor="text1"/>
                                <w:szCs w:val="22"/>
                              </w:rPr>
                            </w:pPr>
                          </w:p>
                        </w:tc>
                        <w:tc>
                          <w:tcPr>
                            <w:tcW w:w="904" w:type="pct"/>
                            <w:tcBorders>
                              <w:top w:val="single" w:sz="6" w:space="0" w:color="000000"/>
                              <w:left w:val="single" w:sz="6" w:space="0" w:color="000000"/>
                              <w:bottom w:val="single" w:sz="4" w:space="0" w:color="auto"/>
                              <w:right w:val="single" w:sz="6" w:space="0" w:color="000000"/>
                            </w:tcBorders>
                          </w:tcPr>
                          <w:p>
                            <w:pPr>
                              <w:spacing w:line="276" w:lineRule="auto"/>
                              <w:jc w:val="center"/>
                              <w:rPr>
                                <w:rFonts w:eastAsia="Calibri"/>
                                <w:color w:val="000000" w:themeColor="text1"/>
                              </w:rPr>
                            </w:pPr>
                            <w:r>
                              <w:rPr>
                                <w:color w:val="000000" w:themeColor="text1"/>
                              </w:rPr>
                              <w:t>0,13</w:t>
                            </w:r>
                          </w:p>
                          <w:p>
                            <w:pPr>
                              <w:spacing w:line="276" w:lineRule="auto"/>
                              <w:jc w:val="center"/>
                              <w:rPr>
                                <w:rFonts w:eastAsia="Calibri"/>
                                <w:color w:val="000000" w:themeColor="text1"/>
                                <w:szCs w:val="22"/>
                              </w:rPr>
                            </w:pPr>
                          </w:p>
                        </w:tc>
                        <w:tc>
                          <w:tcPr>
                            <w:tcW w:w="664"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1700</w:t>
                            </w:r>
                          </w:p>
                        </w:tc>
                        <w:tc>
                          <w:tcPr>
                            <w:tcW w:w="564"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50</w:t>
                            </w:r>
                          </w:p>
                        </w:tc>
                        <w:tc>
                          <w:tcPr>
                            <w:tcW w:w="579"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30</w:t>
                            </w:r>
                          </w:p>
                        </w:tc>
                      </w:tr>
                      <w:tr>
                        <w:trPr>
                          <w:trHeight w:val="18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150.</w:t>
                              <w:tab/>
                            </w:r>
                          </w:p>
                        </w:tc>
                        <w:tc>
                          <w:tcPr>
                            <w:tcW w:w="1556" w:type="pct"/>
                            <w:vMerge w:val="restart"/>
                            <w:tcBorders>
                              <w:top w:val="single" w:sz="4" w:space="0" w:color="auto"/>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12"/>
                              </w:rPr>
                              <w:t>Medžio plaušo plokštės MPP ir MDF</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250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0,07</w:t>
                            </w:r>
                          </w:p>
                        </w:tc>
                        <w:tc>
                          <w:tcPr>
                            <w:tcW w:w="664" w:type="pct"/>
                            <w:vMerge w:val="restart"/>
                            <w:tcBorders>
                              <w:top w:val="single" w:sz="4" w:space="0" w:color="auto"/>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1700</w:t>
                            </w:r>
                          </w:p>
                        </w:tc>
                        <w:tc>
                          <w:tcPr>
                            <w:tcW w:w="56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5</w:t>
                            </w:r>
                          </w:p>
                        </w:tc>
                        <w:tc>
                          <w:tcPr>
                            <w:tcW w:w="579"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3</w:t>
                            </w:r>
                          </w:p>
                        </w:tc>
                      </w:tr>
                      <w:tr>
                        <w:trPr>
                          <w:trHeight w:val="252"/>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151.</w:t>
                              <w:tab/>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400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0,10</w:t>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10</w:t>
                            </w:r>
                          </w:p>
                        </w:tc>
                        <w:tc>
                          <w:tcPr>
                            <w:tcW w:w="579"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5</w:t>
                            </w: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152.</w:t>
                              <w:tab/>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0,14</w:t>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c>
                          <w:tcPr>
                            <w:tcW w:w="579"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12</w:t>
                            </w:r>
                          </w:p>
                        </w:tc>
                      </w:tr>
                      <w:tr>
                        <w:trPr>
                          <w:trHeight w:val="312"/>
                        </w:trPr>
                        <w:tc>
                          <w:tcPr>
                            <w:tcW w:w="282" w:type="pct"/>
                            <w:tcBorders>
                              <w:top w:val="single" w:sz="4" w:space="0" w:color="auto"/>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153.</w:t>
                              <w:tab/>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0,18</w:t>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56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30</w:t>
                            </w:r>
                          </w:p>
                        </w:tc>
                        <w:tc>
                          <w:tcPr>
                            <w:tcW w:w="579"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204"/>
                        </w:trPr>
                        <w:tc>
                          <w:tcPr>
                            <w:tcW w:w="5000" w:type="pct"/>
                            <w:gridSpan w:val="7"/>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Birios medžiagos</w:t>
                            </w:r>
                          </w:p>
                        </w:tc>
                      </w:tr>
                      <w:tr>
                        <w:trPr>
                          <w:trHeight w:val="204"/>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154.</w:t>
                              <w:tab/>
                            </w:r>
                          </w:p>
                        </w:tc>
                        <w:tc>
                          <w:tcPr>
                            <w:tcW w:w="1556" w:type="pct"/>
                            <w:vMerge w:val="restart"/>
                            <w:tcBorders>
                              <w:top w:val="single" w:sz="6" w:space="0" w:color="000000"/>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rPr>
                              <w:t>Keramzito žvyras ir smėlis</w:t>
                            </w:r>
                          </w:p>
                        </w:tc>
                        <w:tc>
                          <w:tcPr>
                            <w:tcW w:w="452"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0,15</w:t>
                            </w:r>
                          </w:p>
                        </w:tc>
                        <w:tc>
                          <w:tcPr>
                            <w:tcW w:w="6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w:t>
                            </w:r>
                          </w:p>
                        </w:tc>
                        <w:tc>
                          <w:tcPr>
                            <w:tcW w:w="579"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w:t>
                            </w:r>
                          </w:p>
                        </w:tc>
                      </w:tr>
                      <w:tr>
                        <w:trPr>
                          <w:trHeight w:val="28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155.</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300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0,165</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156.</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400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0,18</w:t>
                            </w:r>
                            <w:r>
                              <w:rPr>
                                <w:color w:val="000000" w:themeColor="text1"/>
                                <w:vertAlign w:val="superscript"/>
                              </w:rPr>
                              <w:t xml:space="preserve"> </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24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157.</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0,26</w:t>
                            </w:r>
                            <w:r>
                              <w:rPr>
                                <w:color w:val="000000" w:themeColor="text1"/>
                                <w:vertAlign w:val="superscript"/>
                              </w:rPr>
                              <w:t xml:space="preserve"> </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12"/>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158.</w:t>
                              <w:tab/>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0,31</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159.</w:t>
                              <w:tab/>
                            </w:r>
                          </w:p>
                        </w:tc>
                        <w:tc>
                          <w:tcPr>
                            <w:tcW w:w="1556" w:type="pct"/>
                            <w:vMerge w:val="restart"/>
                            <w:tcBorders>
                              <w:top w:val="single" w:sz="4" w:space="0" w:color="auto"/>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12"/>
                              </w:rPr>
                              <w:t>Perlitas</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0,16</w:t>
                            </w:r>
                            <w:r>
                              <w:rPr>
                                <w:color w:val="000000" w:themeColor="text1"/>
                                <w:vertAlign w:val="superscript"/>
                              </w:rPr>
                              <w:t xml:space="preserve"> </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900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160.</w:t>
                              <w:tab/>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pacing w:val="-8"/>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400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0,17</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161.</w:t>
                              <w:tab/>
                            </w:r>
                          </w:p>
                        </w:tc>
                        <w:tc>
                          <w:tcPr>
                            <w:tcW w:w="0" w:type="auto"/>
                            <w:vMerge/>
                            <w:tcBorders>
                              <w:top w:val="single" w:sz="4" w:space="0" w:color="auto"/>
                              <w:left w:val="single" w:sz="6" w:space="0" w:color="000000"/>
                              <w:bottom w:val="single" w:sz="6" w:space="0" w:color="000000"/>
                              <w:right w:val="single" w:sz="6" w:space="0" w:color="000000"/>
                            </w:tcBorders>
                            <w:vAlign w:val="center"/>
                            <w:hideMark/>
                          </w:tcPr>
                          <w:p>
                            <w:pPr>
                              <w:rPr>
                                <w:rFonts w:eastAsia="Calibri"/>
                                <w:color w:val="000000" w:themeColor="text1"/>
                                <w:spacing w:val="-8"/>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0,21</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162.</w:t>
                              <w:tab/>
                            </w:r>
                          </w:p>
                        </w:tc>
                        <w:tc>
                          <w:tcPr>
                            <w:tcW w:w="1556" w:type="pc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8"/>
                              </w:rPr>
                              <w:t>Statybinis smėlis</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0,58</w:t>
                            </w:r>
                          </w:p>
                        </w:tc>
                        <w:tc>
                          <w:tcPr>
                            <w:tcW w:w="66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4</w:t>
                            </w: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163.</w:t>
                              <w:tab/>
                            </w:r>
                          </w:p>
                        </w:tc>
                        <w:tc>
                          <w:tcPr>
                            <w:tcW w:w="1556" w:type="pct"/>
                            <w:vMerge w:val="restar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8"/>
                              </w:rPr>
                              <w:t>Vermikulitas</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0,08</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1080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3</w:t>
                            </w: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164.</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pacing w:val="-8"/>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200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0,11</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2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165.</w:t>
                              <w:tab/>
                            </w:r>
                          </w:p>
                        </w:tc>
                        <w:tc>
                          <w:tcPr>
                            <w:tcW w:w="1556" w:type="pct"/>
                            <w:tcBorders>
                              <w:top w:val="single" w:sz="4" w:space="0" w:color="auto"/>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8"/>
                              </w:rPr>
                              <w:t>Žvyras</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0,7</w:t>
                            </w:r>
                          </w:p>
                        </w:tc>
                        <w:tc>
                          <w:tcPr>
                            <w:tcW w:w="664" w:type="pct"/>
                            <w:tcBorders>
                              <w:top w:val="single" w:sz="4" w:space="0" w:color="auto"/>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4" w:space="0" w:color="auto"/>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4" w:space="0" w:color="auto"/>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r>
                      <w:tr>
                        <w:trPr>
                          <w:trHeight w:val="120"/>
                        </w:trPr>
                        <w:tc>
                          <w:tcPr>
                            <w:tcW w:w="5000" w:type="pct"/>
                            <w:gridSpan w:val="7"/>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Mūras</w:t>
                            </w:r>
                          </w:p>
                        </w:tc>
                      </w:tr>
                      <w:tr>
                        <w:trPr>
                          <w:trHeight w:val="28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166.</w:t>
                              <w:tab/>
                            </w:r>
                          </w:p>
                        </w:tc>
                        <w:tc>
                          <w:tcPr>
                            <w:tcW w:w="1556" w:type="pct"/>
                            <w:vMerge w:val="restar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zCs w:val="22"/>
                              </w:rPr>
                            </w:pPr>
                            <w:r>
                              <w:rPr>
                                <w:color w:val="000000" w:themeColor="text1"/>
                              </w:rPr>
                              <w:t>Akytojo betono blokelių</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500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0,22</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6</w:t>
                            </w:r>
                          </w:p>
                        </w:tc>
                      </w:tr>
                      <w:tr>
                        <w:trPr>
                          <w:trHeight w:val="7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167.</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0,27</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7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168.</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700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0,32</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70"/>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169.</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800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0,38</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236"/>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170.</w:t>
                              <w:tab/>
                            </w:r>
                          </w:p>
                        </w:tc>
                        <w:tc>
                          <w:tcPr>
                            <w:tcW w:w="1556" w:type="pct"/>
                            <w:vMerge w:val="restar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Pilnavidurių keraminių plytų </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0,7</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116"/>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171.</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0,8</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202"/>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172.</w:t>
                              <w:tab/>
                            </w:r>
                          </w:p>
                        </w:tc>
                        <w:tc>
                          <w:tcPr>
                            <w:tcW w:w="1556" w:type="pc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8"/>
                              </w:rPr>
                              <w:t xml:space="preserve">Skylėtųjų keraminių plytų </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0,5</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2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173.</w:t>
                              <w:tab/>
                            </w:r>
                          </w:p>
                        </w:tc>
                        <w:tc>
                          <w:tcPr>
                            <w:tcW w:w="1556" w:type="pct"/>
                            <w:tcBorders>
                              <w:top w:val="single" w:sz="4" w:space="0" w:color="auto"/>
                              <w:left w:val="single" w:sz="6" w:space="0" w:color="000000"/>
                              <w:bottom w:val="single" w:sz="4" w:space="0" w:color="auto"/>
                              <w:right w:val="single" w:sz="6" w:space="0" w:color="000000"/>
                            </w:tcBorders>
                          </w:tcPr>
                          <w:p>
                            <w:pPr>
                              <w:spacing w:line="276" w:lineRule="auto"/>
                              <w:jc w:val="both"/>
                              <w:rPr>
                                <w:rFonts w:eastAsia="Calibri"/>
                                <w:color w:val="000000" w:themeColor="text1"/>
                                <w:spacing w:val="-8"/>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1400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0,6</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163"/>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174.</w:t>
                              <w:tab/>
                            </w:r>
                          </w:p>
                        </w:tc>
                        <w:tc>
                          <w:tcPr>
                            <w:tcW w:w="1556" w:type="pct"/>
                            <w:tcBorders>
                              <w:top w:val="single" w:sz="6" w:space="0" w:color="000000"/>
                              <w:left w:val="single" w:sz="6" w:space="0" w:color="000000"/>
                              <w:bottom w:val="single" w:sz="4" w:space="0" w:color="auto"/>
                              <w:right w:val="single" w:sz="6" w:space="0" w:color="000000"/>
                            </w:tcBorders>
                          </w:tcPr>
                          <w:p>
                            <w:pPr>
                              <w:spacing w:line="276" w:lineRule="auto"/>
                              <w:jc w:val="both"/>
                              <w:rPr>
                                <w:rFonts w:eastAsia="Calibri"/>
                                <w:color w:val="000000" w:themeColor="text1"/>
                                <w:szCs w:val="22"/>
                              </w:rPr>
                            </w:pPr>
                          </w:p>
                        </w:tc>
                        <w:tc>
                          <w:tcPr>
                            <w:tcW w:w="452"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6" w:space="0" w:color="000000"/>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0,7</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220"/>
                        </w:trPr>
                        <w:tc>
                          <w:tcPr>
                            <w:tcW w:w="282" w:type="pct"/>
                            <w:tcBorders>
                              <w:top w:val="single" w:sz="4" w:space="0" w:color="auto"/>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175.</w:t>
                              <w:tab/>
                            </w:r>
                          </w:p>
                        </w:tc>
                        <w:tc>
                          <w:tcPr>
                            <w:tcW w:w="1556" w:type="pct"/>
                            <w:vMerge w:val="restar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4"/>
                                <w:szCs w:val="22"/>
                              </w:rPr>
                            </w:pPr>
                            <w:r>
                              <w:rPr>
                                <w:color w:val="000000" w:themeColor="text1"/>
                                <w:spacing w:val="-4"/>
                              </w:rPr>
                              <w:t xml:space="preserve">Pilnavidurių keramzitbetonio blokelių </w:t>
                            </w:r>
                          </w:p>
                        </w:tc>
                        <w:tc>
                          <w:tcPr>
                            <w:tcW w:w="452"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1260</w:t>
                            </w:r>
                          </w:p>
                        </w:tc>
                        <w:tc>
                          <w:tcPr>
                            <w:tcW w:w="90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0,6</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4" w:space="0" w:color="auto"/>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r>
                      <w:tr>
                        <w:trPr>
                          <w:trHeight w:val="168"/>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176.</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pacing w:val="-4"/>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1800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1,2</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176"/>
                        </w:trPr>
                        <w:tc>
                          <w:tcPr>
                            <w:tcW w:w="282" w:type="pct"/>
                            <w:tcBorders>
                              <w:top w:val="single" w:sz="6" w:space="0" w:color="000000"/>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pacing w:val="-4"/>
                                <w:szCs w:val="22"/>
                              </w:rPr>
                            </w:pPr>
                            <w:r>
                              <w:rPr>
                                <w:rFonts w:eastAsia="Calibri"/>
                                <w:color w:val="000000" w:themeColor="text1"/>
                                <w:spacing w:val="-4"/>
                                <w:szCs w:val="22"/>
                              </w:rPr>
                              <w:t>177.</w:t>
                              <w:tab/>
                            </w:r>
                          </w:p>
                        </w:tc>
                        <w:tc>
                          <w:tcPr>
                            <w:tcW w:w="1556" w:type="pct"/>
                            <w:vMerge w:val="restart"/>
                            <w:tcBorders>
                              <w:top w:val="single" w:sz="6" w:space="0" w:color="000000"/>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4"/>
                              </w:rPr>
                              <w:t xml:space="preserve">Tuščiavidurių keramzitbetonio blokelių </w:t>
                            </w:r>
                          </w:p>
                        </w:tc>
                        <w:tc>
                          <w:tcPr>
                            <w:tcW w:w="452"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1100</w:t>
                            </w:r>
                          </w:p>
                        </w:tc>
                        <w:tc>
                          <w:tcPr>
                            <w:tcW w:w="904" w:type="pct"/>
                            <w:tcBorders>
                              <w:top w:val="single" w:sz="6" w:space="0" w:color="000000"/>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0,4</w:t>
                            </w:r>
                          </w:p>
                        </w:tc>
                        <w:tc>
                          <w:tcPr>
                            <w:tcW w:w="6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6" w:space="0" w:color="000000"/>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15</w:t>
                            </w:r>
                          </w:p>
                        </w:tc>
                      </w:tr>
                      <w:tr>
                        <w:trPr>
                          <w:trHeight w:val="187"/>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178.</w:t>
                              <w:tab/>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pacing w:val="-8"/>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1700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0,8</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6" w:space="0" w:color="000000"/>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r>
                      <w:tr>
                        <w:trPr>
                          <w:trHeight w:val="576"/>
                        </w:trPr>
                        <w:tc>
                          <w:tcPr>
                            <w:tcW w:w="282" w:type="pct"/>
                            <w:tcBorders>
                              <w:top w:val="single" w:sz="6" w:space="0" w:color="000000"/>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179.</w:t>
                              <w:tab/>
                            </w:r>
                          </w:p>
                        </w:tc>
                        <w:tc>
                          <w:tcPr>
                            <w:tcW w:w="1556" w:type="pct"/>
                            <w:tcBorders>
                              <w:top w:val="single" w:sz="6" w:space="0" w:color="000000"/>
                              <w:left w:val="single" w:sz="6" w:space="0" w:color="000000"/>
                              <w:bottom w:val="single" w:sz="4" w:space="0" w:color="auto"/>
                              <w:right w:val="single" w:sz="6" w:space="0" w:color="000000"/>
                            </w:tcBorders>
                            <w:hideMark/>
                          </w:tcPr>
                          <w:p>
                            <w:pPr>
                              <w:spacing w:line="276" w:lineRule="auto"/>
                              <w:rPr>
                                <w:rFonts w:eastAsia="Calibri"/>
                                <w:color w:val="000000" w:themeColor="text1"/>
                              </w:rPr>
                            </w:pPr>
                            <w:r>
                              <w:rPr>
                                <w:color w:val="000000" w:themeColor="text1"/>
                              </w:rPr>
                              <w:t xml:space="preserve">Pilnavidurių silikatinių plytų </w:t>
                            </w:r>
                          </w:p>
                          <w:p>
                            <w:pPr>
                              <w:spacing w:line="276" w:lineRule="auto"/>
                              <w:jc w:val="both"/>
                              <w:rPr>
                                <w:rFonts w:eastAsia="Calibri"/>
                                <w:color w:val="000000" w:themeColor="text1"/>
                                <w:szCs w:val="22"/>
                              </w:rPr>
                            </w:pPr>
                            <w:r>
                              <w:rPr>
                                <w:color w:val="000000" w:themeColor="text1"/>
                              </w:rPr>
                              <w:t>su cemento skiediniu</w:t>
                            </w:r>
                          </w:p>
                        </w:tc>
                        <w:tc>
                          <w:tcPr>
                            <w:tcW w:w="452" w:type="pct"/>
                            <w:tcBorders>
                              <w:top w:val="single" w:sz="6" w:space="0" w:color="000000"/>
                              <w:left w:val="single" w:sz="6" w:space="0" w:color="000000"/>
                              <w:bottom w:val="single" w:sz="4" w:space="0" w:color="auto"/>
                              <w:right w:val="single" w:sz="6" w:space="0" w:color="000000"/>
                            </w:tcBorders>
                          </w:tcPr>
                          <w:p>
                            <w:pPr>
                              <w:spacing w:line="276" w:lineRule="auto"/>
                              <w:jc w:val="center"/>
                              <w:rPr>
                                <w:rFonts w:eastAsia="Calibri"/>
                                <w:color w:val="000000" w:themeColor="text1"/>
                              </w:rPr>
                            </w:pPr>
                            <w:r>
                              <w:rPr>
                                <w:color w:val="000000" w:themeColor="text1"/>
                              </w:rPr>
                              <w:t>1800</w:t>
                            </w:r>
                          </w:p>
                          <w:p>
                            <w:pPr>
                              <w:spacing w:line="276" w:lineRule="auto"/>
                              <w:jc w:val="center"/>
                              <w:rPr>
                                <w:rFonts w:eastAsia="Calibri"/>
                                <w:color w:val="000000" w:themeColor="text1"/>
                                <w:szCs w:val="22"/>
                              </w:rPr>
                            </w:pPr>
                          </w:p>
                        </w:tc>
                        <w:tc>
                          <w:tcPr>
                            <w:tcW w:w="904" w:type="pct"/>
                            <w:tcBorders>
                              <w:top w:val="single" w:sz="6" w:space="0" w:color="000000"/>
                              <w:left w:val="single" w:sz="6" w:space="0" w:color="000000"/>
                              <w:bottom w:val="single" w:sz="4" w:space="0" w:color="auto"/>
                              <w:right w:val="single" w:sz="6" w:space="0" w:color="000000"/>
                            </w:tcBorders>
                          </w:tcPr>
                          <w:p>
                            <w:pPr>
                              <w:spacing w:line="276" w:lineRule="auto"/>
                              <w:jc w:val="center"/>
                              <w:rPr>
                                <w:rFonts w:eastAsia="Calibri"/>
                                <w:color w:val="000000" w:themeColor="text1"/>
                              </w:rPr>
                            </w:pPr>
                            <w:r>
                              <w:rPr>
                                <w:color w:val="000000" w:themeColor="text1"/>
                              </w:rPr>
                              <w:t>1,0</w:t>
                            </w:r>
                          </w:p>
                          <w:p>
                            <w:pPr>
                              <w:spacing w:line="276" w:lineRule="auto"/>
                              <w:jc w:val="center"/>
                              <w:rPr>
                                <w:rFonts w:eastAsia="Calibri"/>
                                <w:color w:val="000000" w:themeColor="text1"/>
                                <w:szCs w:val="22"/>
                              </w:rPr>
                            </w:pPr>
                          </w:p>
                        </w:tc>
                        <w:tc>
                          <w:tcPr>
                            <w:tcW w:w="664"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6" w:space="0" w:color="000000"/>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315"/>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180.</w:t>
                              <w:tab/>
                            </w:r>
                          </w:p>
                        </w:tc>
                        <w:tc>
                          <w:tcPr>
                            <w:tcW w:w="1556" w:type="pc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pacing w:val="-8"/>
                                <w:szCs w:val="22"/>
                              </w:rPr>
                            </w:pPr>
                            <w:r>
                              <w:rPr>
                                <w:color w:val="000000" w:themeColor="text1"/>
                                <w:spacing w:val="-8"/>
                              </w:rPr>
                              <w:t xml:space="preserve">Skylėtųjų silikatinių plytų </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1600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0,9</w:t>
                            </w:r>
                          </w:p>
                        </w:tc>
                        <w:tc>
                          <w:tcPr>
                            <w:tcW w:w="66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20</w:t>
                            </w:r>
                          </w:p>
                        </w:tc>
                      </w:tr>
                      <w:tr>
                        <w:trPr>
                          <w:trHeight w:val="86"/>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181.</w:t>
                              <w:tab/>
                            </w:r>
                          </w:p>
                        </w:tc>
                        <w:tc>
                          <w:tcPr>
                            <w:tcW w:w="1556" w:type="pct"/>
                            <w:vMerge w:val="restart"/>
                            <w:tcBorders>
                              <w:top w:val="single" w:sz="4" w:space="0" w:color="auto"/>
                              <w:left w:val="single" w:sz="6" w:space="0" w:color="000000"/>
                              <w:bottom w:val="single" w:sz="4" w:space="0" w:color="auto"/>
                              <w:right w:val="single" w:sz="6" w:space="0" w:color="000000"/>
                            </w:tcBorders>
                            <w:hideMark/>
                          </w:tcPr>
                          <w:p>
                            <w:pPr>
                              <w:spacing w:line="276" w:lineRule="auto"/>
                              <w:jc w:val="both"/>
                              <w:rPr>
                                <w:rFonts w:eastAsia="Calibri"/>
                                <w:color w:val="000000" w:themeColor="text1"/>
                                <w:szCs w:val="22"/>
                              </w:rPr>
                            </w:pPr>
                            <w:r>
                              <w:rPr>
                                <w:color w:val="000000" w:themeColor="text1"/>
                              </w:rPr>
                              <w:t xml:space="preserve">Tuščiavidurių keraminių blokų </w:t>
                            </w: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750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0,23</w:t>
                            </w:r>
                          </w:p>
                        </w:tc>
                        <w:tc>
                          <w:tcPr>
                            <w:tcW w:w="6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1000</w:t>
                            </w:r>
                          </w:p>
                        </w:tc>
                        <w:tc>
                          <w:tcPr>
                            <w:tcW w:w="564"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w:t>
                            </w:r>
                          </w:p>
                        </w:tc>
                        <w:tc>
                          <w:tcPr>
                            <w:tcW w:w="579" w:type="pct"/>
                            <w:vMerge w:val="restart"/>
                            <w:tcBorders>
                              <w:top w:val="single" w:sz="4" w:space="0" w:color="auto"/>
                              <w:left w:val="single" w:sz="6" w:space="0" w:color="000000"/>
                              <w:bottom w:val="single" w:sz="4" w:space="0" w:color="auto"/>
                              <w:right w:val="single" w:sz="6" w:space="0" w:color="000000"/>
                            </w:tcBorders>
                            <w:vAlign w:val="center"/>
                            <w:hideMark/>
                          </w:tcPr>
                          <w:p>
                            <w:pPr>
                              <w:spacing w:line="276" w:lineRule="auto"/>
                              <w:jc w:val="center"/>
                              <w:rPr>
                                <w:rFonts w:eastAsia="Calibri"/>
                                <w:color w:val="000000" w:themeColor="text1"/>
                                <w:szCs w:val="22"/>
                              </w:rPr>
                            </w:pPr>
                            <w:r>
                              <w:rPr>
                                <w:color w:val="000000" w:themeColor="text1"/>
                              </w:rPr>
                              <w:t>10</w:t>
                            </w:r>
                          </w:p>
                        </w:tc>
                      </w:tr>
                      <w:tr>
                        <w:trPr>
                          <w:trHeight w:val="354"/>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182.</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0,33</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236"/>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183.</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1200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0,4</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02"/>
                        </w:trPr>
                        <w:tc>
                          <w:tcPr>
                            <w:tcW w:w="282" w:type="pct"/>
                            <w:tcBorders>
                              <w:top w:val="single" w:sz="4" w:space="0" w:color="auto"/>
                              <w:left w:val="single" w:sz="6" w:space="0" w:color="000000"/>
                              <w:bottom w:val="single" w:sz="4" w:space="0" w:color="auto"/>
                              <w:right w:val="single" w:sz="6" w:space="0" w:color="000000"/>
                            </w:tcBorders>
                          </w:tcPr>
                          <w:p>
                            <w:pPr>
                              <w:tabs>
                                <w:tab w:val="left" w:pos="720"/>
                              </w:tabs>
                              <w:spacing w:line="276" w:lineRule="auto"/>
                              <w:rPr>
                                <w:rFonts w:eastAsia="Calibri"/>
                                <w:color w:val="000000" w:themeColor="text1"/>
                                <w:spacing w:val="-8"/>
                                <w:szCs w:val="22"/>
                              </w:rPr>
                            </w:pPr>
                            <w:r>
                              <w:rPr>
                                <w:rFonts w:eastAsia="Calibri"/>
                                <w:color w:val="000000" w:themeColor="text1"/>
                                <w:spacing w:val="-8"/>
                                <w:szCs w:val="22"/>
                              </w:rPr>
                              <w:t>184.</w:t>
                              <w:tab/>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452"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1400</w:t>
                            </w:r>
                          </w:p>
                        </w:tc>
                        <w:tc>
                          <w:tcPr>
                            <w:tcW w:w="904" w:type="pct"/>
                            <w:tcBorders>
                              <w:top w:val="single" w:sz="4" w:space="0" w:color="auto"/>
                              <w:left w:val="single" w:sz="6" w:space="0" w:color="000000"/>
                              <w:bottom w:val="single" w:sz="4" w:space="0" w:color="auto"/>
                              <w:right w:val="single" w:sz="6" w:space="0" w:color="000000"/>
                            </w:tcBorders>
                            <w:hideMark/>
                          </w:tcPr>
                          <w:p>
                            <w:pPr>
                              <w:spacing w:line="276" w:lineRule="auto"/>
                              <w:jc w:val="center"/>
                              <w:rPr>
                                <w:rFonts w:eastAsia="Calibri"/>
                                <w:color w:val="000000" w:themeColor="text1"/>
                                <w:szCs w:val="22"/>
                              </w:rPr>
                            </w:pPr>
                            <w:r>
                              <w:rPr>
                                <w:color w:val="000000" w:themeColor="text1"/>
                              </w:rPr>
                              <w:t>0,47</w:t>
                            </w: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c>
                          <w:tcPr>
                            <w:tcW w:w="0" w:type="auto"/>
                            <w:vMerge/>
                            <w:tcBorders>
                              <w:top w:val="single" w:sz="4" w:space="0" w:color="auto"/>
                              <w:left w:val="single" w:sz="6" w:space="0" w:color="000000"/>
                              <w:bottom w:val="single" w:sz="4" w:space="0" w:color="auto"/>
                              <w:right w:val="single" w:sz="6" w:space="0" w:color="000000"/>
                            </w:tcBorders>
                            <w:vAlign w:val="center"/>
                            <w:hideMark/>
                          </w:tcPr>
                          <w:p>
                            <w:pPr>
                              <w:rPr>
                                <w:rFonts w:eastAsia="Calibri"/>
                                <w:color w:val="000000" w:themeColor="text1"/>
                                <w:szCs w:val="22"/>
                              </w:rPr>
                            </w:pPr>
                          </w:p>
                        </w:tc>
                      </w:tr>
                      <w:tr>
                        <w:trPr>
                          <w:trHeight w:val="344"/>
                        </w:trPr>
                        <w:tc>
                          <w:tcPr>
                            <w:tcW w:w="282" w:type="pct"/>
                            <w:tcBorders>
                              <w:top w:val="single" w:sz="4" w:space="0" w:color="auto"/>
                              <w:left w:val="single" w:sz="6" w:space="0" w:color="000000"/>
                              <w:bottom w:val="single" w:sz="6" w:space="0" w:color="000000"/>
                              <w:right w:val="single" w:sz="6" w:space="0" w:color="000000"/>
                            </w:tcBorders>
                          </w:tcPr>
                          <w:p>
                            <w:pPr>
                              <w:tabs>
                                <w:tab w:val="left" w:pos="720"/>
                              </w:tabs>
                              <w:spacing w:line="276" w:lineRule="auto"/>
                              <w:rPr>
                                <w:rFonts w:eastAsia="Calibri"/>
                                <w:color w:val="000000" w:themeColor="text1"/>
                                <w:szCs w:val="22"/>
                              </w:rPr>
                            </w:pPr>
                            <w:r>
                              <w:rPr>
                                <w:rFonts w:eastAsia="Calibri"/>
                                <w:color w:val="000000" w:themeColor="text1"/>
                                <w:szCs w:val="22"/>
                              </w:rPr>
                              <w:t>185.</w:t>
                              <w:tab/>
                            </w:r>
                          </w:p>
                        </w:tc>
                        <w:tc>
                          <w:tcPr>
                            <w:tcW w:w="1556" w:type="pct"/>
                            <w:tcBorders>
                              <w:top w:val="single" w:sz="4" w:space="0" w:color="auto"/>
                              <w:left w:val="single" w:sz="6" w:space="0" w:color="000000"/>
                              <w:bottom w:val="single" w:sz="6" w:space="0" w:color="000000"/>
                              <w:right w:val="single" w:sz="6" w:space="0" w:color="000000"/>
                            </w:tcBorders>
                            <w:hideMark/>
                          </w:tcPr>
                          <w:p>
                            <w:pPr>
                              <w:spacing w:line="276" w:lineRule="auto"/>
                              <w:jc w:val="both"/>
                              <w:rPr>
                                <w:rFonts w:eastAsia="Calibri"/>
                                <w:color w:val="000000" w:themeColor="text1"/>
                                <w:szCs w:val="22"/>
                              </w:rPr>
                            </w:pPr>
                            <w:r>
                              <w:rPr>
                                <w:color w:val="000000" w:themeColor="text1"/>
                                <w:spacing w:val="-6"/>
                              </w:rPr>
                              <w:t xml:space="preserve">Skaldyto akmens </w:t>
                            </w:r>
                          </w:p>
                        </w:tc>
                        <w:tc>
                          <w:tcPr>
                            <w:tcW w:w="452"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2400</w:t>
                            </w:r>
                          </w:p>
                        </w:tc>
                        <w:tc>
                          <w:tcPr>
                            <w:tcW w:w="90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2,6</w:t>
                            </w:r>
                          </w:p>
                        </w:tc>
                        <w:tc>
                          <w:tcPr>
                            <w:tcW w:w="66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1000</w:t>
                            </w:r>
                          </w:p>
                        </w:tc>
                        <w:tc>
                          <w:tcPr>
                            <w:tcW w:w="564"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w:t>
                            </w:r>
                          </w:p>
                        </w:tc>
                        <w:tc>
                          <w:tcPr>
                            <w:tcW w:w="579" w:type="pct"/>
                            <w:tcBorders>
                              <w:top w:val="single" w:sz="4" w:space="0" w:color="auto"/>
                              <w:left w:val="single" w:sz="6" w:space="0" w:color="000000"/>
                              <w:bottom w:val="single" w:sz="6" w:space="0" w:color="000000"/>
                              <w:right w:val="single" w:sz="6" w:space="0" w:color="000000"/>
                            </w:tcBorders>
                            <w:hideMark/>
                          </w:tcPr>
                          <w:p>
                            <w:pPr>
                              <w:spacing w:line="276" w:lineRule="auto"/>
                              <w:jc w:val="center"/>
                              <w:rPr>
                                <w:rFonts w:eastAsia="Calibri"/>
                                <w:color w:val="000000" w:themeColor="text1"/>
                                <w:szCs w:val="22"/>
                              </w:rPr>
                            </w:pPr>
                            <w:r>
                              <w:rPr>
                                <w:color w:val="000000" w:themeColor="text1"/>
                              </w:rPr>
                              <w:t>20</w:t>
                            </w:r>
                          </w:p>
                        </w:tc>
                      </w:tr>
                      <w:tr>
                        <w:trPr>
                          <w:trHeight w:val="1127"/>
                        </w:trPr>
                        <w:tc>
                          <w:tcPr>
                            <w:tcW w:w="5000" w:type="pct"/>
                            <w:gridSpan w:val="7"/>
                            <w:tcBorders>
                              <w:top w:val="single" w:sz="6" w:space="0" w:color="000000"/>
                              <w:left w:val="single" w:sz="6" w:space="0" w:color="000000"/>
                              <w:bottom w:val="single" w:sz="6" w:space="0" w:color="000000"/>
                              <w:right w:val="single" w:sz="6" w:space="0" w:color="000000"/>
                            </w:tcBorders>
                            <w:hideMark/>
                          </w:tcPr>
                          <w:p>
                            <w:pPr>
                              <w:spacing w:line="276" w:lineRule="auto"/>
                              <w:rPr>
                                <w:rFonts w:eastAsia="Calibri"/>
                                <w:bCs/>
                                <w:color w:val="000000" w:themeColor="text1"/>
                              </w:rPr>
                            </w:pPr>
                            <w:r>
                              <w:rPr>
                                <w:bCs/>
                                <w:color w:val="000000" w:themeColor="text1"/>
                              </w:rPr>
                              <w:t>Pastabos:</w:t>
                            </w:r>
                          </w:p>
                          <w:p>
                            <w:pPr>
                              <w:spacing w:line="276" w:lineRule="auto"/>
                              <w:jc w:val="both"/>
                              <w:rPr>
                                <w:color w:val="000000" w:themeColor="text1"/>
                              </w:rPr>
                            </w:pPr>
                            <w:r>
                              <w:rPr>
                                <w:bCs/>
                                <w:color w:val="000000" w:themeColor="text1"/>
                              </w:rPr>
                              <w:t xml:space="preserve">1. </w:t>
                            </w:r>
                            <w:r>
                              <w:rPr>
                                <w:color w:val="000000" w:themeColor="text1"/>
                              </w:rPr>
                              <w:t>„</w:t>
                              <w:sym w:font="Symbol" w:char="F0A5"/>
                              <w:t>“ gali būti pakeista labai didele verte, pvz., 10</w:t>
                            </w:r>
                            <w:r>
                              <w:rPr>
                                <w:color w:val="000000" w:themeColor="text1"/>
                                <w:vertAlign w:val="superscript"/>
                              </w:rPr>
                              <w:t>6</w:t>
                            </w:r>
                            <w:r>
                              <w:rPr>
                                <w:color w:val="000000" w:themeColor="text1"/>
                              </w:rPr>
                              <w:t>.</w:t>
                            </w:r>
                          </w:p>
                          <w:p>
                            <w:pPr>
                              <w:spacing w:line="276" w:lineRule="auto"/>
                              <w:jc w:val="both"/>
                              <w:rPr>
                                <w:color w:val="000000" w:themeColor="text1"/>
                                <w:spacing w:val="-8"/>
                              </w:rPr>
                            </w:pPr>
                            <w:r>
                              <w:rPr>
                                <w:bCs/>
                                <w:color w:val="000000" w:themeColor="text1"/>
                                <w:spacing w:val="-8"/>
                              </w:rPr>
                              <w:t xml:space="preserve">2. </w:t>
                            </w:r>
                            <w:r>
                              <w:rPr>
                                <w:color w:val="000000" w:themeColor="text1"/>
                                <w:spacing w:val="-8"/>
                              </w:rPr>
                              <w:t xml:space="preserve">Pateiktos vandens garų varžos faktoriaus vertės nustatytos „Sauso indo“ ir „Drėgno indo“ bandymo sąlygomis pagal LST EN ISO 12572 </w:t>
                            </w:r>
                            <w:r>
                              <w:rPr>
                                <w:color w:val="000000" w:themeColor="text1"/>
                              </w:rPr>
                              <w:t>[3.36]</w:t>
                            </w:r>
                            <w:r>
                              <w:rPr>
                                <w:color w:val="000000" w:themeColor="text1"/>
                                <w:spacing w:val="-8"/>
                              </w:rPr>
                              <w:t>.</w:t>
                            </w:r>
                          </w:p>
                          <w:p>
                            <w:pPr>
                              <w:spacing w:line="276" w:lineRule="auto"/>
                              <w:jc w:val="both"/>
                              <w:rPr>
                                <w:color w:val="000000" w:themeColor="text1"/>
                                <w:spacing w:val="-8"/>
                              </w:rPr>
                            </w:pPr>
                            <w:r>
                              <w:rPr>
                                <w:color w:val="000000" w:themeColor="text1"/>
                              </w:rPr>
                              <w:t>3.</w:t>
                            </w:r>
                            <w:r>
                              <w:rPr>
                                <w:color w:val="000000" w:themeColor="text1"/>
                                <w:vertAlign w:val="superscript"/>
                              </w:rPr>
                              <w:t xml:space="preserve"> </w:t>
                            </w:r>
                            <w:r>
                              <w:rPr>
                                <w:color w:val="000000" w:themeColor="text1"/>
                              </w:rPr>
                              <w:t>Pateiktos šilumos laidumo koeficiento projektinės vertės taikomos s</w:t>
                            </w:r>
                            <w:r>
                              <w:rPr>
                                <w:color w:val="000000" w:themeColor="text1"/>
                                <w:spacing w:val="-8"/>
                              </w:rPr>
                              <w:t>tatybos produktams, patalpintiems vėdinamose arba nevėdinamose atitvarose.</w:t>
                            </w:r>
                          </w:p>
                          <w:p>
                            <w:pPr>
                              <w:spacing w:line="276" w:lineRule="auto"/>
                              <w:jc w:val="both"/>
                              <w:rPr>
                                <w:rFonts w:eastAsia="Calibri"/>
                                <w:color w:val="000000" w:themeColor="text1"/>
                                <w:szCs w:val="22"/>
                              </w:rPr>
                            </w:pPr>
                            <w:r>
                              <w:rPr>
                                <w:color w:val="000000" w:themeColor="text1"/>
                                <w:spacing w:val="-8"/>
                              </w:rPr>
                              <w:t xml:space="preserve">4. Šioje lentelėje pateiktos šiluminių techninių rodiklių vertės atitinka nurodytas [3.37], lentelė papildyta duomenimis apie statybos produktus, kurie [3.37] duomenų lentelėse nepaminėti. </w:t>
                            </w:r>
                          </w:p>
                        </w:tc>
                      </w:tr>
                    </w:tbl>
                    <w:p>
                      <w:pPr>
                        <w:rPr>
                          <w:rFonts w:eastAsia="Calibri"/>
                          <w:color w:val="000000" w:themeColor="text1"/>
                          <w:szCs w:val="22"/>
                        </w:rPr>
                      </w:pPr>
                    </w:p>
                  </w:sdtContent>
                </w:sdt>
              </w:sdtContent>
            </w:sdt>
            <w:sdt>
              <w:sdtPr>
                <w:alias w:val="skirsnis"/>
                <w:tag w:val="part_81fc3739328845438309cb37325a8347"/>
                <w:lock w:val="sdtLocked"/>
                <w:richText/>
              </w:sdtPr>
              <w:sdtContent>
                <w:p>
                  <w:pPr>
                    <w:jc w:val="center"/>
                    <w:rPr>
                      <w:b/>
                    </w:rPr>
                  </w:pPr>
                  <w:sdt>
                    <w:sdtPr>
                      <w:alias w:val="Pavadinimas"/>
                      <w:tag w:val="title_81fc3739328845438309cb37325a8347"/>
                      <w:lock w:val="sdtLocked"/>
                      <w:richText/>
                    </w:sdtPr>
                    <w:sdtContent>
                      <w:r>
                        <w:rPr>
                          <w:b/>
                        </w:rPr>
                        <w:t>Statybos produktų, naudojamų termoizoliaciniams atitvarų sluoksniams, šiluminių techninių rodiklių vertės atitvarų drėgminei būklei projektuoti</w:t>
                      </w:r>
                    </w:sdtContent>
                  </w:sdt>
                </w:p>
                <w:sdt>
                  <w:sdtPr>
                    <w:alias w:val="lentele"/>
                    <w:tag w:val="part_b7cd5fa2e2dc4a69a15484f308fdb6d4"/>
                    <w:lock w:val="sdtLocked"/>
                    <w:richText/>
                  </w:sdtPr>
                  <w:sdtContent>
                    <w:p>
                      <w:pPr>
                        <w:jc w:val="right"/>
                      </w:pPr>
                      <w:sdt>
                        <w:sdtPr>
                          <w:alias w:val="Numeris"/>
                          <w:tag w:val="nr_b7cd5fa2e2dc4a69a15484f308fdb6d4"/>
                          <w:lock w:val="sdtLocked"/>
                          <w:richText/>
                        </w:sdtPr>
                        <w:sdtContent>
                          <w:r>
                            <w:t>9.3</w:t>
                          </w:r>
                        </w:sdtContent>
                      </w:sdt>
                      <w:r>
                        <w:t xml:space="preserve"> lentelė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3153"/>
                        <w:gridCol w:w="1062"/>
                        <w:gridCol w:w="1432"/>
                        <w:gridCol w:w="1484"/>
                        <w:gridCol w:w="1948"/>
                      </w:tblGrid>
                      <w:tr>
                        <w:trPr>
                          <w:cantSplit/>
                          <w:tblHeader/>
                        </w:trPr>
                        <w:tc>
                          <w:tcPr>
                            <w:tcW w:w="298"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rPr>
                            </w:pPr>
                            <w:r>
                              <w:rPr>
                                <w:bCs/>
                              </w:rPr>
                              <w:t>Eil.</w:t>
                            </w:r>
                          </w:p>
                          <w:p>
                            <w:pPr>
                              <w:spacing w:line="276" w:lineRule="auto"/>
                              <w:jc w:val="center"/>
                              <w:rPr>
                                <w:rFonts w:eastAsia="Calibri"/>
                                <w:bCs/>
                                <w:szCs w:val="22"/>
                              </w:rPr>
                            </w:pPr>
                            <w:r>
                              <w:rPr>
                                <w:bCs/>
                              </w:rPr>
                              <w:t>Nr.</w:t>
                            </w:r>
                          </w:p>
                        </w:tc>
                        <w:tc>
                          <w:tcPr>
                            <w:tcW w:w="1619"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szCs w:val="22"/>
                              </w:rPr>
                            </w:pPr>
                            <w:r>
                              <w:rPr>
                                <w:bCs/>
                              </w:rPr>
                              <w:t xml:space="preserve">Statybos produktas </w:t>
                            </w:r>
                          </w:p>
                        </w:tc>
                        <w:tc>
                          <w:tcPr>
                            <w:tcW w:w="558"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rPr>
                            </w:pPr>
                            <w:r>
                              <w:rPr>
                                <w:bCs/>
                              </w:rPr>
                              <w:t>Tankis</w:t>
                            </w:r>
                          </w:p>
                          <w:p>
                            <w:pPr>
                              <w:spacing w:line="276" w:lineRule="auto"/>
                              <w:jc w:val="center"/>
                              <w:rPr>
                                <w:rFonts w:eastAsia="Calibri"/>
                                <w:bCs/>
                                <w:szCs w:val="22"/>
                              </w:rPr>
                            </w:pPr>
                            <w:r>
                              <w:rPr>
                                <w:bCs/>
                                <w:i/>
                                <w:iCs/>
                              </w:rPr>
                              <w:sym w:font="Symbol" w:char="F072"/>
                            </w:r>
                            <w:r>
                              <w:rPr>
                                <w:bCs/>
                              </w:rPr>
                              <w:t>, kg/m</w:t>
                            </w:r>
                            <w:r>
                              <w:rPr>
                                <w:bCs/>
                                <w:vertAlign w:val="superscript"/>
                              </w:rPr>
                              <w:t>3</w:t>
                            </w:r>
                          </w:p>
                        </w:tc>
                        <w:tc>
                          <w:tcPr>
                            <w:tcW w:w="1518" w:type="pct"/>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i/>
                                <w:iCs/>
                                <w:szCs w:val="22"/>
                              </w:rPr>
                            </w:pPr>
                            <w:r>
                              <w:rPr>
                                <w:bCs/>
                              </w:rPr>
                              <w:t xml:space="preserve">Vandens garų varžos faktorius </w:t>
                            </w:r>
                            <w:r>
                              <w:rPr>
                                <w:bCs/>
                                <w:i/>
                                <w:iCs/>
                              </w:rPr>
                              <w:sym w:font="Symbol" w:char="F06D"/>
                            </w:r>
                          </w:p>
                        </w:tc>
                        <w:tc>
                          <w:tcPr>
                            <w:tcW w:w="1007"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rPr>
                            </w:pPr>
                            <w:r>
                              <w:rPr>
                                <w:bCs/>
                                <w:spacing w:val="-4"/>
                              </w:rPr>
                              <w:t>Savitoji šiluminė talpa</w:t>
                            </w:r>
                          </w:p>
                          <w:p>
                            <w:pPr>
                              <w:spacing w:line="276" w:lineRule="auto"/>
                              <w:jc w:val="center"/>
                              <w:rPr>
                                <w:bCs/>
                                <w:i/>
                                <w:iCs/>
                                <w:vertAlign w:val="subscript"/>
                              </w:rPr>
                            </w:pPr>
                            <w:r>
                              <w:rPr>
                                <w:bCs/>
                                <w:i/>
                                <w:iCs/>
                              </w:rPr>
                              <w:t>c</w:t>
                            </w:r>
                            <w:r>
                              <w:rPr>
                                <w:bCs/>
                                <w:i/>
                                <w:iCs/>
                                <w:vertAlign w:val="subscript"/>
                              </w:rPr>
                              <w:sym w:font="Symbol" w:char="F072"/>
                            </w:r>
                          </w:p>
                          <w:p>
                            <w:pPr>
                              <w:spacing w:line="276" w:lineRule="auto"/>
                              <w:jc w:val="center"/>
                              <w:rPr>
                                <w:rFonts w:eastAsia="Calibri"/>
                                <w:bCs/>
                                <w:szCs w:val="22"/>
                              </w:rPr>
                            </w:pPr>
                            <w:r>
                              <w:rPr>
                                <w:bCs/>
                              </w:rPr>
                              <w:t>J/(kg</w:t>
                              <w:sym w:font="Symbol" w:char="F0D7"/>
                              <w:t>K)</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2"/>
                              </w:rPr>
                            </w:pP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szCs w:val="22"/>
                              </w:rPr>
                            </w:pPr>
                            <w:r>
                              <w:rPr>
                                <w:bCs/>
                              </w:rPr>
                              <w:t>sausas</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ind w:left="-41" w:right="-60"/>
                              <w:jc w:val="center"/>
                              <w:rPr>
                                <w:rFonts w:eastAsia="Calibri"/>
                                <w:bCs/>
                                <w:spacing w:val="-4"/>
                                <w:szCs w:val="22"/>
                              </w:rPr>
                            </w:pPr>
                            <w:r>
                              <w:rPr>
                                <w:bCs/>
                                <w:spacing w:val="-4"/>
                              </w:rPr>
                              <w:t>drėgnas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2"/>
                              </w:rPr>
                            </w:pP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1.</w:t>
                              <w:tab/>
                            </w:r>
                          </w:p>
                        </w:tc>
                        <w:tc>
                          <w:tcPr>
                            <w:tcW w:w="1619" w:type="pct"/>
                            <w:vMerge w:val="restar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Polistireninis putplastis „EPS”</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10–15</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30</w:t>
                            </w:r>
                          </w:p>
                        </w:tc>
                        <w:tc>
                          <w:tcPr>
                            <w:tcW w:w="1007" w:type="pct"/>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1450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2.</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16–20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3.</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21–25</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45</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4.</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26–35</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5.</w:t>
                              <w:tab/>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36–50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2"/>
                              </w:rPr>
                            </w:pP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6.</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Polistireninis putplastis „XPS”</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20–65</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150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150</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1450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 w:val="left" w:pos="960"/>
                                <w:tab w:val="left" w:pos="1440"/>
                                <w:tab w:val="left" w:pos="1920"/>
                                <w:tab w:val="left" w:pos="2400"/>
                                <w:tab w:val="left" w:pos="2880"/>
                                <w:tab w:val="left" w:pos="3360"/>
                                <w:tab w:val="left" w:pos="3840"/>
                                <w:tab w:val="left" w:pos="4320"/>
                              </w:tabs>
                              <w:spacing w:line="276" w:lineRule="auto"/>
                              <w:rPr>
                                <w:spacing w:val="-10"/>
                                <w:szCs w:val="24"/>
                              </w:rPr>
                            </w:pPr>
                            <w:r>
                              <w:rPr>
                                <w:spacing w:val="-10"/>
                                <w:szCs w:val="24"/>
                              </w:rPr>
                              <w:t>7.</w:t>
                              <w:tab/>
                            </w:r>
                          </w:p>
                        </w:tc>
                        <w:tc>
                          <w:tcPr>
                            <w:tcW w:w="1619" w:type="pct"/>
                            <w:tcBorders>
                              <w:top w:val="single" w:sz="4" w:space="0" w:color="auto"/>
                              <w:left w:val="single" w:sz="4" w:space="0" w:color="auto"/>
                              <w:bottom w:val="single" w:sz="4" w:space="0" w:color="auto"/>
                              <w:right w:val="single" w:sz="4" w:space="0" w:color="auto"/>
                            </w:tcBorders>
                            <w:hideMark/>
                          </w:tcPr>
                          <w:p>
                            <w:pPr>
                              <w:tabs>
                                <w:tab w:val="left" w:pos="720"/>
                                <w:tab w:val="left" w:pos="960"/>
                                <w:tab w:val="left" w:pos="1440"/>
                                <w:tab w:val="left" w:pos="1920"/>
                                <w:tab w:val="left" w:pos="2400"/>
                                <w:tab w:val="left" w:pos="2880"/>
                                <w:tab w:val="left" w:pos="3360"/>
                                <w:tab w:val="left" w:pos="3840"/>
                                <w:tab w:val="left" w:pos="4320"/>
                              </w:tabs>
                              <w:spacing w:line="276" w:lineRule="auto"/>
                              <w:rPr>
                                <w:spacing w:val="-10"/>
                                <w:szCs w:val="24"/>
                              </w:rPr>
                            </w:pPr>
                            <w:r>
                              <w:rPr>
                                <w:spacing w:val="-10"/>
                                <w:szCs w:val="24"/>
                              </w:rPr>
                              <w:t xml:space="preserve">Poliuretaninis putplastis </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t>28–55</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60</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8.</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Mineralinė vata</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pacing w:val="-8"/>
                                <w:szCs w:val="22"/>
                              </w:rPr>
                            </w:pPr>
                            <w:r>
                              <w:rPr>
                                <w:spacing w:val="-8"/>
                              </w:rPr>
                              <w:t>10–200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1030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9.</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Fenolinis putplastis</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20–50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50</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10.</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Putstiklis</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pacing w:val="-12"/>
                                <w:szCs w:val="22"/>
                              </w:rPr>
                            </w:pPr>
                            <w:r>
                              <w:rPr>
                                <w:spacing w:val="-12"/>
                              </w:rPr>
                              <w:t>100–150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sym w:font="Symbol" w:char="F0A5"/>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sym w:font="Symbol" w:char="F0A5"/>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11.</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Perlito su bitumu gaminiai </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pacing w:val="-12"/>
                                <w:szCs w:val="22"/>
                              </w:rPr>
                            </w:pPr>
                            <w:r>
                              <w:rPr>
                                <w:spacing w:val="-12"/>
                              </w:rPr>
                              <w:t>200–400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900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12.</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Fenolio-formaldehidinis arba karbamido-formaldehidinis putplastis </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10–30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pacing w:val="-8"/>
                                <w:szCs w:val="22"/>
                              </w:rPr>
                            </w:pPr>
                            <w:r>
                              <w:rPr>
                                <w:rFonts w:eastAsia="Calibri"/>
                                <w:spacing w:val="-8"/>
                                <w:szCs w:val="22"/>
                              </w:rPr>
                              <w:t>13.</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pacing w:val="-8"/>
                                <w:szCs w:val="22"/>
                              </w:rPr>
                            </w:pPr>
                            <w:r>
                              <w:t>Birioji celiuliozės pluošto vata</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20–60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1600</w:t>
                            </w:r>
                          </w:p>
                        </w:tc>
                      </w:tr>
                      <w:tr>
                        <w:trPr>
                          <w:cantSplit/>
                          <w:trHeight w:val="176"/>
                        </w:trPr>
                        <w:tc>
                          <w:tcPr>
                            <w:tcW w:w="298" w:type="pct"/>
                            <w:tcBorders>
                              <w:top w:val="single" w:sz="4" w:space="0" w:color="auto"/>
                              <w:left w:val="single" w:sz="4" w:space="0" w:color="auto"/>
                              <w:bottom w:val="single" w:sz="4" w:space="0" w:color="auto"/>
                              <w:right w:val="single" w:sz="4" w:space="0" w:color="auto"/>
                            </w:tcBorders>
                          </w:tcPr>
                          <w:p>
                            <w:pPr>
                              <w:tabs>
                                <w:tab w:val="left" w:pos="720"/>
                              </w:tabs>
                              <w:spacing w:line="276" w:lineRule="auto"/>
                              <w:rPr>
                                <w:rFonts w:eastAsia="Calibri"/>
                                <w:szCs w:val="22"/>
                              </w:rPr>
                            </w:pPr>
                            <w:r>
                              <w:rPr>
                                <w:rFonts w:eastAsia="Calibri"/>
                                <w:szCs w:val="22"/>
                              </w:rPr>
                              <w:t>14.</w:t>
                              <w:tab/>
                            </w:r>
                          </w:p>
                        </w:tc>
                        <w:tc>
                          <w:tcPr>
                            <w:tcW w:w="1619"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Polistireninio putplasčio „EPS“ granulės</w:t>
                            </w:r>
                          </w:p>
                        </w:tc>
                        <w:tc>
                          <w:tcPr>
                            <w:tcW w:w="558"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10–30</w:t>
                            </w:r>
                          </w:p>
                        </w:tc>
                        <w:tc>
                          <w:tcPr>
                            <w:tcW w:w="746"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772"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100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1400</w:t>
                            </w:r>
                          </w:p>
                        </w:tc>
                      </w:tr>
                      <w:tr>
                        <w:trPr>
                          <w:cantSplit/>
                          <w:trHeight w:val="176"/>
                        </w:trPr>
                        <w:tc>
                          <w:tcPr>
                            <w:tcW w:w="5000" w:type="pct"/>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bCs/>
                                <w:spacing w:val="-4"/>
                                <w:szCs w:val="22"/>
                              </w:rPr>
                            </w:pPr>
                            <w:r>
                              <w:rPr>
                                <w:bCs/>
                              </w:rPr>
                              <w:t>Pastaba:</w:t>
                            </w:r>
                            <w:r>
                              <w:t xml:space="preserve"> šioje lentelėje pateiktos šiluminių techninių rodiklių vertės atitinka nurodytas [3.37], lentelė papildyta duomenimis apie statybos produktus, kurie [3.37] duomenų lentelėse nepaminėti.  </w:t>
                            </w:r>
                          </w:p>
                        </w:tc>
                      </w:tr>
                    </w:tbl>
                    <w:p>
                      <w:pPr>
                        <w:ind w:left="993" w:hanging="426"/>
                        <w:rPr>
                          <w:rFonts w:eastAsia="Calibri"/>
                          <w:szCs w:val="22"/>
                          <w:lang w:eastAsia="lt-LT"/>
                        </w:rPr>
                      </w:pPr>
                    </w:p>
                    <w:p>
                      <w:pPr>
                        <w:ind w:firstLine="629"/>
                        <w:jc w:val="both"/>
                        <w:rPr>
                          <w:szCs w:val="24"/>
                          <w:lang w:eastAsia="lt-LT"/>
                        </w:rPr>
                      </w:pPr>
                    </w:p>
                    <w:p>
                      <w:pPr>
                        <w:ind w:firstLine="567"/>
                        <w:jc w:val="both"/>
                        <w:rPr>
                          <w:szCs w:val="24"/>
                          <w:lang w:eastAsia="lt-LT"/>
                        </w:rPr>
                      </w:pPr>
                    </w:p>
                  </w:sdtContent>
                </w:sdt>
              </w:sdtContent>
            </w:sdt>
            <w:sdt>
              <w:sdtPr>
                <w:alias w:val="skirsnis"/>
                <w:tag w:val="part_0de95c3fd17d433fba1aed6eb34cc9cc"/>
                <w:lock w:val="sdtLocked"/>
                <w:richText/>
              </w:sdtPr>
              <w:sdtContent>
                <w:p>
                  <w:pPr>
                    <w:keepNext/>
                    <w:tabs>
                      <w:tab w:val="left" w:pos="851"/>
                    </w:tabs>
                    <w:jc w:val="center"/>
                    <w:rPr>
                      <w:b/>
                      <w:bCs/>
                      <w:szCs w:val="24"/>
                    </w:rPr>
                  </w:pPr>
                  <w:sdt>
                    <w:sdtPr>
                      <w:alias w:val="Pavadinimas"/>
                      <w:tag w:val="title_0de95c3fd17d433fba1aed6eb34cc9cc"/>
                      <w:lock w:val="sdtLocked"/>
                      <w:richText/>
                    </w:sdtPr>
                    <w:sdtContent>
                      <w:r>
                        <w:rPr>
                          <w:b/>
                          <w:bCs/>
                          <w:szCs w:val="24"/>
                        </w:rPr>
                        <w:t>Plonųjų statybos produktų vandens garų varžai lygiaverčio oro sluoksnio storio vertės atitvarų drėgminei būklei projektuoti [3.37]</w:t>
                      </w:r>
                    </w:sdtContent>
                  </w:sdt>
                </w:p>
                <w:sdt>
                  <w:sdtPr>
                    <w:alias w:val="lentele"/>
                    <w:tag w:val="part_31e42503f85d4020955c7b54c02497f1"/>
                    <w:lock w:val="sdtLocked"/>
                    <w:richText/>
                  </w:sdtPr>
                  <w:sdtContent>
                    <w:p>
                      <w:pPr>
                        <w:jc w:val="right"/>
                        <w:rPr>
                          <w:color w:val="000000" w:themeColor="text1"/>
                        </w:rPr>
                      </w:pPr>
                      <w:sdt>
                        <w:sdtPr>
                          <w:alias w:val="Numeris"/>
                          <w:tag w:val="nr_31e42503f85d4020955c7b54c02497f1"/>
                          <w:lock w:val="sdtLocked"/>
                          <w:richText/>
                        </w:sdtPr>
                        <w:sdtContent>
                          <w:r>
                            <w:rPr>
                              <w:color w:val="000000" w:themeColor="text1"/>
                            </w:rPr>
                            <w:t>9.4</w:t>
                          </w:r>
                        </w:sdtContent>
                      </w:sdt>
                      <w:r>
                        <w:rPr>
                          <w:color w:val="000000" w:themeColor="text1"/>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4855"/>
                        <w:gridCol w:w="4102"/>
                      </w:tblGrid>
                      <w:tr>
                        <w:tc>
                          <w:tcPr>
                            <w:tcW w:w="456" w:type="pct"/>
                            <w:tcBorders>
                              <w:top w:val="single" w:sz="4" w:space="0" w:color="auto"/>
                              <w:left w:val="single" w:sz="4" w:space="0" w:color="auto"/>
                              <w:bottom w:val="single" w:sz="4" w:space="0" w:color="auto"/>
                              <w:right w:val="single" w:sz="4" w:space="0" w:color="auto"/>
                            </w:tcBorders>
                            <w:vAlign w:val="center"/>
                            <w:hideMark/>
                          </w:tcPr>
                          <w:p>
                            <w:pPr>
                              <w:rPr>
                                <w:color w:val="000000" w:themeColor="text1"/>
                                <w:sz w:val="18"/>
                                <w:szCs w:val="18"/>
                              </w:rPr>
                            </w:pPr>
                          </w:p>
                          <w:p>
                            <w:pPr>
                              <w:keepNext/>
                              <w:keepLines/>
                              <w:spacing w:line="276" w:lineRule="auto"/>
                              <w:outlineLvl w:val="2"/>
                              <w:rPr>
                                <w:rFonts w:ascii="Times New Roman Bold" w:hAnsi="Times New Roman Bold"/>
                                <w:bCs/>
                                <w:color w:val="000000" w:themeColor="text1"/>
                              </w:rPr>
                            </w:pPr>
                            <w:r>
                              <w:rPr>
                                <w:bCs/>
                                <w:caps/>
                                <w:color w:val="000000" w:themeColor="text1"/>
                              </w:rPr>
                              <w:t>Eil.</w:t>
                            </w:r>
                          </w:p>
                          <w:p>
                            <w:pPr>
                              <w:spacing w:line="276" w:lineRule="auto"/>
                              <w:jc w:val="center"/>
                              <w:rPr>
                                <w:rFonts w:eastAsia="Calibri"/>
                                <w:color w:val="000000" w:themeColor="text1"/>
                                <w:szCs w:val="24"/>
                              </w:rPr>
                            </w:pPr>
                            <w:r>
                              <w:rPr>
                                <w:color w:val="000000" w:themeColor="text1"/>
                              </w:rPr>
                              <w:t>Nr.</w:t>
                            </w:r>
                          </w:p>
                        </w:tc>
                        <w:tc>
                          <w:tcPr>
                            <w:tcW w:w="2463" w:type="pct"/>
                            <w:tcBorders>
                              <w:top w:val="single" w:sz="4" w:space="0" w:color="auto"/>
                              <w:left w:val="single" w:sz="4" w:space="0" w:color="auto"/>
                              <w:bottom w:val="single" w:sz="4" w:space="0" w:color="auto"/>
                              <w:right w:val="single" w:sz="4" w:space="0" w:color="auto"/>
                            </w:tcBorders>
                            <w:vAlign w:val="center"/>
                            <w:hideMark/>
                          </w:tcPr>
                          <w:p>
                            <w:pPr>
                              <w:rPr>
                                <w:color w:val="000000" w:themeColor="text1"/>
                                <w:sz w:val="18"/>
                                <w:szCs w:val="18"/>
                              </w:rPr>
                            </w:pPr>
                          </w:p>
                          <w:p>
                            <w:pPr>
                              <w:keepNext/>
                              <w:keepLines/>
                              <w:spacing w:line="276" w:lineRule="auto"/>
                              <w:outlineLvl w:val="2"/>
                              <w:rPr>
                                <w:bCs/>
                                <w:color w:val="000000" w:themeColor="text1"/>
                              </w:rPr>
                            </w:pPr>
                            <w:r>
                              <w:rPr>
                                <w:color w:val="000000" w:themeColor="text1"/>
                              </w:rPr>
                              <w:t>Statybos produkto apibūdinimas</w:t>
                            </w:r>
                          </w:p>
                        </w:tc>
                        <w:tc>
                          <w:tcPr>
                            <w:tcW w:w="2081"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4"/>
                              </w:rPr>
                            </w:pPr>
                            <w:r>
                              <w:rPr>
                                <w:bCs/>
                                <w:color w:val="000000" w:themeColor="text1"/>
                              </w:rPr>
                              <w:t>Vandens garų varžai lygiaverčio</w:t>
                            </w:r>
                          </w:p>
                          <w:p>
                            <w:pPr>
                              <w:spacing w:line="276" w:lineRule="auto"/>
                              <w:jc w:val="center"/>
                              <w:rPr>
                                <w:bCs/>
                                <w:color w:val="000000" w:themeColor="text1"/>
                                <w:szCs w:val="22"/>
                              </w:rPr>
                            </w:pPr>
                            <w:r>
                              <w:rPr>
                                <w:bCs/>
                                <w:color w:val="000000" w:themeColor="text1"/>
                              </w:rPr>
                              <w:t>oro sluoksnio storis</w:t>
                            </w:r>
                          </w:p>
                          <w:p>
                            <w:pPr>
                              <w:spacing w:line="276" w:lineRule="auto"/>
                              <w:jc w:val="center"/>
                              <w:rPr>
                                <w:rFonts w:eastAsia="Calibri"/>
                                <w:bCs/>
                                <w:color w:val="000000" w:themeColor="text1"/>
                                <w:szCs w:val="22"/>
                              </w:rPr>
                            </w:pPr>
                            <w:r>
                              <w:rPr>
                                <w:bCs/>
                                <w:i/>
                                <w:iCs/>
                                <w:color w:val="000000" w:themeColor="text1"/>
                              </w:rPr>
                              <w:t>S</w:t>
                            </w:r>
                            <w:r>
                              <w:rPr>
                                <w:bCs/>
                                <w:i/>
                                <w:iCs/>
                                <w:color w:val="000000" w:themeColor="text1"/>
                                <w:vertAlign w:val="subscript"/>
                              </w:rPr>
                              <w:t>d</w:t>
                            </w:r>
                            <w:r>
                              <w:rPr>
                                <w:bCs/>
                                <w:color w:val="000000" w:themeColor="text1"/>
                              </w:rPr>
                              <w:t>, m</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1.</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Polietileno plėvelė 0,15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50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2.</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Polietileno plėvelė 0,25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100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3.</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Poliesterio plėvelė 0,2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50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4.</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Polivinilchlorido (PVC) plėvelė</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30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5.</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Aliuminio folija 0,05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1500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6.</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Polietileno folija (PE) 0,15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8</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7.</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Bitumuotasis popierius 0,1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2</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8.</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Aliuminiu dengtas popierius 0,4 mm</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10</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9.</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Difuzinės membranos</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0,2</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10.</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Emulsiniai dažai</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0,1</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11.</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Blizgantieji dažai</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3</w:t>
                            </w:r>
                          </w:p>
                        </w:tc>
                      </w:tr>
                      <w:tr>
                        <w:tc>
                          <w:tcPr>
                            <w:tcW w:w="456" w:type="pct"/>
                            <w:tcBorders>
                              <w:top w:val="single" w:sz="4" w:space="0" w:color="auto"/>
                              <w:left w:val="single" w:sz="4" w:space="0" w:color="auto"/>
                              <w:bottom w:val="single" w:sz="4" w:space="0" w:color="auto"/>
                              <w:right w:val="single" w:sz="4" w:space="0" w:color="auto"/>
                            </w:tcBorders>
                            <w:vAlign w:val="center"/>
                          </w:tcPr>
                          <w:p>
                            <w:pPr>
                              <w:tabs>
                                <w:tab w:val="left" w:pos="720"/>
                              </w:tabs>
                              <w:spacing w:line="276" w:lineRule="auto"/>
                              <w:jc w:val="center"/>
                              <w:rPr>
                                <w:rFonts w:eastAsia="Calibri"/>
                                <w:color w:val="000000" w:themeColor="text1"/>
                                <w:szCs w:val="22"/>
                              </w:rPr>
                            </w:pPr>
                            <w:r>
                              <w:rPr>
                                <w:rFonts w:eastAsia="Calibri"/>
                                <w:color w:val="000000" w:themeColor="text1"/>
                                <w:szCs w:val="22"/>
                              </w:rPr>
                              <w:t>12.</w:t>
                              <w:tab/>
                            </w:r>
                          </w:p>
                        </w:tc>
                        <w:tc>
                          <w:tcPr>
                            <w:tcW w:w="2463"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xml:space="preserve">Viniliniai tapetai </w:t>
                            </w:r>
                          </w:p>
                        </w:tc>
                        <w:tc>
                          <w:tcPr>
                            <w:tcW w:w="2081" w:type="pct"/>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2</w:t>
                            </w:r>
                          </w:p>
                        </w:tc>
                      </w:tr>
                      <w:tr>
                        <w:trPr>
                          <w:cantSplit/>
                        </w:trPr>
                        <w:tc>
                          <w:tcPr>
                            <w:tcW w:w="5000" w:type="pct"/>
                            <w:gridSpan w:val="3"/>
                            <w:tcBorders>
                              <w:top w:val="single" w:sz="4" w:space="0" w:color="auto"/>
                              <w:left w:val="single" w:sz="4" w:space="0" w:color="auto"/>
                              <w:bottom w:val="single" w:sz="4" w:space="0" w:color="auto"/>
                              <w:right w:val="single" w:sz="4" w:space="0" w:color="auto"/>
                            </w:tcBorders>
                            <w:hideMark/>
                          </w:tcPr>
                          <w:p>
                            <w:pPr>
                              <w:spacing w:line="276" w:lineRule="auto"/>
                              <w:rPr>
                                <w:rFonts w:eastAsia="Calibri"/>
                                <w:color w:val="000000" w:themeColor="text1"/>
                              </w:rPr>
                            </w:pPr>
                            <w:r>
                              <w:rPr>
                                <w:bCs/>
                                <w:caps/>
                                <w:color w:val="000000" w:themeColor="text1"/>
                              </w:rPr>
                              <w:t>Pastabos</w:t>
                            </w:r>
                            <w:r>
                              <w:rPr>
                                <w:bCs/>
                                <w:color w:val="000000" w:themeColor="text1"/>
                              </w:rPr>
                              <w:t>:</w:t>
                            </w:r>
                          </w:p>
                          <w:p>
                            <w:pPr>
                              <w:spacing w:line="276" w:lineRule="auto"/>
                              <w:jc w:val="both"/>
                              <w:rPr>
                                <w:color w:val="000000" w:themeColor="text1"/>
                              </w:rPr>
                            </w:pPr>
                            <w:r>
                              <w:rPr>
                                <w:color w:val="000000" w:themeColor="text1"/>
                              </w:rPr>
                              <w:t>1. Vandens garų varžai lygiaverčio sluoksnio storis yra nejudančio oro sluoksnio storis, kurio vandens garų varža yra tokia kaip ir gaminio.</w:t>
                            </w:r>
                          </w:p>
                          <w:p>
                            <w:pPr>
                              <w:tabs>
                                <w:tab w:val="left" w:pos="294"/>
                              </w:tabs>
                              <w:spacing w:line="276" w:lineRule="auto"/>
                              <w:jc w:val="both"/>
                              <w:rPr>
                                <w:color w:val="000000" w:themeColor="text1"/>
                              </w:rPr>
                            </w:pPr>
                            <w:r>
                              <w:rPr>
                                <w:color w:val="000000" w:themeColor="text1"/>
                              </w:rPr>
                              <w:t>2. Lentelėje pateiktų gaminių storis paprastai nematuojamas, jie yra vertinami kaip labai ploni gaminiai, turintys garinę varžą. Lentelėje pateiktos nominalios gaminiams identifikuoti naudojamos storio vertės.</w:t>
                            </w:r>
                          </w:p>
                          <w:p>
                            <w:pPr>
                              <w:tabs>
                                <w:tab w:val="left" w:pos="294"/>
                              </w:tabs>
                              <w:spacing w:line="276" w:lineRule="auto"/>
                              <w:jc w:val="both"/>
                              <w:rPr>
                                <w:rFonts w:eastAsia="Calibri"/>
                                <w:color w:val="000000" w:themeColor="text1"/>
                                <w:szCs w:val="22"/>
                              </w:rPr>
                            </w:pPr>
                            <w:r>
                              <w:rPr>
                                <w:color w:val="000000" w:themeColor="text1"/>
                              </w:rPr>
                              <w:t xml:space="preserve">3. Kai lentelėje pateikta daugiau kaip viena tos pačios medžiagos </w:t>
                            </w:r>
                            <w:r>
                              <w:rPr>
                                <w:i/>
                                <w:color w:val="000000" w:themeColor="text1"/>
                              </w:rPr>
                              <w:t>s</w:t>
                            </w:r>
                            <w:r>
                              <w:rPr>
                                <w:i/>
                                <w:color w:val="000000" w:themeColor="text1"/>
                                <w:vertAlign w:val="subscript"/>
                              </w:rPr>
                              <w:t>d</w:t>
                            </w:r>
                            <w:r>
                              <w:rPr>
                                <w:color w:val="000000" w:themeColor="text1"/>
                              </w:rPr>
                              <w:t xml:space="preserve"> (m) vertė, kuri priklauso nuo medžiagos storio, tarpinei vertei apskaičiuoti gali būti naudojama linijinė interpoliacija.</w:t>
                            </w:r>
                          </w:p>
                        </w:tc>
                      </w:tr>
                    </w:tbl>
                    <w:p>
                      <w:pPr>
                        <w:ind w:firstLine="567"/>
                        <w:jc w:val="both"/>
                        <w:rPr>
                          <w:color w:val="000000" w:themeColor="text1"/>
                          <w:szCs w:val="24"/>
                          <w:lang w:eastAsia="lt-LT"/>
                        </w:rPr>
                      </w:pPr>
                    </w:p>
                  </w:sdtContent>
                </w:sdt>
              </w:sdtContent>
            </w:sdt>
          </w:sdtContent>
        </w:sdt>
        <w:sdt>
          <w:sdtPr>
            <w:alias w:val="9 pr. 3 p."/>
            <w:tag w:val="part_6f163833a3b44f4782d03c9e52c4f3c1"/>
            <w:lock w:val="sdtLocked"/>
            <w:richText/>
          </w:sdtPr>
          <w:sdtContent>
            <w:p>
              <w:pPr>
                <w:ind w:firstLine="567"/>
                <w:jc w:val="both"/>
                <w:rPr>
                  <w:szCs w:val="24"/>
                  <w:lang w:eastAsia="lt-LT"/>
                </w:rPr>
              </w:pPr>
              <w:sdt>
                <w:sdtPr>
                  <w:alias w:val="Numeris"/>
                  <w:tag w:val="nr_6f163833a3b44f4782d03c9e52c4f3c1"/>
                  <w:lock w:val="sdtLocked"/>
                  <w:richText/>
                </w:sdtPr>
                <w:sdtContent>
                  <w:r>
                    <w:rPr>
                      <w:szCs w:val="24"/>
                      <w:lang w:eastAsia="lt-LT"/>
                    </w:rPr>
                    <w:t>3</w:t>
                  </w:r>
                </w:sdtContent>
              </w:sdt>
              <w:r>
                <w:rPr>
                  <w:szCs w:val="24"/>
                  <w:lang w:eastAsia="lt-LT"/>
                </w:rPr>
                <w:t>. Kai 9.2–9.3 lentelėse pateikta daugiau kaip viena tos pačios medžiagos šilumos laidumo koeficiento, savitosios šiluminės talpos arba vandens garų varžos faktoriaus vertė, kuri priklauso nuo medžiagos tankio, tarpinei vertei apskaičiuoti gali būti naudojama linijinė interpoliacija.</w:t>
              </w:r>
            </w:p>
          </w:sdtContent>
        </w:sdt>
        <w:sdt>
          <w:sdtPr>
            <w:alias w:val="9 pr. 4 p."/>
            <w:tag w:val="part_4126cde7bb7e4163a77760985757d499"/>
            <w:lock w:val="sdtLocked"/>
            <w:richText/>
          </w:sdtPr>
          <w:sdtContent>
            <w:p>
              <w:pPr>
                <w:ind w:firstLine="567"/>
                <w:jc w:val="both"/>
                <w:rPr>
                  <w:color w:val="000000" w:themeColor="text1"/>
                </w:rPr>
              </w:pPr>
              <w:sdt>
                <w:sdtPr>
                  <w:alias w:val="Numeris"/>
                  <w:tag w:val="nr_4126cde7bb7e4163a77760985757d499"/>
                  <w:lock w:val="sdtLocked"/>
                  <w:richText/>
                </w:sdtPr>
                <w:sdtContent>
                  <w:r>
                    <w:rPr>
                      <w:color w:val="000000" w:themeColor="text1"/>
                    </w:rPr>
                    <w:t>4</w:t>
                  </w:r>
                </w:sdtContent>
              </w:sdt>
              <w:r>
                <w:rPr>
                  <w:color w:val="000000" w:themeColor="text1"/>
                </w:rPr>
                <w:t>. 9.2–9.3 lentelėse nurodytos sausomis sąlygomis nustatytos vandens garų varžos faktoriaus vertės taikomos, kai medžiagos aplinkos santykinis oro drėgnis mažesnis kaip 70 %. Drėgnomis sąlygomis nustatytos vandens garų varžos faktoriaus vertės taikomos, kai medžiagos aplinkos santykinis oro drėgnis lygus 70 % arba didesnis. Šildomiems pastatams sausomis sąlygomis nustatytos vandens garų varžos faktoriaus vertės taikomos vidinėje termoizoliacinio sluoksnio pusėje esančioms medžiagos, o drėgnomis sąlygomis nustatytos vandens garų varžos faktoriaus vertės taikomos išorinėje termoizoliacinio sluoksnio pusėje esančioms medžiagoms.</w:t>
              </w:r>
            </w:p>
          </w:sdtContent>
        </w:sdt>
        <w:sdt>
          <w:sdtPr>
            <w:alias w:val="9 pr. 5 p."/>
            <w:tag w:val="part_6027a174862a4a12a672974a13ca373a"/>
            <w:lock w:val="sdtLocked"/>
            <w:richText/>
          </w:sdtPr>
          <w:sdtContent>
            <w:p>
              <w:pPr>
                <w:ind w:firstLine="567"/>
                <w:jc w:val="both"/>
                <w:rPr>
                  <w:color w:val="000000" w:themeColor="text1"/>
                </w:rPr>
              </w:pPr>
              <w:sdt>
                <w:sdtPr>
                  <w:alias w:val="Numeris"/>
                  <w:tag w:val="nr_6027a174862a4a12a672974a13ca373a"/>
                  <w:lock w:val="sdtLocked"/>
                  <w:richText/>
                </w:sdtPr>
                <w:sdtContent>
                  <w:r>
                    <w:rPr>
                      <w:color w:val="000000" w:themeColor="text1"/>
                    </w:rPr>
                    <w:t>5</w:t>
                  </w:r>
                </w:sdtContent>
              </w:sdt>
              <w:r>
                <w:rPr>
                  <w:color w:val="000000" w:themeColor="text1"/>
                </w:rPr>
                <w:t xml:space="preserve">. Bet kurį metų mėnesį didžiausias leistinas drėgmės kiekis atitvarose esančiuose statybos produktuose </w:t>
              </w:r>
              <w:r>
                <w:rPr>
                  <w:i/>
                  <w:color w:val="000000" w:themeColor="text1"/>
                </w:rPr>
                <w:t>u</w:t>
              </w:r>
              <w:r>
                <w:rPr>
                  <w:i/>
                  <w:color w:val="000000" w:themeColor="text1"/>
                  <w:vertAlign w:val="subscript"/>
                </w:rPr>
                <w:t>max</w:t>
              </w:r>
              <w:r>
                <w:rPr>
                  <w:color w:val="000000" w:themeColor="text1"/>
                  <w:vertAlign w:val="subscript"/>
                </w:rPr>
                <w:t xml:space="preserve"> </w:t>
              </w:r>
              <w:r>
                <w:rPr>
                  <w:color w:val="000000" w:themeColor="text1"/>
                </w:rPr>
                <w:t>(kg/kg) turi būti ne didesnis už nurodytą 9.5 lentelėje.</w:t>
              </w:r>
            </w:p>
            <w:p>
              <w:pPr>
                <w:ind w:firstLine="567"/>
                <w:rPr>
                  <w:color w:val="000000" w:themeColor="text1"/>
                </w:rPr>
              </w:pPr>
            </w:p>
            <w:sdt>
              <w:sdtPr>
                <w:alias w:val="skirsnis"/>
                <w:tag w:val="part_f15618a6142b4567b7124f3ca2d2c59a"/>
                <w:lock w:val="sdtLocked"/>
                <w:richText/>
              </w:sdtPr>
              <w:sdtContent>
                <w:p>
                  <w:pPr>
                    <w:jc w:val="center"/>
                    <w:rPr>
                      <w:b/>
                    </w:rPr>
                  </w:pPr>
                  <w:sdt>
                    <w:sdtPr>
                      <w:alias w:val="Pavadinimas"/>
                      <w:tag w:val="title_f15618a6142b4567b7124f3ca2d2c59a"/>
                      <w:lock w:val="sdtLocked"/>
                      <w:richText/>
                    </w:sdtPr>
                    <w:sdtContent>
                      <w:r>
                        <w:rPr>
                          <w:b/>
                        </w:rPr>
                        <w:t xml:space="preserve">Didžiausias leistinas drėgmės kiekis atitvarose esančiuose statybos produktuose </w:t>
                      </w:r>
                      <w:r>
                        <w:rPr>
                          <w:b/>
                          <w:i/>
                        </w:rPr>
                        <w:t>u</w:t>
                      </w:r>
                      <w:r>
                        <w:rPr>
                          <w:b/>
                          <w:i/>
                          <w:vertAlign w:val="subscript"/>
                        </w:rPr>
                        <w:t>max</w:t>
                      </w:r>
                      <w:r>
                        <w:rPr>
                          <w:b/>
                          <w:vertAlign w:val="subscript"/>
                        </w:rPr>
                        <w:t xml:space="preserve"> </w:t>
                      </w:r>
                      <w:r>
                        <w:rPr>
                          <w:b/>
                        </w:rPr>
                        <w:t xml:space="preserve"> (kg/kg)</w:t>
                      </w:r>
                    </w:sdtContent>
                  </w:sdt>
                </w:p>
                <w:sdt>
                  <w:sdtPr>
                    <w:alias w:val="lentele"/>
                    <w:tag w:val="part_6b5407ac4b244740aa8f45cba5fb08fa"/>
                    <w:lock w:val="sdtLocked"/>
                    <w:richText/>
                  </w:sdtPr>
                  <w:sdtContent>
                    <w:p>
                      <w:pPr>
                        <w:ind w:firstLine="567"/>
                        <w:jc w:val="right"/>
                      </w:pPr>
                      <w:sdt>
                        <w:sdtPr>
                          <w:alias w:val="Numeris"/>
                          <w:tag w:val="nr_6b5407ac4b244740aa8f45cba5fb08fa"/>
                          <w:lock w:val="sdtLocked"/>
                          <w:richText/>
                        </w:sdtPr>
                        <w:sdtContent>
                          <w:r>
                            <w:t>9.5</w:t>
                          </w:r>
                        </w:sdtContent>
                      </w:sdt>
                      <w: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6183"/>
                        <w:gridCol w:w="2856"/>
                      </w:tblGrid>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Eil. Nr.</w:t>
                            </w:r>
                          </w:p>
                        </w:tc>
                        <w:tc>
                          <w:tcPr>
                            <w:tcW w:w="3137"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Statybos produkto apibūdinimas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i/>
                              </w:rPr>
                            </w:pPr>
                            <w:r>
                              <w:rPr>
                                <w:i/>
                              </w:rPr>
                              <w:t>u</w:t>
                            </w:r>
                            <w:r>
                              <w:rPr>
                                <w:i/>
                                <w:vertAlign w:val="subscript"/>
                              </w:rPr>
                              <w:t xml:space="preserve">max </w:t>
                            </w:r>
                            <w:r>
                              <w:rPr>
                                <w:i/>
                              </w:rPr>
                              <w:t>,</w:t>
                            </w:r>
                          </w:p>
                          <w:p>
                            <w:pPr>
                              <w:spacing w:line="276" w:lineRule="auto"/>
                              <w:jc w:val="center"/>
                              <w:rPr>
                                <w:rFonts w:eastAsia="Calibri"/>
                                <w:i/>
                                <w:szCs w:val="22"/>
                              </w:rPr>
                            </w:pPr>
                            <w:r>
                              <w:rPr>
                                <w:i/>
                              </w:rPr>
                              <w:t>kg/kg</w:t>
                            </w:r>
                          </w:p>
                        </w:tc>
                      </w:tr>
                      <w:tr>
                        <w:trPr>
                          <w:trHeight w:val="137"/>
                        </w:trP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Mineralinė vata </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0,045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Pūstasis polistireninis putplastis (EPS) </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Ekstruzinis polistireninis putplastis (XPS) su žieve</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0,025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Ekstruzinis polistireninis putplastis (XPS) be žievės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0,06</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Poliuretaninis putplastis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Termoizoliaciniai statybos produktai iš polietileno </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7</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Termoizoliaciniai statybos produktai, kurių sudėtyje yra bitumo</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9</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Karbamido-formaldehidinis putplastis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Perlitas ir vermikulitas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0,25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12</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Keramzitas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13</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Organinės kilmės medžiagos – medienos gaminiai, pjuvenos, drožlės, spaliai, šiaudai, durpės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14</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Birioji celiuliozės pluošto vata</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0,2</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15</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Dujų gipsas </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0,2</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16</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Akytasis betonas, akytasis silikatas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0,18</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17</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Keramzitbetonis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0,06</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18</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Keraminių plytų mūras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19</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Silikatinių plytų mūras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0,06</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20</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Betonas, gelžbetonis</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21</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Mineralinis tinkas ir skiediniai</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22</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Gipso kartono plokštė (paprastoji)</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0,15</w:t>
                            </w:r>
                          </w:p>
                        </w:tc>
                      </w:tr>
                      <w:tr>
                        <w:tc>
                          <w:tcPr>
                            <w:tcW w:w="414"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23</w:t>
                            </w:r>
                          </w:p>
                        </w:tc>
                        <w:tc>
                          <w:tcPr>
                            <w:tcW w:w="3137" w:type="pct"/>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Gipso kartono plokštė (atspari drėgmei)</w:t>
                            </w:r>
                          </w:p>
                        </w:tc>
                        <w:tc>
                          <w:tcPr>
                            <w:tcW w:w="1449" w:type="pc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0,05</w:t>
                            </w:r>
                          </w:p>
                        </w:tc>
                      </w:tr>
                    </w:tbl>
                    <w:p>
                      <w:pPr>
                        <w:rPr>
                          <w:rFonts w:eastAsia="Calibri"/>
                          <w:szCs w:val="22"/>
                          <w:lang w:eastAsia="lt-LT"/>
                        </w:rPr>
                      </w:pPr>
                    </w:p>
                  </w:sdtContent>
                </w:sdt>
              </w:sdtContent>
            </w:sdt>
          </w:sdtContent>
        </w:sdt>
        <w:sdt>
          <w:sdtPr>
            <w:alias w:val="9 pr. 6 p."/>
            <w:tag w:val="part_4a0cfdcc4acb4ab9ab71d271c3096304"/>
            <w:lock w:val="sdtLocked"/>
            <w:richText/>
          </w:sdtPr>
          <w:sdtContent>
            <w:p>
              <w:pPr>
                <w:ind w:firstLine="567"/>
                <w:jc w:val="both"/>
                <w:rPr>
                  <w:color w:val="000000" w:themeColor="text1"/>
                </w:rPr>
              </w:pPr>
              <w:sdt>
                <w:sdtPr>
                  <w:alias w:val="Numeris"/>
                  <w:tag w:val="nr_4a0cfdcc4acb4ab9ab71d271c3096304"/>
                  <w:lock w:val="sdtLocked"/>
                  <w:richText/>
                </w:sdtPr>
                <w:sdtContent>
                  <w:r>
                    <w:rPr>
                      <w:color w:val="000000" w:themeColor="text1"/>
                    </w:rPr>
                    <w:t>6</w:t>
                  </w:r>
                </w:sdtContent>
              </w:sdt>
              <w:r>
                <w:rPr>
                  <w:color w:val="000000" w:themeColor="text1"/>
                </w:rPr>
                <w:t xml:space="preserve">. Kondensacijos lengvų atitvarų vidiniuose paviršiuose pagal </w:t>
              </w:r>
              <w:r>
                <w:rPr>
                  <w:bCs/>
                  <w:color w:val="000000" w:themeColor="text1"/>
                </w:rPr>
                <w:t>LST EN ISO 13788:2002</w:t>
              </w:r>
              <w:r>
                <w:rPr>
                  <w:color w:val="000000" w:themeColor="text1"/>
                </w:rPr>
                <w:t xml:space="preserve"> 5.4 punkto reikalavimus [3.38] skaičiavimams turi būti naudojami šie aplinkos duomenys:</w:t>
              </w:r>
            </w:p>
            <w:sdt>
              <w:sdtPr>
                <w:alias w:val="9 pr. 6.1 pp."/>
                <w:tag w:val="part_ea5a97a4ad294374a19301fc534f973b"/>
                <w:lock w:val="sdtLocked"/>
                <w:richText/>
              </w:sdtPr>
              <w:sdtContent>
                <w:p>
                  <w:pPr>
                    <w:ind w:firstLine="567"/>
                  </w:pPr>
                  <w:sdt>
                    <w:sdtPr>
                      <w:alias w:val="Numeris"/>
                      <w:tag w:val="nr_ea5a97a4ad294374a19301fc534f973b"/>
                      <w:lock w:val="sdtLocked"/>
                      <w:richText/>
                    </w:sdtPr>
                    <w:sdtContent>
                      <w:r>
                        <w:t>6.1</w:t>
                      </w:r>
                    </w:sdtContent>
                  </w:sdt>
                  <w:r>
                    <w:t>. -27 °C išorės oro temperatūra ir 95 % santykinis išorės oro drėgnis;</w:t>
                  </w:r>
                </w:p>
              </w:sdtContent>
            </w:sdt>
            <w:sdt>
              <w:sdtPr>
                <w:alias w:val="9 pr. 6.2 pp."/>
                <w:tag w:val="part_613d2937b44f4a278ebdef34e34565a4"/>
                <w:lock w:val="sdtLocked"/>
                <w:richText/>
              </w:sdtPr>
              <w:sdtContent>
                <w:p>
                  <w:pPr>
                    <w:ind w:firstLine="567"/>
                    <w:jc w:val="both"/>
                    <w:rPr>
                      <w:color w:val="000000" w:themeColor="text1"/>
                    </w:rPr>
                  </w:pPr>
                  <w:sdt>
                    <w:sdtPr>
                      <w:alias w:val="Numeris"/>
                      <w:tag w:val="nr_613d2937b44f4a278ebdef34e34565a4"/>
                      <w:lock w:val="sdtLocked"/>
                      <w:richText/>
                    </w:sdtPr>
                    <w:sdtContent>
                      <w:r>
                        <w:rPr>
                          <w:color w:val="000000" w:themeColor="text1"/>
                        </w:rPr>
                        <w:t>6.2</w:t>
                      </w:r>
                    </w:sdtContent>
                  </w:sdt>
                  <w:r>
                    <w:rPr>
                      <w:color w:val="000000" w:themeColor="text1"/>
                    </w:rPr>
                    <w:t xml:space="preserve">. projektinė šildomos patalpos, kurioje yra skaičiuojamoji atitvara, temperatūra. Jei ši temperatūra nežinoma, naudojama Reglamento 2 priede 2.4 lentelėje nurodyta projektinė pastato vidaus temperatūra šildymo sezono metu </w:t>
                  </w:r>
                  <w:r>
                    <w:rPr>
                      <w:i/>
                      <w:color w:val="000000" w:themeColor="text1"/>
                    </w:rPr>
                    <w:t>θ</w:t>
                  </w:r>
                  <w:r>
                    <w:rPr>
                      <w:i/>
                      <w:color w:val="000000" w:themeColor="text1"/>
                      <w:vertAlign w:val="subscript"/>
                    </w:rPr>
                    <w:t>iH</w:t>
                  </w:r>
                  <w:r>
                    <w:rPr>
                      <w:color w:val="000000" w:themeColor="text1"/>
                    </w:rPr>
                    <w:t xml:space="preserve"> (°C);</w:t>
                  </w:r>
                </w:p>
              </w:sdtContent>
            </w:sdt>
            <w:sdt>
              <w:sdtPr>
                <w:alias w:val="9 pr. 6.3 pp."/>
                <w:tag w:val="part_4e441a25bea54d68aa89ff6f30bc1dbe"/>
                <w:lock w:val="sdtLocked"/>
                <w:richText/>
              </w:sdtPr>
              <w:sdtContent>
                <w:p>
                  <w:pPr>
                    <w:ind w:firstLine="567"/>
                  </w:pPr>
                  <w:sdt>
                    <w:sdtPr>
                      <w:alias w:val="Numeris"/>
                      <w:tag w:val="nr_4e441a25bea54d68aa89ff6f30bc1dbe"/>
                      <w:lock w:val="sdtLocked"/>
                      <w:richText/>
                    </w:sdtPr>
                    <w:sdtContent>
                      <w:r>
                        <w:t>6.3</w:t>
                      </w:r>
                    </w:sdtContent>
                  </w:sdt>
                  <w:r>
                    <w:t xml:space="preserve">. kitų vidaus ir išorės aplinkų duomenų nustatymo tvarka nurodyta [3.38]. </w:t>
                  </w:r>
                </w:p>
              </w:sdtContent>
            </w:sdt>
          </w:sdtContent>
        </w:sdt>
        <w:sdt>
          <w:sdtPr>
            <w:alias w:val="pabaiga"/>
            <w:tag w:val="part_1f235a5db8d046d6b983bc8c26f56b7a"/>
            <w:lock w:val="sdtLocked"/>
            <w:richText/>
          </w:sdtPr>
          <w:sdtContent>
            <w:p>
              <w:pPr>
                <w:ind w:firstLine="567"/>
                <w:jc w:val="center"/>
                <w:rPr>
                  <w:color w:val="000000" w:themeColor="text1"/>
                </w:rPr>
              </w:pPr>
              <w:r>
                <w:rPr>
                  <w:color w:val="000000" w:themeColor="text1"/>
                </w:rPr>
                <w:t>_______________________</w:t>
              </w:r>
            </w:p>
          </w:sdtContent>
        </w:sdt>
      </w:sdtContent>
    </w:sdt>
    <w:sdt>
      <w:sdtPr>
        <w:alias w:val="10 pr."/>
        <w:tag w:val="part_5c87f51790ca40e7a2ca99405d1311b2"/>
        <w:lock w:val="sdtLocked"/>
        <w:richText/>
      </w:sdtPr>
      <w:sdtContent>
        <w:p>
          <w:pPr>
            <w:suppressAutoHyphens/>
            <w:ind w:left="5245"/>
            <w:sectPr>
              <w:headerReference w:type="even" r:id="rId91"/>
              <w:headerReference w:type="default" r:id="rId92"/>
              <w:footerReference w:type="even" r:id="rId93"/>
              <w:footerReference w:type="default" r:id="rId94"/>
              <w:headerReference w:type="first" r:id="rId95"/>
              <w:footerReference w:type="first" r:id="rId96"/>
              <w:pgSz w:w="11905" w:h="16837"/>
              <w:pgMar w:top="851" w:right="565" w:bottom="851" w:left="1701" w:header="567" w:footer="567" w:gutter="0"/>
              <w:pgNumType w:start="1"/>
              <w:cols w:space="1296"/>
              <w:titlePg/>
              <w:docGrid w:linePitch="326"/>
            </w:sectPr>
          </w:pPr>
        </w:p>
        <w:p>
          <w:pPr>
            <w:suppressAutoHyphens/>
            <w:ind w:left="5245"/>
            <w:rPr>
              <w:color w:val="000000"/>
              <w:lang w:eastAsia="lt-LT"/>
            </w:rPr>
          </w:pPr>
          <w:r>
            <w:rPr>
              <w:color w:val="000000"/>
              <w:lang w:eastAsia="lt-LT"/>
            </w:rPr>
            <w:t xml:space="preserve">Statybos techninio reglamento </w:t>
          </w:r>
        </w:p>
        <w:p>
          <w:pPr>
            <w:suppressAutoHyphens/>
            <w:ind w:left="5245"/>
            <w:rPr>
              <w:color w:val="000000"/>
              <w:lang w:eastAsia="lt-LT"/>
            </w:rPr>
          </w:pPr>
          <w:r>
            <w:rPr>
              <w:color w:val="000000"/>
              <w:lang w:eastAsia="lt-LT"/>
            </w:rPr>
            <w:t>STR 2.01.02:2016 „Pastatų energinio naudingumo projektavimas ir sertifikavimas“</w:t>
          </w:r>
        </w:p>
        <w:p>
          <w:pPr>
            <w:suppressAutoHyphens/>
            <w:ind w:left="5245"/>
            <w:rPr>
              <w:color w:val="000000"/>
              <w:szCs w:val="24"/>
              <w:lang w:eastAsia="lt-LT"/>
            </w:rPr>
          </w:pPr>
          <w:sdt>
            <w:sdtPr>
              <w:alias w:val="Numeris"/>
              <w:tag w:val="nr_5c87f51790ca40e7a2ca99405d1311b2"/>
              <w:lock w:val="sdtLocked"/>
              <w:richText/>
            </w:sdtPr>
            <w:sdtContent>
              <w:r>
                <w:rPr>
                  <w:color w:val="000000"/>
                  <w:szCs w:val="24"/>
                  <w:lang w:eastAsia="lt-LT"/>
                </w:rPr>
                <w:t>10</w:t>
              </w:r>
            </w:sdtContent>
          </w:sdt>
          <w:r>
            <w:rPr>
              <w:color w:val="000000"/>
              <w:szCs w:val="24"/>
              <w:lang w:eastAsia="lt-LT"/>
            </w:rPr>
            <w:t xml:space="preserve"> priedas </w:t>
          </w:r>
        </w:p>
        <w:p>
          <w:pPr>
            <w:suppressAutoHyphens/>
            <w:rPr>
              <w:color w:val="000000"/>
              <w:sz w:val="20"/>
              <w:szCs w:val="22"/>
              <w:lang w:eastAsia="lt-LT"/>
            </w:rPr>
          </w:pPr>
        </w:p>
        <w:p>
          <w:pPr>
            <w:suppressAutoHyphens/>
            <w:jc w:val="center"/>
            <w:rPr>
              <w:color w:val="000000"/>
              <w:lang w:eastAsia="lt-LT"/>
            </w:rPr>
          </w:pPr>
          <w:r>
            <w:rPr>
              <w:color w:val="000000"/>
              <w:lang w:eastAsia="lt-LT"/>
            </w:rPr>
            <w:t>(Pastato energinio naudingumo sertifikato forma)</w:t>
          </w:r>
        </w:p>
        <w:p>
          <w:pPr>
            <w:suppressAutoHyphens/>
            <w:rPr>
              <w:color w:val="000000"/>
              <w:lang w:eastAsia="lt-LT"/>
            </w:rPr>
          </w:pP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40"/>
            <w:gridCol w:w="2092"/>
            <w:gridCol w:w="44"/>
            <w:gridCol w:w="866"/>
            <w:gridCol w:w="1685"/>
            <w:gridCol w:w="348"/>
            <w:gridCol w:w="2265"/>
          </w:tblGrid>
          <w:tr>
            <w:tc>
              <w:tcPr>
                <w:tcW w:w="9806" w:type="dxa"/>
                <w:gridSpan w:val="8"/>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20"/>
                    <w:lang w:eastAsia="lt-LT"/>
                  </w:rPr>
                </w:pPr>
                <w:r>
                  <w:rPr>
                    <w:color w:val="000000"/>
                    <w:sz w:val="20"/>
                    <w:lang w:eastAsia="lt-LT"/>
                  </w:rPr>
                  <w:t>1 lapas / 2 lapų</w:t>
                </w:r>
              </w:p>
              <w:p>
                <w:pPr>
                  <w:suppressAutoHyphens/>
                  <w:spacing w:line="276" w:lineRule="auto"/>
                  <w:jc w:val="center"/>
                  <w:rPr>
                    <w:color w:val="000000"/>
                    <w:sz w:val="20"/>
                    <w:lang w:eastAsia="lt-LT"/>
                  </w:rPr>
                </w:pPr>
              </w:p>
              <w:p>
                <w:pPr>
                  <w:suppressAutoHyphens/>
                  <w:spacing w:line="276" w:lineRule="auto"/>
                  <w:jc w:val="center"/>
                  <w:rPr>
                    <w:caps/>
                    <w:color w:val="000000"/>
                    <w:sz w:val="20"/>
                    <w:lang w:eastAsia="lt-LT"/>
                  </w:rPr>
                </w:pPr>
                <w:r>
                  <w:rPr>
                    <w:caps/>
                    <w:color w:val="000000"/>
                    <w:sz w:val="20"/>
                    <w:lang w:eastAsia="lt-LT"/>
                  </w:rPr>
                  <w:t>Pastato energinio naudingumo sertifikatas</w:t>
                </w:r>
              </w:p>
              <w:p>
                <w:pPr>
                  <w:suppressAutoHyphens/>
                  <w:spacing w:line="276" w:lineRule="auto"/>
                  <w:ind w:firstLine="53"/>
                  <w:jc w:val="center"/>
                  <w:rPr>
                    <w:color w:val="000000"/>
                    <w:sz w:val="20"/>
                    <w:lang w:eastAsia="lt-LT"/>
                  </w:rPr>
                </w:pPr>
                <w:r>
                  <w:rPr>
                    <w:color w:val="000000"/>
                    <w:sz w:val="20"/>
                    <w:lang w:eastAsia="lt-LT"/>
                  </w:rPr>
                  <w:t>Nr. __________</w:t>
                </w:r>
              </w:p>
              <w:p>
                <w:pPr>
                  <w:suppressAutoHyphens/>
                  <w:spacing w:line="276" w:lineRule="auto"/>
                  <w:jc w:val="center"/>
                  <w:rPr>
                    <w:rFonts w:eastAsia="Calibri"/>
                    <w:color w:val="000000"/>
                    <w:sz w:val="20"/>
                    <w:szCs w:val="22"/>
                  </w:rPr>
                </w:pPr>
              </w:p>
            </w:tc>
          </w:tr>
          <w:tr>
            <w:tc>
              <w:tcPr>
                <w:tcW w:w="5508" w:type="dxa"/>
                <w:gridSpan w:val="5"/>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unikalus pastato numeris:</w:t>
                </w:r>
              </w:p>
            </w:tc>
            <w:tc>
              <w:tcPr>
                <w:tcW w:w="4298"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Adresas:</w:t>
                </w:r>
              </w:p>
            </w:tc>
          </w:tr>
          <w:tr>
            <w:tc>
              <w:tcPr>
                <w:tcW w:w="9806" w:type="dxa"/>
                <w:gridSpan w:val="8"/>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paskirtis:</w:t>
                </w:r>
              </w:p>
            </w:tc>
          </w:tr>
          <w:tr>
            <w:tc>
              <w:tcPr>
                <w:tcW w:w="5508" w:type="dxa"/>
                <w:gridSpan w:val="5"/>
                <w:tcBorders>
                  <w:top w:val="single" w:sz="4" w:space="0" w:color="auto"/>
                  <w:left w:val="single" w:sz="4" w:space="0" w:color="auto"/>
                  <w:bottom w:val="nil"/>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šildomas plotas (m²):</w:t>
                </w:r>
              </w:p>
            </w:tc>
            <w:tc>
              <w:tcPr>
                <w:tcW w:w="4298" w:type="dxa"/>
                <w:gridSpan w:val="3"/>
                <w:tcBorders>
                  <w:top w:val="single" w:sz="4" w:space="0" w:color="auto"/>
                  <w:left w:val="single" w:sz="4" w:space="0" w:color="auto"/>
                  <w:bottom w:val="nil"/>
                  <w:right w:val="single" w:sz="4" w:space="0" w:color="auto"/>
                </w:tcBorders>
                <w:vAlign w:val="center"/>
              </w:tcPr>
              <w:p>
                <w:pPr>
                  <w:suppressAutoHyphens/>
                  <w:rPr>
                    <w:rFonts w:eastAsia="Calibri"/>
                    <w:sz w:val="20"/>
                    <w:szCs w:val="22"/>
                    <w:lang w:eastAsia="lt-LT"/>
                  </w:rPr>
                </w:pPr>
                <w:r>
                  <w:rPr>
                    <w:rFonts w:eastAsia="Calibri"/>
                    <w:sz w:val="20"/>
                    <w:szCs w:val="22"/>
                    <w:lang w:eastAsia="lt-LT"/>
                  </w:rPr>
                  <w:t>Pastato statybos metai:</w:t>
                </w:r>
              </w:p>
            </w:tc>
          </w:tr>
          <w:tr>
            <w:tc>
              <w:tcPr>
                <w:tcW w:w="5508" w:type="dxa"/>
                <w:gridSpan w:val="5"/>
                <w:tcBorders>
                  <w:top w:val="single" w:sz="4" w:space="0" w:color="auto"/>
                  <w:left w:val="single" w:sz="4" w:space="0" w:color="auto"/>
                  <w:bottom w:val="nil"/>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Viso pastato šildomas plotas (m²):</w:t>
                </w:r>
              </w:p>
            </w:tc>
            <w:tc>
              <w:tcPr>
                <w:tcW w:w="4298" w:type="dxa"/>
                <w:gridSpan w:val="3"/>
                <w:tcBorders>
                  <w:top w:val="single" w:sz="4" w:space="0" w:color="auto"/>
                  <w:left w:val="single" w:sz="4" w:space="0" w:color="auto"/>
                  <w:bottom w:val="nil"/>
                  <w:right w:val="single" w:sz="4" w:space="0" w:color="auto"/>
                </w:tcBorders>
                <w:vAlign w:val="center"/>
              </w:tcPr>
              <w:p>
                <w:pPr>
                  <w:suppressAutoHyphens/>
                  <w:rPr>
                    <w:rFonts w:eastAsia="Calibri"/>
                    <w:sz w:val="20"/>
                    <w:szCs w:val="22"/>
                    <w:lang w:eastAsia="lt-LT"/>
                  </w:rPr>
                </w:pPr>
                <w:r>
                  <w:rPr>
                    <w:rFonts w:eastAsia="Calibri"/>
                    <w:sz w:val="20"/>
                    <w:szCs w:val="22"/>
                    <w:lang w:eastAsia="lt-LT"/>
                  </w:rPr>
                  <w:t>Pastato modernizavimo metai:</w:t>
                </w:r>
              </w:p>
            </w:tc>
          </w:tr>
          <w:tr>
            <w:trPr>
              <w:cantSplit/>
              <w:trHeight w:val="373"/>
            </w:trPr>
            <w:tc>
              <w:tcPr>
                <w:tcW w:w="7541" w:type="dxa"/>
                <w:gridSpan w:val="7"/>
                <w:tcBorders>
                  <w:top w:val="single" w:sz="4" w:space="0" w:color="auto"/>
                  <w:left w:val="single" w:sz="4" w:space="0" w:color="auto"/>
                  <w:bottom w:val="nil"/>
                  <w:right w:val="single" w:sz="4" w:space="0" w:color="auto"/>
                </w:tcBorders>
                <w:vAlign w:val="center"/>
              </w:tcPr>
              <w:p>
                <w:pPr>
                  <w:suppressAutoHyphens/>
                  <w:spacing w:line="276" w:lineRule="auto"/>
                  <w:jc w:val="center"/>
                  <w:rPr>
                    <w:rFonts w:eastAsia="Calibri"/>
                    <w:color w:val="000000"/>
                    <w:sz w:val="20"/>
                    <w:szCs w:val="22"/>
                    <w:lang w:eastAsia="lt-LT"/>
                  </w:rPr>
                </w:pPr>
                <w:r>
                  <w:rPr>
                    <w:color w:val="000000"/>
                    <w:sz w:val="20"/>
                    <w:lang w:eastAsia="lt-LT"/>
                  </w:rPr>
                  <w:t>„Pastatų (jų dalių) energinio naudingumo klasifikavimas į klases*:</w:t>
                </w:r>
              </w:p>
            </w:tc>
            <w:tc>
              <w:tcPr>
                <w:tcW w:w="2265" w:type="dxa"/>
                <w:tcBorders>
                  <w:top w:val="single" w:sz="4" w:space="0" w:color="auto"/>
                  <w:left w:val="single" w:sz="4" w:space="0" w:color="auto"/>
                  <w:bottom w:val="nil"/>
                  <w:right w:val="single" w:sz="4" w:space="0" w:color="auto"/>
                </w:tcBorders>
                <w:vAlign w:val="center"/>
              </w:tcPr>
              <w:p>
                <w:pPr>
                  <w:suppressAutoHyphens/>
                  <w:spacing w:line="276" w:lineRule="auto"/>
                  <w:jc w:val="center"/>
                  <w:rPr>
                    <w:rFonts w:eastAsia="Calibri"/>
                    <w:color w:val="000000"/>
                    <w:sz w:val="20"/>
                    <w:szCs w:val="22"/>
                    <w:lang w:eastAsia="lt-LT"/>
                  </w:rPr>
                </w:pPr>
                <w:r>
                  <w:rPr>
                    <w:color w:val="000000"/>
                    <w:sz w:val="20"/>
                    <w:lang w:eastAsia="lt-LT"/>
                  </w:rPr>
                  <w:t>Nustatyta pastato (jo dalies) energinio naudingumo klasė:</w:t>
                </w:r>
              </w:p>
            </w:tc>
          </w:tr>
          <w:tr>
            <w:trPr>
              <w:cantSplit/>
              <w:trHeight w:val="735"/>
            </w:trPr>
            <w:tc>
              <w:tcPr>
                <w:tcW w:w="7541" w:type="dxa"/>
                <w:gridSpan w:val="7"/>
                <w:tcBorders>
                  <w:top w:val="nil"/>
                  <w:left w:val="single" w:sz="4" w:space="0" w:color="auto"/>
                  <w:bottom w:val="single" w:sz="4" w:space="0" w:color="auto"/>
                  <w:right w:val="single" w:sz="4" w:space="0" w:color="auto"/>
                </w:tcBorders>
              </w:tcPr>
              <w:p>
                <w:pPr>
                  <w:suppressAutoHyphens/>
                  <w:spacing w:line="276" w:lineRule="auto"/>
                  <w:jc w:val="center"/>
                  <w:rPr>
                    <w:rFonts w:eastAsia="Calibri"/>
                    <w:color w:val="000000"/>
                    <w:sz w:val="20"/>
                    <w:lang w:eastAsia="lt-LT"/>
                  </w:rPr>
                </w:pPr>
                <w:r>
                  <w:rPr>
                    <w:rFonts w:eastAsia="Calibri"/>
                    <w:color w:val="000000"/>
                    <w:sz w:val="20"/>
                    <w:szCs w:val="22"/>
                    <w:lang w:eastAsia="lt-LT"/>
                  </w:rPr>
                  <w:object w:dxaOrig="3804" w:dyaOrig="4356">
                    <v:shape id="_x0000_i1881" type="#_x0000_t75" style="width:189.3pt;height:217.6pt" o:ole="">
                      <v:imagedata r:id="rId97" o:title=""/>
                    </v:shape>
                    <o:OLEObject Type="Embed" ProgID="PBrush" ShapeID="_x0000_i1881" DrawAspect="Content" ObjectID="_0000000001" r:id="rId98"/>
                  </w:object>
                </w:r>
              </w:p>
              <w:p>
                <w:pPr>
                  <w:suppressAutoHyphens/>
                  <w:spacing w:line="276" w:lineRule="auto"/>
                  <w:jc w:val="center"/>
                  <w:rPr>
                    <w:rFonts w:eastAsia="Calibri"/>
                    <w:color w:val="000000"/>
                    <w:sz w:val="20"/>
                    <w:szCs w:val="22"/>
                    <w:lang w:eastAsia="lt-LT"/>
                  </w:rPr>
                </w:pPr>
                <w:r>
                  <w:rPr>
                    <w:color w:val="000000"/>
                    <w:sz w:val="20"/>
                    <w:lang w:eastAsia="lt-LT"/>
                  </w:rPr>
                  <w:t xml:space="preserve">* </w:t>
                </w:r>
                <w:r>
                  <w:rPr>
                    <w:bCs/>
                    <w:color w:val="000000"/>
                    <w:sz w:val="20"/>
                    <w:lang w:eastAsia="lt-LT"/>
                  </w:rPr>
                  <w:t xml:space="preserve">A++ klasė yra laikoma aukščiausia, ji </w:t>
                </w:r>
                <w:r>
                  <w:rPr>
                    <w:color w:val="000000"/>
                    <w:sz w:val="20"/>
                    <w:lang w:eastAsia="lt-LT"/>
                  </w:rPr>
                  <w:t>nurodo energijos beveik nevartojantį pastatą, G klasė nurodo energiškai neefektyvų pastatą</w:t>
                </w:r>
              </w:p>
            </w:tc>
            <w:tc>
              <w:tcPr>
                <w:tcW w:w="2265" w:type="dxa"/>
                <w:tcBorders>
                  <w:top w:val="nil"/>
                  <w:left w:val="single" w:sz="4" w:space="0" w:color="auto"/>
                  <w:bottom w:val="single" w:sz="4" w:space="0" w:color="auto"/>
                  <w:right w:val="single" w:sz="4" w:space="0" w:color="auto"/>
                </w:tcBorders>
              </w:tcPr>
              <w:p>
                <w:pPr>
                  <w:suppressAutoHyphens/>
                  <w:spacing w:line="276" w:lineRule="auto"/>
                  <w:jc w:val="center"/>
                  <w:rPr>
                    <w:rFonts w:eastAsia="Calibri"/>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color w:val="000000"/>
                    <w:sz w:val="20"/>
                    <w:lang w:eastAsia="lt-LT"/>
                  </w:rPr>
                </w:pPr>
              </w:p>
              <w:p>
                <w:pPr>
                  <w:suppressAutoHyphens/>
                  <w:spacing w:line="276" w:lineRule="auto"/>
                  <w:jc w:val="center"/>
                  <w:rPr>
                    <w:rFonts w:eastAsia="Calibri"/>
                    <w:strike/>
                    <w:color w:val="000000"/>
                    <w:sz w:val="20"/>
                    <w:szCs w:val="22"/>
                    <w:lang w:eastAsia="lt-LT"/>
                  </w:rPr>
                </w:pPr>
              </w:p>
            </w:tc>
          </w:tr>
          <w:tr>
            <w:tc>
              <w:tcPr>
                <w:tcW w:w="9806" w:type="dxa"/>
                <w:gridSpan w:val="8"/>
                <w:tcBorders>
                  <w:top w:val="single" w:sz="4" w:space="0" w:color="auto"/>
                  <w:left w:val="single" w:sz="4" w:space="0" w:color="auto"/>
                  <w:bottom w:val="single" w:sz="4" w:space="0" w:color="auto"/>
                  <w:right w:val="single" w:sz="4" w:space="0" w:color="auto"/>
                </w:tcBorders>
              </w:tcPr>
              <w:p>
                <w:pPr>
                  <w:suppressAutoHyphens/>
                  <w:rPr>
                    <w:color w:val="000000"/>
                    <w:sz w:val="6"/>
                    <w:szCs w:val="6"/>
                    <w:lang w:eastAsia="lt-LT"/>
                  </w:rPr>
                </w:pPr>
              </w:p>
              <w:p>
                <w:pPr>
                  <w:suppressAutoHyphens/>
                  <w:spacing w:line="276" w:lineRule="auto"/>
                  <w:jc w:val="both"/>
                  <w:rPr>
                    <w:rFonts w:eastAsia="Calibri"/>
                    <w:b/>
                    <w:color w:val="000000"/>
                    <w:sz w:val="18"/>
                    <w:szCs w:val="18"/>
                  </w:rPr>
                </w:pPr>
                <w:r>
                  <w:rPr>
                    <w:b/>
                    <w:color w:val="000000"/>
                    <w:sz w:val="18"/>
                    <w:szCs w:val="18"/>
                    <w:lang w:eastAsia="lt-LT"/>
                  </w:rPr>
                  <w:t xml:space="preserve">Skaičiuojamosios metinės rodiklių vertės vienam kvadratiniam  metrui pastato (jo dalies) šildomo ploto:</w:t>
                </w: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sz w:val="18"/>
                    <w:szCs w:val="18"/>
                    <w:lang w:eastAsia="lt-LT"/>
                  </w:rPr>
                  <w:t>Norminės</w:t>
                </w:r>
                <w:r>
                  <w:rPr>
                    <w:color w:val="000000"/>
                    <w:sz w:val="18"/>
                    <w:szCs w:val="18"/>
                    <w:lang w:eastAsia="lt-LT"/>
                  </w:rPr>
                  <w:t xml:space="preserve">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Skaičiuojamosios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Metinių atsinaujinančios pirminės energijos sąnaudų santykio su metinėmis neatsinaujinančios pirminės energijos sąnaudomis vertė (vnt.):</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bCs/>
                    <w:color w:val="000000"/>
                    <w:sz w:val="18"/>
                    <w:szCs w:val="18"/>
                  </w:rPr>
                </w:pPr>
                <w:r>
                  <w:rPr>
                    <w:color w:val="000000"/>
                    <w:sz w:val="18"/>
                    <w:szCs w:val="18"/>
                    <w:lang w:eastAsia="lt-LT"/>
                  </w:rPr>
                  <w:t>Šiluminės energijos sąnaudos pastatui šildyti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bCs/>
                    <w:color w:val="000000"/>
                    <w:sz w:val="18"/>
                    <w:szCs w:val="18"/>
                  </w:rPr>
                </w:pPr>
                <w:r>
                  <w:rPr>
                    <w:color w:val="000000"/>
                    <w:sz w:val="18"/>
                    <w:szCs w:val="18"/>
                    <w:lang w:eastAsia="lt-LT"/>
                  </w:rPr>
                  <w:t>Šiluminės energijos sąnaudos pastatui vėsinti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bCs/>
                    <w:color w:val="000000"/>
                    <w:sz w:val="18"/>
                    <w:szCs w:val="18"/>
                  </w:rPr>
                </w:pPr>
                <w:r>
                  <w:rPr>
                    <w:color w:val="000000"/>
                    <w:sz w:val="18"/>
                    <w:szCs w:val="18"/>
                    <w:lang w:eastAsia="lt-LT"/>
                  </w:rPr>
                  <w:t>Šiluminės energijos sąnaudos karštam buitiniam vandeniui ruošti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bCs/>
                    <w:color w:val="000000"/>
                    <w:sz w:val="18"/>
                    <w:szCs w:val="18"/>
                  </w:rPr>
                </w:pPr>
                <w:r>
                  <w:rPr>
                    <w:color w:val="000000"/>
                    <w:sz w:val="18"/>
                    <w:szCs w:val="18"/>
                    <w:lang w:eastAsia="lt-LT"/>
                  </w:rPr>
                  <w:t>Suminės elektros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bCs/>
                    <w:color w:val="000000"/>
                    <w:sz w:val="18"/>
                    <w:szCs w:val="18"/>
                  </w:rPr>
                </w:pPr>
                <w:r>
                  <w:rPr>
                    <w:color w:val="000000"/>
                    <w:sz w:val="18"/>
                    <w:szCs w:val="18"/>
                    <w:lang w:eastAsia="lt-LT"/>
                  </w:rPr>
                  <w:t xml:space="preserve">Elektros energijos  sąnaudos patalpų apšvietimui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1"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Pastato į aplinką išmetamas CO</w:t>
                </w:r>
                <w:r>
                  <w:rPr>
                    <w:b/>
                    <w:color w:val="000000"/>
                    <w:sz w:val="18"/>
                    <w:szCs w:val="18"/>
                    <w:vertAlign w:val="subscript"/>
                    <w:lang w:eastAsia="lt-LT"/>
                  </w:rPr>
                  <w:t xml:space="preserve">2 </w:t>
                </w:r>
                <w:r>
                  <w:rPr>
                    <w:b/>
                    <w:color w:val="000000"/>
                    <w:sz w:val="18"/>
                    <w:szCs w:val="18"/>
                    <w:lang w:eastAsia="lt-LT"/>
                  </w:rPr>
                  <w:t>kiekis (</w:t>
                </w:r>
                <w:r>
                  <w:rPr>
                    <w:b/>
                    <w:bCs/>
                    <w:color w:val="000000"/>
                    <w:sz w:val="18"/>
                    <w:szCs w:val="18"/>
                    <w:lang w:eastAsia="lt-LT"/>
                  </w:rPr>
                  <w:t>kgCO</w:t>
                </w:r>
                <w:r>
                  <w:rPr>
                    <w:b/>
                    <w:bCs/>
                    <w:color w:val="000000"/>
                    <w:sz w:val="18"/>
                    <w:szCs w:val="18"/>
                    <w:vertAlign w:val="subscript"/>
                    <w:lang w:eastAsia="lt-LT"/>
                  </w:rPr>
                  <w:t>2</w:t>
                </w:r>
                <w:r>
                  <w:rPr>
                    <w:b/>
                    <w:color w:val="000000"/>
                    <w:sz w:val="18"/>
                    <w:szCs w:val="18"/>
                    <w:lang w:eastAsia="lt-LT"/>
                  </w:rPr>
                  <w:t>/(m</w:t>
                </w:r>
                <w:r>
                  <w:rPr>
                    <w:b/>
                    <w:color w:val="000000"/>
                    <w:sz w:val="18"/>
                    <w:szCs w:val="18"/>
                    <w:vertAlign w:val="superscript"/>
                    <w:lang w:eastAsia="lt-LT"/>
                  </w:rPr>
                  <w:t>2</w:t>
                </w:r>
                <w:r>
                  <w:rPr>
                    <w:b/>
                    <w:color w:val="000000"/>
                    <w:sz w:val="18"/>
                    <w:szCs w:val="18"/>
                    <w:lang w:eastAsia="lt-LT"/>
                  </w:rPr>
                  <w:t>∙metai)):</w:t>
                </w:r>
              </w:p>
            </w:tc>
            <w:tc>
              <w:tcPr>
                <w:tcW w:w="2265"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9806" w:type="dxa"/>
                <w:gridSpan w:val="8"/>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r>
                  <w:rPr>
                    <w:bCs/>
                    <w:sz w:val="20"/>
                    <w:lang w:eastAsia="lt-LT"/>
                  </w:rPr>
                  <w:t>Pastato projektavimas ir (ar) statyba ir (ar) modernizavimas finansuojama Lietuvos Respublikos ir (ar) Europos Sąjungos biudžeto lėšomis: taip/taip dalinai/ne</w:t>
                </w:r>
              </w:p>
            </w:tc>
          </w:tr>
          <w:tr>
            <w:tc>
              <w:tcPr>
                <w:tcW w:w="9806" w:type="dxa"/>
                <w:gridSpan w:val="8"/>
                <w:tcBorders>
                  <w:top w:val="single" w:sz="4" w:space="0" w:color="auto"/>
                  <w:left w:val="single" w:sz="4" w:space="0" w:color="auto"/>
                  <w:bottom w:val="single" w:sz="4" w:space="0" w:color="auto"/>
                  <w:right w:val="single" w:sz="4" w:space="0" w:color="auto"/>
                </w:tcBorders>
              </w:tcPr>
              <w:p>
                <w:pPr>
                  <w:suppressAutoHyphens/>
                  <w:spacing w:line="276" w:lineRule="auto"/>
                  <w:rPr>
                    <w:rFonts w:eastAsia="Calibri"/>
                    <w:b/>
                    <w:bCs/>
                    <w:color w:val="000000"/>
                    <w:sz w:val="18"/>
                    <w:szCs w:val="18"/>
                    <w:lang w:eastAsia="lt-LT"/>
                  </w:rPr>
                </w:pPr>
                <w:r>
                  <w:rPr>
                    <w:b/>
                    <w:bCs/>
                    <w:color w:val="000000"/>
                    <w:sz w:val="18"/>
                    <w:szCs w:val="18"/>
                    <w:lang w:eastAsia="lt-LT"/>
                  </w:rPr>
                  <w:t>Sertifikavimo eksperto pastabos:</w:t>
                </w:r>
              </w:p>
              <w:p>
                <w:pPr>
                  <w:suppressAutoHyphens/>
                  <w:spacing w:line="276" w:lineRule="auto"/>
                  <w:rPr>
                    <w:b/>
                    <w:bCs/>
                    <w:color w:val="000000"/>
                    <w:sz w:val="18"/>
                    <w:szCs w:val="18"/>
                    <w:lang w:eastAsia="lt-LT"/>
                  </w:rPr>
                </w:pPr>
              </w:p>
            </w:tc>
          </w:tr>
          <w:tr>
            <w:tc>
              <w:tcPr>
                <w:tcW w:w="2266"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color w:val="000000"/>
                    <w:sz w:val="18"/>
                    <w:szCs w:val="18"/>
                  </w:rPr>
                </w:pPr>
                <w:r>
                  <w:rPr>
                    <w:color w:val="000000"/>
                    <w:sz w:val="18"/>
                    <w:szCs w:val="18"/>
                    <w:lang w:eastAsia="lt-LT"/>
                  </w:rPr>
                  <w:t>Sertifikato išdavimo data :</w:t>
                </w:r>
              </w:p>
            </w:tc>
            <w:tc>
              <w:tcPr>
                <w:tcW w:w="2332"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both"/>
                  <w:rPr>
                    <w:rFonts w:eastAsia="Calibri"/>
                    <w:color w:val="000000"/>
                    <w:sz w:val="18"/>
                    <w:szCs w:val="18"/>
                  </w:rPr>
                </w:pPr>
              </w:p>
            </w:tc>
            <w:tc>
              <w:tcPr>
                <w:tcW w:w="2943" w:type="dxa"/>
                <w:gridSpan w:val="4"/>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color w:val="000000"/>
                    <w:sz w:val="18"/>
                    <w:szCs w:val="18"/>
                  </w:rPr>
                </w:pPr>
                <w:r>
                  <w:rPr>
                    <w:color w:val="000000"/>
                    <w:sz w:val="18"/>
                    <w:szCs w:val="18"/>
                    <w:lang w:eastAsia="lt-LT"/>
                  </w:rPr>
                  <w:t>Sertifikato galiojimo terminas:</w:t>
                </w:r>
              </w:p>
            </w:tc>
            <w:tc>
              <w:tcPr>
                <w:tcW w:w="2265"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both"/>
                  <w:rPr>
                    <w:rFonts w:eastAsia="Calibri"/>
                    <w:color w:val="000000"/>
                    <w:sz w:val="18"/>
                    <w:szCs w:val="18"/>
                  </w:rPr>
                </w:pPr>
              </w:p>
            </w:tc>
          </w:tr>
          <w:tr>
            <w:trPr>
              <w:trHeight w:val="491"/>
            </w:trPr>
            <w:tc>
              <w:tcPr>
                <w:tcW w:w="2506"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Sertifikatą išdavė</w:t>
                </w:r>
              </w:p>
              <w:p>
                <w:pPr>
                  <w:suppressAutoHyphens/>
                  <w:spacing w:line="276" w:lineRule="auto"/>
                  <w:jc w:val="center"/>
                  <w:rPr>
                    <w:rFonts w:eastAsia="Calibri"/>
                    <w:color w:val="000000"/>
                    <w:sz w:val="18"/>
                    <w:szCs w:val="18"/>
                  </w:rPr>
                </w:pPr>
                <w:r>
                  <w:rPr>
                    <w:color w:val="000000"/>
                    <w:sz w:val="18"/>
                    <w:szCs w:val="18"/>
                    <w:lang w:eastAsia="lt-LT"/>
                  </w:rPr>
                  <w:t>ekspertas</w:t>
                </w:r>
              </w:p>
            </w:tc>
            <w:tc>
              <w:tcPr>
                <w:tcW w:w="2136"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________________</w:t>
                </w:r>
              </w:p>
              <w:p>
                <w:pPr>
                  <w:suppressAutoHyphens/>
                  <w:spacing w:line="276" w:lineRule="auto"/>
                  <w:jc w:val="center"/>
                  <w:rPr>
                    <w:rFonts w:eastAsia="Calibri"/>
                    <w:color w:val="000000"/>
                    <w:sz w:val="18"/>
                    <w:szCs w:val="18"/>
                  </w:rPr>
                </w:pPr>
                <w:r>
                  <w:rPr>
                    <w:color w:val="000000"/>
                    <w:sz w:val="18"/>
                    <w:szCs w:val="18"/>
                    <w:lang w:eastAsia="lt-LT"/>
                  </w:rPr>
                  <w:t>parašas</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_______________</w:t>
                </w:r>
              </w:p>
              <w:p>
                <w:pPr>
                  <w:suppressAutoHyphens/>
                  <w:spacing w:line="276" w:lineRule="auto"/>
                  <w:jc w:val="center"/>
                  <w:rPr>
                    <w:rFonts w:eastAsia="Calibri"/>
                    <w:color w:val="000000"/>
                    <w:sz w:val="18"/>
                    <w:szCs w:val="18"/>
                  </w:rPr>
                </w:pPr>
                <w:r>
                  <w:rPr>
                    <w:color w:val="000000"/>
                    <w:sz w:val="18"/>
                    <w:szCs w:val="18"/>
                    <w:lang w:eastAsia="lt-LT"/>
                  </w:rPr>
                  <w:t xml:space="preserve">vardas, pavardė </w:t>
                </w:r>
              </w:p>
            </w:tc>
            <w:tc>
              <w:tcPr>
                <w:tcW w:w="2613"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w:t>
                </w:r>
              </w:p>
              <w:p>
                <w:pPr>
                  <w:suppressAutoHyphens/>
                  <w:spacing w:line="276" w:lineRule="auto"/>
                  <w:jc w:val="center"/>
                  <w:rPr>
                    <w:rFonts w:eastAsia="Calibri"/>
                    <w:color w:val="000000"/>
                    <w:sz w:val="18"/>
                    <w:szCs w:val="18"/>
                  </w:rPr>
                </w:pPr>
                <w:r>
                  <w:rPr>
                    <w:color w:val="000000"/>
                    <w:sz w:val="18"/>
                    <w:szCs w:val="18"/>
                    <w:lang w:eastAsia="lt-LT"/>
                  </w:rPr>
                  <w:t>pažymėjimo numeris</w:t>
                </w:r>
              </w:p>
            </w:tc>
          </w:tr>
        </w:tbl>
        <w:p>
          <w:pPr>
            <w:suppressAutoHyphens/>
            <w:rPr>
              <w:color w:val="000000"/>
            </w:rPr>
          </w:pPr>
        </w:p>
        <w:p>
          <w:pPr>
            <w:suppressAutoHyphens/>
            <w:rPr>
              <w:color w:val="000000"/>
              <w:lang w:eastAsia="lt-LT"/>
            </w:rPr>
            <w:sectPr>
              <w:pgSz w:w="11905" w:h="16837"/>
              <w:pgMar w:top="851" w:right="565" w:bottom="851" w:left="1701" w:header="567" w:footer="567" w:gutter="0"/>
              <w:pgNumType w:start="1"/>
              <w:cols w:space="1296"/>
              <w:titlePg/>
              <w:docGrid w:linePitch="326"/>
            </w:sectPr>
          </w:pP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4"/>
            <w:gridCol w:w="238"/>
            <w:gridCol w:w="2087"/>
            <w:gridCol w:w="44"/>
            <w:gridCol w:w="705"/>
            <w:gridCol w:w="155"/>
            <w:gridCol w:w="385"/>
            <w:gridCol w:w="1259"/>
            <w:gridCol w:w="67"/>
            <w:gridCol w:w="348"/>
            <w:gridCol w:w="778"/>
            <w:gridCol w:w="608"/>
            <w:gridCol w:w="878"/>
          </w:tblGrid>
          <w:tr>
            <w:tc>
              <w:tcPr>
                <w:tcW w:w="9806" w:type="dxa"/>
                <w:gridSpan w:val="1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20"/>
                    <w:lang w:eastAsia="lt-LT"/>
                  </w:rPr>
                </w:pPr>
                <w:r>
                  <w:rPr>
                    <w:color w:val="000000"/>
                    <w:sz w:val="22"/>
                    <w:lang w:eastAsia="lt-LT"/>
                  </w:rPr>
                  <w:br w:type="page"/>
                </w:r>
                <w:r>
                  <w:rPr>
                    <w:color w:val="000000"/>
                    <w:sz w:val="20"/>
                    <w:lang w:eastAsia="lt-LT"/>
                  </w:rPr>
                  <w:t>2 lapas / 2 lapų</w:t>
                </w:r>
              </w:p>
              <w:p>
                <w:pPr>
                  <w:suppressAutoHyphens/>
                  <w:spacing w:line="276" w:lineRule="auto"/>
                  <w:jc w:val="center"/>
                  <w:rPr>
                    <w:color w:val="000000"/>
                    <w:sz w:val="20"/>
                    <w:lang w:eastAsia="lt-LT"/>
                  </w:rPr>
                </w:pPr>
              </w:p>
              <w:p>
                <w:pPr>
                  <w:suppressAutoHyphens/>
                  <w:spacing w:line="276" w:lineRule="auto"/>
                  <w:jc w:val="center"/>
                  <w:rPr>
                    <w:caps/>
                    <w:color w:val="000000"/>
                    <w:sz w:val="20"/>
                    <w:lang w:eastAsia="lt-LT"/>
                  </w:rPr>
                </w:pPr>
                <w:r>
                  <w:rPr>
                    <w:caps/>
                    <w:color w:val="000000"/>
                    <w:sz w:val="20"/>
                    <w:lang w:eastAsia="lt-LT"/>
                  </w:rPr>
                  <w:t>Pastato energinio naudingumo sertifikatas</w:t>
                </w:r>
              </w:p>
              <w:p>
                <w:pPr>
                  <w:suppressAutoHyphens/>
                  <w:spacing w:line="276" w:lineRule="auto"/>
                  <w:ind w:firstLine="53"/>
                  <w:jc w:val="center"/>
                  <w:rPr>
                    <w:color w:val="000000"/>
                    <w:sz w:val="20"/>
                    <w:lang w:eastAsia="lt-LT"/>
                  </w:rPr>
                </w:pPr>
                <w:r>
                  <w:rPr>
                    <w:color w:val="000000"/>
                    <w:sz w:val="20"/>
                    <w:lang w:eastAsia="lt-LT"/>
                  </w:rPr>
                  <w:t>Nr. __________</w:t>
                </w:r>
              </w:p>
              <w:p>
                <w:pPr>
                  <w:suppressAutoHyphens/>
                  <w:spacing w:line="276" w:lineRule="auto"/>
                  <w:jc w:val="center"/>
                  <w:rPr>
                    <w:rFonts w:eastAsia="Calibri"/>
                    <w:color w:val="000000"/>
                    <w:sz w:val="20"/>
                    <w:szCs w:val="22"/>
                  </w:rPr>
                </w:pPr>
              </w:p>
            </w:tc>
          </w:tr>
          <w:tr>
            <w:tc>
              <w:tcPr>
                <w:tcW w:w="5483" w:type="dxa"/>
                <w:gridSpan w:val="6"/>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unikalus pastato numeris:</w:t>
                </w:r>
              </w:p>
            </w:tc>
            <w:tc>
              <w:tcPr>
                <w:tcW w:w="4323" w:type="dxa"/>
                <w:gridSpan w:val="7"/>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Adresas:</w:t>
                </w:r>
              </w:p>
            </w:tc>
          </w:tr>
          <w:tr>
            <w:tc>
              <w:tcPr>
                <w:tcW w:w="9806" w:type="dxa"/>
                <w:gridSpan w:val="1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paskirtis:</w:t>
                </w:r>
              </w:p>
            </w:tc>
          </w:tr>
          <w:tr>
            <w:tc>
              <w:tcPr>
                <w:tcW w:w="9806" w:type="dxa"/>
                <w:gridSpan w:val="13"/>
                <w:tcBorders>
                  <w:top w:val="single" w:sz="4" w:space="0" w:color="auto"/>
                  <w:left w:val="single" w:sz="4" w:space="0" w:color="auto"/>
                  <w:bottom w:val="nil"/>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Pastato (jo dalies) šildomas plotas (m²):</w:t>
                </w:r>
              </w:p>
            </w:tc>
          </w:tr>
          <w:tr>
            <w:tc>
              <w:tcPr>
                <w:tcW w:w="9806" w:type="dxa"/>
                <w:gridSpan w:val="13"/>
                <w:tcBorders>
                  <w:top w:val="single" w:sz="4" w:space="0" w:color="auto"/>
                  <w:left w:val="single" w:sz="4" w:space="0" w:color="auto"/>
                  <w:bottom w:val="nil"/>
                  <w:right w:val="single" w:sz="4" w:space="0" w:color="auto"/>
                </w:tcBorders>
                <w:vAlign w:val="center"/>
                <w:hideMark/>
              </w:tcPr>
              <w:p>
                <w:pPr>
                  <w:suppressAutoHyphens/>
                  <w:spacing w:line="276" w:lineRule="auto"/>
                  <w:jc w:val="both"/>
                  <w:rPr>
                    <w:rFonts w:eastAsia="Calibri"/>
                    <w:color w:val="000000"/>
                    <w:sz w:val="20"/>
                    <w:szCs w:val="22"/>
                  </w:rPr>
                </w:pPr>
                <w:r>
                  <w:rPr>
                    <w:color w:val="000000"/>
                    <w:sz w:val="20"/>
                    <w:lang w:eastAsia="lt-LT"/>
                  </w:rPr>
                  <w:t>Viso pastato šildomas plotas (m²):</w:t>
                </w:r>
              </w:p>
            </w:tc>
          </w:tr>
          <w:tr>
            <w:trPr>
              <w:cantSplit/>
              <w:trHeight w:val="373"/>
            </w:trPr>
            <w:tc>
              <w:tcPr>
                <w:tcW w:w="7542" w:type="dxa"/>
                <w:gridSpan w:val="10"/>
                <w:tcBorders>
                  <w:top w:val="single" w:sz="4" w:space="0" w:color="auto"/>
                  <w:left w:val="single" w:sz="4" w:space="0" w:color="auto"/>
                  <w:bottom w:val="nil"/>
                  <w:right w:val="single" w:sz="4" w:space="0" w:color="auto"/>
                </w:tcBorders>
                <w:vAlign w:val="center"/>
                <w:hideMark/>
              </w:tcPr>
              <w:p>
                <w:pPr>
                  <w:suppressAutoHyphens/>
                  <w:spacing w:line="276" w:lineRule="auto"/>
                  <w:jc w:val="right"/>
                  <w:rPr>
                    <w:rFonts w:eastAsia="Calibri"/>
                    <w:color w:val="000000"/>
                    <w:sz w:val="20"/>
                    <w:szCs w:val="22"/>
                  </w:rPr>
                </w:pPr>
                <w:r>
                  <w:rPr>
                    <w:color w:val="000000"/>
                    <w:sz w:val="20"/>
                    <w:lang w:eastAsia="lt-LT"/>
                  </w:rPr>
                  <w:t>Pastato (jo dalies) energinio naudingumo klasė:</w:t>
                </w:r>
              </w:p>
            </w:tc>
            <w:tc>
              <w:tcPr>
                <w:tcW w:w="2264" w:type="dxa"/>
                <w:gridSpan w:val="3"/>
                <w:tcBorders>
                  <w:top w:val="single" w:sz="4" w:space="0" w:color="auto"/>
                  <w:left w:val="single" w:sz="4" w:space="0" w:color="auto"/>
                  <w:bottom w:val="nil"/>
                  <w:right w:val="single" w:sz="4" w:space="0" w:color="auto"/>
                </w:tcBorders>
                <w:vAlign w:val="center"/>
              </w:tcPr>
              <w:p>
                <w:pPr>
                  <w:suppressAutoHyphens/>
                  <w:spacing w:line="276" w:lineRule="auto"/>
                  <w:jc w:val="center"/>
                  <w:rPr>
                    <w:rFonts w:eastAsia="Calibri"/>
                    <w:color w:val="000000"/>
                    <w:sz w:val="20"/>
                    <w:szCs w:val="22"/>
                  </w:rPr>
                </w:pPr>
              </w:p>
            </w:tc>
          </w:tr>
          <w:tr>
            <w:tc>
              <w:tcPr>
                <w:tcW w:w="9806" w:type="dxa"/>
                <w:gridSpan w:val="13"/>
                <w:tcBorders>
                  <w:top w:val="single" w:sz="4" w:space="0" w:color="auto"/>
                  <w:left w:val="single" w:sz="4" w:space="0" w:color="auto"/>
                  <w:bottom w:val="single" w:sz="4" w:space="0" w:color="auto"/>
                  <w:right w:val="single" w:sz="4" w:space="0" w:color="auto"/>
                </w:tcBorders>
              </w:tcPr>
              <w:p>
                <w:pPr>
                  <w:suppressAutoHyphens/>
                  <w:rPr>
                    <w:b/>
                    <w:color w:val="000000"/>
                    <w:sz w:val="6"/>
                    <w:szCs w:val="6"/>
                    <w:lang w:eastAsia="lt-LT"/>
                  </w:rPr>
                </w:pPr>
              </w:p>
              <w:p>
                <w:pPr>
                  <w:suppressAutoHyphens/>
                  <w:spacing w:line="276" w:lineRule="auto"/>
                  <w:jc w:val="both"/>
                  <w:rPr>
                    <w:rFonts w:eastAsia="Calibri"/>
                    <w:b/>
                    <w:caps/>
                    <w:color w:val="000000"/>
                    <w:sz w:val="18"/>
                    <w:szCs w:val="18"/>
                  </w:rPr>
                </w:pPr>
                <w:r>
                  <w:rPr>
                    <w:b/>
                    <w:caps/>
                    <w:color w:val="000000"/>
                    <w:sz w:val="18"/>
                    <w:szCs w:val="18"/>
                    <w:lang w:eastAsia="lt-LT"/>
                  </w:rPr>
                  <w:t xml:space="preserve">Metinės rodiklių vertės vienam kvadratiniam  metrui pastato (jo dalies) šildomo ploto:</w:t>
                </w:r>
              </w:p>
            </w:tc>
          </w:tr>
          <w:tr>
            <w:tc>
              <w:tcPr>
                <w:tcW w:w="9806" w:type="dxa"/>
                <w:gridSpan w:val="13"/>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color w:val="000000"/>
                    <w:sz w:val="18"/>
                    <w:szCs w:val="18"/>
                  </w:rPr>
                </w:pPr>
                <w:r>
                  <w:rPr>
                    <w:b/>
                    <w:color w:val="000000"/>
                    <w:sz w:val="18"/>
                    <w:szCs w:val="18"/>
                    <w:lang w:eastAsia="lt-LT"/>
                  </w:rPr>
                  <w:t>Pastato (jo dalies) pirminės energijos sąnaudos:</w:t>
                </w: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Norminės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Skaičiuojamosios</w:t>
                </w:r>
                <w:r>
                  <w:rPr>
                    <w:b/>
                    <w:color w:val="000000"/>
                    <w:sz w:val="18"/>
                    <w:szCs w:val="18"/>
                    <w:lang w:eastAsia="lt-LT"/>
                  </w:rPr>
                  <w:t xml:space="preserve"> </w:t>
                </w:r>
                <w:r>
                  <w:rPr>
                    <w:color w:val="000000"/>
                    <w:sz w:val="18"/>
                    <w:szCs w:val="18"/>
                    <w:lang w:eastAsia="lt-LT"/>
                  </w:rPr>
                  <w:t>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Skaičiuojamosios neatsinaujinančios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Skaičiuojamosios atsinaujinančios pirminės energijos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Skaičiuojamųjų metinių atsinaujinančios pirminės energijos sąnaudų santykio su metinėmis neatsinaujinančios pirminės energijos sąnaudomis vertė (vnt.):</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color w:val="000000"/>
                    <w:sz w:val="18"/>
                    <w:szCs w:val="18"/>
                  </w:rPr>
                </w:pPr>
              </w:p>
            </w:tc>
          </w:tr>
          <w:tr>
            <w:tc>
              <w:tcPr>
                <w:tcW w:w="9806" w:type="dxa"/>
                <w:gridSpan w:val="13"/>
                <w:tcBorders>
                  <w:top w:val="single" w:sz="4" w:space="0" w:color="auto"/>
                  <w:left w:val="nil"/>
                  <w:bottom w:val="single" w:sz="4" w:space="0" w:color="auto"/>
                  <w:right w:val="nil"/>
                </w:tcBorders>
              </w:tcPr>
              <w:p>
                <w:pPr>
                  <w:suppressAutoHyphens/>
                  <w:spacing w:line="276" w:lineRule="auto"/>
                  <w:jc w:val="both"/>
                  <w:rPr>
                    <w:rFonts w:eastAsia="Calibri"/>
                    <w:color w:val="000000"/>
                    <w:sz w:val="18"/>
                    <w:szCs w:val="18"/>
                  </w:rPr>
                </w:pPr>
              </w:p>
            </w:tc>
          </w:tr>
          <w:tr>
            <w:trPr>
              <w:trHeight w:val="279"/>
            </w:trPr>
            <w:tc>
              <w:tcPr>
                <w:tcW w:w="5868" w:type="dxa"/>
                <w:gridSpan w:val="7"/>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b/>
                    <w:color w:val="000000"/>
                    <w:sz w:val="18"/>
                    <w:szCs w:val="18"/>
                  </w:rPr>
                </w:pPr>
                <w:r>
                  <w:rPr>
                    <w:b/>
                    <w:color w:val="000000"/>
                    <w:sz w:val="18"/>
                    <w:szCs w:val="18"/>
                    <w:lang w:eastAsia="lt-LT"/>
                  </w:rPr>
                  <w:t>Energijos sąnaudos pastatui (jo daliai) šildyti: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Skaičiuojamosios</w:t>
                </w: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b/>
                    <w:color w:val="000000"/>
                    <w:sz w:val="18"/>
                    <w:szCs w:val="18"/>
                  </w:rPr>
                </w:pPr>
                <w:r>
                  <w:rPr>
                    <w:b/>
                    <w:color w:val="000000"/>
                    <w:sz w:val="18"/>
                    <w:szCs w:val="18"/>
                    <w:lang w:eastAsia="lt-LT"/>
                  </w:rPr>
                  <w:t>Energijos sąnaudos pastatui (jo daliai) vėsinti: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Skaičiuojamosios</w:t>
                </w: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0</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0</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0</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0</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b/>
                    <w:color w:val="000000"/>
                    <w:sz w:val="18"/>
                    <w:szCs w:val="18"/>
                  </w:rPr>
                </w:pPr>
                <w:r>
                  <w:rPr>
                    <w:b/>
                    <w:color w:val="000000"/>
                    <w:sz w:val="18"/>
                    <w:szCs w:val="18"/>
                    <w:lang w:eastAsia="lt-LT"/>
                  </w:rPr>
                  <w:t>Energijos sąnaudos karštam buitiniam vandeniui ruošti: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Skaičiuojamosios</w:t>
                </w: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Neatsinaujinančios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Atsinaujinančios pirminės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Šiluminės energijos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rPr>
              <w:trHeight w:val="229"/>
            </w:trPr>
            <w:tc>
              <w:tcPr>
                <w:tcW w:w="5868" w:type="dxa"/>
                <w:gridSpan w:val="7"/>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b/>
                    <w:color w:val="000000"/>
                    <w:sz w:val="18"/>
                    <w:szCs w:val="18"/>
                  </w:rPr>
                </w:pPr>
                <w:r>
                  <w:rPr>
                    <w:b/>
                    <w:color w:val="000000"/>
                    <w:sz w:val="18"/>
                    <w:szCs w:val="18"/>
                    <w:lang w:eastAsia="lt-LT"/>
                  </w:rPr>
                  <w:t>Elektros energijos sąnaudos pastate (jo dalyje):</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Norminės</w:t>
                </w: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Atskaitinės</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rPr>
                    <w:color w:val="000000"/>
                    <w:sz w:val="6"/>
                    <w:szCs w:val="6"/>
                    <w:lang w:eastAsia="lt-LT"/>
                  </w:rPr>
                </w:pPr>
              </w:p>
              <w:p>
                <w:pPr>
                  <w:suppressAutoHyphens/>
                  <w:spacing w:line="276" w:lineRule="auto"/>
                  <w:jc w:val="center"/>
                  <w:rPr>
                    <w:rFonts w:eastAsia="Calibri"/>
                    <w:color w:val="000000"/>
                    <w:sz w:val="18"/>
                    <w:szCs w:val="18"/>
                  </w:rPr>
                </w:pPr>
                <w:r>
                  <w:rPr>
                    <w:color w:val="000000"/>
                    <w:sz w:val="18"/>
                    <w:szCs w:val="18"/>
                    <w:lang w:eastAsia="lt-LT"/>
                  </w:rPr>
                  <w:t>Skaičiuojamosios</w:t>
                </w: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Neatsinaujinančios pirminės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Atsinaujinančios pirminės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193"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rPr>
                </w:pPr>
                <w:r>
                  <w:rPr>
                    <w:color w:val="000000"/>
                    <w:sz w:val="18"/>
                    <w:szCs w:val="18"/>
                    <w:lang w:eastAsia="lt-LT"/>
                  </w:rPr>
                  <w:t>-</w:t>
                </w: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Elektros energijos suminės sąnaudos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5868" w:type="dxa"/>
                <w:gridSpan w:val="7"/>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rPr>
                    <w:rFonts w:eastAsia="Calibri"/>
                    <w:color w:val="000000"/>
                    <w:sz w:val="18"/>
                    <w:szCs w:val="18"/>
                  </w:rPr>
                </w:pPr>
                <w:r>
                  <w:rPr>
                    <w:color w:val="000000"/>
                    <w:sz w:val="18"/>
                    <w:szCs w:val="18"/>
                    <w:lang w:eastAsia="lt-LT"/>
                  </w:rPr>
                  <w:t>Elektros energijos sąnaudos patalpų apšvietimui (kWh/(m</w:t>
                </w:r>
                <w:r>
                  <w:rPr>
                    <w:color w:val="000000"/>
                    <w:sz w:val="18"/>
                    <w:szCs w:val="18"/>
                    <w:vertAlign w:val="superscript"/>
                    <w:lang w:eastAsia="lt-LT"/>
                  </w:rPr>
                  <w:t>2</w:t>
                </w:r>
                <w:r>
                  <w:rPr>
                    <w:b/>
                    <w:color w:val="000000"/>
                    <w:sz w:val="18"/>
                    <w:szCs w:val="18"/>
                    <w:lang w:eastAsia="lt-LT"/>
                  </w:rPr>
                  <w:t>∙</w:t>
                </w:r>
                <w:r>
                  <w:rPr>
                    <w:color w:val="000000"/>
                    <w:sz w:val="18"/>
                    <w:szCs w:val="18"/>
                    <w:lang w:eastAsia="lt-LT"/>
                  </w:rPr>
                  <w:t>metai)):</w:t>
                </w:r>
              </w:p>
            </w:tc>
            <w:tc>
              <w:tcPr>
                <w:tcW w:w="1259" w:type="dxa"/>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193"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c>
              <w:tcPr>
                <w:tcW w:w="1486"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rFonts w:eastAsia="Calibri"/>
                    <w:color w:val="000000"/>
                    <w:sz w:val="18"/>
                    <w:szCs w:val="18"/>
                  </w:rPr>
                </w:pPr>
              </w:p>
            </w:tc>
          </w:tr>
          <w:tr>
            <w:tc>
              <w:tcPr>
                <w:tcW w:w="9806" w:type="dxa"/>
                <w:gridSpan w:val="13"/>
                <w:tcBorders>
                  <w:top w:val="single" w:sz="4" w:space="0" w:color="auto"/>
                  <w:left w:val="nil"/>
                  <w:bottom w:val="single" w:sz="4" w:space="0" w:color="auto"/>
                  <w:right w:val="nil"/>
                </w:tcBorders>
              </w:tcPr>
              <w:p>
                <w:pPr>
                  <w:suppressAutoHyphens/>
                  <w:ind w:firstLine="600"/>
                  <w:jc w:val="both"/>
                  <w:rPr>
                    <w:b/>
                    <w:bCs/>
                    <w:caps/>
                    <w:color w:val="000000"/>
                    <w:sz w:val="18"/>
                    <w:szCs w:val="18"/>
                  </w:rPr>
                </w:pPr>
              </w:p>
            </w:tc>
          </w:tr>
          <w:tr>
            <w:tc>
              <w:tcPr>
                <w:tcW w:w="9806" w:type="dxa"/>
                <w:gridSpan w:val="13"/>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Pastatui (jo daliai) šildyti naudojami šilumos šaltinai ir šildomi plotai, kuriuose jie naudojami:</w:t>
                </w: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bCs/>
                    <w:color w:val="000000"/>
                    <w:sz w:val="18"/>
                    <w:szCs w:val="18"/>
                  </w:rPr>
                </w:pPr>
                <w:r>
                  <w:rPr>
                    <w:bCs/>
                    <w:color w:val="000000"/>
                    <w:sz w:val="18"/>
                    <w:szCs w:val="18"/>
                    <w:lang w:eastAsia="lt-LT"/>
                  </w:rPr>
                  <w:t>Šilumos šaltiniai:</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9806" w:type="dxa"/>
                <w:gridSpan w:val="13"/>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Pastatui (jo daliai) vėsinti naudojamų orą šaldančių įrenginių tipai ir šildomi plotai, kuriuose jie naudojami:</w:t>
                </w: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bCs/>
                    <w:color w:val="000000"/>
                    <w:sz w:val="18"/>
                    <w:szCs w:val="18"/>
                  </w:rPr>
                </w:pPr>
                <w:r>
                  <w:rPr>
                    <w:bCs/>
                    <w:color w:val="000000"/>
                    <w:sz w:val="18"/>
                    <w:szCs w:val="18"/>
                    <w:lang w:eastAsia="lt-LT"/>
                  </w:rPr>
                  <w:t>Orą šaldančių įrenginių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9806" w:type="dxa"/>
                <w:gridSpan w:val="13"/>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Pastatui (jo daliai) vėdinti naudojamų vėdinimo sistemų tipai ir šildomi plotai, kuriuose jos naudojamos:</w:t>
                </w: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bCs/>
                    <w:color w:val="000000"/>
                    <w:sz w:val="18"/>
                    <w:szCs w:val="18"/>
                  </w:rPr>
                </w:pPr>
                <w:r>
                  <w:rPr>
                    <w:bCs/>
                    <w:color w:val="000000"/>
                    <w:sz w:val="18"/>
                    <w:szCs w:val="18"/>
                    <w:lang w:eastAsia="lt-LT"/>
                  </w:rPr>
                  <w:t>Vėdinimo sistemos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9806" w:type="dxa"/>
                <w:gridSpan w:val="13"/>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Pastate (jo dalyse) karštam buitiniam vandeniui ruošti naudojamos įrangos tipai ir šildomi plotai, kuriuose jie naudojami:</w:t>
                </w: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rFonts w:eastAsia="Calibri"/>
                    <w:bCs/>
                    <w:color w:val="000000"/>
                    <w:sz w:val="18"/>
                    <w:szCs w:val="18"/>
                  </w:rPr>
                </w:pPr>
                <w:r>
                  <w:rPr>
                    <w:bCs/>
                    <w:color w:val="000000"/>
                    <w:sz w:val="18"/>
                    <w:szCs w:val="18"/>
                    <w:lang w:eastAsia="lt-LT"/>
                  </w:rPr>
                  <w:t>Karšto buitinio vandens ruošimo sistemos įrangos tipas:</w:t>
                </w:r>
              </w:p>
            </w:tc>
            <w:tc>
              <w:tcPr>
                <w:tcW w:w="2264" w:type="dxa"/>
                <w:gridSpan w:val="3"/>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bCs/>
                    <w:color w:val="000000"/>
                    <w:sz w:val="18"/>
                    <w:szCs w:val="18"/>
                  </w:rPr>
                </w:pPr>
                <w:r>
                  <w:rPr>
                    <w:bCs/>
                    <w:color w:val="000000"/>
                    <w:sz w:val="18"/>
                    <w:szCs w:val="18"/>
                    <w:lang w:eastAsia="lt-LT"/>
                  </w:rPr>
                  <w:t>Šildomi plotai (m²):</w:t>
                </w: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tcPr>
              <w:p>
                <w:pPr>
                  <w:suppressAutoHyphens/>
                  <w:spacing w:line="276" w:lineRule="auto"/>
                  <w:jc w:val="right"/>
                  <w:rPr>
                    <w:rFonts w:eastAsia="Calibri"/>
                    <w:bCs/>
                    <w:color w:val="000000"/>
                    <w:sz w:val="18"/>
                    <w:szCs w:val="18"/>
                  </w:rPr>
                </w:pP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7542" w:type="dxa"/>
                <w:gridSpan w:val="10"/>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b/>
                    <w:bCs/>
                    <w:color w:val="000000"/>
                    <w:sz w:val="18"/>
                    <w:szCs w:val="18"/>
                  </w:rPr>
                </w:pPr>
                <w:r>
                  <w:rPr>
                    <w:b/>
                    <w:color w:val="000000"/>
                    <w:sz w:val="18"/>
                    <w:szCs w:val="18"/>
                    <w:lang w:eastAsia="lt-LT"/>
                  </w:rPr>
                  <w:t>Pastato (jo dalies) į aplinką išmetamas CO</w:t>
                </w:r>
                <w:r>
                  <w:rPr>
                    <w:b/>
                    <w:color w:val="000000"/>
                    <w:sz w:val="18"/>
                    <w:szCs w:val="18"/>
                    <w:vertAlign w:val="subscript"/>
                    <w:lang w:eastAsia="lt-LT"/>
                  </w:rPr>
                  <w:t xml:space="preserve">2 </w:t>
                </w:r>
                <w:r>
                  <w:rPr>
                    <w:b/>
                    <w:color w:val="000000"/>
                    <w:sz w:val="18"/>
                    <w:szCs w:val="18"/>
                    <w:lang w:eastAsia="lt-LT"/>
                  </w:rPr>
                  <w:t>kiekis (</w:t>
                </w:r>
                <w:r>
                  <w:rPr>
                    <w:b/>
                    <w:bCs/>
                    <w:color w:val="000000"/>
                    <w:sz w:val="18"/>
                    <w:szCs w:val="18"/>
                    <w:lang w:eastAsia="lt-LT"/>
                  </w:rPr>
                  <w:t>kgCO</w:t>
                </w:r>
                <w:r>
                  <w:rPr>
                    <w:b/>
                    <w:bCs/>
                    <w:color w:val="000000"/>
                    <w:sz w:val="18"/>
                    <w:szCs w:val="18"/>
                    <w:vertAlign w:val="subscript"/>
                    <w:lang w:eastAsia="lt-LT"/>
                  </w:rPr>
                  <w:t>2</w:t>
                </w:r>
                <w:r>
                  <w:rPr>
                    <w:b/>
                    <w:color w:val="000000"/>
                    <w:sz w:val="18"/>
                    <w:szCs w:val="18"/>
                    <w:lang w:eastAsia="lt-LT"/>
                  </w:rPr>
                  <w:t>/(m</w:t>
                </w:r>
                <w:r>
                  <w:rPr>
                    <w:b/>
                    <w:color w:val="000000"/>
                    <w:sz w:val="18"/>
                    <w:szCs w:val="18"/>
                    <w:vertAlign w:val="superscript"/>
                    <w:lang w:eastAsia="lt-LT"/>
                  </w:rPr>
                  <w:t>2</w:t>
                </w:r>
                <w:r>
                  <w:rPr>
                    <w:b/>
                    <w:color w:val="000000"/>
                    <w:sz w:val="18"/>
                    <w:szCs w:val="18"/>
                    <w:lang w:eastAsia="lt-LT"/>
                  </w:rPr>
                  <w:t>∙metai)):</w:t>
                </w:r>
              </w:p>
            </w:tc>
            <w:tc>
              <w:tcPr>
                <w:tcW w:w="2264" w:type="dxa"/>
                <w:gridSpan w:val="3"/>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bCs/>
                    <w:color w:val="000000"/>
                    <w:sz w:val="18"/>
                    <w:szCs w:val="18"/>
                  </w:rPr>
                </w:pPr>
              </w:p>
            </w:tc>
          </w:tr>
          <w:tr>
            <w:tc>
              <w:tcPr>
                <w:tcW w:w="8928" w:type="dxa"/>
                <w:gridSpan w:val="12"/>
                <w:tcBorders>
                  <w:top w:val="single" w:sz="4" w:space="0" w:color="auto"/>
                  <w:left w:val="single" w:sz="4" w:space="0" w:color="auto"/>
                  <w:bottom w:val="single" w:sz="4" w:space="0" w:color="auto"/>
                  <w:right w:val="single" w:sz="4" w:space="0" w:color="auto"/>
                </w:tcBorders>
                <w:hideMark/>
              </w:tcPr>
              <w:p>
                <w:pPr>
                  <w:suppressAutoHyphens/>
                  <w:jc w:val="right"/>
                  <w:rPr>
                    <w:b/>
                    <w:color w:val="000000"/>
                    <w:sz w:val="18"/>
                    <w:szCs w:val="18"/>
                  </w:rPr>
                </w:pPr>
                <w:r>
                  <w:rPr>
                    <w:b/>
                    <w:color w:val="000000"/>
                    <w:sz w:val="18"/>
                    <w:szCs w:val="18"/>
                    <w:lang w:eastAsia="lt-LT"/>
                  </w:rPr>
                  <w:t>Pastato (jo dalies) sandarumo matavimų duomenys (kartai per valandą):</w:t>
                </w:r>
              </w:p>
            </w:tc>
            <w:tc>
              <w:tcPr>
                <w:tcW w:w="878" w:type="dxa"/>
                <w:tcBorders>
                  <w:top w:val="single" w:sz="4" w:space="0" w:color="auto"/>
                  <w:left w:val="single" w:sz="4" w:space="0" w:color="auto"/>
                  <w:bottom w:val="single" w:sz="4" w:space="0" w:color="auto"/>
                  <w:right w:val="single" w:sz="4" w:space="0" w:color="auto"/>
                </w:tcBorders>
              </w:tcPr>
              <w:p>
                <w:pPr>
                  <w:suppressAutoHyphens/>
                  <w:spacing w:line="276" w:lineRule="auto"/>
                  <w:jc w:val="center"/>
                  <w:rPr>
                    <w:rFonts w:eastAsia="Calibri"/>
                    <w:bCs/>
                    <w:color w:val="000000"/>
                    <w:sz w:val="18"/>
                    <w:szCs w:val="18"/>
                  </w:rPr>
                </w:pPr>
              </w:p>
            </w:tc>
          </w:tr>
          <w:tr>
            <w:tc>
              <w:tcPr>
                <w:tcW w:w="5328" w:type="dxa"/>
                <w:gridSpan w:val="5"/>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b/>
                    <w:bCs/>
                    <w:color w:val="000000"/>
                    <w:sz w:val="18"/>
                    <w:szCs w:val="18"/>
                    <w:lang w:eastAsia="lt-LT"/>
                  </w:rPr>
                </w:pPr>
                <w:r>
                  <w:rPr>
                    <w:color w:val="000000"/>
                    <w:sz w:val="18"/>
                    <w:szCs w:val="18"/>
                    <w:lang w:eastAsia="lt-LT"/>
                  </w:rPr>
                  <w:t>Nuorodos išsamesnei informacijai gauti apie pastato (jo dalies) ekonomiškai efektyvų energinio naudingumo gerinimą:</w:t>
                </w:r>
              </w:p>
            </w:tc>
            <w:tc>
              <w:tcPr>
                <w:tcW w:w="4478" w:type="dxa"/>
                <w:gridSpan w:val="8"/>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color w:val="000000"/>
                    <w:sz w:val="18"/>
                    <w:szCs w:val="18"/>
                    <w:lang w:eastAsia="lt-LT"/>
                  </w:rPr>
                </w:pPr>
                <w:r>
                  <w:rPr>
                    <w:bCs/>
                    <w:color w:val="000000"/>
                    <w:sz w:val="18"/>
                    <w:szCs w:val="18"/>
                    <w:lang w:eastAsia="lt-LT"/>
                  </w:rPr>
                  <w:t>www.apva.lt</w:t>
                </w:r>
              </w:p>
              <w:p>
                <w:pPr>
                  <w:suppressAutoHyphens/>
                  <w:spacing w:line="276" w:lineRule="auto"/>
                  <w:jc w:val="center"/>
                  <w:rPr>
                    <w:rFonts w:eastAsia="Calibri"/>
                    <w:bCs/>
                    <w:color w:val="000000"/>
                    <w:sz w:val="18"/>
                    <w:szCs w:val="18"/>
                    <w:lang w:eastAsia="lt-LT"/>
                  </w:rPr>
                </w:pPr>
                <w:r>
                  <w:rPr>
                    <w:bCs/>
                    <w:color w:val="000000"/>
                    <w:sz w:val="18"/>
                    <w:szCs w:val="18"/>
                    <w:u w:val="single"/>
                    <w:lang w:eastAsia="lt-LT"/>
                  </w:rPr>
                  <w:t>www.ena.lt</w:t>
                </w:r>
              </w:p>
            </w:tc>
          </w:tr>
          <w:tr>
            <w:tc>
              <w:tcPr>
                <w:tcW w:w="2254"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color w:val="000000"/>
                    <w:sz w:val="18"/>
                    <w:szCs w:val="18"/>
                  </w:rPr>
                </w:pPr>
                <w:r>
                  <w:rPr>
                    <w:color w:val="000000"/>
                    <w:sz w:val="18"/>
                    <w:szCs w:val="18"/>
                    <w:lang w:eastAsia="lt-LT"/>
                  </w:rPr>
                  <w:t>Sertifikato išdavimo data :</w:t>
                </w:r>
              </w:p>
            </w:tc>
            <w:tc>
              <w:tcPr>
                <w:tcW w:w="2325" w:type="dxa"/>
                <w:gridSpan w:val="2"/>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both"/>
                  <w:rPr>
                    <w:rFonts w:eastAsia="Calibri"/>
                    <w:color w:val="000000"/>
                    <w:sz w:val="18"/>
                    <w:szCs w:val="18"/>
                  </w:rPr>
                </w:pPr>
              </w:p>
            </w:tc>
            <w:tc>
              <w:tcPr>
                <w:tcW w:w="2963" w:type="dxa"/>
                <w:gridSpan w:val="7"/>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color w:val="000000"/>
                    <w:sz w:val="18"/>
                    <w:szCs w:val="18"/>
                  </w:rPr>
                </w:pPr>
                <w:r>
                  <w:rPr>
                    <w:color w:val="000000"/>
                    <w:sz w:val="18"/>
                    <w:szCs w:val="18"/>
                    <w:lang w:eastAsia="lt-LT"/>
                  </w:rPr>
                  <w:t>Sertifikato galiojimo terminas:</w:t>
                </w:r>
              </w:p>
            </w:tc>
            <w:tc>
              <w:tcPr>
                <w:tcW w:w="2264" w:type="dxa"/>
                <w:gridSpan w:val="3"/>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both"/>
                  <w:rPr>
                    <w:rFonts w:eastAsia="Calibri"/>
                    <w:color w:val="000000"/>
                    <w:sz w:val="18"/>
                    <w:szCs w:val="18"/>
                  </w:rPr>
                </w:pPr>
              </w:p>
            </w:tc>
          </w:tr>
          <w:tr>
            <w:trPr>
              <w:trHeight w:val="506"/>
            </w:trPr>
            <w:tc>
              <w:tcPr>
                <w:tcW w:w="2492"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Sertifikatą išdavė</w:t>
                </w:r>
              </w:p>
              <w:p>
                <w:pPr>
                  <w:suppressAutoHyphens/>
                  <w:spacing w:line="276" w:lineRule="auto"/>
                  <w:jc w:val="center"/>
                  <w:rPr>
                    <w:rFonts w:eastAsia="Calibri"/>
                    <w:color w:val="000000"/>
                    <w:sz w:val="18"/>
                    <w:szCs w:val="18"/>
                  </w:rPr>
                </w:pPr>
                <w:r>
                  <w:rPr>
                    <w:color w:val="000000"/>
                    <w:sz w:val="18"/>
                    <w:szCs w:val="18"/>
                    <w:lang w:eastAsia="lt-LT"/>
                  </w:rPr>
                  <w:t>ekspertas</w:t>
                </w:r>
              </w:p>
            </w:tc>
            <w:tc>
              <w:tcPr>
                <w:tcW w:w="2131"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________________</w:t>
                </w:r>
              </w:p>
              <w:p>
                <w:pPr>
                  <w:suppressAutoHyphens/>
                  <w:spacing w:line="276" w:lineRule="auto"/>
                  <w:jc w:val="center"/>
                  <w:rPr>
                    <w:rFonts w:eastAsia="Calibri"/>
                    <w:color w:val="000000"/>
                    <w:sz w:val="18"/>
                    <w:szCs w:val="18"/>
                  </w:rPr>
                </w:pPr>
                <w:r>
                  <w:rPr>
                    <w:color w:val="000000"/>
                    <w:sz w:val="18"/>
                    <w:szCs w:val="18"/>
                    <w:lang w:eastAsia="lt-LT"/>
                  </w:rPr>
                  <w:t>parašas</w:t>
                </w:r>
              </w:p>
            </w:tc>
            <w:tc>
              <w:tcPr>
                <w:tcW w:w="2571" w:type="dxa"/>
                <w:gridSpan w:val="5"/>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_______________</w:t>
                </w:r>
              </w:p>
              <w:p>
                <w:pPr>
                  <w:suppressAutoHyphens/>
                  <w:spacing w:line="276" w:lineRule="auto"/>
                  <w:jc w:val="center"/>
                  <w:rPr>
                    <w:rFonts w:eastAsia="Calibri"/>
                    <w:color w:val="000000"/>
                    <w:sz w:val="18"/>
                    <w:szCs w:val="18"/>
                  </w:rPr>
                </w:pPr>
                <w:r>
                  <w:rPr>
                    <w:color w:val="000000"/>
                    <w:sz w:val="18"/>
                    <w:szCs w:val="18"/>
                    <w:lang w:eastAsia="lt-LT"/>
                  </w:rPr>
                  <w:t xml:space="preserve">vardas, pavardė </w:t>
                </w:r>
              </w:p>
            </w:tc>
            <w:tc>
              <w:tcPr>
                <w:tcW w:w="2612" w:type="dxa"/>
                <w:gridSpan w:val="4"/>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color w:val="000000"/>
                    <w:sz w:val="18"/>
                    <w:szCs w:val="18"/>
                    <w:lang w:eastAsia="lt-LT"/>
                  </w:rPr>
                </w:pPr>
                <w:r>
                  <w:rPr>
                    <w:color w:val="000000"/>
                    <w:sz w:val="18"/>
                    <w:szCs w:val="18"/>
                    <w:lang w:eastAsia="lt-LT"/>
                  </w:rPr>
                  <w:t>___________</w:t>
                </w:r>
              </w:p>
              <w:p>
                <w:pPr>
                  <w:suppressAutoHyphens/>
                  <w:spacing w:line="276" w:lineRule="auto"/>
                  <w:jc w:val="center"/>
                  <w:rPr>
                    <w:rFonts w:eastAsia="Calibri"/>
                    <w:color w:val="000000"/>
                    <w:sz w:val="18"/>
                    <w:szCs w:val="18"/>
                  </w:rPr>
                </w:pPr>
                <w:r>
                  <w:rPr>
                    <w:color w:val="000000"/>
                    <w:sz w:val="18"/>
                    <w:szCs w:val="18"/>
                    <w:lang w:eastAsia="lt-LT"/>
                  </w:rPr>
                  <w:t>pažymėjimo numeris</w:t>
                </w:r>
              </w:p>
            </w:tc>
          </w:tr>
        </w:tbl>
        <w:p>
          <w:pPr>
            <w:suppressAutoHyphens/>
            <w:jc w:val="right"/>
            <w:rPr>
              <w:rFonts w:eastAsia="Calibri"/>
              <w:color w:val="000000" w:themeColor="text1"/>
              <w:szCs w:val="22"/>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
      <w:sdtPr>
        <w:alias w:val="11 pr."/>
        <w:tag w:val="part_34d268fd658c4620b9f5e297872609af"/>
        <w:lock w:val="sdtLocked"/>
        <w:richText/>
      </w:sdtPr>
      <w:sdtContent>
        <w:p>
          <w:pPr>
            <w:ind w:left="5245"/>
            <w:sectPr>
              <w:pgSz w:w="11906" w:h="16838"/>
              <w:pgMar w:top="1134" w:right="567" w:bottom="1134" w:left="1701" w:header="567" w:footer="567" w:gutter="0"/>
              <w:cols w:space="1296"/>
            </w:sectPr>
          </w:pPr>
        </w:p>
        <w:p>
          <w:pPr>
            <w:ind w:left="5245"/>
            <w:rPr>
              <w:color w:val="000000" w:themeColor="text1"/>
            </w:rPr>
          </w:pPr>
          <w:r>
            <w:rPr>
              <w:color w:val="000000" w:themeColor="text1"/>
            </w:rPr>
            <w:t xml:space="preserve">Statybos techninio reglamento </w:t>
          </w:r>
        </w:p>
        <w:p>
          <w:pPr>
            <w:ind w:left="5245"/>
            <w:rPr>
              <w:color w:val="000000" w:themeColor="text1"/>
            </w:rPr>
          </w:pPr>
          <w:r>
            <w:rPr>
              <w:color w:val="000000" w:themeColor="text1"/>
            </w:rPr>
            <w:t>STR 2.01.02:2016 „Pastatų energinio naudingumo projektavimas ir sertifikavimas“</w:t>
          </w:r>
        </w:p>
        <w:p>
          <w:pPr>
            <w:ind w:left="5245"/>
            <w:rPr>
              <w:color w:val="000000" w:themeColor="text1"/>
              <w:szCs w:val="24"/>
            </w:rPr>
          </w:pPr>
          <w:sdt>
            <w:sdtPr>
              <w:alias w:val="Numeris"/>
              <w:tag w:val="nr_34d268fd658c4620b9f5e297872609af"/>
              <w:lock w:val="sdtLocked"/>
              <w:richText/>
            </w:sdtPr>
            <w:sdtContent>
              <w:r>
                <w:rPr>
                  <w:color w:val="000000" w:themeColor="text1"/>
                  <w:szCs w:val="24"/>
                </w:rPr>
                <w:t>11</w:t>
              </w:r>
            </w:sdtContent>
          </w:sdt>
          <w:r>
            <w:rPr>
              <w:color w:val="000000" w:themeColor="text1"/>
              <w:szCs w:val="24"/>
            </w:rPr>
            <w:t xml:space="preserve"> priedas </w:t>
          </w:r>
        </w:p>
        <w:p>
          <w:pPr>
            <w:rPr>
              <w:color w:val="000000" w:themeColor="text1"/>
              <w:szCs w:val="22"/>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34d268fd658c4620b9f5e297872609af"/>
              <w:lock w:val="sdtLocked"/>
              <w:richText/>
            </w:sdtPr>
            <w:sdtContent>
              <w:r>
                <w:rPr>
                  <w:rFonts w:ascii="Times New Roman Bold" w:hAnsi="Times New Roman Bold"/>
                  <w:b/>
                  <w:caps/>
                  <w:color w:val="000000" w:themeColor="text1"/>
                  <w:lang w:eastAsia="lt-LT"/>
                </w:rPr>
                <w:t xml:space="preserve">Pagrindiniai pastato energijos sąnaudų skaičiavimo rezultatai ir pastato energinio naudingumo gerinimo rekomendacijos </w:t>
              </w:r>
            </w:sdtContent>
          </w:sdt>
        </w:p>
        <w:p>
          <w:pPr>
            <w:rPr>
              <w:color w:val="000000" w:themeColor="text1"/>
              <w:sz w:val="10"/>
              <w:szCs w:val="10"/>
            </w:rPr>
          </w:pPr>
        </w:p>
        <w:p>
          <w:pPr>
            <w:ind w:firstLine="720"/>
            <w:rPr>
              <w:color w:val="000000" w:themeColor="text1"/>
            </w:rPr>
          </w:pPr>
        </w:p>
        <w:sdt>
          <w:sdtPr>
            <w:alias w:val="11 pr. 1 p."/>
            <w:tag w:val="part_0915a3af139b4488ac3c5615e77af1a6"/>
            <w:lock w:val="sdtLocked"/>
            <w:richText/>
          </w:sdtPr>
          <w:sdtContent>
            <w:p>
              <w:pPr>
                <w:ind w:firstLine="567"/>
                <w:jc w:val="both"/>
                <w:rPr>
                  <w:color w:val="000000" w:themeColor="text1"/>
                </w:rPr>
              </w:pPr>
              <w:sdt>
                <w:sdtPr>
                  <w:alias w:val="Numeris"/>
                  <w:tag w:val="nr_0915a3af139b4488ac3c5615e77af1a6"/>
                  <w:lock w:val="sdtLocked"/>
                  <w:richText/>
                </w:sdtPr>
                <w:sdtContent>
                  <w:r>
                    <w:rPr>
                      <w:color w:val="000000" w:themeColor="text1"/>
                    </w:rPr>
                    <w:t>1</w:t>
                  </w:r>
                </w:sdtContent>
              </w:sdt>
              <w:r>
                <w:rPr>
                  <w:color w:val="000000" w:themeColor="text1"/>
                </w:rPr>
                <w:t>. Sertifikavimo užsakovui pateikiami 11.1 lentelės 1, 2 ir 4 skiltyse nurodyti pastato energijos sąnaudų skaičiavimo rezultatai.</w:t>
              </w:r>
            </w:p>
            <w:p>
              <w:pPr>
                <w:ind w:firstLine="720"/>
                <w:jc w:val="right"/>
                <w:rPr>
                  <w:color w:val="000000" w:themeColor="text1"/>
                </w:rPr>
              </w:pPr>
            </w:p>
            <w:sdt>
              <w:sdtPr>
                <w:alias w:val="skirsnis"/>
                <w:tag w:val="part_7234056cc4784dabaf09632d628d7fe7"/>
                <w:lock w:val="sdtLocked"/>
                <w:richText/>
              </w:sdtPr>
              <w:sdtContent>
                <w:p>
                  <w:pPr>
                    <w:jc w:val="center"/>
                    <w:rPr>
                      <w:b/>
                    </w:rPr>
                  </w:pPr>
                  <w:sdt>
                    <w:sdtPr>
                      <w:alias w:val="Pavadinimas"/>
                      <w:tag w:val="title_7234056cc4784dabaf09632d628d7fe7"/>
                      <w:lock w:val="sdtLocked"/>
                      <w:richText/>
                    </w:sdtPr>
                    <w:sdtContent>
                      <w:r>
                        <w:rPr>
                          <w:b/>
                        </w:rPr>
                        <w:t>Pastato energijos sąnaudų skaičiavimo rezultatai</w:t>
                      </w:r>
                    </w:sdtContent>
                  </w:sdt>
                </w:p>
                <w:sdt>
                  <w:sdtPr>
                    <w:alias w:val="lentele"/>
                    <w:tag w:val="part_09c46d3005d4454aa0266a23fe54597c"/>
                    <w:lock w:val="sdtLocked"/>
                    <w:richText/>
                  </w:sdtPr>
                  <w:sdtContent>
                    <w:p>
                      <w:pPr>
                        <w:jc w:val="right"/>
                        <w:rPr>
                          <w:b/>
                          <w:color w:val="000000" w:themeColor="text1"/>
                        </w:rPr>
                      </w:pPr>
                      <w:sdt>
                        <w:sdtPr>
                          <w:alias w:val="Numeris"/>
                          <w:tag w:val="nr_09c46d3005d4454aa0266a23fe54597c"/>
                          <w:lock w:val="sdtLocked"/>
                          <w:richText/>
                        </w:sdtPr>
                        <w:sdtContent>
                          <w:r>
                            <w:rPr>
                              <w:color w:val="000000" w:themeColor="text1"/>
                            </w:rPr>
                            <w:t>11.1</w:t>
                          </w:r>
                        </w:sdtContent>
                      </w:sdt>
                      <w:r>
                        <w:rPr>
                          <w:color w:val="000000" w:themeColor="text1"/>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9"/>
                        <w:gridCol w:w="5184"/>
                        <w:gridCol w:w="1643"/>
                        <w:gridCol w:w="2074"/>
                      </w:tblGrid>
                      <w:tr>
                        <w:tc>
                          <w:tcPr>
                            <w:tcW w:w="669"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Eil. Nr.</w:t>
                            </w:r>
                          </w:p>
                        </w:tc>
                        <w:tc>
                          <w:tcPr>
                            <w:tcW w:w="518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Energijos sąnaudų apibūdinimas</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Formulės numeris skaičiavimams</w:t>
                            </w:r>
                          </w:p>
                        </w:tc>
                        <w:tc>
                          <w:tcPr>
                            <w:tcW w:w="207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 xml:space="preserve">Skaičiuojamosios energijos sąnaudos kvadratiniame metre pastato šildomo ploto per metus,    kWh/(m</w:t>
                            </w:r>
                            <w:r>
                              <w:rPr>
                                <w:color w:val="000000" w:themeColor="text1"/>
                                <w:vertAlign w:val="superscript"/>
                              </w:rPr>
                              <w:t>2</w:t>
                            </w:r>
                            <w:r>
                              <w:rPr>
                                <w:color w:val="000000" w:themeColor="text1"/>
                              </w:rPr>
                              <w:t>∙metai)</w:t>
                            </w: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2</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3</w:t>
                            </w:r>
                          </w:p>
                        </w:tc>
                        <w:tc>
                          <w:tcPr>
                            <w:tcW w:w="2074"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w:t>
                            </w: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sienas*</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2.</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stogą*</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(11.4)</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3.</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perdangas, kurios ribojasi su išore*</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(11.6)</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atitvaras, kurios ribojasi su gruntu*:</w:t>
                            </w:r>
                          </w:p>
                        </w:tc>
                        <w:tc>
                          <w:tcPr>
                            <w:tcW w:w="164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color w:val="000000" w:themeColor="text1"/>
                                <w:szCs w:val="22"/>
                              </w:rPr>
                            </w:pP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4.1.</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grindis ant grunto*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(11.8)</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4.2.</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horizontaliai pakraščiuose apšiltintas grindis ant grunto*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(11.10)</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4.3.</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vertikaliai pakraščiuose apšiltintas grindis ant grunto*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(11.10)</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4.4.</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vertikaliai ir horizontaliai pakraščiuose apšiltintas grindis ant grunto*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(11.10)</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4.5.</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šildomo rūsio atitvaras, kurios ribojasi su gruntu*</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(11.12)</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tcPr>
                          <w:p>
                            <w:pPr>
                              <w:spacing w:line="276" w:lineRule="auto"/>
                              <w:jc w:val="center"/>
                              <w:rPr>
                                <w:rFonts w:eastAsia="Calibri"/>
                                <w:color w:val="000000" w:themeColor="text1"/>
                                <w:szCs w:val="22"/>
                              </w:rPr>
                            </w:pP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grindis virš vėdinamų pogrindžių*</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(11.14)</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4.6.</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per grindis virš nešildomų vėdinamų rūsių*</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(11.16)</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5.</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langus, stoglangius, švieslangius ir kitas skaidrias atitvaras*</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(11.18)</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6.</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išorines duris ir vartus, neįskaitant nuostolių dėl durų varstymo*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(11.20)</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7.</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per pastato ilginius šiluminius tiltelius*</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(11.22)</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9.</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dėl pastato vėdinimo*</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(11.24)</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10.</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nuostoliai dėl viršnorminės išorės oro infiltracijos*</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(11.25)</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11.</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Šilumos pritekėjimai iš išorės pastato (jo dalies) šildymo laikotarpiu</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(2.155)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12.</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Vidiniai šilumos išsiskyrimai pastato (jo dalies) šildymo laikotarpiu</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(2.166)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13.</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xml:space="preserve">Šilumos nuostoliai, kuriuos pastato (jo dalies) šildymo laikotarpiu kompensuoja šilumos pritekėjimai iš išorės ir vidiniai šilumos išsiskyrimai </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(11.26)</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14.</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Suminės elektros energijos sąnaudos pastate</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(2.586)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15.</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Elektros energijos sąnaudos patalpų apšvietimui</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(2.129)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16.</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Šiluminės energijos sąnaudos karštam vandeniui ruošti</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(2.578-3)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17.</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bCs/>
                                <w:color w:val="000000" w:themeColor="text1"/>
                                <w:lang w:eastAsia="lt-LT"/>
                              </w:rPr>
                              <w:t>Šiluminės energijos sąnaudos pastatui šildyti</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(2.581)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r>
                        <w:tc>
                          <w:tcPr>
                            <w:tcW w:w="669" w:type="dxa"/>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Cs w:val="22"/>
                              </w:rPr>
                            </w:pPr>
                            <w:r>
                              <w:rPr>
                                <w:color w:val="000000" w:themeColor="text1"/>
                              </w:rPr>
                              <w:t>18.</w:t>
                            </w:r>
                          </w:p>
                        </w:tc>
                        <w:tc>
                          <w:tcPr>
                            <w:tcW w:w="5184"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bCs/>
                                <w:color w:val="000000" w:themeColor="text1"/>
                                <w:lang w:eastAsia="lt-LT"/>
                              </w:rPr>
                              <w:t>Šiluminės energijos sąnaudos pastatui vėsinti</w:t>
                            </w:r>
                          </w:p>
                        </w:tc>
                        <w:tc>
                          <w:tcPr>
                            <w:tcW w:w="164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Reglamento 2 priedo (2.584) formulė</w:t>
                            </w:r>
                          </w:p>
                        </w:tc>
                        <w:tc>
                          <w:tcPr>
                            <w:tcW w:w="2074"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r>
                    </w:tbl>
                    <w:p>
                      <w:pPr>
                        <w:rPr>
                          <w:color w:val="000000" w:themeColor="text1"/>
                        </w:rPr>
                      </w:pPr>
                    </w:p>
                  </w:sdtContent>
                </w:sdt>
                <w:sdt>
                  <w:sdtPr>
                    <w:alias w:val="pastraipa"/>
                    <w:tag w:val="part_1e37ca710b8442b0843f924604b6fe5b"/>
                    <w:lock w:val="sdtLocked"/>
                    <w:richText/>
                  </w:sdtPr>
                  <w:sdtContent>
                    <w:p>
                      <w:pPr>
                        <w:rPr>
                          <w:rFonts w:eastAsia="Calibri"/>
                          <w:color w:val="000000" w:themeColor="text1"/>
                          <w:szCs w:val="22"/>
                        </w:rPr>
                      </w:pPr>
                      <w:r>
                        <w:rPr>
                          <w:color w:val="000000" w:themeColor="text1"/>
                        </w:rPr>
                        <w:t>* šiluminės energijos, sunaudotos pastatui šildyti, nuostoliai.</w:t>
                      </w:r>
                    </w:p>
                    <w:p>
                      <w:pPr>
                        <w:rPr>
                          <w:color w:val="000000" w:themeColor="text1"/>
                        </w:rPr>
                      </w:pPr>
                    </w:p>
                  </w:sdtContent>
                </w:sdt>
              </w:sdtContent>
            </w:sdt>
          </w:sdtContent>
        </w:sdt>
        <w:sdt>
          <w:sdtPr>
            <w:alias w:val="11 pr. 2 p."/>
            <w:tag w:val="part_04a2a95b900c4b9b9b96167d360ae1fd"/>
            <w:lock w:val="sdtLocked"/>
            <w:richText/>
          </w:sdtPr>
          <w:sdtContent>
            <w:p>
              <w:pPr>
                <w:ind w:firstLine="567"/>
                <w:jc w:val="both"/>
                <w:rPr>
                  <w:color w:val="000000" w:themeColor="text1"/>
                </w:rPr>
              </w:pPr>
              <w:sdt>
                <w:sdtPr>
                  <w:alias w:val="Numeris"/>
                  <w:tag w:val="nr_04a2a95b900c4b9b9b96167d360ae1fd"/>
                  <w:lock w:val="sdtLocked"/>
                  <w:richText/>
                </w:sdtPr>
                <w:sdtContent>
                  <w:r>
                    <w:rPr>
                      <w:color w:val="000000" w:themeColor="text1"/>
                    </w:rPr>
                    <w:t>2</w:t>
                  </w:r>
                </w:sdtContent>
              </w:sdt>
              <w:r>
                <w:rPr>
                  <w:color w:val="000000" w:themeColor="text1"/>
                </w:rPr>
                <w:t xml:space="preserve">. Sertifikavimo užsakovui pateikiamos pastato (jo dalies) energinio naudingumo gerinimo rekomendacijos, kuriose turi būti 11.2 lentelės 1, 2, 3, 5 stulpelių duomenys. </w:t>
              </w:r>
            </w:p>
          </w:sdtContent>
        </w:sdt>
        <w:sdt>
          <w:sdtPr>
            <w:alias w:val="11 pr. 3 p."/>
            <w:tag w:val="part_24cf10a108ac4f089db212b8a7b791d0"/>
            <w:lock w:val="sdtLocked"/>
            <w:richText/>
          </w:sdtPr>
          <w:sdtContent>
            <w:p>
              <w:pPr>
                <w:ind w:firstLine="567"/>
                <w:rPr>
                  <w:color w:val="000000" w:themeColor="text1"/>
                </w:rPr>
              </w:pPr>
              <w:sdt>
                <w:sdtPr>
                  <w:alias w:val="Numeris"/>
                  <w:tag w:val="nr_24cf10a108ac4f089db212b8a7b791d0"/>
                  <w:lock w:val="sdtLocked"/>
                  <w:richText/>
                </w:sdtPr>
                <w:sdtContent>
                  <w:r>
                    <w:rPr>
                      <w:color w:val="000000" w:themeColor="text1"/>
                    </w:rPr>
                    <w:t>3</w:t>
                  </w:r>
                </w:sdtContent>
              </w:sdt>
              <w:r>
                <w:rPr>
                  <w:color w:val="000000" w:themeColor="text1"/>
                </w:rPr>
                <w:t>. 11.1 ir 11.2 lentelių duomenims skaičiuoti taikomos šios formulės:</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488" w:dyaOrig="1284">
                        <v:shape id="_x0000_i1882" type="#_x0000_t75" style="width:224.9pt;height:63.9pt" o:ole="">
                          <v:imagedata r:id="rId99" o:title=""/>
                        </v:shape>
                        <o:OLEObject Type="Embed" ProgID="Equation.3" ShapeID="_x0000_i1882" DrawAspect="Content" ObjectID="_0000000001" r:id="rId100"/>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w:t>
                    </w:r>
                  </w:p>
                </w:tc>
              </w:tr>
            </w:tbl>
            <w:p>
              <w:pPr>
                <w:ind w:left="720" w:hanging="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3840" w:dyaOrig="1320">
                        <v:shape id="_x0000_i1883" type="#_x0000_t75" style="width:192.55pt;height:66.35pt" o:ole="">
                          <v:imagedata r:id="rId101" o:title=""/>
                        </v:shape>
                        <o:OLEObject Type="Embed" ProgID="Equation.3" ShapeID="_x0000_i1883" DrawAspect="Content" ObjectID="_0000000001" r:id="rId102"/>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w:t>
                    </w:r>
                  </w:p>
                </w:tc>
              </w:tr>
            </w:tbl>
            <w:p>
              <w:pPr>
                <w:ind w:left="567" w:hanging="567"/>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N.H.w,m</w:t>
              </w:r>
              <w:r>
                <w:rPr>
                  <w:color w:val="000000" w:themeColor="text1"/>
                  <w:vertAlign w:val="subscript"/>
                </w:rPr>
                <w:t xml:space="preserve"> </w:t>
              </w:r>
              <w:r>
                <w:rPr>
                  <w:color w:val="000000" w:themeColor="text1"/>
                </w:rPr>
                <w:t xml:space="preserve"> – apskaičiuojama pagal Reglamento 2 priedo (2.7) formulę;</w:t>
              </w:r>
            </w:p>
            <w:p>
              <w:pPr>
                <w:ind w:firstLine="567"/>
                <w:rPr>
                  <w:color w:val="000000" w:themeColor="text1"/>
                </w:rPr>
              </w:pPr>
              <w:r>
                <w:rPr>
                  <w:i/>
                  <w:color w:val="000000" w:themeColor="text1"/>
                </w:rPr>
                <w:t>Q</w:t>
              </w:r>
              <w:r>
                <w:rPr>
                  <w:i/>
                  <w:color w:val="000000" w:themeColor="text1"/>
                  <w:vertAlign w:val="superscript"/>
                </w:rPr>
                <w:t>I</w:t>
              </w:r>
              <w:r>
                <w:rPr>
                  <w:i/>
                  <w:color w:val="000000" w:themeColor="text1"/>
                  <w:vertAlign w:val="subscript"/>
                </w:rPr>
                <w:t>N.H,m</w:t>
              </w:r>
              <w:r>
                <w:rPr>
                  <w:color w:val="000000" w:themeColor="text1"/>
                  <w:vertAlign w:val="subscript"/>
                </w:rPr>
                <w:t xml:space="preserve"> </w:t>
              </w:r>
              <w:r>
                <w:rPr>
                  <w:color w:val="000000" w:themeColor="text1"/>
                </w:rPr>
                <w:t xml:space="preserve"> – apskaičiuojama pagal Reglamento 2 priedo (2.579) formulę;</w:t>
              </w:r>
            </w:p>
            <w:p>
              <w:pPr>
                <w:ind w:firstLine="567"/>
                <w:rPr>
                  <w:color w:val="000000" w:themeColor="text1"/>
                </w:rPr>
              </w:pPr>
              <w:r>
                <w:rPr>
                  <w:i/>
                  <w:color w:val="000000" w:themeColor="text1"/>
                </w:rPr>
                <w:t>Q</w:t>
              </w:r>
              <w:r>
                <w:rPr>
                  <w:i/>
                  <w:color w:val="000000" w:themeColor="text1"/>
                  <w:vertAlign w:val="subscript"/>
                </w:rPr>
                <w:t>N.H.env,m</w:t>
              </w:r>
              <w:r>
                <w:rPr>
                  <w:color w:val="000000" w:themeColor="text1"/>
                  <w:vertAlign w:val="subscript"/>
                </w:rPr>
                <w:t xml:space="preserve"> </w:t>
              </w:r>
              <w:r>
                <w:rPr>
                  <w:color w:val="000000" w:themeColor="text1"/>
                </w:rPr>
                <w:t xml:space="preserve"> – apskaičiuojama pagal Reglamento 2 priedo (2.119) formulę;</w:t>
              </w:r>
            </w:p>
            <w:p>
              <w:pPr>
                <w:ind w:firstLine="567"/>
                <w:rPr>
                  <w:color w:val="000000" w:themeColor="text1"/>
                </w:rPr>
              </w:pPr>
              <w:r>
                <w:rPr>
                  <w:i/>
                  <w:color w:val="000000" w:themeColor="text1"/>
                </w:rPr>
                <w:t>Q</w:t>
              </w:r>
              <w:r>
                <w:rPr>
                  <w:i/>
                  <w:color w:val="000000" w:themeColor="text1"/>
                  <w:vertAlign w:val="subscript"/>
                </w:rPr>
                <w:t>N.H.vent,m</w:t>
              </w:r>
              <w:r>
                <w:rPr>
                  <w:color w:val="000000" w:themeColor="text1"/>
                  <w:vertAlign w:val="subscript"/>
                </w:rPr>
                <w:t xml:space="preserve"> </w:t>
              </w:r>
              <w:r>
                <w:rPr>
                  <w:color w:val="000000" w:themeColor="text1"/>
                </w:rPr>
                <w:t xml:space="preserve"> – apskaičiuojama pagal Reglamento 2 priedo (2.99) formulę;</w:t>
              </w:r>
            </w:p>
            <w:p>
              <w:pPr>
                <w:ind w:firstLine="567"/>
                <w:rPr>
                  <w:color w:val="000000" w:themeColor="text1"/>
                </w:rPr>
              </w:pPr>
              <w:r>
                <w:rPr>
                  <w:i/>
                  <w:color w:val="000000" w:themeColor="text1"/>
                </w:rPr>
                <w:t>Q</w:t>
              </w:r>
              <w:r>
                <w:rPr>
                  <w:i/>
                  <w:color w:val="000000" w:themeColor="text1"/>
                  <w:vertAlign w:val="subscript"/>
                </w:rPr>
                <w:t>H.w,m</w:t>
              </w:r>
              <w:r>
                <w:rPr>
                  <w:color w:val="000000" w:themeColor="text1"/>
                  <w:vertAlign w:val="subscript"/>
                </w:rPr>
                <w:t xml:space="preserve"> </w:t>
              </w:r>
              <w:r>
                <w:rPr>
                  <w:color w:val="000000" w:themeColor="text1"/>
                </w:rPr>
                <w:t xml:space="preserve"> – apskaičiuojama pagal Reglamento 2 priedo (2.9) formulę;</w:t>
              </w:r>
            </w:p>
            <w:p>
              <w:pPr>
                <w:ind w:firstLine="567"/>
                <w:rPr>
                  <w:color w:val="000000" w:themeColor="text1"/>
                </w:rPr>
              </w:pPr>
              <w:r>
                <w:rPr>
                  <w:i/>
                  <w:color w:val="000000" w:themeColor="text1"/>
                </w:rPr>
                <w:t>Q</w:t>
              </w:r>
              <w:r>
                <w:rPr>
                  <w:i/>
                  <w:color w:val="000000" w:themeColor="text1"/>
                  <w:vertAlign w:val="superscript"/>
                </w:rPr>
                <w:t>I</w:t>
              </w:r>
              <w:r>
                <w:rPr>
                  <w:i/>
                  <w:color w:val="000000" w:themeColor="text1"/>
                  <w:vertAlign w:val="subscript"/>
                </w:rPr>
                <w:t>H,m</w:t>
              </w:r>
              <w:r>
                <w:rPr>
                  <w:color w:val="000000" w:themeColor="text1"/>
                  <w:vertAlign w:val="subscript"/>
                </w:rPr>
                <w:t xml:space="preserve"> </w:t>
              </w:r>
              <w:r>
                <w:rPr>
                  <w:color w:val="000000" w:themeColor="text1"/>
                </w:rPr>
                <w:t xml:space="preserve"> – apskaičiuojama pagal Reglamento 2 priedo (2.582) arba (2.583) formules;</w:t>
              </w:r>
            </w:p>
            <w:p>
              <w:pPr>
                <w:ind w:firstLine="567"/>
                <w:rPr>
                  <w:color w:val="000000" w:themeColor="text1"/>
                </w:rPr>
              </w:pPr>
              <w:r>
                <w:rPr>
                  <w:i/>
                  <w:color w:val="000000" w:themeColor="text1"/>
                </w:rPr>
                <w:t>Q</w:t>
              </w:r>
              <w:r>
                <w:rPr>
                  <w:i/>
                  <w:color w:val="000000" w:themeColor="text1"/>
                  <w:vertAlign w:val="subscript"/>
                </w:rPr>
                <w:t>H.env,m</w:t>
              </w:r>
              <w:r>
                <w:rPr>
                  <w:color w:val="000000" w:themeColor="text1"/>
                  <w:vertAlign w:val="subscript"/>
                </w:rPr>
                <w:t xml:space="preserve"> </w:t>
              </w:r>
              <w:r>
                <w:rPr>
                  <w:color w:val="000000" w:themeColor="text1"/>
                </w:rPr>
                <w:t xml:space="preserve"> – apskaičiuojama pagal Reglamento 2 priedo (2.121) formulę;</w:t>
              </w:r>
            </w:p>
            <w:p>
              <w:pPr>
                <w:ind w:firstLine="567"/>
                <w:jc w:val="both"/>
                <w:rPr>
                  <w:color w:val="000000" w:themeColor="text1"/>
                </w:rPr>
              </w:pPr>
              <w:r>
                <w:rPr>
                  <w:i/>
                  <w:color w:val="000000" w:themeColor="text1"/>
                </w:rPr>
                <w:t>Q</w:t>
              </w:r>
              <w:r>
                <w:rPr>
                  <w:i/>
                  <w:color w:val="000000" w:themeColor="text1"/>
                  <w:vertAlign w:val="subscript"/>
                </w:rPr>
                <w:t>H.vent,m</w:t>
              </w:r>
              <w:r>
                <w:rPr>
                  <w:color w:val="000000" w:themeColor="text1"/>
                  <w:vertAlign w:val="subscript"/>
                </w:rPr>
                <w:t xml:space="preserve"> </w:t>
              </w:r>
              <w:r>
                <w:rPr>
                  <w:color w:val="000000" w:themeColor="text1"/>
                </w:rPr>
                <w:t xml:space="preserve"> – apskaičiuojama pagal Reglamento 2 priedo 13.2 ir 13.3 punktų reikalavimus pagal (2.100) arba (2.109)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416" w:dyaOrig="1284">
                        <v:shape id="_x0000_i1884" type="#_x0000_t75" style="width:221.65pt;height:63.9pt" o:ole="">
                          <v:imagedata r:id="rId103" o:title=""/>
                        </v:shape>
                        <o:OLEObject Type="Embed" ProgID="Equation.3" ShapeID="_x0000_i1884" DrawAspect="Content" ObjectID="_0000000001" r:id="rId104"/>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(11.3)</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3828" w:dyaOrig="1284">
                        <v:shape id="_x0000_i1885" type="#_x0000_t75" style="width:190.9pt;height:63.9pt" o:ole="">
                          <v:imagedata r:id="rId105" o:title=""/>
                        </v:shape>
                        <o:OLEObject Type="Embed" ProgID="Equation.3" ShapeID="_x0000_i1885" DrawAspect="Content" ObjectID="_0000000001" r:id="rId106"/>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(11.4)</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N.H.r,m</w:t>
              </w:r>
              <w:r>
                <w:rPr>
                  <w:color w:val="000000" w:themeColor="text1"/>
                  <w:vertAlign w:val="subscript"/>
                </w:rPr>
                <w:t xml:space="preserve"> </w:t>
              </w:r>
              <w:r>
                <w:rPr>
                  <w:color w:val="000000" w:themeColor="text1"/>
                </w:rPr>
                <w:t xml:space="preserve"> – apskaičiuojama pagal Reglamento 2 priedo (2.11) formulę;</w:t>
              </w:r>
            </w:p>
            <w:p>
              <w:pPr>
                <w:ind w:firstLine="567"/>
                <w:rPr>
                  <w:color w:val="000000" w:themeColor="text1"/>
                </w:rPr>
              </w:pPr>
              <w:r>
                <w:rPr>
                  <w:i/>
                  <w:color w:val="000000" w:themeColor="text1"/>
                </w:rPr>
                <w:t>Q</w:t>
              </w:r>
              <w:r>
                <w:rPr>
                  <w:i/>
                  <w:color w:val="000000" w:themeColor="text1"/>
                  <w:vertAlign w:val="subscript"/>
                </w:rPr>
                <w:t>H.r,m</w:t>
              </w:r>
              <w:r>
                <w:rPr>
                  <w:color w:val="000000" w:themeColor="text1"/>
                  <w:vertAlign w:val="subscript"/>
                </w:rPr>
                <w:t xml:space="preserve"> </w:t>
              </w:r>
              <w:r>
                <w:rPr>
                  <w:color w:val="000000" w:themeColor="text1"/>
                </w:rPr>
                <w:t xml:space="preserve"> – apskaičiuojama pagal Reglamento 2 priedo (2.13)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572" w:dyaOrig="1284">
                        <v:shape id="_x0000_i1886" type="#_x0000_t75" style="width:228.15pt;height:63.9pt" o:ole="">
                          <v:imagedata r:id="rId107" o:title=""/>
                        </v:shape>
                        <o:OLEObject Type="Embed" ProgID="Equation.3" ShapeID="_x0000_i1886" DrawAspect="Content" ObjectID="_0000000001" r:id="rId108"/>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(11.5)</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3888" w:dyaOrig="1284">
                        <v:shape id="_x0000_i1887" type="#_x0000_t75" style="width:194.95pt;height:63.9pt" o:ole="">
                          <v:imagedata r:id="rId109" o:title=""/>
                        </v:shape>
                        <o:OLEObject Type="Embed" ProgID="Equation.3" ShapeID="_x0000_i1887" DrawAspect="Content" ObjectID="_0000000001" r:id="rId110"/>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(11.6)</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N.H.ce,m</w:t>
              </w:r>
              <w:r>
                <w:rPr>
                  <w:color w:val="000000" w:themeColor="text1"/>
                  <w:vertAlign w:val="subscript"/>
                </w:rPr>
                <w:t xml:space="preserve"> </w:t>
              </w:r>
              <w:r>
                <w:rPr>
                  <w:color w:val="000000" w:themeColor="text1"/>
                </w:rPr>
                <w:t xml:space="preserve"> – apskaičiuojama pagal Reglamento 2 priedo (2.15) formulę;</w:t>
              </w:r>
            </w:p>
            <w:p>
              <w:pPr>
                <w:ind w:firstLine="567"/>
                <w:rPr>
                  <w:color w:val="000000" w:themeColor="text1"/>
                </w:rPr>
              </w:pPr>
              <w:r>
                <w:rPr>
                  <w:i/>
                  <w:color w:val="000000" w:themeColor="text1"/>
                </w:rPr>
                <w:t>Q</w:t>
              </w:r>
              <w:r>
                <w:rPr>
                  <w:i/>
                  <w:color w:val="000000" w:themeColor="text1"/>
                  <w:vertAlign w:val="subscript"/>
                </w:rPr>
                <w:t>H.ce,m</w:t>
              </w:r>
              <w:r>
                <w:rPr>
                  <w:color w:val="000000" w:themeColor="text1"/>
                  <w:vertAlign w:val="subscript"/>
                </w:rPr>
                <w:t xml:space="preserve"> </w:t>
              </w:r>
              <w:r>
                <w:rPr>
                  <w:color w:val="000000" w:themeColor="text1"/>
                </w:rPr>
                <w:t xml:space="preserve"> – apskaičiuojama pagal Reglamento 2 priedo (2.17)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6264" w:dyaOrig="1284">
                        <v:shape id="_x0000_i1888" type="#_x0000_t75" style="width:313.1pt;height:63.9pt" o:ole="">
                          <v:imagedata r:id="rId111" o:title=""/>
                        </v:shape>
                        <o:OLEObject Type="Embed" ProgID="Equation.3" ShapeID="_x0000_i1888" DrawAspect="Content" ObjectID="_0000000001" r:id="rId112"/>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(11.7)</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5592" w:dyaOrig="1284">
                        <v:shape id="_x0000_i1889" type="#_x0000_t75" style="width:279.1pt;height:63.9pt" o:ole="">
                          <v:imagedata r:id="rId113" o:title=""/>
                        </v:shape>
                        <o:OLEObject Type="Embed" ProgID="Equation.3" ShapeID="_x0000_i1889" DrawAspect="Content" ObjectID="_0000000001" r:id="rId114"/>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(11.8)</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N.H.fg1,m</w:t>
              </w:r>
              <w:r>
                <w:rPr>
                  <w:color w:val="000000" w:themeColor="text1"/>
                  <w:vertAlign w:val="subscript"/>
                </w:rPr>
                <w:t xml:space="preserve"> </w:t>
              </w:r>
              <w:r>
                <w:rPr>
                  <w:color w:val="000000" w:themeColor="text1"/>
                </w:rPr>
                <w:t xml:space="preserve"> – apskaičiuojama pagal Reglamento 2 priedo (2.24) formulę;</w:t>
              </w:r>
            </w:p>
            <w:p>
              <w:pPr>
                <w:ind w:firstLine="567"/>
                <w:rPr>
                  <w:color w:val="000000" w:themeColor="text1"/>
                </w:rPr>
              </w:pPr>
              <w:r>
                <w:rPr>
                  <w:i/>
                  <w:color w:val="000000" w:themeColor="text1"/>
                </w:rPr>
                <w:t>Q</w:t>
              </w:r>
              <w:r>
                <w:rPr>
                  <w:i/>
                  <w:color w:val="000000" w:themeColor="text1"/>
                  <w:vertAlign w:val="subscript"/>
                </w:rPr>
                <w:t>H.fg1,m</w:t>
              </w:r>
              <w:r>
                <w:rPr>
                  <w:color w:val="000000" w:themeColor="text1"/>
                  <w:vertAlign w:val="subscript"/>
                </w:rPr>
                <w:t xml:space="preserve"> </w:t>
              </w:r>
              <w:r>
                <w:rPr>
                  <w:color w:val="000000" w:themeColor="text1"/>
                </w:rPr>
                <w:t xml:space="preserve"> – apskaičiuojama pagal Reglamento 2 priedo (2.26)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6360" w:dyaOrig="1284">
                        <v:shape id="_x0000_i1890" type="#_x0000_t75" style="width:317.95pt;height:63.9pt" o:ole="">
                          <v:imagedata r:id="rId115" o:title=""/>
                        </v:shape>
                        <o:OLEObject Type="Embed" ProgID="Equation.3" ShapeID="_x0000_i1890" DrawAspect="Content" ObjectID="_0000000001" r:id="rId116"/>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(11.9)</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5688" w:dyaOrig="1284">
                        <v:shape id="_x0000_i1891" type="#_x0000_t75" style="width:283.15pt;height:63.9pt" o:ole="">
                          <v:imagedata r:id="rId117" o:title=""/>
                        </v:shape>
                        <o:OLEObject Type="Embed" ProgID="Equation.3" ShapeID="_x0000_i1891" DrawAspect="Content" ObjectID="_0000000001" r:id="rId118"/>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(11.10)</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N.H.fg2,m</w:t>
              </w:r>
              <w:r>
                <w:rPr>
                  <w:color w:val="000000" w:themeColor="text1"/>
                  <w:vertAlign w:val="subscript"/>
                </w:rPr>
                <w:t xml:space="preserve"> </w:t>
              </w:r>
              <w:r>
                <w:rPr>
                  <w:color w:val="000000" w:themeColor="text1"/>
                </w:rPr>
                <w:t xml:space="preserve"> – apskaičiuojama pagal Reglamento 2 priedo (2.34) formulę;</w:t>
              </w:r>
            </w:p>
            <w:p>
              <w:pPr>
                <w:ind w:firstLine="567"/>
                <w:rPr>
                  <w:color w:val="000000" w:themeColor="text1"/>
                </w:rPr>
              </w:pPr>
              <w:r>
                <w:rPr>
                  <w:i/>
                  <w:color w:val="000000" w:themeColor="text1"/>
                </w:rPr>
                <w:t>Q</w:t>
              </w:r>
              <w:r>
                <w:rPr>
                  <w:i/>
                  <w:color w:val="000000" w:themeColor="text1"/>
                  <w:vertAlign w:val="subscript"/>
                </w:rPr>
                <w:t>H.fg2,m</w:t>
              </w:r>
              <w:r>
                <w:rPr>
                  <w:color w:val="000000" w:themeColor="text1"/>
                  <w:vertAlign w:val="subscript"/>
                </w:rPr>
                <w:t xml:space="preserve"> </w:t>
              </w:r>
              <w:r>
                <w:rPr>
                  <w:color w:val="000000" w:themeColor="text1"/>
                </w:rPr>
                <w:t xml:space="preserve"> – apskaičiuojama pagal Reglamento 2 priedo (2.36)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6336" w:dyaOrig="1284">
                        <v:shape id="_x0000_i1892" type="#_x0000_t75" style="width:316.3pt;height:63.9pt" o:ole="">
                          <v:imagedata r:id="rId119" o:title=""/>
                        </v:shape>
                        <o:OLEObject Type="Embed" ProgID="Equation.3" ShapeID="_x0000_i1892" DrawAspect="Content" ObjectID="_0000000001" r:id="rId120"/>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(11.11)</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5664" w:dyaOrig="1284">
                        <v:shape id="_x0000_i1893" type="#_x0000_t75" style="width:282.35pt;height:63.9pt" o:ole="">
                          <v:imagedata r:id="rId121" o:title=""/>
                        </v:shape>
                        <o:OLEObject Type="Embed" ProgID="Equation.3" ShapeID="_x0000_i1893" DrawAspect="Content" ObjectID="_0000000001" r:id="rId122"/>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(11.12)</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N.H.fg3,m</w:t>
              </w:r>
              <w:r>
                <w:rPr>
                  <w:color w:val="000000" w:themeColor="text1"/>
                  <w:vertAlign w:val="subscript"/>
                </w:rPr>
                <w:t xml:space="preserve"> </w:t>
              </w:r>
              <w:r>
                <w:rPr>
                  <w:color w:val="000000" w:themeColor="text1"/>
                </w:rPr>
                <w:t xml:space="preserve"> – apskaičiuojama pagal Reglamento 2 priedo (2.49) formulę;</w:t>
              </w:r>
            </w:p>
            <w:p>
              <w:pPr>
                <w:ind w:firstLine="567"/>
                <w:rPr>
                  <w:color w:val="000000" w:themeColor="text1"/>
                </w:rPr>
              </w:pPr>
              <w:r>
                <w:rPr>
                  <w:i/>
                  <w:color w:val="000000" w:themeColor="text1"/>
                </w:rPr>
                <w:t>Q</w:t>
              </w:r>
              <w:r>
                <w:rPr>
                  <w:i/>
                  <w:color w:val="000000" w:themeColor="text1"/>
                  <w:vertAlign w:val="subscript"/>
                </w:rPr>
                <w:t>H.fg3,m</w:t>
              </w:r>
              <w:r>
                <w:rPr>
                  <w:color w:val="000000" w:themeColor="text1"/>
                  <w:vertAlign w:val="subscript"/>
                </w:rPr>
                <w:t xml:space="preserve"> </w:t>
              </w:r>
              <w:r>
                <w:rPr>
                  <w:color w:val="000000" w:themeColor="text1"/>
                </w:rPr>
                <w:t xml:space="preserve"> – apskaičiuojama pagal Reglamento 2 priedo (2.51)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6360" w:dyaOrig="1284">
                        <v:shape id="_x0000_i1894" type="#_x0000_t75" style="width:317.95pt;height:63.9pt" o:ole="">
                          <v:imagedata r:id="rId123" o:title=""/>
                        </v:shape>
                        <o:OLEObject Type="Embed" ProgID="Equation.3" ShapeID="_x0000_i1894" DrawAspect="Content" ObjectID="_0000000001" r:id="rId124"/>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(11.13)</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5688" w:dyaOrig="1284">
                        <v:shape id="_x0000_i1895" type="#_x0000_t75" style="width:283.15pt;height:63.9pt" o:ole="">
                          <v:imagedata r:id="rId125" o:title=""/>
                        </v:shape>
                        <o:OLEObject Type="Embed" ProgID="Equation.3" ShapeID="_x0000_i1895" DrawAspect="Content" ObjectID="_0000000001" r:id="rId126"/>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(11.14)</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N.H.fg4,m</w:t>
              </w:r>
              <w:r>
                <w:rPr>
                  <w:color w:val="000000" w:themeColor="text1"/>
                  <w:vertAlign w:val="subscript"/>
                </w:rPr>
                <w:t xml:space="preserve"> </w:t>
              </w:r>
              <w:r>
                <w:rPr>
                  <w:color w:val="000000" w:themeColor="text1"/>
                </w:rPr>
                <w:t xml:space="preserve"> – apskaičiuojama pagal Reglamento 2 priedo (2.60) formulę;</w:t>
              </w:r>
            </w:p>
            <w:p>
              <w:pPr>
                <w:ind w:firstLine="567"/>
                <w:rPr>
                  <w:color w:val="000000" w:themeColor="text1"/>
                </w:rPr>
              </w:pPr>
              <w:r>
                <w:rPr>
                  <w:i/>
                  <w:color w:val="000000" w:themeColor="text1"/>
                </w:rPr>
                <w:t>Q</w:t>
              </w:r>
              <w:r>
                <w:rPr>
                  <w:i/>
                  <w:color w:val="000000" w:themeColor="text1"/>
                  <w:vertAlign w:val="subscript"/>
                </w:rPr>
                <w:t>H.fg4,m</w:t>
              </w:r>
              <w:r>
                <w:rPr>
                  <w:color w:val="000000" w:themeColor="text1"/>
                  <w:vertAlign w:val="subscript"/>
                </w:rPr>
                <w:t xml:space="preserve"> </w:t>
              </w:r>
              <w:r>
                <w:rPr>
                  <w:color w:val="000000" w:themeColor="text1"/>
                </w:rPr>
                <w:t xml:space="preserve"> – apskaičiuojama pagal Reglamento 2 priedo (2.62)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6336" w:dyaOrig="1284">
                        <v:shape id="_x0000_i1896" type="#_x0000_t75" style="width:316.3pt;height:63.9pt" o:ole="">
                          <v:imagedata r:id="rId127" o:title=""/>
                        </v:shape>
                        <o:OLEObject Type="Embed" ProgID="Equation.3" ShapeID="_x0000_i1896" DrawAspect="Content" ObjectID="_0000000001" r:id="rId128"/>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(11.15)</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5688" w:dyaOrig="1284">
                        <v:shape id="_x0000_i1897" type="#_x0000_t75" style="width:283.15pt;height:63.9pt" o:ole="">
                          <v:imagedata r:id="rId129" o:title=""/>
                        </v:shape>
                        <o:OLEObject Type="Embed" ProgID="Equation.3" ShapeID="_x0000_i1897" DrawAspect="Content" ObjectID="_0000000001" r:id="rId130"/>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(11.16)</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N.H.fg5,m</w:t>
              </w:r>
              <w:r>
                <w:rPr>
                  <w:color w:val="000000" w:themeColor="text1"/>
                  <w:vertAlign w:val="subscript"/>
                </w:rPr>
                <w:t xml:space="preserve"> </w:t>
              </w:r>
              <w:r>
                <w:rPr>
                  <w:color w:val="000000" w:themeColor="text1"/>
                </w:rPr>
                <w:t xml:space="preserve"> – apskaičiuojama pagal Reglamento 2 priedo (2.71) formulę;</w:t>
              </w:r>
            </w:p>
            <w:p>
              <w:pPr>
                <w:ind w:firstLine="567"/>
                <w:rPr>
                  <w:color w:val="000000" w:themeColor="text1"/>
                </w:rPr>
              </w:pPr>
              <w:r>
                <w:rPr>
                  <w:i/>
                  <w:color w:val="000000" w:themeColor="text1"/>
                </w:rPr>
                <w:t>Q</w:t>
              </w:r>
              <w:r>
                <w:rPr>
                  <w:i/>
                  <w:color w:val="000000" w:themeColor="text1"/>
                  <w:vertAlign w:val="subscript"/>
                </w:rPr>
                <w:t>H.fg5,m</w:t>
              </w:r>
              <w:r>
                <w:rPr>
                  <w:color w:val="000000" w:themeColor="text1"/>
                  <w:vertAlign w:val="subscript"/>
                </w:rPr>
                <w:t xml:space="preserve"> </w:t>
              </w:r>
              <w:r>
                <w:rPr>
                  <w:color w:val="000000" w:themeColor="text1"/>
                </w:rPr>
                <w:t xml:space="preserve"> – apskaičiuojama pagal Reglamento 2 priedo (2.73)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764" w:dyaOrig="1284">
                        <v:shape id="_x0000_i1898" type="#_x0000_t75" style="width:237.85pt;height:63.9pt" o:ole="">
                          <v:imagedata r:id="rId131" o:title=""/>
                        </v:shape>
                        <o:OLEObject Type="Embed" ProgID="Equation.3" ShapeID="_x0000_i1898" DrawAspect="Content" ObjectID="_0000000001" r:id="rId132"/>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(11.17)</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116" w:dyaOrig="1344">
                        <v:shape id="_x0000_i1899" type="#_x0000_t75" style="width:205.5pt;height:66.35pt" o:ole="">
                          <v:imagedata r:id="rId133" o:title=""/>
                        </v:shape>
                        <o:OLEObject Type="Embed" ProgID="Equation.3" ShapeID="_x0000_i1899" DrawAspect="Content" ObjectID="_0000000001" r:id="rId134"/>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(11.18)</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N.H.wda,m</w:t>
              </w:r>
              <w:r>
                <w:rPr>
                  <w:color w:val="000000" w:themeColor="text1"/>
                  <w:vertAlign w:val="subscript"/>
                </w:rPr>
                <w:t xml:space="preserve"> </w:t>
              </w:r>
              <w:r>
                <w:rPr>
                  <w:color w:val="000000" w:themeColor="text1"/>
                </w:rPr>
                <w:t xml:space="preserve"> – apskaičiuojama pagal Reglamento 2 priedo (2.83) formulę;</w:t>
              </w:r>
            </w:p>
            <w:p>
              <w:pPr>
                <w:ind w:firstLine="567"/>
                <w:rPr>
                  <w:color w:val="000000" w:themeColor="text1"/>
                </w:rPr>
              </w:pPr>
              <w:r>
                <w:rPr>
                  <w:i/>
                  <w:color w:val="000000" w:themeColor="text1"/>
                </w:rPr>
                <w:t>Q</w:t>
              </w:r>
              <w:r>
                <w:rPr>
                  <w:i/>
                  <w:color w:val="000000" w:themeColor="text1"/>
                  <w:vertAlign w:val="subscript"/>
                </w:rPr>
                <w:t>H.wda,m</w:t>
              </w:r>
              <w:r>
                <w:rPr>
                  <w:color w:val="000000" w:themeColor="text1"/>
                  <w:vertAlign w:val="subscript"/>
                </w:rPr>
                <w:t xml:space="preserve"> </w:t>
              </w:r>
              <w:r>
                <w:rPr>
                  <w:color w:val="000000" w:themeColor="text1"/>
                </w:rPr>
                <w:t xml:space="preserve"> – apskaičiuojama pagal Reglamento 2 priedo (2.85)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488" w:dyaOrig="1284">
                        <v:shape id="_x0000_i1900" type="#_x0000_t75" style="width:224.9pt;height:63.9pt" o:ole="">
                          <v:imagedata r:id="rId135" o:title=""/>
                        </v:shape>
                        <o:OLEObject Type="Embed" ProgID="Equation.3" ShapeID="_x0000_i1900" DrawAspect="Content" ObjectID="_0000000001" r:id="rId136"/>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(11.19)</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3828" w:dyaOrig="1284">
                        <v:shape id="_x0000_i1901" type="#_x0000_t75" style="width:190.9pt;height:63.9pt" o:ole="">
                          <v:imagedata r:id="rId137" o:title=""/>
                        </v:shape>
                        <o:OLEObject Type="Embed" ProgID="Equation.3" ShapeID="_x0000_i1901" DrawAspect="Content" ObjectID="_0000000001" r:id="rId138"/>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(11.20)</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N.H.d,m</w:t>
              </w:r>
              <w:r>
                <w:rPr>
                  <w:color w:val="000000" w:themeColor="text1"/>
                  <w:vertAlign w:val="subscript"/>
                </w:rPr>
                <w:t xml:space="preserve"> </w:t>
              </w:r>
              <w:r>
                <w:rPr>
                  <w:color w:val="000000" w:themeColor="text1"/>
                </w:rPr>
                <w:t xml:space="preserve"> – apskaičiuojama pagal Reglamento 2 priedo (2.87) formulę;</w:t>
              </w:r>
            </w:p>
            <w:p>
              <w:pPr>
                <w:ind w:firstLine="567"/>
                <w:rPr>
                  <w:color w:val="000000" w:themeColor="text1"/>
                </w:rPr>
              </w:pPr>
              <w:r>
                <w:rPr>
                  <w:i/>
                  <w:color w:val="000000" w:themeColor="text1"/>
                </w:rPr>
                <w:t>Q</w:t>
              </w:r>
              <w:r>
                <w:rPr>
                  <w:i/>
                  <w:color w:val="000000" w:themeColor="text1"/>
                  <w:vertAlign w:val="subscript"/>
                </w:rPr>
                <w:t>H.d,m</w:t>
              </w:r>
              <w:r>
                <w:rPr>
                  <w:color w:val="000000" w:themeColor="text1"/>
                  <w:vertAlign w:val="subscript"/>
                </w:rPr>
                <w:t xml:space="preserve"> </w:t>
              </w:r>
              <w:r>
                <w:rPr>
                  <w:color w:val="000000" w:themeColor="text1"/>
                </w:rPr>
                <w:t xml:space="preserve"> – apskaičiuojama pagal Reglamento 2 priedo (2.89)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548" w:dyaOrig="1284">
                        <v:shape id="_x0000_i1902" type="#_x0000_t75" style="width:227.35pt;height:63.9pt" o:ole="">
                          <v:imagedata r:id="rId139" o:title=""/>
                        </v:shape>
                        <o:OLEObject Type="Embed" ProgID="Equation.3" ShapeID="_x0000_i1902" DrawAspect="Content" ObjectID="_0000000001" r:id="rId140"/>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(11.21)</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3888" w:dyaOrig="1284">
                        <v:shape id="_x0000_i1903" type="#_x0000_t75" style="width:194.95pt;height:63.9pt" o:ole="">
                          <v:imagedata r:id="rId141" o:title=""/>
                        </v:shape>
                        <o:OLEObject Type="Embed" ProgID="Equation.3" ShapeID="_x0000_i1903" DrawAspect="Content" ObjectID="_0000000001" r:id="rId142"/>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(11.22)</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N.H.Ψ,m</w:t>
              </w:r>
              <w:r>
                <w:rPr>
                  <w:color w:val="000000" w:themeColor="text1"/>
                  <w:vertAlign w:val="subscript"/>
                </w:rPr>
                <w:t xml:space="preserve"> </w:t>
              </w:r>
              <w:r>
                <w:rPr>
                  <w:color w:val="000000" w:themeColor="text1"/>
                </w:rPr>
                <w:t xml:space="preserve"> – apskaičiuojama pagal Reglamento 2 priedo (2.91) formulę;</w:t>
              </w:r>
            </w:p>
            <w:p>
              <w:pPr>
                <w:ind w:firstLine="567"/>
                <w:rPr>
                  <w:color w:val="000000" w:themeColor="text1"/>
                </w:rPr>
              </w:pPr>
              <w:r>
                <w:rPr>
                  <w:i/>
                  <w:color w:val="000000" w:themeColor="text1"/>
                </w:rPr>
                <w:t>Q</w:t>
              </w:r>
              <w:r>
                <w:rPr>
                  <w:i/>
                  <w:color w:val="000000" w:themeColor="text1"/>
                  <w:vertAlign w:val="subscript"/>
                </w:rPr>
                <w:t>H.Ψ,m</w:t>
              </w:r>
              <w:r>
                <w:rPr>
                  <w:color w:val="000000" w:themeColor="text1"/>
                  <w:vertAlign w:val="subscript"/>
                </w:rPr>
                <w:t xml:space="preserve"> </w:t>
              </w:r>
              <w:r>
                <w:rPr>
                  <w:color w:val="000000" w:themeColor="text1"/>
                </w:rPr>
                <w:t xml:space="preserve"> – apskaičiuojama pagal Reglamento 2 priedo (2.93) formulę.</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764" w:dyaOrig="1284">
                        <v:shape id="_x0000_i1904" type="#_x0000_t75" style="width:237.85pt;height:63.9pt" o:ole="">
                          <v:imagedata r:id="rId143" o:title=""/>
                        </v:shape>
                        <o:OLEObject Type="Embed" ProgID="Equation.3" ShapeID="_x0000_i1904" DrawAspect="Content" ObjectID="_0000000001" r:id="rId144"/>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(11.23)</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60"/>
                        <w:szCs w:val="22"/>
                      </w:rPr>
                      <w:object w:dxaOrig="4116" w:dyaOrig="1284">
                        <v:shape id="_x0000_i1905" type="#_x0000_t75" style="width:205.5pt;height:63.9pt" o:ole="">
                          <v:imagedata r:id="rId145" o:title=""/>
                        </v:shape>
                        <o:OLEObject Type="Embed" ProgID="Equation.3" ShapeID="_x0000_i1905" DrawAspect="Content" ObjectID="_0000000001" r:id="rId146"/>
                      </w:object>
                    </w:r>
                    <w:r>
                      <w:rPr>
                        <w:bCs/>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(11.24)</w:t>
                    </w:r>
                  </w:p>
                </w:tc>
              </w:tr>
            </w:tbl>
            <w:p>
              <w:pPr>
                <w:tabs>
                  <w:tab w:val="left" w:pos="567"/>
                </w:tabs>
                <w:rPr>
                  <w:rFonts w:eastAsia="Calibri"/>
                  <w:color w:val="000000" w:themeColor="text1"/>
                  <w:szCs w:val="22"/>
                </w:rPr>
              </w:pPr>
              <w:r>
                <w:rPr>
                  <w:color w:val="000000" w:themeColor="text1"/>
                </w:rPr>
                <w:t>čia:</w:t>
                <w:tab/>
              </w:r>
              <w:r>
                <w:rPr>
                  <w:i/>
                  <w:color w:val="000000" w:themeColor="text1"/>
                </w:rPr>
                <w:t>Q</w:t>
              </w:r>
              <w:r>
                <w:rPr>
                  <w:i/>
                  <w:color w:val="000000" w:themeColor="text1"/>
                  <w:vertAlign w:val="subscript"/>
                </w:rPr>
                <w:t>N.H.vent,m</w:t>
              </w:r>
              <w:r>
                <w:rPr>
                  <w:color w:val="000000" w:themeColor="text1"/>
                  <w:vertAlign w:val="subscript"/>
                </w:rPr>
                <w:t xml:space="preserve"> </w:t>
              </w:r>
              <w:r>
                <w:rPr>
                  <w:color w:val="000000" w:themeColor="text1"/>
                </w:rPr>
                <w:t xml:space="preserve"> – apskaičiuojama pagal Reglamento 2 priedo (2.99) formulę;</w:t>
              </w:r>
            </w:p>
            <w:p>
              <w:pPr>
                <w:ind w:firstLine="567"/>
                <w:jc w:val="both"/>
                <w:rPr>
                  <w:color w:val="000000" w:themeColor="text1"/>
                </w:rPr>
              </w:pPr>
              <w:r>
                <w:rPr>
                  <w:i/>
                  <w:color w:val="000000" w:themeColor="text1"/>
                </w:rPr>
                <w:t>Q</w:t>
              </w:r>
              <w:r>
                <w:rPr>
                  <w:i/>
                  <w:color w:val="000000" w:themeColor="text1"/>
                  <w:vertAlign w:val="subscript"/>
                </w:rPr>
                <w:t>H.vent,m</w:t>
              </w:r>
              <w:r>
                <w:rPr>
                  <w:color w:val="000000" w:themeColor="text1"/>
                  <w:vertAlign w:val="subscript"/>
                </w:rPr>
                <w:t xml:space="preserve"> </w:t>
              </w:r>
              <w:r>
                <w:rPr>
                  <w:color w:val="000000" w:themeColor="text1"/>
                </w:rPr>
                <w:t xml:space="preserve"> – apskaičiuojama pagal Reglamento 2 priedo 13.2 ir 13.3 punktų reikalavimus pagal (2.100) arba (2.109) formulę.</w:t>
              </w:r>
            </w:p>
            <w:p>
              <w:pPr>
                <w:ind w:firstLine="720"/>
                <w:rPr>
                  <w:color w:val="000000" w:themeColor="text1"/>
                </w:rPr>
              </w:pPr>
            </w:p>
            <w:p>
              <w:pPr>
                <w:ind w:firstLine="567"/>
                <w:rPr>
                  <w:color w:val="000000" w:themeColor="text1"/>
                </w:rPr>
              </w:pPr>
              <w:r>
                <w:rPr>
                  <w:color w:val="000000" w:themeColor="text1"/>
                </w:rPr>
                <w:t>Metiniai šilumos nuostoliai dėl viršnorminės oro infiltracijos apskaičiuojami taip:</w:t>
              </w: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bCs/>
                        <w:color w:val="000000" w:themeColor="text1"/>
                        <w:position w:val="-94"/>
                        <w:szCs w:val="22"/>
                      </w:rPr>
                      <w:object w:dxaOrig="6396" w:dyaOrig="2016">
                        <v:shape id="_x0000_i1906" type="#_x0000_t75" style="width:319.55pt;height:99.5pt" o:ole="">
                          <v:imagedata r:id="rId147" o:title=""/>
                        </v:shape>
                        <o:OLEObject Type="Embed" ProgID="Equation.3" ShapeID="_x0000_i1906" DrawAspect="Content" ObjectID="_0000000001" r:id="rId148"/>
                      </w:object>
                    </w:r>
                  </w:p>
                </w:tc>
                <w:tc>
                  <w:tcPr>
                    <w:tcW w:w="1182" w:type="dxa"/>
                    <w:vAlign w:val="center"/>
                    <w:hideMark/>
                  </w:tcPr>
                  <w:p>
                    <w:pPr>
                      <w:spacing w:line="276" w:lineRule="auto"/>
                      <w:jc w:val="right"/>
                      <w:rPr>
                        <w:rFonts w:eastAsia="Calibri"/>
                        <w:color w:val="000000" w:themeColor="text1"/>
                        <w:szCs w:val="22"/>
                      </w:rPr>
                    </w:pPr>
                    <w:r>
                      <w:rPr>
                        <w:color w:val="000000" w:themeColor="text1"/>
                      </w:rPr>
                      <w:t>(11.25)</w:t>
                    </w:r>
                  </w:p>
                </w:tc>
              </w:tr>
            </w:tbl>
            <w:p>
              <w:pPr>
                <w:tabs>
                  <w:tab w:val="left" w:pos="567"/>
                </w:tabs>
                <w:jc w:val="both"/>
                <w:rPr>
                  <w:rFonts w:eastAsia="Calibri"/>
                  <w:color w:val="000000" w:themeColor="text1"/>
                  <w:szCs w:val="22"/>
                </w:rPr>
              </w:pPr>
              <w:r>
                <w:rPr>
                  <w:color w:val="000000" w:themeColor="text1"/>
                </w:rPr>
                <w:t>čia:</w:t>
                <w:tab/>
                <w:t xml:space="preserve">skaičiavimams pagal (11.25) formulę turi būti taikomi tokie apribojimai: jei </w:t>
              </w:r>
              <w:r>
                <w:rPr>
                  <w:i/>
                  <w:color w:val="000000" w:themeColor="text1"/>
                </w:rPr>
                <w:t>Q</w:t>
              </w:r>
              <w:r>
                <w:rPr>
                  <w:i/>
                  <w:color w:val="000000" w:themeColor="text1"/>
                  <w:vertAlign w:val="subscript"/>
                </w:rPr>
                <w:t>1.inf,m</w:t>
              </w:r>
              <w:r>
                <w:rPr>
                  <w:color w:val="000000" w:themeColor="text1"/>
                </w:rPr>
                <w:t xml:space="preserve">&lt;0, tai </w:t>
              </w:r>
              <w:r>
                <w:rPr>
                  <w:i/>
                  <w:color w:val="000000" w:themeColor="text1"/>
                </w:rPr>
                <w:t>Q</w:t>
              </w:r>
              <w:r>
                <w:rPr>
                  <w:i/>
                  <w:color w:val="000000" w:themeColor="text1"/>
                  <w:vertAlign w:val="subscript"/>
                </w:rPr>
                <w:t>1.inf,m</w:t>
              </w:r>
              <w:r>
                <w:rPr>
                  <w:color w:val="000000" w:themeColor="text1"/>
                </w:rPr>
                <w:t xml:space="preserve"> =0, kitais atvejais šilumos nuostoliai dėl viršnorminės infiltracijos atitinka apskaičiuotus pagal šią formulę;</w:t>
              </w:r>
            </w:p>
            <w:p>
              <w:pPr>
                <w:ind w:firstLine="567"/>
                <w:rPr>
                  <w:color w:val="000000" w:themeColor="text1"/>
                </w:rPr>
              </w:pPr>
              <w:r>
                <w:rPr>
                  <w:color w:val="000000" w:themeColor="text1"/>
                </w:rPr>
                <w:t xml:space="preserve">formulės dedamųjų skaičiavimo tvarka nurodyta Reglamento 2 priedo 11 punkte. </w:t>
              </w:r>
            </w:p>
            <w:p>
              <w:pPr>
                <w:ind w:firstLine="720"/>
                <w:rPr>
                  <w:color w:val="000000" w:themeColor="text1"/>
                </w:rPr>
              </w:pPr>
            </w:p>
            <w:tbl>
              <w:tblPr>
                <w:tblW w:w="0" w:type="auto"/>
                <w:tblLook w:val="01E0" w:firstRow="1" w:lastRow="1" w:firstColumn="1" w:lastColumn="1" w:noHBand="0" w:noVBand="0"/>
              </w:tblPr>
              <w:tblGrid>
                <w:gridCol w:w="8388"/>
                <w:gridCol w:w="1182"/>
              </w:tblGrid>
              <w:tr>
                <w:tc>
                  <w:tcPr>
                    <w:tcW w:w="8388" w:type="dxa"/>
                    <w:vAlign w:val="center"/>
                    <w:hideMark/>
                  </w:tcPr>
                  <w:p>
                    <w:pPr>
                      <w:spacing w:line="276" w:lineRule="auto"/>
                      <w:jc w:val="center"/>
                      <w:rPr>
                        <w:rFonts w:eastAsia="Calibri"/>
                        <w:color w:val="000000" w:themeColor="text1"/>
                        <w:szCs w:val="22"/>
                      </w:rPr>
                    </w:pPr>
                    <w:r>
                      <w:rPr>
                        <w:rFonts w:eastAsia="Calibri"/>
                        <w:color w:val="000000" w:themeColor="text1"/>
                        <w:position w:val="-24"/>
                        <w:szCs w:val="22"/>
                      </w:rPr>
                      <w:object w:dxaOrig="3000" w:dyaOrig="600">
                        <v:shape id="_x0000_i1907" type="#_x0000_t75" style="width:149.65pt;height:29.95pt" o:ole="">
                          <v:imagedata r:id="rId149" o:title=""/>
                        </v:shape>
                        <o:OLEObject Type="Embed" ProgID="Equation.3" ShapeID="_x0000_i1907" DrawAspect="Content" ObjectID="_0000000001" r:id="rId150"/>
                      </w:object>
                    </w:r>
                  </w:p>
                </w:tc>
                <w:tc>
                  <w:tcPr>
                    <w:tcW w:w="1182" w:type="dxa"/>
                    <w:vAlign w:val="center"/>
                    <w:hideMark/>
                  </w:tcPr>
                  <w:p>
                    <w:pPr>
                      <w:spacing w:line="276" w:lineRule="auto"/>
                      <w:jc w:val="right"/>
                      <w:rPr>
                        <w:rFonts w:eastAsia="Calibri"/>
                        <w:color w:val="000000" w:themeColor="text1"/>
                        <w:szCs w:val="22"/>
                      </w:rPr>
                    </w:pPr>
                    <w:r>
                      <w:rPr>
                        <w:color w:val="000000" w:themeColor="text1"/>
                      </w:rPr>
                      <w:t>(11.26)</w:t>
                    </w:r>
                  </w:p>
                </w:tc>
              </w:tr>
            </w:tbl>
            <w:p>
              <w:pPr>
                <w:tabs>
                  <w:tab w:val="left" w:pos="567"/>
                </w:tabs>
                <w:ind w:firstLine="567"/>
                <w:jc w:val="both"/>
                <w:rPr>
                  <w:rFonts w:eastAsia="Calibri"/>
                  <w:color w:val="000000" w:themeColor="text1"/>
                  <w:szCs w:val="22"/>
                </w:rPr>
              </w:pPr>
              <w:r>
                <w:rPr>
                  <w:color w:val="000000" w:themeColor="text1"/>
                </w:rPr>
                <w:t>formulės dedamųjų išaiškinimas ir skaičiavimo tvarka nurodyta Reglamento 2 priedo 49 punkte.</w:t>
              </w:r>
            </w:p>
            <w:p>
              <w:pPr>
                <w:ind w:left="720" w:hanging="720"/>
                <w:jc w:val="both"/>
                <w:rPr>
                  <w:color w:val="000000" w:themeColor="text1"/>
                </w:rPr>
              </w:pPr>
            </w:p>
            <w:p>
              <w:pPr>
                <w:ind w:firstLine="567"/>
                <w:jc w:val="both"/>
                <w:rPr>
                  <w:color w:val="000000" w:themeColor="text1"/>
                </w:rPr>
              </w:pPr>
              <w:r>
                <w:rPr>
                  <w:color w:val="000000" w:themeColor="text1"/>
                </w:rPr>
                <w:t>Šiluminės energijos kiekio, galimo sutaupyti kvadratiniame metre pastato šildomo ploto per metus</w:t>
              </w:r>
              <w:r>
                <w:rPr>
                  <w:i/>
                  <w:color w:val="000000" w:themeColor="text1"/>
                </w:rPr>
                <w:t xml:space="preserve"> </w:t>
                <w:sym w:font="Symbol" w:char="F044"/>
                <w:t>Q</w:t>
              </w:r>
              <w:r>
                <w:rPr>
                  <w:i/>
                  <w:color w:val="000000" w:themeColor="text1"/>
                  <w:vertAlign w:val="superscript"/>
                </w:rPr>
                <w:t>I</w:t>
              </w:r>
              <w:r>
                <w:rPr>
                  <w:i/>
                  <w:color w:val="000000" w:themeColor="text1"/>
                  <w:vertAlign w:val="subscript"/>
                </w:rPr>
                <w:t>H</w:t>
              </w:r>
              <w:r>
                <w:rPr>
                  <w:color w:val="000000" w:themeColor="text1"/>
                </w:rPr>
                <w:t>, kWh/(m</w:t>
              </w:r>
              <w:r>
                <w:rPr>
                  <w:color w:val="000000" w:themeColor="text1"/>
                  <w:vertAlign w:val="superscript"/>
                </w:rPr>
                <w:t>2</w:t>
              </w:r>
              <w:r>
                <w:rPr>
                  <w:color w:val="000000" w:themeColor="text1"/>
                </w:rPr>
                <w:t>∙metai), jei pastato šildymo sistema būtų įrengta pagal reikalavimus C energinio naudingumo klasės pastatui, skaičiavimas turi būti atliktas pagal formules:</w:t>
              </w:r>
            </w:p>
            <w:p>
              <w:pPr>
                <w:ind w:left="720" w:hanging="720"/>
                <w:rPr>
                  <w:i/>
                  <w:color w:val="000000" w:themeColor="text1"/>
                </w:rPr>
              </w:pPr>
            </w:p>
            <w:tbl>
              <w:tblPr>
                <w:tblW w:w="0" w:type="auto"/>
                <w:tblLook w:val="01E0" w:firstRow="1" w:lastRow="1" w:firstColumn="1" w:lastColumn="1" w:noHBand="0" w:noVBand="0"/>
              </w:tblPr>
              <w:tblGrid>
                <w:gridCol w:w="8387"/>
                <w:gridCol w:w="1182"/>
              </w:tblGrid>
              <w:tr>
                <w:tc>
                  <w:tcPr>
                    <w:tcW w:w="8387" w:type="dxa"/>
                    <w:vAlign w:val="center"/>
                    <w:hideMark/>
                  </w:tcPr>
                  <w:p>
                    <w:pPr>
                      <w:spacing w:line="276" w:lineRule="auto"/>
                      <w:jc w:val="center"/>
                      <w:rPr>
                        <w:rFonts w:eastAsia="Calibri"/>
                        <w:color w:val="000000" w:themeColor="text1"/>
                      </w:rPr>
                    </w:pPr>
                    <w:r>
                      <w:rPr>
                        <w:color w:val="000000" w:themeColor="text1"/>
                      </w:rPr>
                      <w:t>jeigu</w:t>
                    </w:r>
                    <w:r>
                      <w:rPr>
                        <w:color w:val="000000" w:themeColor="text1"/>
                        <w:sz w:val="20"/>
                      </w:rPr>
                      <w:t xml:space="preserve"> </w:t>
                    </w:r>
                    <w:r>
                      <w:rPr>
                        <w:rFonts w:eastAsia="Calibri"/>
                        <w:color w:val="000000" w:themeColor="text1"/>
                        <w:position w:val="-28"/>
                        <w:sz w:val="20"/>
                        <w:szCs w:val="22"/>
                      </w:rPr>
                      <w:object w:dxaOrig="1860" w:dyaOrig="648">
                        <v:shape id="_x0000_i1908" type="#_x0000_t75" style="width:91.4pt;height:32.35pt" o:ole="">
                          <v:imagedata r:id="rId151" o:title=""/>
                        </v:shape>
                        <o:OLEObject Type="Embed" ProgID="Equation.3" ShapeID="_x0000_i1908" DrawAspect="Content" ObjectID="_0000000001" r:id="rId152"/>
                      </w:object>
                    </w:r>
                    <w:r>
                      <w:rPr>
                        <w:color w:val="000000" w:themeColor="text1"/>
                      </w:rPr>
                      <w:t xml:space="preserve">, tada </w:t>
                    </w:r>
                    <w:r>
                      <w:rPr>
                        <w:rFonts w:eastAsia="Calibri"/>
                        <w:color w:val="000000" w:themeColor="text1"/>
                        <w:position w:val="-10"/>
                        <w:sz w:val="20"/>
                        <w:szCs w:val="22"/>
                      </w:rPr>
                      <w:object w:dxaOrig="840" w:dyaOrig="372">
                        <v:shape id="_x0000_i1909" type="#_x0000_t75" style="width:42.05pt;height:17.8pt" o:ole="">
                          <v:imagedata r:id="rId153" o:title=""/>
                        </v:shape>
                        <o:OLEObject Type="Embed" ProgID="Equation.3" ShapeID="_x0000_i1909" DrawAspect="Content" ObjectID="_0000000001" r:id="rId154"/>
                      </w:object>
                    </w:r>
                    <w:r>
                      <w:rPr>
                        <w:color w:val="000000" w:themeColor="text1"/>
                      </w:rPr>
                      <w:t xml:space="preserve">, </w:t>
                    </w:r>
                  </w:p>
                  <w:p>
                    <w:pPr>
                      <w:spacing w:line="276" w:lineRule="auto"/>
                      <w:jc w:val="center"/>
                      <w:rPr>
                        <w:rFonts w:eastAsia="Calibri"/>
                        <w:color w:val="000000" w:themeColor="text1"/>
                        <w:szCs w:val="22"/>
                      </w:rPr>
                    </w:pPr>
                    <w:r>
                      <w:rPr>
                        <w:color w:val="000000" w:themeColor="text1"/>
                      </w:rPr>
                      <w:t xml:space="preserve">kitu atveju </w:t>
                    </w:r>
                    <w:r>
                      <w:rPr>
                        <w:rFonts w:eastAsia="Calibri"/>
                        <w:color w:val="000000" w:themeColor="text1"/>
                        <w:position w:val="-28"/>
                        <w:sz w:val="20"/>
                        <w:szCs w:val="22"/>
                      </w:rPr>
                      <w:object w:dxaOrig="2196" w:dyaOrig="648">
                        <v:shape id="_x0000_i1910" type="#_x0000_t75" style="width:110pt;height:32.35pt" o:ole="">
                          <v:imagedata r:id="rId155" o:title=""/>
                        </v:shape>
                        <o:OLEObject Type="Embed" ProgID="Equation.3" ShapeID="_x0000_i1910" DrawAspect="Content" ObjectID="_0000000001" r:id="rId156"/>
                      </w:object>
                    </w:r>
                    <w:r>
                      <w:rPr>
                        <w:color w:val="000000" w:themeColor="text1"/>
                      </w:rPr>
                      <w:t>;</w:t>
                    </w:r>
                  </w:p>
                </w:tc>
                <w:tc>
                  <w:tcPr>
                    <w:tcW w:w="1182" w:type="dxa"/>
                    <w:vAlign w:val="center"/>
                    <w:hideMark/>
                  </w:tcPr>
                  <w:p>
                    <w:pPr>
                      <w:spacing w:line="276" w:lineRule="auto"/>
                      <w:jc w:val="right"/>
                      <w:rPr>
                        <w:rFonts w:eastAsia="Calibri"/>
                        <w:color w:val="000000" w:themeColor="text1"/>
                        <w:szCs w:val="22"/>
                      </w:rPr>
                    </w:pPr>
                    <w:r>
                      <w:rPr>
                        <w:color w:val="000000" w:themeColor="text1"/>
                      </w:rPr>
                      <w:t>(11.27)</w:t>
                    </w:r>
                  </w:p>
                </w:tc>
              </w:tr>
            </w:tbl>
            <w:p>
              <w:pPr>
                <w:tabs>
                  <w:tab w:val="left" w:pos="567"/>
                </w:tabs>
                <w:rPr>
                  <w:rFonts w:eastAsia="Calibri"/>
                  <w:color w:val="000000" w:themeColor="text1"/>
                  <w:szCs w:val="22"/>
                </w:rPr>
              </w:pPr>
              <w:r>
                <w:rPr>
                  <w:color w:val="000000" w:themeColor="text1"/>
                </w:rPr>
                <w:t>čia:</w:t>
              </w:r>
              <w:r>
                <w:rPr>
                  <w:i/>
                  <w:color w:val="000000" w:themeColor="text1"/>
                </w:rPr>
                <w:tab/>
                <w:t>Q</w:t>
              </w:r>
              <w:r>
                <w:rPr>
                  <w:i/>
                  <w:color w:val="000000" w:themeColor="text1"/>
                  <w:vertAlign w:val="superscript"/>
                </w:rPr>
                <w:t>I</w:t>
              </w:r>
              <w:r>
                <w:rPr>
                  <w:i/>
                  <w:color w:val="000000" w:themeColor="text1"/>
                  <w:vertAlign w:val="subscript"/>
                </w:rPr>
                <w:t xml:space="preserve">H </w:t>
              </w:r>
              <w:r>
                <w:rPr>
                  <w:i/>
                  <w:color w:val="000000" w:themeColor="text1"/>
                </w:rPr>
                <w:t xml:space="preserve"> </w:t>
              </w:r>
              <w:r>
                <w:rPr>
                  <w:color w:val="000000" w:themeColor="text1"/>
                </w:rPr>
                <w:t>–</w:t>
              </w:r>
              <w:r>
                <w:rPr>
                  <w:i/>
                  <w:color w:val="000000" w:themeColor="text1"/>
                </w:rPr>
                <w:t xml:space="preserve"> </w:t>
              </w:r>
              <w:r>
                <w:rPr>
                  <w:color w:val="000000" w:themeColor="text1"/>
                </w:rPr>
                <w:t>apskaičiuojama pagal Reglamento 2 priedo (2.587) formulę.</w:t>
              </w:r>
            </w:p>
            <w:p>
              <w:pPr>
                <w:jc w:val="right"/>
                <w:rPr>
                  <w:color w:val="000000" w:themeColor="text1"/>
                </w:rPr>
              </w:pPr>
            </w:p>
          </w:sdtContent>
        </w:sdt>
        <w:sdt>
          <w:sdtPr>
            <w:alias w:val="11 pr. 4 p."/>
            <w:tag w:val="part_4b528c9948574e6d980aefff414707bd"/>
            <w:lock w:val="sdtLocked"/>
            <w:richText/>
          </w:sdtPr>
          <w:sdtContent>
            <w:p>
              <w:pPr>
                <w:ind w:firstLine="567"/>
                <w:jc w:val="both"/>
                <w:rPr>
                  <w:color w:val="000000" w:themeColor="text1"/>
                </w:rPr>
              </w:pPr>
              <w:sdt>
                <w:sdtPr>
                  <w:alias w:val="Numeris"/>
                  <w:tag w:val="nr_4b528c9948574e6d980aefff414707bd"/>
                  <w:lock w:val="sdtLocked"/>
                  <w:richText/>
                </w:sdtPr>
                <w:sdtContent>
                  <w:r>
                    <w:rPr>
                      <w:color w:val="000000" w:themeColor="text1"/>
                    </w:rPr>
                    <w:t>4</w:t>
                  </w:r>
                </w:sdtContent>
              </w:sdt>
              <w:r>
                <w:rPr>
                  <w:color w:val="000000" w:themeColor="text1"/>
                </w:rPr>
                <w:t xml:space="preserve">. Jeigu siekiama pastato energinį naudingumą padidinti iki aukštesnės negu C energinio naudingumo klasės (iki B, A, A+ arba A++ klasės), reikia atlikti esamos būklės pastato ir pastato, atitinkančio siekiamos energinio naudingumo klasės, energinio naudingumo skaičiavimus; sutaupymai turi būti apskaičiuoti pagal 11.1 lentelėje išvardintų rezultatų, gautų atlikus minėtus skaičiavimus, skirtumą. </w:t>
              </w:r>
            </w:p>
            <w:p>
              <w:pPr>
                <w:rPr>
                  <w:color w:val="000000" w:themeColor="text1"/>
                </w:rPr>
                <w:sectPr>
                  <w:pgSz w:w="11906" w:h="16838"/>
                  <w:pgMar w:top="1134" w:right="567" w:bottom="1134" w:left="1701" w:header="567" w:footer="567" w:gutter="0"/>
                  <w:pgNumType w:start="1"/>
                  <w:cols w:space="1296"/>
                  <w:titlePg/>
                  <w:docGrid w:linePitch="326"/>
                </w:sectPr>
              </w:pPr>
            </w:p>
            <w:p>
              <w:pPr>
                <w:tabs>
                  <w:tab w:val="center" w:pos="4320"/>
                  <w:tab w:val="right" w:pos="8640"/>
                </w:tabs>
                <w:jc w:val="both"/>
                <w:rPr>
                  <w:color w:val="000000" w:themeColor="text1"/>
                  <w:szCs w:val="24"/>
                  <w:lang w:eastAsia="lt-LT"/>
                </w:rPr>
              </w:pPr>
            </w:p>
            <w:sdt>
              <w:sdtPr>
                <w:alias w:val="skirsnis"/>
                <w:tag w:val="part_2ab409b5f34c4ca9a6699b31f3c72358"/>
                <w:lock w:val="sdtLocked"/>
                <w:richText/>
              </w:sdtPr>
              <w:sdtContent>
                <w:p>
                  <w:pPr>
                    <w:jc w:val="center"/>
                    <w:rPr>
                      <w:b/>
                    </w:rPr>
                  </w:pPr>
                  <w:sdt>
                    <w:sdtPr>
                      <w:alias w:val="Pavadinimas"/>
                      <w:tag w:val="title_2ab409b5f34c4ca9a6699b31f3c72358"/>
                      <w:lock w:val="sdtLocked"/>
                      <w:richText/>
                    </w:sdtPr>
                    <w:sdtContent>
                      <w:r>
                        <w:rPr>
                          <w:b/>
                        </w:rPr>
                        <w:t>Pastato (jo dalies) energinio naudingumo gerinimo rekomendacijos</w:t>
                      </w:r>
                    </w:sdtContent>
                  </w:sdt>
                </w:p>
                <w:sdt>
                  <w:sdtPr>
                    <w:alias w:val="lentele"/>
                    <w:tag w:val="part_b1b076ce1790442295198d9f20896920"/>
                    <w:lock w:val="sdtLocked"/>
                    <w:richText/>
                  </w:sdtPr>
                  <w:sdtContent>
                    <w:p>
                      <w:pPr>
                        <w:ind w:left="720" w:hanging="720"/>
                        <w:jc w:val="right"/>
                        <w:rPr>
                          <w:color w:val="000000" w:themeColor="text1"/>
                        </w:rPr>
                      </w:pPr>
                      <w:sdt>
                        <w:sdtPr>
                          <w:alias w:val="Numeris"/>
                          <w:tag w:val="nr_b1b076ce1790442295198d9f20896920"/>
                          <w:lock w:val="sdtLocked"/>
                          <w:richText/>
                        </w:sdtPr>
                        <w:sdtContent>
                          <w:r>
                            <w:rPr>
                              <w:color w:val="000000" w:themeColor="text1"/>
                            </w:rPr>
                            <w:t>11.2</w:t>
                          </w:r>
                        </w:sdtContent>
                      </w:sdt>
                      <w:r>
                        <w:rPr>
                          <w:color w:val="000000" w:themeColor="text1"/>
                        </w:rPr>
                        <w:t xml:space="preserve"> lentelė</w:t>
                      </w:r>
                    </w:p>
                    <w:tbl>
                      <w:tblPr>
                        <w:tblW w:w="15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7"/>
                        <w:gridCol w:w="4831"/>
                        <w:gridCol w:w="1950"/>
                        <w:gridCol w:w="3803"/>
                        <w:gridCol w:w="1683"/>
                        <w:gridCol w:w="2244"/>
                      </w:tblGrid>
                      <w:tr>
                        <w:tc>
                          <w:tcPr>
                            <w:tcW w:w="55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Eil. Nr.</w:t>
                            </w:r>
                          </w:p>
                        </w:tc>
                        <w:tc>
                          <w:tcPr>
                            <w:tcW w:w="483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szCs w:val="22"/>
                              </w:rPr>
                            </w:pPr>
                            <w:r>
                              <w:rPr>
                                <w:color w:val="000000" w:themeColor="text1"/>
                              </w:rPr>
                              <w:t xml:space="preserve">Priemonės pastato (jo dalies) energiniam naudingumui gerinti </w:t>
                            </w:r>
                          </w:p>
                        </w:tc>
                        <w:tc>
                          <w:tcPr>
                            <w:tcW w:w="195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Šiluminės energijos kiekis, kurį galima sutaupyti pastato (jo dalies) šildomo ploto kvadratiniame metre per metus, įdiegus priemonę kWh/(m2∙metai)</w:t>
                            </w: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Formulės šiluminės energijos kiekio, kurį galima sutaupyti pastato (jo dalies) šildomo ploto kvadratiniame metre per metus, įdiegus priemonę, skaičiavimui</w:t>
                            </w:r>
                          </w:p>
                          <w:p>
                            <w:pPr>
                              <w:spacing w:line="276" w:lineRule="auto"/>
                              <w:jc w:val="center"/>
                              <w:rPr>
                                <w:rFonts w:eastAsia="Calibri"/>
                                <w:color w:val="000000" w:themeColor="text1"/>
                                <w:sz w:val="20"/>
                                <w:szCs w:val="22"/>
                              </w:rPr>
                            </w:pPr>
                            <w:r>
                              <w:rPr>
                                <w:color w:val="000000" w:themeColor="text1"/>
                              </w:rPr>
                              <w:sym w:font="Symbol" w:char="F044"/>
                              <w:t xml:space="preserve">Q,   kWh/(m</w:t>
                            </w:r>
                            <w:r>
                              <w:rPr>
                                <w:color w:val="000000" w:themeColor="text1"/>
                                <w:vertAlign w:val="superscript"/>
                              </w:rPr>
                              <w:t>2</w:t>
                            </w:r>
                            <w:r>
                              <w:rPr>
                                <w:color w:val="000000" w:themeColor="text1"/>
                              </w:rPr>
                              <w:t>∙metai)</w:t>
                            </w:r>
                          </w:p>
                        </w:tc>
                        <w:tc>
                          <w:tcPr>
                            <w:tcW w:w="168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Šiluminės energijos dalis nuo dabartiniu metu pastato (jo dalies) suvartojamo energijos kiekio, kurią galima sutaupyti įdiegus priemonę</w:t>
                            </w: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 xml:space="preserve">Formulės šiluminės energijos dalies (nuo pastato (jo dalies) esamo šiluminės  energijos suvartojimo) kurią galima sutaupyti įdiegus priemonę skaičiavimui*</w:t>
                            </w:r>
                          </w:p>
                        </w:tc>
                      </w:tr>
                      <w:tr>
                        <w:tc>
                          <w:tcPr>
                            <w:tcW w:w="55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1</w:t>
                            </w:r>
                          </w:p>
                        </w:tc>
                        <w:tc>
                          <w:tcPr>
                            <w:tcW w:w="4831"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2</w:t>
                            </w:r>
                          </w:p>
                        </w:tc>
                        <w:tc>
                          <w:tcPr>
                            <w:tcW w:w="195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3</w:t>
                            </w: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4</w:t>
                            </w:r>
                          </w:p>
                        </w:tc>
                        <w:tc>
                          <w:tcPr>
                            <w:tcW w:w="168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5</w:t>
                            </w: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color w:val="000000" w:themeColor="text1"/>
                              </w:rPr>
                              <w:t>6</w: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 xml:space="preserve">Pastato sienų apšiltinimas, kad visų sienų šilumos perdavimo koeficientas atitiktų reikalavimus C klasės pastatui </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0"/>
                                <w:szCs w:val="22"/>
                              </w:rPr>
                              <w:object w:dxaOrig="1644" w:dyaOrig="324">
                                <v:shape id="_x0000_i1911" type="#_x0000_t75" style="width:82.5pt;height:16.2pt" o:ole="">
                                  <v:imagedata r:id="rId157" o:title=""/>
                                </v:shape>
                                <o:OLEObject Type="Embed" ProgID="Equation.3" ShapeID="_x0000_i1911" DrawAspect="Content" ObjectID="_0000000001" r:id="rId158"/>
                              </w:object>
                            </w:r>
                            <w:r>
                              <w:rPr>
                                <w:bCs/>
                                <w:color w:val="000000" w:themeColor="text1"/>
                              </w:rPr>
                              <w:t xml:space="preserve">, </w:t>
                            </w:r>
                            <w:r>
                              <w:rPr>
                                <w:i/>
                                <w:color w:val="000000" w:themeColor="text1"/>
                              </w:rPr>
                              <w:sym w:font="Symbol" w:char="F044"/>
                              <w:t>Q</w:t>
                            </w:r>
                            <w:r>
                              <w:rPr>
                                <w:i/>
                                <w:color w:val="000000" w:themeColor="text1"/>
                                <w:vertAlign w:val="subscript"/>
                              </w:rPr>
                              <w:t>w</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bCs/>
                                <w:color w:val="000000" w:themeColor="text1"/>
                              </w:rPr>
                              <w:t xml:space="preserve"> </w:t>
                            </w:r>
                            <w:r>
                              <w:rPr>
                                <w:rFonts w:eastAsia="Calibri"/>
                                <w:bCs/>
                                <w:color w:val="000000" w:themeColor="text1"/>
                                <w:position w:val="-10"/>
                                <w:szCs w:val="22"/>
                              </w:rPr>
                              <w:object w:dxaOrig="1920" w:dyaOrig="324">
                                <v:shape id="_x0000_i1912" type="#_x0000_t75" style="width:95.45pt;height:16.2pt" o:ole="">
                                  <v:imagedata r:id="rId159" o:title=""/>
                                </v:shape>
                                <o:OLEObject Type="Embed" ProgID="Equation.3" ShapeID="_x0000_i1912" DrawAspect="Content" ObjectID="_0000000001" r:id="rId160"/>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552" w:dyaOrig="660">
                                <v:shape id="_x0000_i1913" type="#_x0000_t75" style="width:27.5pt;height:33.15pt" o:ole="">
                                  <v:imagedata r:id="rId161" o:title=""/>
                                </v:shape>
                                <o:OLEObject Type="Embed" ProgID="Equation.3" ShapeID="_x0000_i1913" DrawAspect="Content" ObjectID="_0000000001" r:id="rId162"/>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2.</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stogų apšiltinimas, kad visų stogų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0"/>
                                <w:szCs w:val="22"/>
                              </w:rPr>
                              <w:object w:dxaOrig="1536" w:dyaOrig="324">
                                <v:shape id="_x0000_i1914" type="#_x0000_t75" style="width:77.65pt;height:16.2pt" o:ole="">
                                  <v:imagedata r:id="rId163" o:title=""/>
                                </v:shape>
                                <o:OLEObject Type="Embed" ProgID="Equation.3" ShapeID="_x0000_i1914" DrawAspect="Content" ObjectID="_0000000001" r:id="rId164"/>
                              </w:object>
                            </w:r>
                            <w:r>
                              <w:rPr>
                                <w:bCs/>
                                <w:color w:val="000000" w:themeColor="text1"/>
                              </w:rPr>
                              <w:t xml:space="preserve">, </w:t>
                            </w:r>
                            <w:r>
                              <w:rPr>
                                <w:i/>
                                <w:color w:val="000000" w:themeColor="text1"/>
                              </w:rPr>
                              <w:sym w:font="Symbol" w:char="F044"/>
                              <w:t>Q</w:t>
                            </w:r>
                            <w:r>
                              <w:rPr>
                                <w:i/>
                                <w:color w:val="000000" w:themeColor="text1"/>
                                <w:vertAlign w:val="subscript"/>
                              </w:rPr>
                              <w:t>r</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bCs/>
                                <w:color w:val="000000" w:themeColor="text1"/>
                              </w:rPr>
                              <w:t xml:space="preserve"> </w:t>
                            </w:r>
                            <w:r>
                              <w:rPr>
                                <w:rFonts w:eastAsia="Calibri"/>
                                <w:bCs/>
                                <w:color w:val="000000" w:themeColor="text1"/>
                                <w:position w:val="-10"/>
                                <w:szCs w:val="22"/>
                              </w:rPr>
                              <w:object w:dxaOrig="1812" w:dyaOrig="324">
                                <v:shape id="_x0000_i1915" type="#_x0000_t75" style="width:89.8pt;height:16.2pt" o:ole="">
                                  <v:imagedata r:id="rId165" o:title=""/>
                                </v:shape>
                                <o:OLEObject Type="Embed" ProgID="Equation.3" ShapeID="_x0000_i1915" DrawAspect="Content" ObjectID="_0000000001" r:id="rId166"/>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492" w:dyaOrig="660">
                                <v:shape id="_x0000_i1916" type="#_x0000_t75" style="width:24.25pt;height:33.15pt" o:ole="">
                                  <v:imagedata r:id="rId167" o:title=""/>
                                </v:shape>
                                <o:OLEObject Type="Embed" ProgID="Equation.3" ShapeID="_x0000_i1916" DrawAspect="Content" ObjectID="_0000000001" r:id="rId168"/>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3.</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perdangų, kurios ribojasi su išore, apšiltinimas, kad visų perdangų, kurios ribojasi su išore,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0"/>
                                <w:szCs w:val="22"/>
                              </w:rPr>
                              <w:object w:dxaOrig="1692" w:dyaOrig="324">
                                <v:shape id="_x0000_i1917" type="#_x0000_t75" style="width:84.15pt;height:16.2pt" o:ole="">
                                  <v:imagedata r:id="rId169" o:title=""/>
                                </v:shape>
                                <o:OLEObject Type="Embed" ProgID="Equation.3" ShapeID="_x0000_i1917" DrawAspect="Content" ObjectID="_0000000001" r:id="rId170"/>
                              </w:object>
                            </w:r>
                            <w:r>
                              <w:rPr>
                                <w:bCs/>
                                <w:color w:val="000000" w:themeColor="text1"/>
                              </w:rPr>
                              <w:t xml:space="preserve">, </w:t>
                            </w:r>
                            <w:r>
                              <w:rPr>
                                <w:i/>
                                <w:color w:val="000000" w:themeColor="text1"/>
                              </w:rPr>
                              <w:sym w:font="Symbol" w:char="F044"/>
                              <w:t>Q</w:t>
                            </w:r>
                            <w:r>
                              <w:rPr>
                                <w:i/>
                                <w:color w:val="000000" w:themeColor="text1"/>
                                <w:vertAlign w:val="subscript"/>
                              </w:rPr>
                              <w:t>ce</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0"/>
                                <w:szCs w:val="22"/>
                              </w:rPr>
                              <w:object w:dxaOrig="2040" w:dyaOrig="324">
                                <v:shape id="_x0000_i1918" type="#_x0000_t75" style="width:101.95pt;height:16.2pt" o:ole="">
                                  <v:imagedata r:id="rId171" o:title=""/>
                                </v:shape>
                                <o:OLEObject Type="Embed" ProgID="Equation.3" ShapeID="_x0000_i1918" DrawAspect="Content" ObjectID="_0000000001" r:id="rId172"/>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600" w:dyaOrig="660">
                                <v:shape id="_x0000_i1919" type="#_x0000_t75" style="width:29.95pt;height:33.15pt" o:ole="">
                                  <v:imagedata r:id="rId173" o:title=""/>
                                </v:shape>
                                <o:OLEObject Type="Embed" ProgID="Equation.3" ShapeID="_x0000_i1919" DrawAspect="Content" ObjectID="_0000000001" r:id="rId174"/>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5.</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grindų ant grunto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60" w:dyaOrig="372">
                                <v:shape id="_x0000_i1920" type="#_x0000_t75" style="width:91.4pt;height:17.8pt" o:ole="">
                                  <v:imagedata r:id="rId175" o:title=""/>
                                </v:shape>
                                <o:OLEObject Type="Embed" ProgID="Equation.3" ShapeID="_x0000_i1920" DrawAspect="Content" ObjectID="_0000000001" r:id="rId176"/>
                              </w:object>
                            </w:r>
                            <w:r>
                              <w:rPr>
                                <w:bCs/>
                                <w:color w:val="000000" w:themeColor="text1"/>
                              </w:rPr>
                              <w:t xml:space="preserve">, </w:t>
                            </w:r>
                            <w:r>
                              <w:rPr>
                                <w:i/>
                                <w:color w:val="000000" w:themeColor="text1"/>
                              </w:rPr>
                              <w:sym w:font="Symbol" w:char="F044"/>
                              <w:t>Q</w:t>
                            </w:r>
                            <w:r>
                              <w:rPr>
                                <w:i/>
                                <w:color w:val="000000" w:themeColor="text1"/>
                                <w:vertAlign w:val="subscript"/>
                              </w:rPr>
                              <w:t>fg1</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232" w:dyaOrig="372">
                                <v:shape id="_x0000_i1921" type="#_x0000_t75" style="width:111.65pt;height:17.8pt" o:ole="">
                                  <v:imagedata r:id="rId177" o:title=""/>
                                </v:shape>
                                <o:OLEObject Type="Embed" ProgID="Equation.3" ShapeID="_x0000_i1921" DrawAspect="Content" ObjectID="_0000000001" r:id="rId178"/>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28"/>
                                <w:szCs w:val="22"/>
                              </w:rPr>
                              <w:object w:dxaOrig="660" w:dyaOrig="660">
                                <v:shape id="_x0000_i1922" type="#_x0000_t75" style="width:33.15pt;height:33.15pt" o:ole="">
                                  <v:imagedata r:id="rId179" o:title=""/>
                                </v:shape>
                                <o:OLEObject Type="Embed" ProgID="Equation.3" ShapeID="_x0000_i1922" DrawAspect="Content" ObjectID="_0000000001" r:id="rId180"/>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6.</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Horizontaliai pakraščiuose apšiltintų grindų ant grunto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60" w:dyaOrig="372">
                                <v:shape id="_x0000_i1923" type="#_x0000_t75" style="width:91.4pt;height:17.8pt" o:ole="">
                                  <v:imagedata r:id="rId181" o:title=""/>
                                </v:shape>
                                <o:OLEObject Type="Embed" ProgID="Equation.3" ShapeID="_x0000_i1923" DrawAspect="Content" ObjectID="_0000000001" r:id="rId182"/>
                              </w:object>
                            </w:r>
                            <w:r>
                              <w:rPr>
                                <w:bCs/>
                                <w:color w:val="000000" w:themeColor="text1"/>
                              </w:rPr>
                              <w:t xml:space="preserve">, </w:t>
                            </w:r>
                            <w:r>
                              <w:rPr>
                                <w:i/>
                                <w:color w:val="000000" w:themeColor="text1"/>
                              </w:rPr>
                              <w:sym w:font="Symbol" w:char="F044"/>
                              <w:t>Q</w:t>
                            </w:r>
                            <w:r>
                              <w:rPr>
                                <w:i/>
                                <w:color w:val="000000" w:themeColor="text1"/>
                                <w:vertAlign w:val="subscript"/>
                              </w:rPr>
                              <w:t>fg2</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304" w:dyaOrig="372">
                                <v:shape id="_x0000_i1924" type="#_x0000_t75" style="width:115.7pt;height:17.8pt" o:ole="">
                                  <v:imagedata r:id="rId183" o:title=""/>
                                </v:shape>
                                <o:OLEObject Type="Embed" ProgID="Equation.3" ShapeID="_x0000_i1924" DrawAspect="Content" ObjectID="_0000000001" r:id="rId184"/>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660" w:dyaOrig="660">
                                <v:shape id="_x0000_i1925" type="#_x0000_t75" style="width:33.15pt;height:33.15pt" o:ole="">
                                  <v:imagedata r:id="rId185" o:title=""/>
                                </v:shape>
                                <o:OLEObject Type="Embed" ProgID="Equation.3" ShapeID="_x0000_i1925" DrawAspect="Content" ObjectID="_0000000001" r:id="rId186"/>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7.</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Vertikaliai pakraščiuose apšiltintų grindų ant grunto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60" w:dyaOrig="372">
                                <v:shape id="_x0000_i1926" type="#_x0000_t75" style="width:91.4pt;height:17.8pt" o:ole="">
                                  <v:imagedata r:id="rId187" o:title=""/>
                                </v:shape>
                                <o:OLEObject Type="Embed" ProgID="Equation.3" ShapeID="_x0000_i1926" DrawAspect="Content" ObjectID="_0000000001" r:id="rId188"/>
                              </w:object>
                            </w:r>
                            <w:r>
                              <w:rPr>
                                <w:bCs/>
                                <w:color w:val="000000" w:themeColor="text1"/>
                              </w:rPr>
                              <w:t xml:space="preserve">, </w:t>
                            </w:r>
                            <w:r>
                              <w:rPr>
                                <w:i/>
                                <w:color w:val="000000" w:themeColor="text1"/>
                              </w:rPr>
                              <w:sym w:font="Symbol" w:char="F044"/>
                              <w:t>Q</w:t>
                            </w:r>
                            <w:r>
                              <w:rPr>
                                <w:i/>
                                <w:color w:val="000000" w:themeColor="text1"/>
                                <w:vertAlign w:val="subscript"/>
                              </w:rPr>
                              <w:t>fg2</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304" w:dyaOrig="372">
                                <v:shape id="_x0000_i1927" type="#_x0000_t75" style="width:115.7pt;height:17.8pt" o:ole="">
                                  <v:imagedata r:id="rId189" o:title=""/>
                                </v:shape>
                                <o:OLEObject Type="Embed" ProgID="Equation.3" ShapeID="_x0000_i1927" DrawAspect="Content" ObjectID="_0000000001" r:id="rId190"/>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660" w:dyaOrig="660">
                                <v:shape id="_x0000_i1928" type="#_x0000_t75" style="width:33.15pt;height:33.15pt" o:ole="">
                                  <v:imagedata r:id="rId191" o:title=""/>
                                </v:shape>
                                <o:OLEObject Type="Embed" ProgID="Equation.3" ShapeID="_x0000_i1928" DrawAspect="Content" ObjectID="_0000000001" r:id="rId192"/>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8.</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Vertikaliai ir horizontaliai pakraščiuose apšiltintų grindų ant grunto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60" w:dyaOrig="372">
                                <v:shape id="_x0000_i1929" type="#_x0000_t75" style="width:91.4pt;height:17.8pt" o:ole="">
                                  <v:imagedata r:id="rId193" o:title=""/>
                                </v:shape>
                                <o:OLEObject Type="Embed" ProgID="Equation.3" ShapeID="_x0000_i1929" DrawAspect="Content" ObjectID="_0000000001" r:id="rId194"/>
                              </w:object>
                            </w:r>
                            <w:r>
                              <w:rPr>
                                <w:bCs/>
                                <w:color w:val="000000" w:themeColor="text1"/>
                              </w:rPr>
                              <w:t xml:space="preserve">, </w:t>
                            </w:r>
                            <w:r>
                              <w:rPr>
                                <w:i/>
                                <w:color w:val="000000" w:themeColor="text1"/>
                              </w:rPr>
                              <w:sym w:font="Symbol" w:char="F044"/>
                              <w:t>Q</w:t>
                            </w:r>
                            <w:r>
                              <w:rPr>
                                <w:i/>
                                <w:color w:val="000000" w:themeColor="text1"/>
                                <w:vertAlign w:val="subscript"/>
                              </w:rPr>
                              <w:t>fg2</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304" w:dyaOrig="372">
                                <v:shape id="_x0000_i1930" type="#_x0000_t75" style="width:115.7pt;height:17.8pt" o:ole="">
                                  <v:imagedata r:id="rId195" o:title=""/>
                                </v:shape>
                                <o:OLEObject Type="Embed" ProgID="Equation.3" ShapeID="_x0000_i1930" DrawAspect="Content" ObjectID="_0000000001" r:id="rId196"/>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660" w:dyaOrig="660">
                                <v:shape id="_x0000_i1931" type="#_x0000_t75" style="width:33.15pt;height:33.15pt" o:ole="">
                                  <v:imagedata r:id="rId197" o:title=""/>
                                </v:shape>
                                <o:OLEObject Type="Embed" ProgID="Equation.3" ShapeID="_x0000_i1931" DrawAspect="Content" ObjectID="_0000000001" r:id="rId198"/>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9.</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Šildomo rūsio atitvarų, kurios ribojasi su gruntu,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48" w:dyaOrig="372">
                                <v:shape id="_x0000_i1932" type="#_x0000_t75" style="width:90.6pt;height:17.8pt" o:ole="">
                                  <v:imagedata r:id="rId199" o:title=""/>
                                </v:shape>
                                <o:OLEObject Type="Embed" ProgID="Equation.3" ShapeID="_x0000_i1932" DrawAspect="Content" ObjectID="_0000000001" r:id="rId200"/>
                              </w:object>
                            </w:r>
                            <w:r>
                              <w:rPr>
                                <w:bCs/>
                                <w:color w:val="000000" w:themeColor="text1"/>
                              </w:rPr>
                              <w:t xml:space="preserve">, </w:t>
                            </w:r>
                            <w:r>
                              <w:rPr>
                                <w:i/>
                                <w:color w:val="000000" w:themeColor="text1"/>
                              </w:rPr>
                              <w:sym w:font="Symbol" w:char="F044"/>
                              <w:t>Q</w:t>
                            </w:r>
                            <w:r>
                              <w:rPr>
                                <w:i/>
                                <w:color w:val="000000" w:themeColor="text1"/>
                                <w:vertAlign w:val="subscript"/>
                              </w:rPr>
                              <w:t>fg3</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280" w:dyaOrig="372">
                                <v:shape id="_x0000_i1933" type="#_x0000_t75" style="width:114.05pt;height:17.8pt" o:ole="">
                                  <v:imagedata r:id="rId201" o:title=""/>
                                </v:shape>
                                <o:OLEObject Type="Embed" ProgID="Equation.3" ShapeID="_x0000_i1933" DrawAspect="Content" ObjectID="_0000000001" r:id="rId202"/>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660" w:dyaOrig="660">
                                <v:shape id="_x0000_i1934" type="#_x0000_t75" style="width:33.15pt;height:33.15pt" o:ole="">
                                  <v:imagedata r:id="rId203" o:title=""/>
                                </v:shape>
                                <o:OLEObject Type="Embed" ProgID="Equation.3" ShapeID="_x0000_i1934" DrawAspect="Content" ObjectID="_0000000001" r:id="rId204"/>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10.</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Grindų virš vėdinamų pogrindžių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60" w:dyaOrig="372">
                                <v:shape id="_x0000_i1935" type="#_x0000_t75" style="width:91.4pt;height:17.8pt" o:ole="">
                                  <v:imagedata r:id="rId205" o:title=""/>
                                </v:shape>
                                <o:OLEObject Type="Embed" ProgID="Equation.3" ShapeID="_x0000_i1935" DrawAspect="Content" ObjectID="_0000000001" r:id="rId206"/>
                              </w:object>
                            </w:r>
                            <w:r>
                              <w:rPr>
                                <w:bCs/>
                                <w:color w:val="000000" w:themeColor="text1"/>
                              </w:rPr>
                              <w:t xml:space="preserve">, </w:t>
                            </w:r>
                            <w:r>
                              <w:rPr>
                                <w:i/>
                                <w:color w:val="000000" w:themeColor="text1"/>
                              </w:rPr>
                              <w:sym w:font="Symbol" w:char="F044"/>
                              <w:t>Q</w:t>
                            </w:r>
                            <w:r>
                              <w:rPr>
                                <w:i/>
                                <w:color w:val="000000" w:themeColor="text1"/>
                                <w:vertAlign w:val="subscript"/>
                              </w:rPr>
                              <w:t>fg4</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304" w:dyaOrig="372">
                                <v:shape id="_x0000_i1936" type="#_x0000_t75" style="width:115.7pt;height:17.8pt" o:ole="">
                                  <v:imagedata r:id="rId207" o:title=""/>
                                </v:shape>
                                <o:OLEObject Type="Embed" ProgID="Equation.3" ShapeID="_x0000_i1936" DrawAspect="Content" ObjectID="_0000000001" r:id="rId208"/>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660" w:dyaOrig="660">
                                <v:shape id="_x0000_i1937" type="#_x0000_t75" style="width:33.15pt;height:33.15pt" o:ole="">
                                  <v:imagedata r:id="rId209" o:title=""/>
                                </v:shape>
                                <o:OLEObject Type="Embed" ProgID="Equation.3" ShapeID="_x0000_i1937" DrawAspect="Content" ObjectID="_0000000001" r:id="rId210"/>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11.</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Grindų virš nešildomų vėdinamų rūsių apšiltinimas, kad jų šilumos perdavimo koeficientas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4"/>
                                <w:szCs w:val="22"/>
                              </w:rPr>
                              <w:object w:dxaOrig="1848" w:dyaOrig="372">
                                <v:shape id="_x0000_i1938" type="#_x0000_t75" style="width:90.6pt;height:17.8pt" o:ole="">
                                  <v:imagedata r:id="rId211" o:title=""/>
                                </v:shape>
                                <o:OLEObject Type="Embed" ProgID="Equation.3" ShapeID="_x0000_i1938" DrawAspect="Content" ObjectID="_0000000001" r:id="rId212"/>
                              </w:object>
                            </w:r>
                            <w:r>
                              <w:rPr>
                                <w:bCs/>
                                <w:color w:val="000000" w:themeColor="text1"/>
                              </w:rPr>
                              <w:t xml:space="preserve">, </w:t>
                            </w:r>
                            <w:r>
                              <w:rPr>
                                <w:i/>
                                <w:color w:val="000000" w:themeColor="text1"/>
                              </w:rPr>
                              <w:sym w:font="Symbol" w:char="F044"/>
                              <w:t>Q</w:t>
                            </w:r>
                            <w:r>
                              <w:rPr>
                                <w:i/>
                                <w:color w:val="000000" w:themeColor="text1"/>
                                <w:vertAlign w:val="subscript"/>
                              </w:rPr>
                              <w:t>fg5</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4"/>
                                <w:szCs w:val="22"/>
                              </w:rPr>
                              <w:object w:dxaOrig="2280" w:dyaOrig="372">
                                <v:shape id="_x0000_i1939" type="#_x0000_t75" style="width:114.05pt;height:17.8pt" o:ole="">
                                  <v:imagedata r:id="rId213" o:title=""/>
                                </v:shape>
                                <o:OLEObject Type="Embed" ProgID="Equation.3" ShapeID="_x0000_i1939" DrawAspect="Content" ObjectID="_0000000001" r:id="rId214"/>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660" w:dyaOrig="660">
                                <v:shape id="_x0000_i1940" type="#_x0000_t75" style="width:33.15pt;height:33.15pt" o:ole="">
                                  <v:imagedata r:id="rId215" o:title=""/>
                                </v:shape>
                                <o:OLEObject Type="Embed" ProgID="Equation.3" ShapeID="_x0000_i1940" DrawAspect="Content" ObjectID="_0000000001" r:id="rId216"/>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12.</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langų keitimas langais, atitinkančiais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0"/>
                                <w:szCs w:val="22"/>
                              </w:rPr>
                              <w:object w:dxaOrig="1968" w:dyaOrig="324">
                                <v:shape id="_x0000_i1941" type="#_x0000_t75" style="width:98.7pt;height:16.2pt" o:ole="">
                                  <v:imagedata r:id="rId217" o:title=""/>
                                </v:shape>
                                <o:OLEObject Type="Embed" ProgID="Equation.3" ShapeID="_x0000_i1941" DrawAspect="Content" ObjectID="_0000000001" r:id="rId218"/>
                              </w:object>
                            </w:r>
                            <w:r>
                              <w:rPr>
                                <w:bCs/>
                                <w:color w:val="000000" w:themeColor="text1"/>
                              </w:rPr>
                              <w:t xml:space="preserve">, </w:t>
                            </w:r>
                            <w:r>
                              <w:rPr>
                                <w:i/>
                                <w:color w:val="000000" w:themeColor="text1"/>
                              </w:rPr>
                              <w:sym w:font="Symbol" w:char="F044"/>
                              <w:t>Q</w:t>
                            </w:r>
                            <w:r>
                              <w:rPr>
                                <w:i/>
                                <w:color w:val="000000" w:themeColor="text1"/>
                                <w:vertAlign w:val="subscript"/>
                              </w:rPr>
                              <w:t>wda</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0"/>
                                <w:szCs w:val="22"/>
                              </w:rPr>
                              <w:object w:dxaOrig="2400" w:dyaOrig="324">
                                <v:shape id="_x0000_i1942" type="#_x0000_t75" style="width:119.75pt;height:16.2pt" o:ole="">
                                  <v:imagedata r:id="rId219" o:title=""/>
                                </v:shape>
                                <o:OLEObject Type="Embed" ProgID="Equation.3" ShapeID="_x0000_i1942" DrawAspect="Content" ObjectID="_0000000001" r:id="rId220"/>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rFonts w:eastAsia="Calibri"/>
                                <w:bCs/>
                                <w:color w:val="000000" w:themeColor="text1"/>
                                <w:position w:val="-30"/>
                                <w:szCs w:val="22"/>
                              </w:rPr>
                              <w:object w:dxaOrig="732" w:dyaOrig="660">
                                <v:shape id="_x0000_i1943" type="#_x0000_t75" style="width:36.4pt;height:33.15pt" o:ole="">
                                  <v:imagedata r:id="rId221" o:title=""/>
                                </v:shape>
                                <o:OLEObject Type="Embed" ProgID="Equation.3" ShapeID="_x0000_i1943" DrawAspect="Content" ObjectID="_0000000001" r:id="rId222"/>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13.</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išorinių įėjimo durų keitimas į durimis, atitinkančiomis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bCs/>
                                <w:color w:val="000000" w:themeColor="text1"/>
                              </w:rPr>
                              <w:t xml:space="preserve">Jei </w:t>
                            </w:r>
                            <w:r>
                              <w:rPr>
                                <w:rFonts w:eastAsia="Calibri"/>
                                <w:bCs/>
                                <w:color w:val="000000" w:themeColor="text1"/>
                                <w:position w:val="-10"/>
                                <w:szCs w:val="22"/>
                              </w:rPr>
                              <w:object w:dxaOrig="1560" w:dyaOrig="324">
                                <v:shape id="_x0000_i1944" type="#_x0000_t75" style="width:78.45pt;height:16.2pt" o:ole="">
                                  <v:imagedata r:id="rId223" o:title=""/>
                                </v:shape>
                                <o:OLEObject Type="Embed" ProgID="Equation.3" ShapeID="_x0000_i1944" DrawAspect="Content" ObjectID="_0000000001" r:id="rId224"/>
                              </w:object>
                            </w:r>
                            <w:r>
                              <w:rPr>
                                <w:bCs/>
                                <w:color w:val="000000" w:themeColor="text1"/>
                              </w:rPr>
                              <w:t xml:space="preserve">, </w:t>
                            </w:r>
                            <w:r>
                              <w:rPr>
                                <w:i/>
                                <w:color w:val="000000" w:themeColor="text1"/>
                              </w:rPr>
                              <w:sym w:font="Symbol" w:char="F044"/>
                              <w:t>Q</w:t>
                            </w:r>
                            <w:r>
                              <w:rPr>
                                <w:i/>
                                <w:color w:val="000000" w:themeColor="text1"/>
                                <w:vertAlign w:val="subscript"/>
                              </w:rPr>
                              <w:t>d</w:t>
                            </w:r>
                            <w:r>
                              <w:rPr>
                                <w:color w:val="000000" w:themeColor="text1"/>
                              </w:rPr>
                              <w:sym w:font="Symbol" w:char="F03D"/>
                              <w:t>0;</w:t>
                            </w:r>
                          </w:p>
                          <w:p>
                            <w:pPr>
                              <w:spacing w:line="276" w:lineRule="auto"/>
                              <w:jc w:val="center"/>
                              <w:rPr>
                                <w:rFonts w:eastAsia="Calibri"/>
                                <w:color w:val="000000" w:themeColor="text1"/>
                                <w:szCs w:val="22"/>
                              </w:rPr>
                            </w:pPr>
                            <w:r>
                              <w:rPr>
                                <w:color w:val="000000" w:themeColor="text1"/>
                              </w:rPr>
                              <w:t xml:space="preserve">kitu atveju </w:t>
                            </w:r>
                            <w:r>
                              <w:rPr>
                                <w:rFonts w:eastAsia="Calibri"/>
                                <w:bCs/>
                                <w:color w:val="000000" w:themeColor="text1"/>
                                <w:position w:val="-10"/>
                                <w:szCs w:val="22"/>
                              </w:rPr>
                              <w:object w:dxaOrig="1860" w:dyaOrig="324">
                                <v:shape id="_x0000_i1945" type="#_x0000_t75" style="width:91.4pt;height:16.2pt" o:ole="">
                                  <v:imagedata r:id="rId225" o:title=""/>
                                </v:shape>
                                <o:OLEObject Type="Embed" ProgID="Equation.3" ShapeID="_x0000_i1945" DrawAspect="Content" ObjectID="_0000000001" r:id="rId226"/>
                              </w:objec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528" w:dyaOrig="660">
                                <v:shape id="_x0000_i1946" type="#_x0000_t75" style="width:26.7pt;height:33.15pt" o:ole="">
                                  <v:imagedata r:id="rId227" o:title=""/>
                                </v:shape>
                                <o:OLEObject Type="Embed" ProgID="Equation.3" ShapeID="_x0000_i1946" DrawAspect="Content" ObjectID="_0000000001" r:id="rId228"/>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14.</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Pastato karšto buitinio vandens ruošimo sistemos rekonstravimas, kad šiluminės energijos sąnaudos karštam vandeniui ruošti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 xml:space="preserve">Jei </w:t>
                            </w:r>
                            <w:r>
                              <w:rPr>
                                <w:rFonts w:eastAsia="Calibri"/>
                                <w:color w:val="000000" w:themeColor="text1"/>
                                <w:position w:val="-10"/>
                                <w:szCs w:val="22"/>
                              </w:rPr>
                              <w:object w:dxaOrig="1512" w:dyaOrig="324">
                                <v:shape id="_x0000_i1947" type="#_x0000_t75" style="width:76.85pt;height:16.2pt" o:ole="">
                                  <v:imagedata r:id="rId229" o:title=""/>
                                </v:shape>
                                <o:OLEObject Type="Embed" ProgID="Equation.3" ShapeID="_x0000_i1947" DrawAspect="Content" ObjectID="_0000000001" r:id="rId230"/>
                              </w:object>
                            </w:r>
                            <w:r>
                              <w:rPr>
                                <w:color w:val="000000" w:themeColor="text1"/>
                              </w:rPr>
                              <w:t xml:space="preserve">, </w:t>
                            </w:r>
                            <w:r>
                              <w:rPr>
                                <w:i/>
                                <w:color w:val="000000" w:themeColor="text1"/>
                              </w:rPr>
                              <w:sym w:font="Symbol" w:char="F044"/>
                              <w:t>Q</w:t>
                            </w:r>
                            <w:r>
                              <w:rPr>
                                <w:i/>
                                <w:color w:val="000000" w:themeColor="text1"/>
                                <w:vertAlign w:val="subscript"/>
                              </w:rPr>
                              <w:t>hw</w:t>
                            </w:r>
                            <w:r>
                              <w:rPr>
                                <w:color w:val="000000" w:themeColor="text1"/>
                              </w:rPr>
                              <w:sym w:font="Symbol" w:char="F03D"/>
                              <w:t>0;</w:t>
                            </w:r>
                          </w:p>
                          <w:p>
                            <w:pPr>
                              <w:spacing w:line="276" w:lineRule="auto"/>
                              <w:jc w:val="center"/>
                              <w:rPr>
                                <w:color w:val="000000" w:themeColor="text1"/>
                              </w:rPr>
                            </w:pPr>
                            <w:r>
                              <w:rPr>
                                <w:color w:val="000000" w:themeColor="text1"/>
                              </w:rPr>
                              <w:t xml:space="preserve">kitu atveju </w:t>
                            </w:r>
                            <w:r>
                              <w:rPr>
                                <w:rFonts w:eastAsia="Calibri"/>
                                <w:color w:val="000000" w:themeColor="text1"/>
                                <w:position w:val="-10"/>
                                <w:szCs w:val="22"/>
                              </w:rPr>
                              <w:object w:dxaOrig="1896" w:dyaOrig="324">
                                <v:shape id="_x0000_i1948" type="#_x0000_t75" style="width:94.65pt;height:16.2pt" o:ole="">
                                  <v:imagedata r:id="rId231" o:title=""/>
                                </v:shape>
                                <o:OLEObject Type="Embed" ProgID="Equation.3" ShapeID="_x0000_i1948" DrawAspect="Content" ObjectID="_0000000001" r:id="rId232"/>
                              </w:object>
                            </w:r>
                            <w:r>
                              <w:rPr>
                                <w:color w:val="000000" w:themeColor="text1"/>
                              </w:rPr>
                              <w:t>;</w:t>
                            </w:r>
                          </w:p>
                          <w:p>
                            <w:pPr>
                              <w:spacing w:line="276" w:lineRule="auto"/>
                              <w:jc w:val="center"/>
                              <w:rPr>
                                <w:rFonts w:eastAsia="Calibri"/>
                                <w:bCs/>
                                <w:color w:val="000000" w:themeColor="text1"/>
                                <w:szCs w:val="22"/>
                                <w:vertAlign w:val="subscript"/>
                              </w:rPr>
                            </w:pPr>
                            <w:r>
                              <w:rPr>
                                <w:color w:val="000000" w:themeColor="text1"/>
                              </w:rPr>
                              <w:t xml:space="preserve">čia: </w:t>
                            </w:r>
                            <w:r>
                              <w:rPr>
                                <w:i/>
                                <w:color w:val="000000" w:themeColor="text1"/>
                              </w:rPr>
                              <w:t>Q</w:t>
                            </w:r>
                            <w:r>
                              <w:rPr>
                                <w:i/>
                                <w:color w:val="000000" w:themeColor="text1"/>
                                <w:vertAlign w:val="subscript"/>
                              </w:rPr>
                              <w:t>hw</w:t>
                            </w:r>
                            <w:r>
                              <w:rPr>
                                <w:color w:val="000000" w:themeColor="text1"/>
                                <w:vertAlign w:val="subscript"/>
                              </w:rPr>
                              <w:t xml:space="preserve"> </w:t>
                            </w:r>
                            <w:r>
                              <w:rPr>
                                <w:color w:val="000000" w:themeColor="text1"/>
                              </w:rPr>
                              <w:t xml:space="preserve">ir </w:t>
                            </w:r>
                            <w:r>
                              <w:rPr>
                                <w:i/>
                                <w:color w:val="000000" w:themeColor="text1"/>
                              </w:rPr>
                              <w:t>Q</w:t>
                            </w:r>
                            <w:r>
                              <w:rPr>
                                <w:i/>
                                <w:color w:val="000000" w:themeColor="text1"/>
                                <w:vertAlign w:val="subscript"/>
                              </w:rPr>
                              <w:t>N.hw</w:t>
                            </w:r>
                            <w:r>
                              <w:rPr>
                                <w:color w:val="000000" w:themeColor="text1"/>
                                <w:vertAlign w:val="subscript"/>
                              </w:rPr>
                              <w:t xml:space="preserve"> </w:t>
                            </w:r>
                            <w:r>
                              <w:rPr>
                                <w:color w:val="000000" w:themeColor="text1"/>
                              </w:rPr>
                              <w:t>apskaičiuojami pagal Reglamento 2 priedo (2.578) ir (2.576) formules</w: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624" w:dyaOrig="660">
                                <v:shape id="_x0000_i1949" type="#_x0000_t75" style="width:32.35pt;height:33.15pt" o:ole="">
                                  <v:imagedata r:id="rId233" o:title=""/>
                                </v:shape>
                                <o:OLEObject Type="Embed" ProgID="Equation.3" ShapeID="_x0000_i1949" DrawAspect="Content" ObjectID="_0000000001" r:id="rId234"/>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15.</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Energijos sąnaudų šildymui sutaupymas, jei pastato šildymo sistema būtų įrengta pagal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Cs w:val="22"/>
                              </w:rPr>
                            </w:pPr>
                            <w:r>
                              <w:rPr>
                                <w:i/>
                                <w:color w:val="000000" w:themeColor="text1"/>
                              </w:rPr>
                              <w:t>ΔQ</w:t>
                            </w:r>
                            <w:r>
                              <w:rPr>
                                <w:i/>
                                <w:color w:val="000000" w:themeColor="text1"/>
                                <w:vertAlign w:val="superscript"/>
                              </w:rPr>
                              <w:t>I</w:t>
                            </w:r>
                            <w:r>
                              <w:rPr>
                                <w:i/>
                                <w:color w:val="000000" w:themeColor="text1"/>
                                <w:vertAlign w:val="subscript"/>
                              </w:rPr>
                              <w:t xml:space="preserve">H </w:t>
                            </w:r>
                            <w:r>
                              <w:rPr>
                                <w:color w:val="000000" w:themeColor="text1"/>
                              </w:rPr>
                              <w:t xml:space="preserve"> - apskaičiuojama pagal (11.27) formulę</w: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600" w:dyaOrig="732">
                                <v:shape id="_x0000_i1950" type="#_x0000_t75" style="width:29.95pt;height:36.4pt" o:ole="">
                                  <v:imagedata r:id="rId235" o:title=""/>
                                </v:shape>
                                <o:OLEObject Type="Embed" ProgID="Equation.3" ShapeID="_x0000_i1950" DrawAspect="Content" ObjectID="_0000000001" r:id="rId236"/>
                              </w:object>
                            </w:r>
                          </w:p>
                        </w:tc>
                      </w:tr>
                      <w:tr>
                        <w:tc>
                          <w:tcPr>
                            <w:tcW w:w="557"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16.</w:t>
                            </w:r>
                          </w:p>
                        </w:tc>
                        <w:tc>
                          <w:tcPr>
                            <w:tcW w:w="483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color w:val="000000" w:themeColor="text1"/>
                                <w:szCs w:val="22"/>
                              </w:rPr>
                            </w:pPr>
                            <w:r>
                              <w:rPr>
                                <w:color w:val="000000" w:themeColor="text1"/>
                              </w:rPr>
                              <w:t>Minimalus šiluminės energijos pastatui šildyti sutaupymas, jeigu pastatas atitiktų C energinio naudingumo klasę ir jo šildymo sistema atitiktų reikalavimus C klasės pastatui</w:t>
                            </w:r>
                          </w:p>
                        </w:tc>
                        <w:tc>
                          <w:tcPr>
                            <w:tcW w:w="1950"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3803"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rPr>
                            </w:pPr>
                            <w:r>
                              <w:rPr>
                                <w:color w:val="000000" w:themeColor="text1"/>
                              </w:rPr>
                              <w:t xml:space="preserve">Jei </w:t>
                            </w:r>
                            <w:r>
                              <w:rPr>
                                <w:rFonts w:eastAsia="Calibri"/>
                                <w:color w:val="000000" w:themeColor="text1"/>
                                <w:position w:val="-10"/>
                                <w:szCs w:val="22"/>
                              </w:rPr>
                              <w:object w:dxaOrig="1416" w:dyaOrig="372">
                                <v:shape id="_x0000_i1951" type="#_x0000_t75" style="width:69.55pt;height:17.8pt" o:ole="">
                                  <v:imagedata r:id="rId237" o:title=""/>
                                </v:shape>
                                <o:OLEObject Type="Embed" ProgID="Equation.3" ShapeID="_x0000_i1951" DrawAspect="Content" ObjectID="_0000000001" r:id="rId238"/>
                              </w:object>
                            </w:r>
                            <w:r>
                              <w:rPr>
                                <w:color w:val="000000" w:themeColor="text1"/>
                              </w:rPr>
                              <w:t xml:space="preserve">, </w:t>
                            </w:r>
                            <w:r>
                              <w:rPr>
                                <w:i/>
                                <w:color w:val="000000" w:themeColor="text1"/>
                              </w:rPr>
                              <w:sym w:font="Symbol" w:char="F044"/>
                              <w:t>Q</w:t>
                            </w:r>
                            <w:r>
                              <w:rPr>
                                <w:i/>
                                <w:color w:val="000000" w:themeColor="text1"/>
                                <w:vertAlign w:val="subscript"/>
                              </w:rPr>
                              <w:t>H</w:t>
                            </w:r>
                            <w:r>
                              <w:rPr>
                                <w:color w:val="000000" w:themeColor="text1"/>
                              </w:rPr>
                              <w:sym w:font="Symbol" w:char="F03D"/>
                              <w:t>0;</w:t>
                            </w:r>
                          </w:p>
                          <w:p>
                            <w:pPr>
                              <w:spacing w:line="276" w:lineRule="auto"/>
                              <w:jc w:val="center"/>
                              <w:rPr>
                                <w:color w:val="000000" w:themeColor="text1"/>
                              </w:rPr>
                            </w:pPr>
                            <w:r>
                              <w:rPr>
                                <w:color w:val="000000" w:themeColor="text1"/>
                              </w:rPr>
                              <w:t xml:space="preserve">kitu atveju </w:t>
                            </w:r>
                            <w:r>
                              <w:rPr>
                                <w:rFonts w:eastAsia="Calibri"/>
                                <w:color w:val="000000" w:themeColor="text1"/>
                                <w:position w:val="-10"/>
                                <w:szCs w:val="22"/>
                              </w:rPr>
                              <w:object w:dxaOrig="1764" w:dyaOrig="372">
                                <v:shape id="_x0000_i1952" type="#_x0000_t75" style="width:89pt;height:17.8pt" o:ole="">
                                  <v:imagedata r:id="rId239" o:title=""/>
                                </v:shape>
                                <o:OLEObject Type="Embed" ProgID="Equation.3" ShapeID="_x0000_i1952" DrawAspect="Content" ObjectID="_0000000001" r:id="rId240"/>
                              </w:object>
                            </w:r>
                            <w:r>
                              <w:rPr>
                                <w:color w:val="000000" w:themeColor="text1"/>
                              </w:rPr>
                              <w:t>;</w:t>
                            </w:r>
                          </w:p>
                          <w:p>
                            <w:pPr>
                              <w:spacing w:line="276" w:lineRule="auto"/>
                              <w:jc w:val="center"/>
                              <w:rPr>
                                <w:rFonts w:eastAsia="Calibri"/>
                                <w:i/>
                                <w:color w:val="000000" w:themeColor="text1"/>
                                <w:szCs w:val="22"/>
                              </w:rPr>
                            </w:pPr>
                            <w:r>
                              <w:rPr>
                                <w:color w:val="000000" w:themeColor="text1"/>
                              </w:rPr>
                              <w:t>čia:</w:t>
                            </w:r>
                            <w:r>
                              <w:rPr>
                                <w:i/>
                                <w:color w:val="000000" w:themeColor="text1"/>
                              </w:rPr>
                              <w:t xml:space="preserve"> Q</w:t>
                            </w:r>
                            <w:r>
                              <w:rPr>
                                <w:i/>
                                <w:color w:val="000000" w:themeColor="text1"/>
                                <w:vertAlign w:val="superscript"/>
                              </w:rPr>
                              <w:t>I</w:t>
                            </w:r>
                            <w:r>
                              <w:rPr>
                                <w:i/>
                                <w:color w:val="000000" w:themeColor="text1"/>
                                <w:vertAlign w:val="subscript"/>
                              </w:rPr>
                              <w:t xml:space="preserve">H </w:t>
                            </w:r>
                            <w:r>
                              <w:rPr>
                                <w:color w:val="000000" w:themeColor="text1"/>
                              </w:rPr>
                              <w:t xml:space="preserve">ir </w:t>
                            </w:r>
                            <w:r>
                              <w:rPr>
                                <w:i/>
                                <w:color w:val="000000" w:themeColor="text1"/>
                              </w:rPr>
                              <w:t>Q</w:t>
                            </w:r>
                            <w:r>
                              <w:rPr>
                                <w:i/>
                                <w:color w:val="000000" w:themeColor="text1"/>
                                <w:vertAlign w:val="superscript"/>
                              </w:rPr>
                              <w:t>I</w:t>
                            </w:r>
                            <w:r>
                              <w:rPr>
                                <w:i/>
                                <w:color w:val="000000" w:themeColor="text1"/>
                                <w:vertAlign w:val="subscript"/>
                              </w:rPr>
                              <w:t>N.H</w:t>
                            </w:r>
                            <w:r>
                              <w:rPr>
                                <w:color w:val="000000" w:themeColor="text1"/>
                                <w:vertAlign w:val="subscript"/>
                              </w:rPr>
                              <w:t xml:space="preserve"> </w:t>
                            </w:r>
                            <w:r>
                              <w:rPr>
                                <w:color w:val="000000" w:themeColor="text1"/>
                              </w:rPr>
                              <w:t>apskaičiuojami pagal Reglamento 2 priedo (2.581) ir (2.578) formules</w:t>
                            </w:r>
                          </w:p>
                        </w:tc>
                        <w:tc>
                          <w:tcPr>
                            <w:tcW w:w="1683" w:type="dxa"/>
                            <w:tcBorders>
                              <w:top w:val="single" w:sz="4" w:space="0" w:color="auto"/>
                              <w:left w:val="single" w:sz="4" w:space="0" w:color="auto"/>
                              <w:bottom w:val="single" w:sz="4" w:space="0" w:color="auto"/>
                              <w:right w:val="single" w:sz="4" w:space="0" w:color="auto"/>
                            </w:tcBorders>
                          </w:tcPr>
                          <w:p>
                            <w:pPr>
                              <w:spacing w:line="276" w:lineRule="auto"/>
                              <w:jc w:val="both"/>
                              <w:rPr>
                                <w:rFonts w:eastAsia="Calibri"/>
                                <w:color w:val="000000" w:themeColor="text1"/>
                                <w:szCs w:val="22"/>
                              </w:rPr>
                            </w:pPr>
                          </w:p>
                        </w:tc>
                        <w:tc>
                          <w:tcPr>
                            <w:tcW w:w="224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themeColor="text1"/>
                                <w:szCs w:val="22"/>
                              </w:rPr>
                            </w:pPr>
                            <w:r>
                              <w:rPr>
                                <w:rFonts w:eastAsia="Calibri"/>
                                <w:bCs/>
                                <w:color w:val="000000" w:themeColor="text1"/>
                                <w:position w:val="-30"/>
                                <w:szCs w:val="22"/>
                              </w:rPr>
                              <w:object w:dxaOrig="600" w:dyaOrig="660">
                                <v:shape id="_x0000_i1953" type="#_x0000_t75" style="width:29.95pt;height:33.15pt" o:ole="">
                                  <v:imagedata r:id="rId241" o:title=""/>
                                </v:shape>
                                <o:OLEObject Type="Embed" ProgID="Equation.3" ShapeID="_x0000_i1953" DrawAspect="Content" ObjectID="_0000000001" r:id="rId242"/>
                              </w:object>
                            </w:r>
                          </w:p>
                        </w:tc>
                      </w:tr>
                    </w:tbl>
                    <w:p>
                      <w:pPr>
                        <w:rPr>
                          <w:color w:val="000000" w:themeColor="text1"/>
                        </w:rPr>
                      </w:pPr>
                    </w:p>
                  </w:sdtContent>
                </w:sdt>
                <w:sdt>
                  <w:sdtPr>
                    <w:alias w:val="pastraipa"/>
                    <w:tag w:val="part_16d5213abc5d41a684bfba553a76bf01"/>
                    <w:lock w:val="sdtLocked"/>
                    <w:richText/>
                  </w:sdtPr>
                  <w:sdtContent>
                    <w:p>
                      <w:pPr>
                        <w:jc w:val="both"/>
                        <w:rPr>
                          <w:rFonts w:eastAsia="Calibri"/>
                          <w:color w:val="000000" w:themeColor="text1"/>
                          <w:szCs w:val="22"/>
                        </w:rPr>
                      </w:pPr>
                      <w:r>
                        <w:rPr>
                          <w:color w:val="000000" w:themeColor="text1"/>
                        </w:rPr>
                        <w:t>* jei pastato energiniam naudingumui gerinti naudojamos kelios priemonės, jų efektyvumą turi įvertinti specialistas.</w:t>
                      </w:r>
                    </w:p>
                  </w:sdtContent>
                </w:sdt>
              </w:sdtContent>
            </w:sdt>
          </w:sdtContent>
        </w:sdt>
        <w:sdt>
          <w:sdtPr>
            <w:alias w:val="pabaiga"/>
            <w:tag w:val="part_59aa9c44fd764bbcbf901037e5a4bb77"/>
            <w:lock w:val="sdtLocked"/>
            <w:richText/>
          </w:sdtPr>
          <w:sdtContent>
            <w:p>
              <w:pPr>
                <w:jc w:val="center"/>
                <w:rPr>
                  <w:color w:val="000000" w:themeColor="text1"/>
                  <w:szCs w:val="24"/>
                  <w:lang w:eastAsia="lt-LT"/>
                </w:rPr>
              </w:pPr>
              <w:r>
                <w:rPr>
                  <w:color w:val="000000" w:themeColor="text1"/>
                </w:rPr>
                <w:t>___________________________</w:t>
              </w:r>
            </w:p>
          </w:sdtContent>
        </w:sdt>
      </w:sdtContent>
    </w:sdt>
    <w:sdt>
      <w:sdtPr>
        <w:alias w:val="12 pr."/>
        <w:tag w:val="part_80f19d0b25224ae7bf2f7be0db5b4654"/>
        <w:lock w:val="sdtLocked"/>
        <w:richText/>
      </w:sdtPr>
      <w:sdtContent>
        <w:p>
          <w:pPr>
            <w:ind w:left="5245"/>
            <w:rPr>
              <w:color w:val="000000" w:themeColor="text1"/>
            </w:rPr>
            <w:sectPr>
              <w:headerReference w:type="even" r:id="rId243"/>
              <w:headerReference w:type="default" r:id="rId244"/>
              <w:footerReference w:type="even" r:id="rId245"/>
              <w:footerReference w:type="default" r:id="rId246"/>
              <w:headerReference w:type="first" r:id="rId247"/>
              <w:footerReference w:type="first" r:id="rId248"/>
              <w:pgSz w:w="16838" w:h="11906" w:orient="landscape"/>
              <w:pgMar w:top="1701" w:right="709" w:bottom="567" w:left="567" w:header="709" w:footer="709" w:gutter="0"/>
              <w:cols w:space="708"/>
              <w:docGrid w:linePitch="360"/>
            </w:sectPr>
          </w:pPr>
        </w:p>
        <w:p>
          <w:pPr>
            <w:ind w:left="5245"/>
            <w:rPr>
              <w:color w:val="000000" w:themeColor="text1"/>
              <w:szCs w:val="24"/>
            </w:rPr>
          </w:pPr>
          <w:r>
            <w:rPr>
              <w:color w:val="000000" w:themeColor="text1"/>
            </w:rPr>
            <w:t xml:space="preserve">Statybos techninio reglamento </w:t>
          </w:r>
        </w:p>
        <w:p>
          <w:pPr>
            <w:ind w:left="5245"/>
            <w:rPr>
              <w:color w:val="000000" w:themeColor="text1"/>
              <w:szCs w:val="22"/>
            </w:rPr>
          </w:pPr>
          <w:r>
            <w:rPr>
              <w:color w:val="000000" w:themeColor="text1"/>
            </w:rPr>
            <w:t>STR 2.01.02:2016 „Pastatų energinio naudingumo projektavimas ir sertifikavimas“</w:t>
          </w:r>
        </w:p>
        <w:p>
          <w:pPr>
            <w:ind w:left="5245"/>
            <w:rPr>
              <w:color w:val="000000" w:themeColor="text1"/>
              <w:szCs w:val="24"/>
            </w:rPr>
          </w:pPr>
          <w:sdt>
            <w:sdtPr>
              <w:alias w:val="Numeris"/>
              <w:tag w:val="nr_80f19d0b25224ae7bf2f7be0db5b4654"/>
              <w:lock w:val="sdtLocked"/>
              <w:richText/>
            </w:sdtPr>
            <w:sdtContent>
              <w:r>
                <w:rPr>
                  <w:color w:val="000000" w:themeColor="text1"/>
                  <w:szCs w:val="24"/>
                </w:rPr>
                <w:t>12</w:t>
              </w:r>
            </w:sdtContent>
          </w:sdt>
          <w:r>
            <w:rPr>
              <w:color w:val="000000" w:themeColor="text1"/>
              <w:szCs w:val="24"/>
            </w:rPr>
            <w:t xml:space="preserve"> priedas </w:t>
          </w:r>
        </w:p>
        <w:p>
          <w:pPr>
            <w:rPr>
              <w:color w:val="000000" w:themeColor="text1"/>
              <w:szCs w:val="24"/>
            </w:rPr>
          </w:pPr>
        </w:p>
        <w:p>
          <w:pPr>
            <w:keepNext/>
            <w:overflowPunct w:val="0"/>
            <w:jc w:val="center"/>
            <w:outlineLvl w:val="1"/>
            <w:rPr>
              <w:rFonts w:ascii="Times New Roman Bold" w:hAnsi="Times New Roman Bold"/>
              <w:b/>
              <w:caps/>
              <w:color w:val="000000" w:themeColor="text1"/>
              <w:lang w:eastAsia="lt-LT"/>
            </w:rPr>
          </w:pPr>
          <w:sdt>
            <w:sdtPr>
              <w:alias w:val="Pavadinimas"/>
              <w:tag w:val="title_80f19d0b25224ae7bf2f7be0db5b4654"/>
              <w:lock w:val="sdtLocked"/>
              <w:richText/>
            </w:sdtPr>
            <w:sdtContent>
              <w:r>
                <w:rPr>
                  <w:rFonts w:ascii="Times New Roman Bold" w:hAnsi="Times New Roman Bold"/>
                  <w:b/>
                  <w:caps/>
                  <w:color w:val="000000" w:themeColor="text1"/>
                  <w:sz w:val="2"/>
                  <w:szCs w:val="2"/>
                  <w:lang w:eastAsia="lt-LT"/>
                </w:rPr>
                <w:t>12 priedas.</w:t>
              </w:r>
              <w:r>
                <w:rPr>
                  <w:rFonts w:ascii="Times New Roman Bold" w:hAnsi="Times New Roman Bold"/>
                  <w:b/>
                  <w:caps/>
                  <w:color w:val="000000" w:themeColor="text1"/>
                  <w:lang w:eastAsia="lt-LT"/>
                </w:rPr>
                <w:t xml:space="preserve"> (</w:t>
              </w:r>
              <w:r>
                <w:rPr>
                  <w:rFonts w:ascii="Times New Roman Bold" w:hAnsi="Times New Roman Bold"/>
                  <w:b/>
                  <w:color w:val="000000" w:themeColor="text1"/>
                  <w:lang w:eastAsia="lt-LT"/>
                </w:rPr>
                <w:t>Tipinio energinio naudingumo sertifikato forma)</w:t>
              </w:r>
            </w:sdtContent>
          </w:sdt>
        </w:p>
        <w:p>
          <w:pPr>
            <w:rPr>
              <w:color w:val="000000" w:themeColor="text1"/>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8"/>
            <w:gridCol w:w="1197"/>
            <w:gridCol w:w="939"/>
            <w:gridCol w:w="2184"/>
            <w:gridCol w:w="368"/>
            <w:gridCol w:w="2126"/>
          </w:tblGrid>
          <w:tr>
            <w:tc>
              <w:tcPr>
                <w:tcW w:w="9322" w:type="dxa"/>
                <w:gridSpan w:val="6"/>
                <w:tcBorders>
                  <w:top w:val="single" w:sz="4" w:space="0" w:color="auto"/>
                  <w:left w:val="single" w:sz="4" w:space="0" w:color="auto"/>
                  <w:bottom w:val="single" w:sz="4" w:space="0" w:color="auto"/>
                  <w:right w:val="single" w:sz="4" w:space="0" w:color="auto"/>
                </w:tcBorders>
                <w:vAlign w:val="center"/>
              </w:tcPr>
              <w:p>
                <w:pPr>
                  <w:spacing w:line="276" w:lineRule="auto"/>
                  <w:jc w:val="center"/>
                  <w:rPr>
                    <w:rFonts w:eastAsia="Calibri"/>
                    <w:color w:val="000000" w:themeColor="text1"/>
                  </w:rPr>
                </w:pPr>
              </w:p>
              <w:p>
                <w:pPr>
                  <w:spacing w:line="276" w:lineRule="auto"/>
                  <w:jc w:val="center"/>
                  <w:rPr>
                    <w:caps/>
                    <w:color w:val="000000" w:themeColor="text1"/>
                  </w:rPr>
                </w:pPr>
                <w:r>
                  <w:rPr>
                    <w:caps/>
                    <w:color w:val="000000" w:themeColor="text1"/>
                  </w:rPr>
                  <w:t>Pastato energinio naudingumo sertifikatas</w:t>
                </w:r>
              </w:p>
              <w:p>
                <w:pPr>
                  <w:spacing w:line="276" w:lineRule="auto"/>
                  <w:jc w:val="center"/>
                  <w:rPr>
                    <w:color w:val="000000" w:themeColor="text1"/>
                  </w:rPr>
                </w:pPr>
                <w:r>
                  <w:rPr>
                    <w:color w:val="000000" w:themeColor="text1"/>
                  </w:rPr>
                  <w:t>Nr. __________</w:t>
                </w:r>
              </w:p>
              <w:p>
                <w:pPr>
                  <w:spacing w:line="276" w:lineRule="auto"/>
                  <w:jc w:val="center"/>
                  <w:rPr>
                    <w:rFonts w:eastAsia="Calibri"/>
                    <w:color w:val="000000" w:themeColor="text1"/>
                    <w:szCs w:val="22"/>
                  </w:rPr>
                </w:pPr>
              </w:p>
            </w:tc>
          </w:tr>
          <w:tr>
            <w:tc>
              <w:tcPr>
                <w:tcW w:w="9322" w:type="dxa"/>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sz w:val="22"/>
                  </w:rPr>
                  <w:t>Buto unikalus Nr.:</w:t>
                </w:r>
              </w:p>
            </w:tc>
          </w:tr>
          <w:tr>
            <w:tc>
              <w:tcPr>
                <w:tcW w:w="9322" w:type="dxa"/>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sz w:val="22"/>
                  </w:rPr>
                  <w:t>Buto adresas:</w:t>
                </w:r>
              </w:p>
            </w:tc>
          </w:tr>
          <w:tr>
            <w:tc>
              <w:tcPr>
                <w:tcW w:w="9322" w:type="dxa"/>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sz w:val="22"/>
                  </w:rPr>
                  <w:t>Pastato paskirtis:</w:t>
                </w:r>
              </w:p>
            </w:tc>
          </w:tr>
          <w:tr>
            <w:tc>
              <w:tcPr>
                <w:tcW w:w="9322" w:type="dxa"/>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both"/>
                  <w:rPr>
                    <w:rFonts w:eastAsia="Calibri"/>
                    <w:color w:val="000000" w:themeColor="text1"/>
                    <w:szCs w:val="22"/>
                  </w:rPr>
                </w:pPr>
                <w:r>
                  <w:rPr>
                    <w:color w:val="000000" w:themeColor="text1"/>
                    <w:sz w:val="22"/>
                  </w:rPr>
                  <w:t>Buto naudingasis plotas, m</w:t>
                </w:r>
                <w:r>
                  <w:rPr>
                    <w:color w:val="000000" w:themeColor="text1"/>
                    <w:sz w:val="22"/>
                    <w:vertAlign w:val="superscript"/>
                  </w:rPr>
                  <w:t>2</w:t>
                </w:r>
                <w:r>
                  <w:rPr>
                    <w:color w:val="000000" w:themeColor="text1"/>
                    <w:sz w:val="22"/>
                  </w:rPr>
                  <w:t>:</w:t>
                </w:r>
              </w:p>
            </w:tc>
          </w:tr>
          <w:tr>
            <w:trPr>
              <w:cantSplit/>
              <w:trHeight w:val="735"/>
            </w:trPr>
            <w:tc>
              <w:tcPr>
                <w:tcW w:w="6828" w:type="dxa"/>
                <w:gridSpan w:val="4"/>
                <w:vMerge w:val="restart"/>
                <w:tcBorders>
                  <w:top w:val="single" w:sz="4" w:space="0" w:color="auto"/>
                  <w:left w:val="single" w:sz="4" w:space="0" w:color="auto"/>
                  <w:bottom w:val="single" w:sz="4" w:space="0" w:color="auto"/>
                  <w:right w:val="single" w:sz="4" w:space="0" w:color="auto"/>
                </w:tcBorders>
              </w:tcPr>
              <w:p>
                <w:pPr>
                  <w:spacing w:line="276" w:lineRule="auto"/>
                  <w:jc w:val="center"/>
                  <w:rPr>
                    <w:rFonts w:eastAsia="Calibri"/>
                    <w:color w:val="000000" w:themeColor="text1"/>
                    <w:sz w:val="20"/>
                  </w:rPr>
                </w:pPr>
                <w:r>
                  <w:rPr>
                    <w:color w:val="000000" w:themeColor="text1"/>
                    <w:sz w:val="20"/>
                  </w:rPr>
                  <w:t>Pastatų energinio naudingumo klasifikavimas į klases*:</w:t>
                </w:r>
              </w:p>
              <w:p>
                <w:pPr>
                  <w:spacing w:line="276" w:lineRule="auto"/>
                  <w:jc w:val="center"/>
                  <w:rPr>
                    <w:color w:val="000000" w:themeColor="text1"/>
                    <w:szCs w:val="24"/>
                  </w:rPr>
                </w:pPr>
              </w:p>
              <w:p>
                <w:pPr>
                  <w:spacing w:line="276" w:lineRule="auto"/>
                  <w:jc w:val="center"/>
                  <w:rPr>
                    <w:color w:val="000000" w:themeColor="text1"/>
                    <w:szCs w:val="22"/>
                  </w:rPr>
                </w:pPr>
                <w:r>
                  <w:rPr>
                    <w:color w:val="000000" w:themeColor="text1"/>
                    <w:szCs w:val="24"/>
                  </w:rPr>
                  <w:object w:dxaOrig="4152" w:dyaOrig="4704">
                    <v:shape id="_x0000_i1954" type="#_x0000_t75" style="width:207.9pt;height:236.2pt" o:ole="">
                      <v:imagedata r:id="rId249" o:title=""/>
                    </v:shape>
                    <o:OLEObject Type="Embed" ProgID="PBrush" ShapeID="_x0000_i1954" DrawAspect="Content" ObjectID="_0000000001" r:id="rId250"/>
                  </w:object>
                </w:r>
              </w:p>
              <w:p>
                <w:pPr>
                  <w:spacing w:line="276" w:lineRule="auto"/>
                  <w:jc w:val="center"/>
                  <w:rPr>
                    <w:rFonts w:eastAsia="Calibri"/>
                    <w:color w:val="000000" w:themeColor="text1"/>
                    <w:sz w:val="20"/>
                  </w:rPr>
                </w:pPr>
                <w:r>
                  <w:rPr>
                    <w:color w:val="000000" w:themeColor="text1"/>
                    <w:sz w:val="20"/>
                  </w:rPr>
                  <w:t xml:space="preserve">* </w:t>
                </w:r>
                <w:r>
                  <w:rPr>
                    <w:bCs/>
                    <w:color w:val="000000" w:themeColor="text1"/>
                    <w:sz w:val="20"/>
                  </w:rPr>
                  <w:t xml:space="preserve">A++ klasė laikoma aukščiausia, </w:t>
                </w:r>
                <w:r>
                  <w:rPr>
                    <w:color w:val="000000" w:themeColor="text1"/>
                    <w:sz w:val="20"/>
                  </w:rPr>
                  <w:t>nurodo energijos beveik nevartojantį pastatą, G klasė nurodo energiškai neefektyvų pastatą</w:t>
                </w:r>
              </w:p>
            </w:tc>
            <w:tc>
              <w:tcPr>
                <w:tcW w:w="2494"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Nustatyta buto energinio naudingumo klasė:</w:t>
                </w:r>
              </w:p>
            </w:tc>
          </w:tr>
          <w:tr>
            <w:trPr>
              <w:cantSplit/>
              <w:trHeight w:val="5067"/>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themeColor="text1"/>
                    <w:sz w:val="20"/>
                  </w:rPr>
                </w:pPr>
              </w:p>
            </w:tc>
            <w:tc>
              <w:tcPr>
                <w:tcW w:w="249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rFonts w:eastAsia="Calibri"/>
                    <w:color w:val="000000" w:themeColor="text1"/>
                    <w:szCs w:val="24"/>
                  </w:rPr>
                </w:pPr>
              </w:p>
              <w:p>
                <w:pPr>
                  <w:spacing w:line="276" w:lineRule="auto"/>
                  <w:jc w:val="center"/>
                  <w:rPr>
                    <w:color w:val="000000" w:themeColor="text1"/>
                    <w:szCs w:val="22"/>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color w:val="000000" w:themeColor="text1"/>
                  </w:rPr>
                </w:pPr>
              </w:p>
              <w:p>
                <w:pPr>
                  <w:spacing w:line="276" w:lineRule="auto"/>
                  <w:jc w:val="center"/>
                  <w:rPr>
                    <w:rFonts w:eastAsia="Calibri"/>
                    <w:color w:val="000000" w:themeColor="text1"/>
                    <w:szCs w:val="22"/>
                  </w:rPr>
                </w:pPr>
                <w:r>
                  <w:rPr>
                    <w:color w:val="000000" w:themeColor="text1"/>
                    <w:lang w:eastAsia="lt-LT"/>
                  </w:rPr>
                  <mc:AlternateContent>
                    <mc:Choice Requires="wps">
                      <w:drawing>
                        <wp:anchor distT="0" distB="0" distL="114300" distR="114300" simplePos="0" relativeHeight="251664384" behindDoc="0" locked="0" layoutInCell="1" allowOverlap="1">
                          <wp:simplePos x="0" y="0"/>
                          <wp:positionH relativeFrom="column">
                            <wp:posOffset>630555</wp:posOffset>
                          </wp:positionH>
                          <wp:positionV relativeFrom="paragraph">
                            <wp:posOffset>59690</wp:posOffset>
                          </wp:positionV>
                          <wp:extent cx="405765" cy="290195"/>
                          <wp:effectExtent l="19050" t="0" r="13335" b="14605"/>
                          <wp:wrapNone/>
                          <wp:docPr id="3" name="Penk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05765" cy="290195"/>
                                  </a:xfrm>
                                  <a:prstGeom prst="homePlate">
                                    <a:avLst>
                                      <a:gd name="adj" fmla="val 34956"/>
                                    </a:avLst>
                                  </a:prstGeom>
                                  <a:solidFill>
                                    <a:srgbClr val="FFFFFF"/>
                                  </a:solidFill>
                                  <a:ln w="9525">
                                    <a:solidFill>
                                      <a:srgbClr val="000000"/>
                                    </a:solidFill>
                                    <a:miter lim="800000"/>
                                    <a:headEnd/>
                                    <a:tailEnd/>
                                  </a:ln>
                                </wps:spPr>
                                <wps:txbx>
                                  <w:txbxContent>
                                    <w:p>
                                      <w:pPr>
                                        <w:rPr>
                                          <w:rFonts w:ascii="Arial" w:hAnsi="Arial" w:cs="Arial"/>
                                          <w:b/>
                                          <w:sz w:val="32"/>
                                          <w:szCs w:val="32"/>
                                        </w:rPr>
                                      </w:pPr>
                                      <w:r>
                                        <w:rPr>
                                          <w:rFonts w:ascii="Arial" w:hAnsi="Arial" w:cs="Arial"/>
                                          <w:b/>
                                          <w:sz w:val="32"/>
                                          <w:szCs w:val="32"/>
                                        </w:rPr>
                                        <w:t>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kiakampis 3" o:spid="_x0000_s1026" type="#_x0000_t15" style="position:absolute;left:0;text-align:left;margin-left:49.65pt;margin-top:4.7pt;width:31.95pt;height:22.85pt;rotation:18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5D+DSgIAAIkEAAAOAAAAZHJzL2Uyb0RvYy54bWysVNtu2zAMfR+wfxD0vthJ47Qx6hRFuwwD ui1Atw9gJDnWqtskJU729aMUL022t2F+EEjxIvIc0rd3e63ITvggrWnoeFRSIgyzXJpNQ799Xb67 oSREMByUNaKhBxHo3eLtm9ve1WJiO6u48ASTmFD3rqFdjK4uisA6oSGMrBMGja31GiKqflNwDz1m 16qYlOWs6K3nzlsmQsDbx6ORLnL+thUsfmnbICJRDcXaYj59PtfpLBa3UG88uE6yoQz4hyo0SIOP nlI9QgSy9fKvVFoyb4Nt44hZXdi2lUzkHrCbcflHN88dOJF7QXCCO8EU/l9a9nm38kTyhl5RYkAj RSthXiS8gHYykKuEUO9CjY7PbuVTj8E9WfYSiLEPHZiNuPfe9p0AjnWNk39xEZCUgKFk3X+yHB+A bbQZrH3rNfEWSRmXN2X68jWiQvaZosOJIrGPhOHltKyuZxUlDE2TeTmeV/lBqFOuVJzzIX4QVpMk IE5Wi5WCmGCEGnZPIWaa+NAs8O+UtFoh6TtQ5Go6r2ZDxsG5eM2Zm7dK8qVUKit+s35QnmBoQ5f5 G4LDuZsypG/ovJpUuYoLWzhPkTHIQ4mvXrhpGXFPlNQNHZDKk5tQf294liNIdZQxWJmBhoT8kcG4 X+8HMteWH5CQDD1uBe5vhsr/pKTHXWho+LEFLyhRHw2SOh9Pp2l5sjKtrieo+HPL+twChnUWVyxS chQf4nHhts7LTZfYzjAYe4+D0Mr4e2KOVQ1147yjdLFQ53r2ev2DLH4BAAD//wMAUEsDBBQABgAI AAAAIQCZv9Bi3gAAAAcBAAAPAAAAZHJzL2Rvd25yZXYueG1sTI4xb8IwFIT3Sv0P1kPqVhygIJLG QRSJpVUHQoZ2c+LXOBA/R7EJ6b+vmcp0Ot3p7ks3o2nZgL1rLAmYTSNgSJVVDdUCiuP+eQ3MeUlK tpZQwC862GSPD6lMlL3SAYfc1yyMkEukAO19l3DuKo1GuqntkEL2Y3sjfbB9zVUvr2HctHweRStu ZEPhQcsOdxqrc34xAvLv9Vusz7umGD6L8n378eX3JyvE02TcvgLzOPr/MtzwAzpkgam0F1KOtQLi eBGaQV+A3eLVYg6sFLBczoBnKb/nz/4AAAD//wMAUEsBAi0AFAAGAAgAAAAhALaDOJL+AAAA4QEA ABMAAAAAAAAAAAAAAAAAAAAAAFtDb250ZW50X1R5cGVzXS54bWxQSwECLQAUAAYACAAAACEAOP0h /9YAAACUAQAACwAAAAAAAAAAAAAAAAAvAQAAX3JlbHMvLnJlbHNQSwECLQAUAAYACAAAACEAH+Q/ g0oCAACJBAAADgAAAAAAAAAAAAAAAAAuAgAAZHJzL2Uyb0RvYy54bWxQSwECLQAUAAYACAAAACEA mb/QYt4AAAAHAQAADwAAAAAAAAAAAAAAAACkBAAAZHJzL2Rvd25yZXYueG1sUEsFBgAAAAAEAAQA 8wAAAK8FAAAAAA== ">
                          <v:textbox>
                            <w:txbxContent>
                              <w:p>
                                <w:pPr>
                                  <w:rPr>
                                    <w:rFonts w:ascii="Arial" w:hAnsi="Arial" w:cs="Arial"/>
                                    <w:b/>
                                    <w:sz w:val="32"/>
                                    <w:szCs w:val="32"/>
                                  </w:rPr>
                                </w:pPr>
                                <w:r>
                                  <w:rPr>
                                    <w:rFonts w:ascii="Arial" w:hAnsi="Arial" w:cs="Arial"/>
                                    <w:b/>
                                    <w:sz w:val="32"/>
                                    <w:szCs w:val="32"/>
                                  </w:rPr>
                                  <w:t>G</w:t>
                                </w:r>
                              </w:p>
                            </w:txbxContent>
                          </v:textbox>
                        </v:shape>
                      </w:pict>
                    </mc:Fallback>
                  </mc:AlternateContent>
                </w:r>
              </w:p>
            </w:tc>
          </w:tr>
          <w:tr>
            <w:tc>
              <w:tcPr>
                <w:tcW w:w="6828" w:type="dxa"/>
                <w:gridSpan w:val="4"/>
                <w:tcBorders>
                  <w:top w:val="single" w:sz="4" w:space="0" w:color="auto"/>
                  <w:left w:val="single" w:sz="4" w:space="0" w:color="auto"/>
                  <w:bottom w:val="single" w:sz="4" w:space="0" w:color="auto"/>
                  <w:right w:val="single" w:sz="4" w:space="0" w:color="auto"/>
                </w:tcBorders>
                <w:hideMark/>
              </w:tcPr>
              <w:p>
                <w:pPr>
                  <w:spacing w:line="276" w:lineRule="auto"/>
                  <w:jc w:val="right"/>
                  <w:rPr>
                    <w:rFonts w:eastAsia="Calibri"/>
                    <w:color w:val="000000" w:themeColor="text1"/>
                    <w:sz w:val="20"/>
                  </w:rPr>
                </w:pPr>
                <w:r>
                  <w:rPr>
                    <w:color w:val="000000" w:themeColor="text1"/>
                    <w:sz w:val="20"/>
                  </w:rPr>
                  <w:t>Skaičiuojamosios suminės energijos sąnaudos vienam kvadratiniam metrui pastato naudingojo ploto, kWh/(m</w:t>
                </w:r>
                <w:r>
                  <w:rPr>
                    <w:color w:val="000000" w:themeColor="text1"/>
                    <w:sz w:val="20"/>
                    <w:vertAlign w:val="superscript"/>
                  </w:rPr>
                  <w:t>2</w:t>
                </w:r>
                <w:r>
                  <w:rPr>
                    <w:color w:val="000000" w:themeColor="text1"/>
                    <w:sz w:val="20"/>
                  </w:rPr>
                  <w:t xml:space="preserve"> metai)</w:t>
                </w:r>
              </w:p>
            </w:tc>
            <w:tc>
              <w:tcPr>
                <w:tcW w:w="2494" w:type="dxa"/>
                <w:gridSpan w:val="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color w:val="000000" w:themeColor="text1"/>
                    <w:sz w:val="20"/>
                  </w:rPr>
                </w:pPr>
                <w:r>
                  <w:rPr>
                    <w:color w:val="000000" w:themeColor="text1"/>
                    <w:sz w:val="20"/>
                  </w:rPr>
                  <w:t>Nenustatyta</w:t>
                </w:r>
              </w:p>
            </w:tc>
          </w:tr>
          <w:tr>
            <w:tc>
              <w:tcPr>
                <w:tcW w:w="6828" w:type="dxa"/>
                <w:gridSpan w:val="4"/>
                <w:tcBorders>
                  <w:top w:val="single" w:sz="4" w:space="0" w:color="auto"/>
                  <w:left w:val="single" w:sz="4" w:space="0" w:color="auto"/>
                  <w:bottom w:val="single" w:sz="4" w:space="0" w:color="auto"/>
                  <w:right w:val="single" w:sz="4" w:space="0" w:color="auto"/>
                </w:tcBorders>
                <w:hideMark/>
              </w:tcPr>
              <w:p>
                <w:pPr>
                  <w:spacing w:line="276" w:lineRule="auto"/>
                  <w:jc w:val="right"/>
                  <w:rPr>
                    <w:rFonts w:eastAsia="Calibri"/>
                    <w:bCs/>
                    <w:color w:val="000000" w:themeColor="text1"/>
                    <w:sz w:val="20"/>
                  </w:rPr>
                </w:pPr>
                <w:r>
                  <w:rPr>
                    <w:bCs/>
                    <w:color w:val="000000" w:themeColor="text1"/>
                    <w:sz w:val="20"/>
                  </w:rPr>
                  <w:t>Pagrindinis pastato šildymui naudojamas šilumos šaltinis</w:t>
                </w:r>
              </w:p>
            </w:tc>
            <w:tc>
              <w:tcPr>
                <w:tcW w:w="2494" w:type="dxa"/>
                <w:gridSpan w:val="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bCs/>
                    <w:color w:val="000000" w:themeColor="text1"/>
                    <w:sz w:val="20"/>
                  </w:rPr>
                </w:pPr>
                <w:r>
                  <w:rPr>
                    <w:bCs/>
                    <w:color w:val="000000" w:themeColor="text1"/>
                    <w:sz w:val="20"/>
                  </w:rPr>
                  <w:t>Nenustatyta</w:t>
                </w:r>
              </w:p>
            </w:tc>
          </w:tr>
          <w:tr>
            <w:tc>
              <w:tcPr>
                <w:tcW w:w="6828" w:type="dxa"/>
                <w:gridSpan w:val="4"/>
                <w:tcBorders>
                  <w:top w:val="single" w:sz="4" w:space="0" w:color="auto"/>
                  <w:left w:val="single" w:sz="4" w:space="0" w:color="auto"/>
                  <w:bottom w:val="single" w:sz="4" w:space="0" w:color="auto"/>
                  <w:right w:val="single" w:sz="4" w:space="0" w:color="auto"/>
                </w:tcBorders>
                <w:hideMark/>
              </w:tcPr>
              <w:p>
                <w:pPr>
                  <w:spacing w:line="276" w:lineRule="auto"/>
                  <w:jc w:val="right"/>
                  <w:rPr>
                    <w:rFonts w:eastAsia="Calibri"/>
                    <w:bCs/>
                    <w:color w:val="000000" w:themeColor="text1"/>
                    <w:sz w:val="20"/>
                  </w:rPr>
                </w:pPr>
                <w:r>
                  <w:rPr>
                    <w:bCs/>
                    <w:color w:val="000000" w:themeColor="text1"/>
                    <w:sz w:val="20"/>
                  </w:rPr>
                  <w:t>Energijos sąnaudos</w:t>
                </w:r>
                <w:r>
                  <w:rPr>
                    <w:color w:val="000000" w:themeColor="text1"/>
                    <w:sz w:val="20"/>
                  </w:rPr>
                  <w:t xml:space="preserve"> </w:t>
                </w:r>
                <w:r>
                  <w:rPr>
                    <w:bCs/>
                    <w:color w:val="000000" w:themeColor="text1"/>
                    <w:sz w:val="20"/>
                  </w:rPr>
                  <w:t>pastato šildymui (</w:t>
                </w:r>
                <w:r>
                  <w:rPr>
                    <w:color w:val="000000" w:themeColor="text1"/>
                    <w:sz w:val="20"/>
                  </w:rPr>
                  <w:t>vienam kvadratiniam metrui pastato naudingojo ploto per metus), kWh/(m</w:t>
                </w:r>
                <w:r>
                  <w:rPr>
                    <w:color w:val="000000" w:themeColor="text1"/>
                    <w:sz w:val="20"/>
                    <w:vertAlign w:val="superscript"/>
                  </w:rPr>
                  <w:t>2</w:t>
                </w:r>
                <w:r>
                  <w:rPr>
                    <w:color w:val="000000" w:themeColor="text1"/>
                    <w:sz w:val="20"/>
                  </w:rPr>
                  <w:t xml:space="preserve"> metai)</w:t>
                </w:r>
                <w:r>
                  <w:rPr>
                    <w:bCs/>
                    <w:color w:val="000000" w:themeColor="text1"/>
                    <w:sz w:val="20"/>
                  </w:rPr>
                  <w:t xml:space="preserve"> </w:t>
                </w:r>
              </w:p>
            </w:tc>
            <w:tc>
              <w:tcPr>
                <w:tcW w:w="2494" w:type="dxa"/>
                <w:gridSpan w:val="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bCs/>
                    <w:color w:val="000000" w:themeColor="text1"/>
                    <w:sz w:val="20"/>
                  </w:rPr>
                </w:pPr>
                <w:r>
                  <w:rPr>
                    <w:bCs/>
                    <w:color w:val="000000" w:themeColor="text1"/>
                    <w:sz w:val="20"/>
                  </w:rPr>
                  <w:t>Nenustatyta</w:t>
                </w:r>
              </w:p>
            </w:tc>
          </w:tr>
          <w:tr>
            <w:tc>
              <w:tcPr>
                <w:tcW w:w="6828" w:type="dxa"/>
                <w:gridSpan w:val="4"/>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right"/>
                  <w:rPr>
                    <w:rFonts w:eastAsia="Calibri"/>
                    <w:b/>
                    <w:bCs/>
                    <w:color w:val="000000"/>
                    <w:sz w:val="20"/>
                    <w:szCs w:val="18"/>
                    <w:lang w:eastAsia="lt-LT"/>
                  </w:rPr>
                </w:pPr>
                <w:r>
                  <w:rPr>
                    <w:color w:val="000000"/>
                    <w:sz w:val="20"/>
                    <w:szCs w:val="18"/>
                    <w:lang w:eastAsia="lt-LT"/>
                  </w:rPr>
                  <w:t>Nuorodos išsamesnei informacijai gauti apie pastato (jo dalies) ekonomiškai efektyvų energinio naudingumo gerinimą:</w:t>
                </w:r>
              </w:p>
            </w:tc>
            <w:tc>
              <w:tcPr>
                <w:tcW w:w="2494" w:type="dxa"/>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color w:val="000000"/>
                    <w:sz w:val="20"/>
                    <w:szCs w:val="18"/>
                    <w:lang w:eastAsia="lt-LT"/>
                  </w:rPr>
                </w:pPr>
                <w:r>
                  <w:rPr>
                    <w:bCs/>
                    <w:color w:val="000000"/>
                    <w:sz w:val="20"/>
                    <w:szCs w:val="18"/>
                    <w:lang w:eastAsia="lt-LT"/>
                  </w:rPr>
                  <w:t>www.apva.lt</w:t>
                </w:r>
              </w:p>
              <w:p>
                <w:pPr>
                  <w:suppressAutoHyphens/>
                  <w:spacing w:line="276" w:lineRule="auto"/>
                  <w:jc w:val="center"/>
                  <w:rPr>
                    <w:rFonts w:eastAsia="Calibri"/>
                    <w:bCs/>
                    <w:color w:val="000000"/>
                    <w:sz w:val="20"/>
                    <w:szCs w:val="18"/>
                    <w:lang w:eastAsia="lt-LT"/>
                  </w:rPr>
                </w:pPr>
                <w:r>
                  <w:rPr>
                    <w:bCs/>
                    <w:color w:val="000000"/>
                    <w:sz w:val="20"/>
                    <w:szCs w:val="18"/>
                    <w:u w:val="single"/>
                    <w:lang w:eastAsia="lt-LT"/>
                  </w:rPr>
                  <w:t>www.ena.lt</w:t>
                </w:r>
              </w:p>
            </w:tc>
          </w:tr>
          <w:tr>
            <w:tc>
              <w:tcPr>
                <w:tcW w:w="3705"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right"/>
                  <w:rPr>
                    <w:rFonts w:eastAsia="Calibri"/>
                    <w:color w:val="000000" w:themeColor="text1"/>
                    <w:sz w:val="20"/>
                  </w:rPr>
                </w:pPr>
                <w:r>
                  <w:rPr>
                    <w:color w:val="000000" w:themeColor="text1"/>
                    <w:sz w:val="20"/>
                  </w:rPr>
                  <w:t xml:space="preserve">Sertifikato išdavimo data </w:t>
                </w:r>
              </w:p>
            </w:tc>
            <w:tc>
              <w:tcPr>
                <w:tcW w:w="5617" w:type="dxa"/>
                <w:gridSpan w:val="4"/>
                <w:tcBorders>
                  <w:top w:val="single" w:sz="4" w:space="0" w:color="auto"/>
                  <w:left w:val="single" w:sz="4" w:space="0" w:color="auto"/>
                  <w:bottom w:val="single" w:sz="4" w:space="0" w:color="auto"/>
                  <w:right w:val="single" w:sz="4" w:space="0" w:color="auto"/>
                </w:tcBorders>
                <w:vAlign w:val="center"/>
              </w:tcPr>
              <w:p>
                <w:pPr>
                  <w:spacing w:line="276" w:lineRule="auto"/>
                  <w:jc w:val="both"/>
                  <w:rPr>
                    <w:rFonts w:eastAsia="Calibri"/>
                    <w:color w:val="000000" w:themeColor="text1"/>
                    <w:sz w:val="20"/>
                  </w:rPr>
                </w:pPr>
              </w:p>
            </w:tc>
          </w:tr>
          <w:tr>
            <w:tc>
              <w:tcPr>
                <w:tcW w:w="3705"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right"/>
                  <w:rPr>
                    <w:rFonts w:eastAsia="Calibri"/>
                    <w:color w:val="000000" w:themeColor="text1"/>
                    <w:sz w:val="20"/>
                  </w:rPr>
                </w:pPr>
                <w:r>
                  <w:rPr>
                    <w:color w:val="000000" w:themeColor="text1"/>
                    <w:sz w:val="20"/>
                  </w:rPr>
                  <w:t xml:space="preserve">Sertifikato galiojimo terminas </w:t>
                </w:r>
              </w:p>
            </w:tc>
            <w:tc>
              <w:tcPr>
                <w:tcW w:w="5617" w:type="dxa"/>
                <w:gridSpan w:val="4"/>
                <w:tcBorders>
                  <w:top w:val="single" w:sz="4" w:space="0" w:color="auto"/>
                  <w:left w:val="single" w:sz="4" w:space="0" w:color="auto"/>
                  <w:bottom w:val="single" w:sz="4" w:space="0" w:color="auto"/>
                  <w:right w:val="single" w:sz="4" w:space="0" w:color="auto"/>
                </w:tcBorders>
                <w:vAlign w:val="center"/>
              </w:tcPr>
              <w:p>
                <w:pPr>
                  <w:spacing w:line="276" w:lineRule="auto"/>
                  <w:jc w:val="both"/>
                  <w:rPr>
                    <w:rFonts w:eastAsia="Calibri"/>
                    <w:color w:val="000000" w:themeColor="text1"/>
                    <w:sz w:val="20"/>
                  </w:rPr>
                </w:pPr>
              </w:p>
            </w:tc>
          </w:tr>
          <w:tr>
            <w:trPr>
              <w:trHeight w:val="844"/>
            </w:trPr>
            <w:tc>
              <w:tcPr>
                <w:tcW w:w="250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Sertifikatą išdavė</w:t>
                </w:r>
              </w:p>
              <w:p>
                <w:pPr>
                  <w:spacing w:line="276" w:lineRule="auto"/>
                  <w:jc w:val="center"/>
                  <w:rPr>
                    <w:rFonts w:eastAsia="Calibri"/>
                    <w:color w:val="000000" w:themeColor="text1"/>
                    <w:sz w:val="20"/>
                  </w:rPr>
                </w:pPr>
                <w:r>
                  <w:rPr>
                    <w:color w:val="000000" w:themeColor="text1"/>
                    <w:sz w:val="20"/>
                  </w:rPr>
                  <w:t>ekspertas</w:t>
                </w:r>
              </w:p>
            </w:tc>
            <w:tc>
              <w:tcPr>
                <w:tcW w:w="2136"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________________</w:t>
                </w:r>
              </w:p>
              <w:p>
                <w:pPr>
                  <w:spacing w:line="276" w:lineRule="auto"/>
                  <w:jc w:val="center"/>
                  <w:rPr>
                    <w:rFonts w:eastAsia="Calibri"/>
                    <w:color w:val="000000" w:themeColor="text1"/>
                    <w:sz w:val="20"/>
                  </w:rPr>
                </w:pPr>
                <w:r>
                  <w:rPr>
                    <w:color w:val="000000" w:themeColor="text1"/>
                    <w:sz w:val="20"/>
                  </w:rPr>
                  <w:t>parašas</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_______________</w:t>
                </w:r>
              </w:p>
              <w:p>
                <w:pPr>
                  <w:spacing w:line="276" w:lineRule="auto"/>
                  <w:jc w:val="center"/>
                  <w:rPr>
                    <w:rFonts w:eastAsia="Calibri"/>
                    <w:color w:val="000000" w:themeColor="text1"/>
                    <w:sz w:val="20"/>
                  </w:rPr>
                </w:pPr>
                <w:r>
                  <w:rPr>
                    <w:color w:val="000000" w:themeColor="text1"/>
                    <w:sz w:val="20"/>
                  </w:rPr>
                  <w:t xml:space="preserve">vardas, pavardė </w:t>
                </w:r>
              </w:p>
            </w:tc>
            <w:tc>
              <w:tcPr>
                <w:tcW w:w="212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___________</w:t>
                </w:r>
              </w:p>
              <w:p>
                <w:pPr>
                  <w:spacing w:line="276" w:lineRule="auto"/>
                  <w:jc w:val="center"/>
                  <w:rPr>
                    <w:rFonts w:eastAsia="Calibri"/>
                    <w:color w:val="000000" w:themeColor="text1"/>
                    <w:sz w:val="20"/>
                  </w:rPr>
                </w:pPr>
                <w:r>
                  <w:rPr>
                    <w:color w:val="000000" w:themeColor="text1"/>
                    <w:sz w:val="20"/>
                  </w:rPr>
                  <w:t>atestato numeris</w:t>
                </w:r>
              </w:p>
            </w:tc>
          </w:tr>
          <w:tr>
            <w:trPr>
              <w:trHeight w:val="274"/>
            </w:trPr>
            <w:tc>
              <w:tcPr>
                <w:tcW w:w="9322" w:type="dxa"/>
                <w:gridSpan w:val="6"/>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color w:val="000000" w:themeColor="text1"/>
                    <w:sz w:val="20"/>
                  </w:rPr>
                </w:pPr>
                <w:r>
                  <w:rPr>
                    <w:color w:val="000000" w:themeColor="text1"/>
                    <w:sz w:val="20"/>
                  </w:rPr>
                  <w:t>Šis buto energinio naudingumo sertifikatas išduotas vadovaujantis tipiniu sertifikatu, neatlikus skaičiavimų ir butui priskiriant žemiausią energinio naudingumo klasę.</w:t>
                </w:r>
              </w:p>
            </w:tc>
          </w:tr>
        </w:tbl>
        <w:sdt>
          <w:sdtPr>
            <w:alias w:val="pabaiga"/>
            <w:tag w:val="part_af216b8c3d2144148efe77e9cee2986a"/>
            <w:lock w:val="sdtLocked"/>
            <w:richText/>
          </w:sdtPr>
          <w:sdtContent>
            <w:p>
              <w:pPr>
                <w:jc w:val="center"/>
              </w:pPr>
              <w: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sdt>
      <w:sdtPr>
        <w:alias w:val="13 pr."/>
        <w:tag w:val="part_5495460874ac460facc083e2cd73a931"/>
        <w:lock w:val="sdtLocked"/>
        <w:richText/>
      </w:sdtPr>
      <w:sdtContent>
        <w:p>
          <w:pPr>
            <w:suppressAutoHyphens/>
            <w:ind w:left="5245"/>
            <w:sectPr>
              <w:pgSz w:w="11906" w:h="16838"/>
              <w:pgMar w:top="709" w:right="567" w:bottom="567" w:left="1701" w:header="709" w:footer="709" w:gutter="0"/>
              <w:pgNumType w:start="1"/>
              <w:cols w:space="708"/>
              <w:titlePg/>
              <w:docGrid w:linePitch="360"/>
            </w:sectPr>
          </w:pPr>
        </w:p>
        <w:p>
          <w:pPr>
            <w:suppressAutoHyphens/>
            <w:ind w:left="5245"/>
            <w:rPr>
              <w:color w:val="000000"/>
              <w:lang w:eastAsia="lt-LT"/>
            </w:rPr>
          </w:pPr>
          <w:r>
            <w:rPr>
              <w:color w:val="000000"/>
              <w:lang w:eastAsia="lt-LT"/>
            </w:rPr>
            <w:t>Statybos techninio STR 2.01.02:2016 „Pastatų energinio naudingumo projektavimas ir sertifikavimas“</w:t>
          </w:r>
        </w:p>
        <w:p>
          <w:pPr>
            <w:suppressAutoHyphens/>
            <w:ind w:left="5245"/>
            <w:rPr>
              <w:color w:val="000000"/>
              <w:lang w:eastAsia="lt-LT"/>
            </w:rPr>
          </w:pPr>
          <w:sdt>
            <w:sdtPr>
              <w:alias w:val="Numeris"/>
              <w:tag w:val="nr_5495460874ac460facc083e2cd73a931"/>
              <w:lock w:val="sdtLocked"/>
              <w:richText/>
            </w:sdtPr>
            <w:sdtContent>
              <w:r>
                <w:rPr>
                  <w:color w:val="000000"/>
                  <w:lang w:eastAsia="lt-LT"/>
                </w:rPr>
                <w:t>13</w:t>
              </w:r>
            </w:sdtContent>
          </w:sdt>
          <w:r>
            <w:rPr>
              <w:color w:val="000000"/>
              <w:lang w:eastAsia="lt-LT"/>
            </w:rPr>
            <w:t xml:space="preserve"> priedas</w:t>
          </w:r>
        </w:p>
        <w:p>
          <w:pPr>
            <w:suppressAutoHyphens/>
            <w:ind w:left="3240" w:firstLine="1296"/>
            <w:rPr>
              <w:color w:val="000000"/>
              <w:lang w:eastAsia="lt-LT"/>
            </w:rPr>
          </w:pPr>
        </w:p>
        <w:p>
          <w:pPr>
            <w:suppressAutoHyphens/>
            <w:jc w:val="center"/>
            <w:rPr>
              <w:color w:val="000000"/>
              <w:sz w:val="10"/>
              <w:szCs w:val="10"/>
            </w:rPr>
          </w:pPr>
          <w:sdt>
            <w:sdtPr>
              <w:alias w:val="Pavadinimas"/>
              <w:tag w:val="title_5495460874ac460facc083e2cd73a931"/>
              <w:lock w:val="sdtLocked"/>
              <w:richText/>
            </w:sdtPr>
            <w:sdtContent>
              <w:r>
                <w:rPr>
                  <w:rFonts w:ascii="Times New Roman Bold" w:hAnsi="Times New Roman Bold"/>
                  <w:caps/>
                  <w:color w:val="000000"/>
                  <w:lang w:eastAsia="lt-LT"/>
                </w:rPr>
                <w:t>Pastato šildymo sistemos šilumos šaltinio projektinė galia</w:t>
              </w:r>
            </w:sdtContent>
          </w:sdt>
        </w:p>
        <w:p>
          <w:pPr>
            <w:suppressAutoHyphens/>
            <w:rPr>
              <w:color w:val="000000"/>
              <w:lang w:eastAsia="lt-LT"/>
            </w:rPr>
          </w:pPr>
        </w:p>
        <w:sdt>
          <w:sdtPr>
            <w:alias w:val="13 pr. 1 p."/>
            <w:tag w:val="part_b29b7c2325524c5bb210cc6e621fdd5f"/>
            <w:lock w:val="sdtLocked"/>
            <w:richText/>
          </w:sdtPr>
          <w:sdtContent>
            <w:p>
              <w:pPr>
                <w:keepNext/>
                <w:tabs>
                  <w:tab w:val="left" w:pos="565"/>
                </w:tabs>
                <w:suppressAutoHyphens/>
                <w:overflowPunct w:val="0"/>
                <w:ind w:firstLine="567"/>
                <w:jc w:val="both"/>
                <w:outlineLvl w:val="1"/>
                <w:rPr>
                  <w:color w:val="000000"/>
                  <w:szCs w:val="24"/>
                  <w:lang w:eastAsia="lt-LT"/>
                </w:rPr>
              </w:pPr>
              <w:sdt>
                <w:sdtPr>
                  <w:alias w:val="Numeris"/>
                  <w:tag w:val="nr_b29b7c2325524c5bb210cc6e621fdd5f"/>
                  <w:lock w:val="sdtLocked"/>
                  <w:richText/>
                </w:sdtPr>
                <w:sdtContent>
                  <w:r>
                    <w:rPr>
                      <w:color w:val="000000"/>
                      <w:szCs w:val="24"/>
                      <w:lang w:eastAsia="lt-LT"/>
                    </w:rPr>
                    <w:t>1</w:t>
                  </w:r>
                </w:sdtContent>
              </w:sdt>
              <w:r>
                <w:rPr>
                  <w:color w:val="000000"/>
                  <w:szCs w:val="24"/>
                  <w:lang w:eastAsia="lt-LT"/>
                </w:rPr>
                <w:t>. Pastatui (jo daliai) šildyti reikalinga šilumos šaltinio projektinė galia </w:t>
              </w:r>
              <w:r>
                <w:rPr>
                  <w:i/>
                  <w:iCs/>
                  <w:color w:val="000000"/>
                  <w:szCs w:val="24"/>
                  <w:lang w:eastAsia="lt-LT"/>
                </w:rPr>
                <w:t>P</w:t>
              </w:r>
              <w:r>
                <w:rPr>
                  <w:i/>
                  <w:iCs/>
                  <w:color w:val="000000"/>
                  <w:szCs w:val="24"/>
                  <w:vertAlign w:val="subscript"/>
                  <w:lang w:eastAsia="lt-LT"/>
                </w:rPr>
                <w:t>H</w:t>
              </w:r>
              <w:r>
                <w:rPr>
                  <w:color w:val="000000"/>
                  <w:szCs w:val="24"/>
                  <w:lang w:eastAsia="lt-LT"/>
                </w:rPr>
                <w:t>, W, skaičiuojama nevertinant šilumos pritekėjimų į patalpas. Ši galia skaičiuojama taip:</w:t>
              </w:r>
            </w:p>
            <w:p>
              <w:pPr>
                <w:suppressAutoHyphens/>
                <w:ind w:firstLine="720"/>
                <w:rPr>
                  <w:color w:val="000000"/>
                  <w:szCs w:val="24"/>
                  <w:lang w:eastAsia="lt-LT"/>
                </w:rPr>
              </w:pPr>
            </w:p>
            <w:p>
              <w:pPr>
                <w:tabs>
                  <w:tab w:val="left" w:pos="8616"/>
                </w:tabs>
                <w:suppressAutoHyphens/>
                <w:spacing w:line="276" w:lineRule="auto"/>
                <w:ind w:left="108"/>
                <w:rPr>
                  <w:rFonts w:eastAsia="Calibri"/>
                  <w:color w:val="000000"/>
                  <w:szCs w:val="24"/>
                  <w:lang w:eastAsia="lt-LT"/>
                </w:rPr>
              </w:pPr>
              <w:r>
                <w:rPr>
                  <w:i/>
                  <w:position w:val="-32"/>
                  <w:szCs w:val="24"/>
                  <w:lang w:eastAsia="lt-LT"/>
                </w:rPr>
                <w:object w:dxaOrig="5976" w:dyaOrig="1056">
                  <v:shape id="_x0000_i1955" type="#_x0000_t75" style="width:297.7pt;height:54.2pt" o:ole="">
                    <v:imagedata r:id="rId269" o:title=""/>
                  </v:shape>
                  <o:OLEObject Type="Embed" ProgID="Equation.3" ShapeID="_x0000_i1955" DrawAspect="Content" ObjectID="_0000000001" r:id="rId270"/>
                </w:object>
              </w:r>
              <w:r>
                <w:rPr>
                  <w:color w:val="000000"/>
                  <w:szCs w:val="24"/>
                  <w:lang w:eastAsia="lt-LT"/>
                </w:rPr>
                <w:t>;</w:t>
              </w:r>
              <w:r>
                <w:rPr>
                  <w:rFonts w:eastAsia="Calibri"/>
                  <w:color w:val="000000"/>
                  <w:szCs w:val="24"/>
                  <w:lang w:eastAsia="lt-LT"/>
                </w:rPr>
                <w:tab/>
              </w:r>
              <w:r>
                <w:rPr>
                  <w:color w:val="000000"/>
                  <w:szCs w:val="24"/>
                  <w:lang w:eastAsia="lt-LT"/>
                </w:rPr>
                <w:t>(13.1)</w:t>
              </w:r>
            </w:p>
            <w:p>
              <w:pPr>
                <w:tabs>
                  <w:tab w:val="left" w:pos="567"/>
                </w:tabs>
                <w:suppressAutoHyphens/>
                <w:jc w:val="both"/>
                <w:rPr>
                  <w:szCs w:val="24"/>
                  <w:lang w:eastAsia="lt-LT"/>
                </w:rPr>
              </w:pPr>
            </w:p>
            <w:p>
              <w:pPr>
                <w:tabs>
                  <w:tab w:val="left" w:pos="567"/>
                </w:tabs>
                <w:suppressAutoHyphens/>
                <w:jc w:val="both"/>
                <w:rPr>
                  <w:szCs w:val="24"/>
                  <w:lang w:eastAsia="lt-LT"/>
                </w:rPr>
              </w:pPr>
              <w:r>
                <w:rPr>
                  <w:szCs w:val="24"/>
                  <w:lang w:eastAsia="lt-LT"/>
                </w:rPr>
                <w:t>čia:</w:t>
                <w:tab/>
              </w:r>
              <w:r>
                <w:rPr>
                  <w:i/>
                  <w:szCs w:val="24"/>
                  <w:lang w:eastAsia="lt-LT"/>
                </w:rPr>
                <w:t>H</w:t>
              </w:r>
              <w:r>
                <w:rPr>
                  <w:i/>
                  <w:szCs w:val="24"/>
                  <w:vertAlign w:val="subscript"/>
                  <w:lang w:eastAsia="lt-LT"/>
                </w:rPr>
                <w:t>H.p,m,z</w:t>
              </w:r>
              <w:r>
                <w:rPr>
                  <w:szCs w:val="24"/>
                  <w:lang w:eastAsia="lt-LT"/>
                </w:rPr>
                <w:t xml:space="preserve"> - sausio mėnesio (m=1) atitinkamos pastato zonos „z“ skaičiuojamieji savitieji šilumos nuostoliai (W/K). Apskaičiuojami pagal Reglamento 2 priedo (2.118) formulę, kurios nario </w:t>
              </w:r>
              <w:r>
                <w:rPr>
                  <w:i/>
                  <w:szCs w:val="24"/>
                  <w:lang w:eastAsia="lt-LT"/>
                </w:rPr>
                <w:t>Q</w:t>
              </w:r>
              <w:r>
                <w:rPr>
                  <w:i/>
                  <w:szCs w:val="24"/>
                  <w:vertAlign w:val="subscript"/>
                  <w:lang w:eastAsia="lt-LT"/>
                </w:rPr>
                <w:t>H.vent,m</w:t>
              </w:r>
              <w:r>
                <w:rPr>
                  <w:szCs w:val="24"/>
                  <w:lang w:eastAsia="lt-LT"/>
                </w:rPr>
                <w:t xml:space="preserve"> skaičiavimuose turi būti priimta, kad išorės oro kiekis 1 m</w:t>
              </w:r>
              <w:r>
                <w:rPr>
                  <w:szCs w:val="24"/>
                  <w:vertAlign w:val="superscript"/>
                  <w:lang w:eastAsia="lt-LT"/>
                </w:rPr>
                <w:t>2</w:t>
              </w:r>
              <w:r>
                <w:rPr>
                  <w:szCs w:val="24"/>
                  <w:lang w:eastAsia="lt-LT"/>
                </w:rPr>
                <w:t xml:space="preserve"> pastato zonos „z“ vėdinimui </w:t>
              </w:r>
              <w:r>
                <w:rPr>
                  <w:i/>
                  <w:szCs w:val="24"/>
                  <w:lang w:eastAsia="lt-LT"/>
                </w:rPr>
                <w:t>v</w:t>
              </w:r>
              <w:r>
                <w:rPr>
                  <w:i/>
                  <w:szCs w:val="24"/>
                  <w:vertAlign w:val="subscript"/>
                  <w:lang w:eastAsia="lt-LT"/>
                </w:rPr>
                <w:t>o</w:t>
              </w:r>
              <w:r>
                <w:rPr>
                  <w:szCs w:val="24"/>
                  <w:lang w:eastAsia="lt-LT"/>
                </w:rPr>
                <w:t xml:space="preserve"> (m</w:t>
              </w:r>
              <w:r>
                <w:rPr>
                  <w:szCs w:val="24"/>
                  <w:vertAlign w:val="superscript"/>
                  <w:lang w:eastAsia="lt-LT"/>
                </w:rPr>
                <w:t>3</w:t>
              </w:r>
              <w:r>
                <w:rPr>
                  <w:szCs w:val="24"/>
                  <w:lang w:eastAsia="lt-LT"/>
                </w:rPr>
                <w:t>/(m</w:t>
              </w:r>
              <w:r>
                <w:rPr>
                  <w:szCs w:val="24"/>
                  <w:vertAlign w:val="superscript"/>
                  <w:lang w:eastAsia="lt-LT"/>
                </w:rPr>
                <w:t>2</w:t>
              </w:r>
              <w:r>
                <w:rPr>
                  <w:szCs w:val="24"/>
                  <w:lang w:eastAsia="lt-LT"/>
                </w:rPr>
                <w:t>·h)) atitinka apskaičiuotam pagal (13.3) formulę;</w:t>
              </w:r>
            </w:p>
            <w:p>
              <w:pPr>
                <w:suppressAutoHyphens/>
                <w:ind w:firstLine="567"/>
                <w:jc w:val="both"/>
                <w:rPr>
                  <w:i/>
                  <w:szCs w:val="24"/>
                  <w:lang w:eastAsia="lt-LT"/>
                </w:rPr>
              </w:pPr>
              <w:r>
                <w:rPr>
                  <w:i/>
                  <w:szCs w:val="24"/>
                  <w:lang w:eastAsia="lt-LT"/>
                </w:rPr>
                <w:t>k</w:t>
              </w:r>
              <w:r>
                <w:rPr>
                  <w:i/>
                  <w:szCs w:val="24"/>
                  <w:vertAlign w:val="subscript"/>
                  <w:lang w:eastAsia="lt-LT"/>
                </w:rPr>
                <w:t>H,z</w:t>
              </w:r>
              <w:r>
                <w:rPr>
                  <w:szCs w:val="24"/>
                  <w:lang w:eastAsia="lt-LT"/>
                </w:rPr>
                <w:t xml:space="preserve"> – šiluminės galios pataisos koeficientas dėl šildomų patalpų aukščio atitinkamai pastato zonai „z“. Kada šildomos patalpos aukštis neviršija 5 m, imama </w:t>
              </w:r>
              <w:r>
                <w:rPr>
                  <w:i/>
                  <w:szCs w:val="24"/>
                  <w:lang w:eastAsia="lt-LT"/>
                </w:rPr>
                <w:t>k</w:t>
              </w:r>
              <w:r>
                <w:rPr>
                  <w:i/>
                  <w:szCs w:val="24"/>
                  <w:vertAlign w:val="subscript"/>
                  <w:lang w:eastAsia="lt-LT"/>
                </w:rPr>
                <w:t>H,z</w:t>
              </w:r>
              <w:r>
                <w:rPr>
                  <w:szCs w:val="24"/>
                  <w:lang w:eastAsia="lt-LT"/>
                </w:rPr>
                <w:t xml:space="preserve"> =1, kitais atvejais imama iš 13.4 lentelės;</w:t>
              </w:r>
            </w:p>
            <w:p>
              <w:pPr>
                <w:suppressAutoHyphens/>
                <w:ind w:firstLine="567"/>
                <w:jc w:val="both"/>
                <w:rPr>
                  <w:szCs w:val="24"/>
                  <w:lang w:eastAsia="lt-LT"/>
                </w:rPr>
              </w:pPr>
              <w:r>
                <w:rPr>
                  <w:i/>
                  <w:szCs w:val="24"/>
                  <w:lang w:eastAsia="lt-LT"/>
                </w:rPr>
                <w:t>A</w:t>
              </w:r>
              <w:r>
                <w:rPr>
                  <w:i/>
                  <w:szCs w:val="24"/>
                  <w:vertAlign w:val="subscript"/>
                  <w:lang w:eastAsia="lt-LT"/>
                </w:rPr>
                <w:t>z</w:t>
              </w:r>
              <w:r>
                <w:rPr>
                  <w:szCs w:val="24"/>
                  <w:lang w:eastAsia="lt-LT"/>
                </w:rPr>
                <w:t xml:space="preserve"> – atitinkamos pastato zonos „z“ šildomas plotas (m²);</w:t>
              </w:r>
            </w:p>
            <w:p>
              <w:pPr>
                <w:suppressAutoHyphens/>
                <w:ind w:firstLine="567"/>
                <w:jc w:val="both"/>
                <w:rPr>
                  <w:szCs w:val="24"/>
                  <w:lang w:eastAsia="lt-LT"/>
                </w:rPr>
              </w:pPr>
              <w:r>
                <w:rPr>
                  <w:i/>
                  <w:szCs w:val="24"/>
                  <w:lang w:eastAsia="lt-LT"/>
                </w:rPr>
                <w:t>θ</w:t>
              </w:r>
              <w:r>
                <w:rPr>
                  <w:i/>
                  <w:szCs w:val="24"/>
                  <w:vertAlign w:val="subscript"/>
                  <w:lang w:eastAsia="lt-LT"/>
                </w:rPr>
                <w:t>iH,z</w:t>
              </w:r>
              <w:r>
                <w:rPr>
                  <w:szCs w:val="24"/>
                  <w:lang w:eastAsia="lt-LT"/>
                </w:rPr>
                <w:t xml:space="preserve"> – atitinkamos pastato zonos „z“ šildomų patalpų temperatūra šildymo sezono metu (°C). Imama iš pastato projekto, o </w:t>
              </w:r>
              <w:r>
                <w:rPr>
                  <w:bCs/>
                  <w:szCs w:val="24"/>
                  <w:lang w:eastAsia="lt-LT"/>
                </w:rPr>
                <w:t>jei nėra</w:t>
              </w:r>
              <w:r>
                <w:rPr>
                  <w:szCs w:val="24"/>
                  <w:lang w:eastAsia="lt-LT"/>
                </w:rPr>
                <w:t xml:space="preserve"> duomenų, imama iš Reglamento 2 priedo 2.4 lentelės;</w:t>
              </w:r>
            </w:p>
            <w:p>
              <w:pPr>
                <w:suppressAutoHyphens/>
                <w:ind w:firstLine="567"/>
                <w:jc w:val="both"/>
                <w:rPr>
                  <w:szCs w:val="24"/>
                  <w:lang w:eastAsia="lt-LT"/>
                </w:rPr>
              </w:pPr>
              <w:r>
                <w:rPr>
                  <w:i/>
                  <w:szCs w:val="24"/>
                  <w:lang w:eastAsia="lt-LT"/>
                </w:rPr>
                <w:t>θ</w:t>
              </w:r>
              <w:r>
                <w:rPr>
                  <w:i/>
                  <w:szCs w:val="24"/>
                  <w:vertAlign w:val="subscript"/>
                  <w:lang w:eastAsia="lt-LT"/>
                </w:rPr>
                <w:t>e.ds</w:t>
              </w:r>
              <w:r>
                <w:rPr>
                  <w:szCs w:val="24"/>
                  <w:lang w:eastAsia="lt-LT"/>
                </w:rPr>
                <w:t xml:space="preserve"> – projektinė išorės temperatūra šilumos šaltinio galiai skaičiuoti, °C. Imama iš 13.1 lentelės;</w:t>
              </w:r>
            </w:p>
            <w:p>
              <w:pPr>
                <w:suppressAutoHyphens/>
                <w:ind w:firstLine="567"/>
                <w:jc w:val="both"/>
                <w:rPr>
                  <w:szCs w:val="24"/>
                  <w:lang w:eastAsia="lt-LT"/>
                </w:rPr>
              </w:pPr>
              <w:r>
                <w:rPr>
                  <w:i/>
                  <w:szCs w:val="24"/>
                </w:rPr>
                <w:t>k</w:t>
              </w:r>
              <w:r>
                <w:rPr>
                  <w:i/>
                  <w:szCs w:val="24"/>
                  <w:vertAlign w:val="subscript"/>
                </w:rPr>
                <w:t>RH,z</w:t>
              </w:r>
              <w:r>
                <w:rPr>
                  <w:szCs w:val="24"/>
                </w:rPr>
                <w:t xml:space="preserve"> – šiluminės galios priedas atitinkamai pastato zonai „z“ (W/m²). Jeigu atitinkamoje pastato zonoje „z“ temperatūra nekeičiama, imamas </w:t>
              </w:r>
              <w:r>
                <w:rPr>
                  <w:i/>
                  <w:szCs w:val="24"/>
                </w:rPr>
                <w:t>k</w:t>
              </w:r>
              <w:r>
                <w:rPr>
                  <w:i/>
                  <w:szCs w:val="24"/>
                  <w:vertAlign w:val="subscript"/>
                </w:rPr>
                <w:t>RH,z</w:t>
              </w:r>
              <w:r>
                <w:rPr>
                  <w:szCs w:val="24"/>
                </w:rPr>
                <w:t xml:space="preserve"> =0, jeigu temperatūra keičiama ir yra žinomas temperatūros keitimo pobūdis, imamas iš 13.2 arba 13.3 lentelės</w:t>
              </w:r>
              <w:r>
                <w:rPr>
                  <w:szCs w:val="24"/>
                  <w:lang w:eastAsia="lt-LT"/>
                </w:rPr>
                <w:t>.</w:t>
              </w:r>
            </w:p>
            <w:p>
              <w:pPr>
                <w:suppressAutoHyphens/>
                <w:ind w:firstLine="567"/>
                <w:jc w:val="both"/>
                <w:rPr>
                  <w:szCs w:val="24"/>
                  <w:lang w:eastAsia="lt-LT"/>
                </w:rPr>
              </w:pPr>
              <w:r>
                <w:rPr>
                  <w:i/>
                  <w:szCs w:val="24"/>
                  <w:lang w:eastAsia="lt-LT"/>
                </w:rPr>
                <w:t>P</w:t>
              </w:r>
              <w:r>
                <w:rPr>
                  <w:i/>
                  <w:szCs w:val="24"/>
                  <w:vertAlign w:val="subscript"/>
                  <w:lang w:eastAsia="lt-LT"/>
                </w:rPr>
                <w:t>hw</w:t>
              </w:r>
              <w:r>
                <w:rPr>
                  <w:i/>
                  <w:szCs w:val="24"/>
                  <w:lang w:eastAsia="lt-LT"/>
                </w:rPr>
                <w:t xml:space="preserve"> </w:t>
              </w:r>
              <w:r>
                <w:rPr>
                  <w:szCs w:val="24"/>
                  <w:lang w:eastAsia="lt-LT"/>
                </w:rPr>
                <w:t>– projektinė šilumos šaltinio galia karštam buitiniam vandeniui ruošti (W). Apskaičiuojama pagal karšto buitinio vandens ruošimo sistemų projektavimą reglamentuojančių teisės aktų reikalavimus [3.5].</w:t>
              </w:r>
            </w:p>
            <w:p>
              <w:pPr>
                <w:suppressAutoHyphens/>
                <w:spacing w:line="276" w:lineRule="auto"/>
                <w:jc w:val="center"/>
                <w:rPr>
                  <w:i/>
                  <w:color w:val="000000"/>
                  <w:szCs w:val="24"/>
                  <w:lang w:eastAsia="lt-LT"/>
                </w:rPr>
              </w:pPr>
            </w:p>
            <w:p>
              <w:pPr>
                <w:tabs>
                  <w:tab w:val="left" w:pos="8616"/>
                </w:tabs>
                <w:suppressAutoHyphens/>
                <w:spacing w:line="276" w:lineRule="auto"/>
                <w:ind w:left="2552"/>
                <w:rPr>
                  <w:rFonts w:eastAsia="Calibri"/>
                  <w:color w:val="000000"/>
                  <w:szCs w:val="24"/>
                  <w:lang w:eastAsia="lt-LT"/>
                </w:rPr>
              </w:pPr>
              <w:r>
                <w:rPr>
                  <w:i/>
                  <w:position w:val="-32"/>
                  <w:szCs w:val="24"/>
                  <w:lang w:eastAsia="lt-LT"/>
                </w:rPr>
                <w:object w:dxaOrig="1548" w:dyaOrig="744">
                  <v:shape id="_x0000_i1956" type="#_x0000_t75" style="width:77.65pt;height:36.4pt" o:ole="">
                    <v:imagedata r:id="rId271" o:title=""/>
                  </v:shape>
                  <o:OLEObject Type="Embed" ProgID="Equation.3" ShapeID="_x0000_i1956" DrawAspect="Content" ObjectID="_0000000001" r:id="rId272"/>
                </w:object>
              </w:r>
              <w:r>
                <w:rPr>
                  <w:color w:val="000000"/>
                  <w:szCs w:val="24"/>
                  <w:lang w:eastAsia="lt-LT"/>
                </w:rPr>
                <w:t>;</w:t>
              </w:r>
              <w:r>
                <w:rPr>
                  <w:rFonts w:eastAsia="Calibri"/>
                  <w:color w:val="000000"/>
                  <w:szCs w:val="24"/>
                  <w:lang w:eastAsia="lt-LT"/>
                </w:rPr>
                <w:tab/>
              </w:r>
              <w:r>
                <w:rPr>
                  <w:color w:val="000000"/>
                  <w:szCs w:val="24"/>
                  <w:lang w:eastAsia="lt-LT"/>
                </w:rPr>
                <w:t>(13.2)</w:t>
              </w:r>
            </w:p>
            <w:p>
              <w:pPr>
                <w:tabs>
                  <w:tab w:val="left" w:pos="567"/>
                </w:tabs>
                <w:suppressAutoHyphens/>
                <w:jc w:val="both"/>
                <w:rPr>
                  <w:color w:val="000000"/>
                  <w:szCs w:val="24"/>
                  <w:lang w:eastAsia="lt-LT"/>
                </w:rPr>
              </w:pPr>
            </w:p>
            <w:p>
              <w:pPr>
                <w:tabs>
                  <w:tab w:val="left" w:pos="567"/>
                </w:tabs>
                <w:suppressAutoHyphens/>
                <w:jc w:val="both"/>
                <w:rPr>
                  <w:szCs w:val="24"/>
                  <w:lang w:eastAsia="lt-LT"/>
                </w:rPr>
              </w:pPr>
              <w:r>
                <w:rPr>
                  <w:color w:val="000000"/>
                  <w:szCs w:val="24"/>
                  <w:lang w:eastAsia="lt-LT"/>
                </w:rPr>
                <w:t>čia:</w:t>
                <w:tab/>
              </w:r>
              <w:r>
                <w:rPr>
                  <w:i/>
                  <w:szCs w:val="24"/>
                  <w:lang w:eastAsia="lt-LT"/>
                </w:rPr>
                <w:t>n</w:t>
              </w:r>
              <w:r>
                <w:rPr>
                  <w:i/>
                  <w:szCs w:val="24"/>
                  <w:vertAlign w:val="subscript"/>
                  <w:lang w:eastAsia="lt-LT"/>
                </w:rPr>
                <w:t>vent.ds</w:t>
              </w:r>
              <w:r>
                <w:rPr>
                  <w:i/>
                  <w:szCs w:val="24"/>
                  <w:lang w:eastAsia="lt-LT"/>
                </w:rPr>
                <w:t xml:space="preserve"> </w:t>
              </w:r>
              <w:r>
                <w:rPr>
                  <w:szCs w:val="24"/>
                  <w:lang w:eastAsia="lt-LT"/>
                </w:rPr>
                <w:t>– projektinė oro apykaita pastate kartais per valandą (1/h). Imama iš pastato projekto.</w:t>
              </w:r>
            </w:p>
            <w:p>
              <w:pPr>
                <w:suppressAutoHyphens/>
                <w:ind w:firstLine="567"/>
                <w:jc w:val="both"/>
                <w:rPr>
                  <w:color w:val="000000"/>
                  <w:szCs w:val="24"/>
                </w:rPr>
              </w:pPr>
            </w:p>
            <w:p>
              <w:pPr>
                <w:tabs>
                  <w:tab w:val="left" w:pos="567"/>
                </w:tabs>
                <w:suppressAutoHyphens/>
                <w:jc w:val="both"/>
                <w:rPr>
                  <w:rFonts w:eastAsia="Calibri"/>
                  <w:color w:val="000000"/>
                  <w:szCs w:val="24"/>
                  <w:lang w:eastAsia="lt-LT"/>
                </w:rPr>
              </w:pPr>
              <w:r>
                <w:rPr>
                  <w:color w:val="000000"/>
                  <w:szCs w:val="24"/>
                  <w:lang w:eastAsia="lt-LT"/>
                </w:rPr>
                <w:t>čia:</w:t>
                <w:tab/>
              </w:r>
              <w:r>
                <w:rPr>
                  <w:i/>
                  <w:color w:val="000000"/>
                  <w:szCs w:val="24"/>
                  <w:lang w:eastAsia="lt-LT"/>
                </w:rPr>
                <w:t>n</w:t>
              </w:r>
              <w:r>
                <w:rPr>
                  <w:i/>
                  <w:color w:val="000000"/>
                  <w:szCs w:val="24"/>
                  <w:vertAlign w:val="subscript"/>
                  <w:lang w:eastAsia="lt-LT"/>
                </w:rPr>
                <w:t>vent.ds</w:t>
              </w:r>
              <w:r>
                <w:rPr>
                  <w:i/>
                  <w:color w:val="000000"/>
                  <w:szCs w:val="24"/>
                  <w:lang w:eastAsia="lt-LT"/>
                </w:rPr>
                <w:t xml:space="preserve"> </w:t>
              </w:r>
              <w:r>
                <w:rPr>
                  <w:color w:val="000000"/>
                  <w:szCs w:val="24"/>
                  <w:lang w:eastAsia="lt-LT"/>
                </w:rPr>
                <w:t>– projektinė oro apykaita pastate kartais per valandą (1/h). Imama iš pastato projekto.</w:t>
              </w:r>
            </w:p>
            <w:p>
              <w:pPr>
                <w:suppressAutoHyphens/>
                <w:ind w:left="720" w:hanging="720"/>
                <w:jc w:val="center"/>
                <w:rPr>
                  <w:b/>
                  <w:szCs w:val="24"/>
                  <w:lang w:eastAsia="lt-LT"/>
                </w:rPr>
              </w:pPr>
            </w:p>
            <w:p>
              <w:pPr>
                <w:suppressAutoHyphens/>
                <w:ind w:left="720" w:hanging="720"/>
                <w:jc w:val="center"/>
                <w:rPr>
                  <w:b/>
                  <w:szCs w:val="24"/>
                  <w:lang w:eastAsia="lt-LT"/>
                </w:rPr>
              </w:pPr>
              <w:r>
                <w:rPr>
                  <w:b/>
                  <w:szCs w:val="24"/>
                  <w:lang w:eastAsia="lt-LT"/>
                </w:rPr>
                <w:t xml:space="preserve">Projektinė išorės oro temperatūra </w:t>
              </w:r>
              <w:r>
                <w:rPr>
                  <w:b/>
                  <w:i/>
                  <w:szCs w:val="24"/>
                  <w:lang w:eastAsia="lt-LT"/>
                </w:rPr>
                <w:sym w:font="Symbol" w:char="F071"/>
              </w:r>
              <w:r>
                <w:rPr>
                  <w:b/>
                  <w:i/>
                  <w:szCs w:val="24"/>
                  <w:vertAlign w:val="subscript"/>
                  <w:lang w:eastAsia="lt-LT"/>
                </w:rPr>
                <w:t xml:space="preserve">e.ds  </w:t>
              </w:r>
              <w:r>
                <w:rPr>
                  <w:b/>
                  <w:szCs w:val="24"/>
                  <w:lang w:eastAsia="lt-LT"/>
                </w:rPr>
                <w:t xml:space="preserve">(°C) pastato šildymo sistemos šilumos šaltinio galiai skaičiuoti </w:t>
              </w:r>
            </w:p>
            <w:p>
              <w:pPr>
                <w:suppressAutoHyphens/>
                <w:jc w:val="right"/>
                <w:rPr>
                  <w:szCs w:val="24"/>
                  <w:lang w:eastAsia="lt-LT"/>
                </w:rPr>
              </w:pPr>
              <w:r>
                <w:rPr>
                  <w:szCs w:val="24"/>
                  <w:lang w:eastAsia="lt-LT"/>
                </w:rPr>
                <w:t>13.1 lentelė</w:t>
              </w:r>
            </w:p>
            <w:tbl>
              <w:tblPr>
                <w:tblW w:w="9408" w:type="dxa"/>
                <w:tblLayout w:type="fixed"/>
                <w:tblLook w:val="01E0" w:firstRow="1" w:lastRow="1" w:firstColumn="1" w:lastColumn="1" w:noHBand="0" w:noVBand="0"/>
              </w:tblPr>
              <w:tblGrid>
                <w:gridCol w:w="562"/>
                <w:gridCol w:w="6379"/>
                <w:gridCol w:w="2467"/>
              </w:tblGrid>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lang w:eastAsia="lt-LT"/>
                      </w:rPr>
                    </w:pPr>
                    <w:r>
                      <w:rPr>
                        <w:spacing w:val="-6"/>
                        <w:szCs w:val="24"/>
                        <w:lang w:eastAsia="lt-LT"/>
                      </w:rPr>
                      <w:t>Eil.</w:t>
                    </w:r>
                  </w:p>
                  <w:p>
                    <w:pPr>
                      <w:suppressAutoHyphens/>
                      <w:spacing w:line="276" w:lineRule="auto"/>
                      <w:jc w:val="center"/>
                      <w:rPr>
                        <w:spacing w:val="-6"/>
                        <w:szCs w:val="24"/>
                      </w:rPr>
                    </w:pPr>
                    <w:r>
                      <w:rPr>
                        <w:spacing w:val="-6"/>
                        <w:szCs w:val="24"/>
                        <w:lang w:eastAsia="lt-LT"/>
                      </w:rPr>
                      <w:t>Nr.</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rFonts w:eastAsia="Calibri"/>
                        <w:spacing w:val="-6"/>
                        <w:szCs w:val="24"/>
                      </w:rPr>
                    </w:pPr>
                    <w:r>
                      <w:rPr>
                        <w:spacing w:val="-6"/>
                        <w:szCs w:val="24"/>
                        <w:lang w:eastAsia="lt-LT"/>
                      </w:rPr>
                      <w:t>Pastatų klasifikavimas pagal jų vidaus šiluminę talpą</w:t>
                    </w:r>
                  </w:p>
                </w:tc>
                <w:tc>
                  <w:tcPr>
                    <w:tcW w:w="1311"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rFonts w:eastAsia="Calibri"/>
                        <w:spacing w:val="-6"/>
                        <w:szCs w:val="24"/>
                      </w:rPr>
                    </w:pPr>
                    <w:r>
                      <w:rPr>
                        <w:spacing w:val="-6"/>
                        <w:szCs w:val="24"/>
                        <w:lang w:eastAsia="lt-LT"/>
                      </w:rPr>
                      <w:t xml:space="preserve">Temperatūra </w:t>
                    </w:r>
                    <w:r>
                      <w:rPr>
                        <w:i/>
                        <w:szCs w:val="24"/>
                        <w:lang w:eastAsia="lt-LT"/>
                      </w:rPr>
                      <w:sym w:font="Symbol" w:char="F071"/>
                    </w:r>
                    <w:r>
                      <w:rPr>
                        <w:i/>
                        <w:szCs w:val="24"/>
                        <w:vertAlign w:val="subscript"/>
                        <w:lang w:eastAsia="lt-LT"/>
                      </w:rPr>
                      <w:t>e.ds</w:t>
                    </w:r>
                    <w:r>
                      <w:rPr>
                        <w:szCs w:val="24"/>
                        <w:lang w:eastAsia="lt-LT"/>
                      </w:rPr>
                      <w:t xml:space="preserve"> (°C)</w:t>
                    </w:r>
                  </w:p>
                </w:tc>
              </w:tr>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rPr>
                    </w:pPr>
                    <w:r>
                      <w:rPr>
                        <w:spacing w:val="-6"/>
                        <w:szCs w:val="24"/>
                        <w:lang w:eastAsia="lt-LT"/>
                      </w:rPr>
                      <w:t>1.</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both"/>
                      <w:rPr>
                        <w:rFonts w:eastAsia="Calibri"/>
                        <w:spacing w:val="-6"/>
                        <w:szCs w:val="24"/>
                      </w:rPr>
                    </w:pPr>
                    <w:r>
                      <w:rPr>
                        <w:spacing w:val="-6"/>
                        <w:szCs w:val="24"/>
                        <w:lang w:eastAsia="lt-LT"/>
                      </w:rPr>
                      <w:t>Labai lengvas pastatas</w:t>
                    </w:r>
                  </w:p>
                </w:tc>
                <w:tc>
                  <w:tcPr>
                    <w:tcW w:w="1311" w:type="pct"/>
                    <w:tcBorders>
                      <w:top w:val="single" w:sz="4" w:space="0" w:color="auto"/>
                      <w:left w:val="single" w:sz="4" w:space="0" w:color="auto"/>
                      <w:bottom w:val="single" w:sz="4" w:space="0" w:color="auto"/>
                      <w:right w:val="single" w:sz="4" w:space="0" w:color="auto"/>
                    </w:tcBorders>
                    <w:vAlign w:val="bottom"/>
                    <w:hideMark/>
                  </w:tcPr>
                  <w:p>
                    <w:pPr>
                      <w:suppressAutoHyphens/>
                      <w:spacing w:line="276" w:lineRule="auto"/>
                      <w:jc w:val="center"/>
                      <w:rPr>
                        <w:rFonts w:eastAsia="Calibri"/>
                        <w:szCs w:val="24"/>
                      </w:rPr>
                    </w:pPr>
                    <w:r>
                      <w:rPr>
                        <w:spacing w:val="-6"/>
                        <w:szCs w:val="24"/>
                        <w:lang w:eastAsia="lt-LT"/>
                      </w:rPr>
                      <w:t>-30</w:t>
                    </w:r>
                  </w:p>
                </w:tc>
              </w:tr>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rPr>
                    </w:pPr>
                    <w:r>
                      <w:rPr>
                        <w:spacing w:val="-6"/>
                        <w:szCs w:val="24"/>
                        <w:lang w:eastAsia="lt-LT"/>
                      </w:rPr>
                      <w:t>2.</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both"/>
                      <w:rPr>
                        <w:rFonts w:eastAsia="Calibri"/>
                        <w:spacing w:val="-6"/>
                        <w:szCs w:val="24"/>
                      </w:rPr>
                    </w:pPr>
                    <w:r>
                      <w:rPr>
                        <w:spacing w:val="-6"/>
                        <w:szCs w:val="24"/>
                        <w:lang w:eastAsia="lt-LT"/>
                      </w:rPr>
                      <w:t xml:space="preserve">Lengvas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pPr>
                      <w:suppressAutoHyphens/>
                      <w:spacing w:line="276" w:lineRule="auto"/>
                      <w:jc w:val="center"/>
                      <w:rPr>
                        <w:rFonts w:eastAsia="Calibri"/>
                        <w:szCs w:val="24"/>
                      </w:rPr>
                    </w:pPr>
                    <w:r>
                      <w:rPr>
                        <w:spacing w:val="-6"/>
                        <w:szCs w:val="24"/>
                        <w:lang w:eastAsia="lt-LT"/>
                      </w:rPr>
                      <w:t>-30</w:t>
                    </w:r>
                  </w:p>
                </w:tc>
              </w:tr>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rPr>
                    </w:pPr>
                    <w:r>
                      <w:rPr>
                        <w:spacing w:val="-6"/>
                        <w:szCs w:val="24"/>
                        <w:lang w:eastAsia="lt-LT"/>
                      </w:rPr>
                      <w:t>3.</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both"/>
                      <w:rPr>
                        <w:rFonts w:eastAsia="Calibri"/>
                        <w:spacing w:val="-6"/>
                        <w:szCs w:val="24"/>
                      </w:rPr>
                    </w:pPr>
                    <w:r>
                      <w:rPr>
                        <w:spacing w:val="-6"/>
                        <w:szCs w:val="24"/>
                        <w:lang w:eastAsia="lt-LT"/>
                      </w:rPr>
                      <w:t xml:space="preserve">Vidutinio masyvumo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pPr>
                      <w:suppressAutoHyphens/>
                      <w:spacing w:line="276" w:lineRule="auto"/>
                      <w:jc w:val="center"/>
                      <w:rPr>
                        <w:rFonts w:eastAsia="Calibri"/>
                        <w:szCs w:val="24"/>
                      </w:rPr>
                    </w:pPr>
                    <w:r>
                      <w:rPr>
                        <w:spacing w:val="-6"/>
                        <w:szCs w:val="24"/>
                        <w:lang w:eastAsia="lt-LT"/>
                      </w:rPr>
                      <w:t>-27</w:t>
                    </w:r>
                  </w:p>
                </w:tc>
              </w:tr>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rPr>
                    </w:pPr>
                    <w:r>
                      <w:rPr>
                        <w:spacing w:val="-6"/>
                        <w:szCs w:val="24"/>
                        <w:lang w:eastAsia="lt-LT"/>
                      </w:rPr>
                      <w:t>4.</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both"/>
                      <w:rPr>
                        <w:rFonts w:eastAsia="Calibri"/>
                        <w:spacing w:val="-6"/>
                        <w:szCs w:val="24"/>
                      </w:rPr>
                    </w:pPr>
                    <w:r>
                      <w:rPr>
                        <w:spacing w:val="-6"/>
                        <w:szCs w:val="24"/>
                        <w:lang w:eastAsia="lt-LT"/>
                      </w:rPr>
                      <w:t xml:space="preserve">Masyvus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pPr>
                      <w:suppressAutoHyphens/>
                      <w:spacing w:line="276" w:lineRule="auto"/>
                      <w:jc w:val="center"/>
                      <w:rPr>
                        <w:rFonts w:eastAsia="Calibri"/>
                        <w:szCs w:val="24"/>
                      </w:rPr>
                    </w:pPr>
                    <w:r>
                      <w:rPr>
                        <w:spacing w:val="-6"/>
                        <w:szCs w:val="24"/>
                        <w:lang w:eastAsia="lt-LT"/>
                      </w:rPr>
                      <w:t>-24</w:t>
                    </w:r>
                  </w:p>
                </w:tc>
              </w:tr>
              <w:tr>
                <w:tc>
                  <w:tcPr>
                    <w:tcW w:w="299"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center"/>
                      <w:rPr>
                        <w:spacing w:val="-6"/>
                        <w:szCs w:val="24"/>
                      </w:rPr>
                    </w:pPr>
                    <w:r>
                      <w:rPr>
                        <w:spacing w:val="-6"/>
                        <w:szCs w:val="24"/>
                        <w:lang w:eastAsia="lt-LT"/>
                      </w:rPr>
                      <w:t>5.</w:t>
                    </w:r>
                  </w:p>
                </w:tc>
                <w:tc>
                  <w:tcPr>
                    <w:tcW w:w="3390" w:type="pct"/>
                    <w:tcBorders>
                      <w:top w:val="single" w:sz="4" w:space="0" w:color="auto"/>
                      <w:left w:val="single" w:sz="4" w:space="0" w:color="auto"/>
                      <w:bottom w:val="single" w:sz="4" w:space="0" w:color="auto"/>
                      <w:right w:val="single" w:sz="4" w:space="0" w:color="auto"/>
                    </w:tcBorders>
                    <w:hideMark/>
                  </w:tcPr>
                  <w:p>
                    <w:pPr>
                      <w:suppressAutoHyphens/>
                      <w:spacing w:line="276" w:lineRule="auto"/>
                      <w:ind w:left="851" w:hanging="851"/>
                      <w:jc w:val="both"/>
                      <w:rPr>
                        <w:rFonts w:eastAsia="Calibri"/>
                        <w:spacing w:val="-6"/>
                        <w:szCs w:val="24"/>
                      </w:rPr>
                    </w:pPr>
                    <w:r>
                      <w:rPr>
                        <w:spacing w:val="-6"/>
                        <w:szCs w:val="24"/>
                        <w:lang w:eastAsia="lt-LT"/>
                      </w:rPr>
                      <w:t xml:space="preserve">Labai masyvus pastatas </w:t>
                    </w:r>
                  </w:p>
                </w:tc>
                <w:tc>
                  <w:tcPr>
                    <w:tcW w:w="1311" w:type="pct"/>
                    <w:tcBorders>
                      <w:top w:val="single" w:sz="4" w:space="0" w:color="auto"/>
                      <w:left w:val="single" w:sz="4" w:space="0" w:color="auto"/>
                      <w:bottom w:val="single" w:sz="4" w:space="0" w:color="auto"/>
                      <w:right w:val="single" w:sz="4" w:space="0" w:color="auto"/>
                    </w:tcBorders>
                    <w:vAlign w:val="bottom"/>
                    <w:hideMark/>
                  </w:tcPr>
                  <w:p>
                    <w:pPr>
                      <w:suppressAutoHyphens/>
                      <w:spacing w:line="276" w:lineRule="auto"/>
                      <w:jc w:val="center"/>
                      <w:rPr>
                        <w:rFonts w:eastAsia="Calibri"/>
                        <w:szCs w:val="24"/>
                      </w:rPr>
                    </w:pPr>
                    <w:r>
                      <w:rPr>
                        <w:spacing w:val="-6"/>
                        <w:szCs w:val="24"/>
                        <w:lang w:eastAsia="lt-LT"/>
                      </w:rPr>
                      <w:t>-24</w:t>
                    </w:r>
                  </w:p>
                </w:tc>
              </w:tr>
            </w:tbl>
            <w:p>
              <w:pPr>
                <w:suppressAutoHyphens/>
                <w:jc w:val="center"/>
                <w:rPr>
                  <w:szCs w:val="24"/>
                </w:rPr>
              </w:pPr>
            </w:p>
            <w:p>
              <w:pPr>
                <w:suppressAutoHyphens/>
                <w:jc w:val="center"/>
                <w:rPr>
                  <w:b/>
                  <w:kern w:val="16"/>
                  <w:szCs w:val="24"/>
                  <w:lang w:eastAsia="lt-LT"/>
                </w:rPr>
              </w:pPr>
              <w:r>
                <w:rPr>
                  <w:b/>
                  <w:kern w:val="16"/>
                  <w:szCs w:val="24"/>
                  <w:lang w:eastAsia="lt-LT"/>
                </w:rPr>
                <w:t>Šiluminės galios priedas negyvenamosios paskirties pastatams, kai šildymo sistemoje įrengtas valdymas su pastato vidaus nustatytosios temperatūros keitimu (pažemintos temperatūros palaikymo trukmė 12 h) ir (ar) pažemintos temperatūros palaikymu savaitgaliais [3.39]</w:t>
              </w:r>
            </w:p>
            <w:p>
              <w:pPr>
                <w:suppressAutoHyphens/>
                <w:ind w:left="6480" w:firstLine="1296"/>
                <w:jc w:val="center"/>
                <w:rPr>
                  <w:kern w:val="16"/>
                  <w:szCs w:val="24"/>
                  <w:lang w:eastAsia="lt-LT"/>
                </w:rPr>
              </w:pPr>
              <w:r>
                <w:rPr>
                  <w:kern w:val="16"/>
                  <w:szCs w:val="24"/>
                  <w:lang w:eastAsia="lt-LT"/>
                </w:rPr>
                <w:t xml:space="preserve">13.2 lentelė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3"/>
                <w:gridCol w:w="677"/>
                <w:gridCol w:w="833"/>
                <w:gridCol w:w="1102"/>
                <w:gridCol w:w="780"/>
                <w:gridCol w:w="216"/>
                <w:gridCol w:w="799"/>
                <w:gridCol w:w="1102"/>
                <w:gridCol w:w="805"/>
                <w:gridCol w:w="216"/>
                <w:gridCol w:w="774"/>
                <w:gridCol w:w="1102"/>
                <w:gridCol w:w="945"/>
              </w:tblGrid>
              <w:tr>
                <w:trPr>
                  <w:cantSplit/>
                </w:trPr>
                <w:tc>
                  <w:tcPr>
                    <w:tcW w:w="343" w:type="pct"/>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kern w:val="16"/>
                        <w:sz w:val="22"/>
                        <w:szCs w:val="22"/>
                      </w:rPr>
                    </w:pPr>
                    <w:r>
                      <w:rPr>
                        <w:bCs/>
                        <w:kern w:val="16"/>
                        <w:sz w:val="22"/>
                        <w:szCs w:val="22"/>
                        <w:lang w:eastAsia="lt-LT"/>
                      </w:rPr>
                      <w:t>Eil. Nr.</w:t>
                    </w:r>
                  </w:p>
                </w:tc>
                <w:tc>
                  <w:tcPr>
                    <w:tcW w:w="421"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bCs/>
                        <w:kern w:val="16"/>
                        <w:sz w:val="22"/>
                        <w:szCs w:val="22"/>
                      </w:rPr>
                    </w:pPr>
                    <w:r>
                      <w:rPr>
                        <w:bCs/>
                        <w:kern w:val="16"/>
                        <w:sz w:val="22"/>
                        <w:szCs w:val="22"/>
                        <w:lang w:eastAsia="lt-LT"/>
                      </w:rPr>
                      <w:t>Pašil-dymo truk-mė, h</w:t>
                    </w:r>
                  </w:p>
                </w:tc>
                <w:tc>
                  <w:tcPr>
                    <w:tcW w:w="4236" w:type="pct"/>
                    <w:gridSpan w:val="11"/>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bCs/>
                        <w:kern w:val="16"/>
                        <w:sz w:val="22"/>
                        <w:szCs w:val="22"/>
                      </w:rPr>
                    </w:pPr>
                    <w:r>
                      <w:rPr>
                        <w:bCs/>
                        <w:kern w:val="16"/>
                        <w:sz w:val="22"/>
                        <w:szCs w:val="22"/>
                        <w:lang w:eastAsia="lt-LT"/>
                      </w:rPr>
                      <w:t xml:space="preserve">Šiluminės galios priedai </w:t>
                    </w:r>
                    <w:r>
                      <w:rPr>
                        <w:bCs/>
                        <w:i/>
                        <w:kern w:val="16"/>
                        <w:sz w:val="22"/>
                        <w:szCs w:val="22"/>
                        <w:lang w:eastAsia="lt-LT"/>
                      </w:rPr>
                      <w:t>k</w:t>
                    </w:r>
                    <w:r>
                      <w:rPr>
                        <w:bCs/>
                        <w:i/>
                        <w:kern w:val="16"/>
                        <w:sz w:val="22"/>
                        <w:szCs w:val="22"/>
                        <w:vertAlign w:val="subscript"/>
                        <w:lang w:eastAsia="lt-LT"/>
                      </w:rPr>
                      <w:t>RH</w:t>
                    </w:r>
                    <w:r>
                      <w:rPr>
                        <w:bCs/>
                        <w:kern w:val="16"/>
                        <w:sz w:val="22"/>
                        <w:szCs w:val="22"/>
                        <w:lang w:eastAsia="lt-LT"/>
                      </w:rPr>
                      <w:t xml:space="preserve"> arba </w:t>
                    </w:r>
                    <w:r>
                      <w:rPr>
                        <w:bCs/>
                        <w:i/>
                        <w:kern w:val="16"/>
                        <w:sz w:val="22"/>
                        <w:szCs w:val="22"/>
                        <w:lang w:eastAsia="lt-LT"/>
                      </w:rPr>
                      <w:t>k</w:t>
                    </w:r>
                    <w:r>
                      <w:rPr>
                        <w:bCs/>
                        <w:i/>
                        <w:kern w:val="16"/>
                        <w:sz w:val="22"/>
                        <w:szCs w:val="22"/>
                        <w:vertAlign w:val="subscript"/>
                        <w:lang w:eastAsia="lt-LT"/>
                      </w:rPr>
                      <w:t>RH,z2</w:t>
                    </w:r>
                    <w:r>
                      <w:rPr>
                        <w:bCs/>
                        <w:kern w:val="16"/>
                        <w:sz w:val="22"/>
                        <w:szCs w:val="22"/>
                        <w:lang w:eastAsia="lt-LT"/>
                      </w:rPr>
                      <w:t xml:space="preserve"> (W/m²), esant įvairiems pastato vidaus nustatytosios temperatūros pokyčiams (K)</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1334" w:type="pct"/>
                    <w:gridSpan w:val="3"/>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kern w:val="16"/>
                        <w:sz w:val="22"/>
                        <w:szCs w:val="22"/>
                      </w:rPr>
                    </w:pPr>
                    <w:r>
                      <w:rPr>
                        <w:bCs/>
                        <w:kern w:val="16"/>
                        <w:sz w:val="22"/>
                        <w:szCs w:val="22"/>
                        <w:lang w:eastAsia="lt-LT"/>
                      </w:rPr>
                      <w:t>2 K</w:t>
                    </w:r>
                  </w:p>
                </w:tc>
                <w:tc>
                  <w:tcPr>
                    <w:tcW w:w="1433" w:type="pct"/>
                    <w:gridSpan w:val="4"/>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kern w:val="16"/>
                        <w:sz w:val="22"/>
                        <w:szCs w:val="22"/>
                      </w:rPr>
                    </w:pPr>
                    <w:r>
                      <w:rPr>
                        <w:bCs/>
                        <w:kern w:val="16"/>
                        <w:sz w:val="22"/>
                        <w:szCs w:val="22"/>
                        <w:lang w:eastAsia="lt-LT"/>
                      </w:rPr>
                      <w:t>3 K</w:t>
                    </w:r>
                  </w:p>
                </w:tc>
                <w:tc>
                  <w:tcPr>
                    <w:tcW w:w="1469" w:type="pct"/>
                    <w:gridSpan w:val="4"/>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kern w:val="16"/>
                        <w:sz w:val="22"/>
                        <w:szCs w:val="22"/>
                      </w:rPr>
                    </w:pPr>
                    <w:r>
                      <w:rPr>
                        <w:bCs/>
                        <w:kern w:val="16"/>
                        <w:sz w:val="22"/>
                        <w:szCs w:val="22"/>
                        <w:lang w:eastAsia="lt-LT"/>
                      </w:rPr>
                      <w:t>4 K</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4236" w:type="pct"/>
                    <w:gridSpan w:val="11"/>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kern w:val="16"/>
                        <w:sz w:val="22"/>
                        <w:szCs w:val="22"/>
                      </w:rPr>
                    </w:pPr>
                    <w:r>
                      <w:rPr>
                        <w:spacing w:val="-6"/>
                        <w:kern w:val="16"/>
                        <w:sz w:val="22"/>
                        <w:szCs w:val="22"/>
                        <w:lang w:eastAsia="lt-LT"/>
                      </w:rPr>
                      <w:t>Pastatų klasifikavimas pagal jų vidaus šiluminę talpą</w:t>
                    </w:r>
                  </w:p>
                </w:tc>
              </w:tr>
              <w:tr>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bCs/>
                        <w:kern w:val="16"/>
                        <w:sz w:val="22"/>
                        <w:szCs w:val="22"/>
                      </w:rPr>
                    </w:pP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Vidutinio masyvumo pastatai</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Masyvūs ir labai masyvūs pastatai</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Vidutinio masyvumo pastatai</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Masyvūs ir labai masyvūs pastatai</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Labai lengvi arba lengvi pastatai</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Vidutinio masyvumo pastatai</w:t>
                    </w:r>
                  </w:p>
                </w:tc>
                <w:tc>
                  <w:tcPr>
                    <w:tcW w:w="45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Masyvūs ir labai masyvūs pastatai</w:t>
                    </w:r>
                  </w:p>
                </w:tc>
              </w:tr>
              <w:tr>
                <w:tc>
                  <w:tcPr>
                    <w:tcW w:w="343"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w:t>
                    </w:r>
                  </w:p>
                </w:tc>
                <w:tc>
                  <w:tcPr>
                    <w:tcW w:w="421"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23</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25</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27</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30</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27</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36</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27</w:t>
                    </w:r>
                  </w:p>
                </w:tc>
                <w:tc>
                  <w:tcPr>
                    <w:tcW w:w="45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31</w:t>
                    </w:r>
                  </w:p>
                </w:tc>
              </w:tr>
              <w:tr>
                <w:tc>
                  <w:tcPr>
                    <w:tcW w:w="343"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w:t>
                    </w:r>
                  </w:p>
                </w:tc>
                <w:tc>
                  <w:tcPr>
                    <w:tcW w:w="421"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9</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22</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20</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23</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22</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24</w:t>
                    </w:r>
                  </w:p>
                </w:tc>
                <w:tc>
                  <w:tcPr>
                    <w:tcW w:w="45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25</w:t>
                    </w:r>
                  </w:p>
                </w:tc>
              </w:tr>
              <w:tr>
                <w:tc>
                  <w:tcPr>
                    <w:tcW w:w="343"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3.</w:t>
                    </w:r>
                  </w:p>
                </w:tc>
                <w:tc>
                  <w:tcPr>
                    <w:tcW w:w="421"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3</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6</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13</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11</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c>
                  <w:tcPr>
                    <w:tcW w:w="45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18</w:t>
                    </w:r>
                  </w:p>
                </w:tc>
              </w:tr>
              <w:tr>
                <w:tc>
                  <w:tcPr>
                    <w:tcW w:w="343"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4.</w:t>
                    </w:r>
                  </w:p>
                </w:tc>
                <w:tc>
                  <w:tcPr>
                    <w:tcW w:w="421"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4</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4</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11</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6</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13</w:t>
                    </w:r>
                  </w:p>
                </w:tc>
                <w:tc>
                  <w:tcPr>
                    <w:tcW w:w="481" w:type="pct"/>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c>
                  <w:tcPr>
                    <w:tcW w:w="405"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11</w:t>
                    </w:r>
                  </w:p>
                </w:tc>
                <w:tc>
                  <w:tcPr>
                    <w:tcW w:w="534"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c>
                  <w:tcPr>
                    <w:tcW w:w="458" w:type="pc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kern w:val="16"/>
                        <w:sz w:val="22"/>
                        <w:szCs w:val="22"/>
                      </w:rPr>
                    </w:pPr>
                    <w:r>
                      <w:rPr>
                        <w:kern w:val="16"/>
                        <w:sz w:val="22"/>
                        <w:szCs w:val="22"/>
                        <w:lang w:eastAsia="lt-LT"/>
                      </w:rPr>
                      <w:t>16</w:t>
                    </w:r>
                  </w:p>
                </w:tc>
              </w:tr>
            </w:tbl>
            <w:p>
              <w:pPr>
                <w:suppressAutoHyphens/>
                <w:rPr>
                  <w:kern w:val="16"/>
                  <w:szCs w:val="24"/>
                </w:rPr>
              </w:pPr>
            </w:p>
            <w:p>
              <w:pPr>
                <w:suppressAutoHyphens/>
                <w:jc w:val="center"/>
                <w:rPr>
                  <w:b/>
                  <w:kern w:val="16"/>
                  <w:szCs w:val="24"/>
                  <w:lang w:eastAsia="lt-LT"/>
                </w:rPr>
              </w:pPr>
              <w:r>
                <w:rPr>
                  <w:b/>
                  <w:kern w:val="16"/>
                  <w:szCs w:val="24"/>
                  <w:lang w:eastAsia="lt-LT"/>
                </w:rPr>
                <w:t>Šiluminės galios priedas gyvenamosios paskirties pastatams, kai šildymo sistemoje įrengtas valdymas su pastato vidaus nustatytosios temperatūros keitimu ir kai pažemintos temperatūros palaikymo trukmė neviršija 8 h [3.39]</w:t>
              </w:r>
            </w:p>
            <w:p>
              <w:pPr>
                <w:suppressAutoHyphens/>
                <w:ind w:left="7776"/>
                <w:jc w:val="center"/>
                <w:rPr>
                  <w:color w:val="000000"/>
                  <w:kern w:val="16"/>
                  <w:szCs w:val="24"/>
                  <w:lang w:eastAsia="lt-LT"/>
                </w:rPr>
              </w:pPr>
              <w:r>
                <w:rPr>
                  <w:color w:val="000000"/>
                  <w:kern w:val="16"/>
                  <w:szCs w:val="24"/>
                  <w:lang w:eastAsia="lt-LT"/>
                </w:rPr>
                <w:t xml:space="preserve">13.3 lentelė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085"/>
                <w:gridCol w:w="2080"/>
                <w:gridCol w:w="1930"/>
                <w:gridCol w:w="1750"/>
              </w:tblGrid>
              <w:tr>
                <w:trPr>
                  <w:cantSplit/>
                </w:trPr>
                <w:tc>
                  <w:tcPr>
                    <w:tcW w:w="562"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color w:val="000000"/>
                        <w:kern w:val="16"/>
                        <w:szCs w:val="24"/>
                      </w:rPr>
                    </w:pPr>
                    <w:r>
                      <w:rPr>
                        <w:bCs/>
                        <w:color w:val="000000"/>
                        <w:kern w:val="16"/>
                        <w:szCs w:val="24"/>
                        <w:lang w:eastAsia="lt-LT"/>
                      </w:rPr>
                      <w:t>Eil. Nr.</w:t>
                    </w:r>
                  </w:p>
                </w:tc>
                <w:tc>
                  <w:tcPr>
                    <w:tcW w:w="3085" w:type="dxa"/>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bCs/>
                        <w:color w:val="000000"/>
                        <w:kern w:val="16"/>
                        <w:szCs w:val="24"/>
                      </w:rPr>
                    </w:pPr>
                    <w:r>
                      <w:rPr>
                        <w:bCs/>
                        <w:color w:val="000000"/>
                        <w:kern w:val="16"/>
                        <w:szCs w:val="24"/>
                        <w:lang w:eastAsia="lt-LT"/>
                      </w:rPr>
                      <w:t>Pašildymo trukmė, h</w:t>
                    </w:r>
                  </w:p>
                </w:tc>
                <w:tc>
                  <w:tcPr>
                    <w:tcW w:w="5760" w:type="dxa"/>
                    <w:gridSpan w:val="3"/>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Cs/>
                        <w:color w:val="000000"/>
                        <w:kern w:val="16"/>
                        <w:szCs w:val="24"/>
                      </w:rPr>
                    </w:pPr>
                    <w:r>
                      <w:rPr>
                        <w:bCs/>
                        <w:color w:val="000000"/>
                        <w:kern w:val="16"/>
                        <w:szCs w:val="24"/>
                        <w:lang w:eastAsia="lt-LT"/>
                      </w:rPr>
                      <w:t xml:space="preserve">Šiluminės galios priedai </w:t>
                    </w:r>
                    <w:r>
                      <w:rPr>
                        <w:bCs/>
                        <w:i/>
                        <w:color w:val="000000"/>
                        <w:kern w:val="16"/>
                        <w:szCs w:val="24"/>
                        <w:lang w:eastAsia="lt-LT"/>
                      </w:rPr>
                      <w:t>k</w:t>
                    </w:r>
                    <w:r>
                      <w:rPr>
                        <w:bCs/>
                        <w:i/>
                        <w:color w:val="000000"/>
                        <w:kern w:val="16"/>
                        <w:szCs w:val="24"/>
                        <w:vertAlign w:val="subscript"/>
                        <w:lang w:eastAsia="lt-LT"/>
                      </w:rPr>
                      <w:t>RH</w:t>
                    </w:r>
                    <w:r>
                      <w:rPr>
                        <w:bCs/>
                        <w:color w:val="000000"/>
                        <w:kern w:val="16"/>
                        <w:szCs w:val="24"/>
                        <w:lang w:eastAsia="lt-LT"/>
                      </w:rPr>
                      <w:t xml:space="preserve"> arba</w:t>
                    </w:r>
                    <w:r>
                      <w:rPr>
                        <w:bCs/>
                        <w:i/>
                        <w:color w:val="000000"/>
                        <w:kern w:val="16"/>
                        <w:szCs w:val="24"/>
                        <w:lang w:eastAsia="lt-LT"/>
                      </w:rPr>
                      <w:t xml:space="preserve"> k</w:t>
                    </w:r>
                    <w:r>
                      <w:rPr>
                        <w:bCs/>
                        <w:i/>
                        <w:color w:val="000000"/>
                        <w:kern w:val="16"/>
                        <w:szCs w:val="24"/>
                        <w:vertAlign w:val="subscript"/>
                        <w:lang w:eastAsia="lt-LT"/>
                      </w:rPr>
                      <w:t>RH,z2</w:t>
                    </w:r>
                    <w:r>
                      <w:rPr>
                        <w:bCs/>
                        <w:color w:val="000000"/>
                        <w:kern w:val="16"/>
                        <w:szCs w:val="24"/>
                        <w:lang w:eastAsia="lt-LT"/>
                      </w:rPr>
                      <w:t xml:space="preserve"> (W/m²) bet kurios vidaus šiluminės talpos pastatams, esant įvairiems pastato vidaus nustatytosios temperatūros pokyčiams (K)</w:t>
                    </w:r>
                  </w:p>
                </w:tc>
              </w:tr>
              <w:tr>
                <w:trPr>
                  <w:cantSplit/>
                </w:trPr>
                <w:tc>
                  <w:tcPr>
                    <w:tcW w:w="562" w:type="dxa"/>
                    <w:vMerge/>
                    <w:tcBorders>
                      <w:top w:val="single" w:sz="4" w:space="0" w:color="auto"/>
                      <w:left w:val="single" w:sz="4" w:space="0" w:color="auto"/>
                      <w:bottom w:val="single" w:sz="4" w:space="0" w:color="auto"/>
                      <w:right w:val="single" w:sz="4" w:space="0" w:color="auto"/>
                    </w:tcBorders>
                    <w:vAlign w:val="center"/>
                    <w:hideMark/>
                  </w:tcPr>
                  <w:p>
                    <w:pPr>
                      <w:suppressAutoHyphens/>
                      <w:rPr>
                        <w:bCs/>
                        <w:color w:val="000000"/>
                        <w:kern w:val="16"/>
                        <w:szCs w:val="24"/>
                      </w:rPr>
                    </w:pPr>
                  </w:p>
                </w:tc>
                <w:tc>
                  <w:tcPr>
                    <w:tcW w:w="3085" w:type="dxa"/>
                    <w:vMerge/>
                    <w:tcBorders>
                      <w:top w:val="single" w:sz="4" w:space="0" w:color="auto"/>
                      <w:left w:val="single" w:sz="4" w:space="0" w:color="auto"/>
                      <w:bottom w:val="single" w:sz="4" w:space="0" w:color="auto"/>
                      <w:right w:val="single" w:sz="4" w:space="0" w:color="auto"/>
                    </w:tcBorders>
                    <w:vAlign w:val="center"/>
                    <w:hideMark/>
                  </w:tcPr>
                  <w:p>
                    <w:pPr>
                      <w:suppressAutoHyphens/>
                      <w:rPr>
                        <w:bCs/>
                        <w:color w:val="000000"/>
                        <w:kern w:val="16"/>
                        <w:szCs w:val="24"/>
                      </w:rPr>
                    </w:pPr>
                  </w:p>
                </w:tc>
                <w:tc>
                  <w:tcPr>
                    <w:tcW w:w="208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 K</w:t>
                    </w:r>
                  </w:p>
                </w:tc>
                <w:tc>
                  <w:tcPr>
                    <w:tcW w:w="193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 K</w:t>
                    </w:r>
                  </w:p>
                </w:tc>
                <w:tc>
                  <w:tcPr>
                    <w:tcW w:w="175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3 K</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w:t>
                    </w:r>
                  </w:p>
                </w:tc>
                <w:tc>
                  <w:tcPr>
                    <w:tcW w:w="30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w:t>
                    </w:r>
                  </w:p>
                </w:tc>
                <w:tc>
                  <w:tcPr>
                    <w:tcW w:w="208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11</w:t>
                    </w:r>
                  </w:p>
                </w:tc>
                <w:tc>
                  <w:tcPr>
                    <w:tcW w:w="193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22</w:t>
                    </w:r>
                  </w:p>
                </w:tc>
                <w:tc>
                  <w:tcPr>
                    <w:tcW w:w="175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45</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w:t>
                    </w:r>
                  </w:p>
                </w:tc>
                <w:tc>
                  <w:tcPr>
                    <w:tcW w:w="30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w:t>
                    </w:r>
                  </w:p>
                </w:tc>
                <w:tc>
                  <w:tcPr>
                    <w:tcW w:w="208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6</w:t>
                    </w:r>
                  </w:p>
                </w:tc>
                <w:tc>
                  <w:tcPr>
                    <w:tcW w:w="193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11</w:t>
                    </w:r>
                  </w:p>
                </w:tc>
                <w:tc>
                  <w:tcPr>
                    <w:tcW w:w="175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22</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3.</w:t>
                    </w:r>
                  </w:p>
                </w:tc>
                <w:tc>
                  <w:tcPr>
                    <w:tcW w:w="30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3</w:t>
                    </w:r>
                  </w:p>
                </w:tc>
                <w:tc>
                  <w:tcPr>
                    <w:tcW w:w="208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4</w:t>
                    </w:r>
                  </w:p>
                </w:tc>
                <w:tc>
                  <w:tcPr>
                    <w:tcW w:w="193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9</w:t>
                    </w:r>
                  </w:p>
                </w:tc>
                <w:tc>
                  <w:tcPr>
                    <w:tcW w:w="175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16</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4.</w:t>
                    </w:r>
                  </w:p>
                </w:tc>
                <w:tc>
                  <w:tcPr>
                    <w:tcW w:w="30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4</w:t>
                    </w:r>
                  </w:p>
                </w:tc>
                <w:tc>
                  <w:tcPr>
                    <w:tcW w:w="208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2</w:t>
                    </w:r>
                  </w:p>
                </w:tc>
                <w:tc>
                  <w:tcPr>
                    <w:tcW w:w="193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7</w:t>
                    </w:r>
                  </w:p>
                </w:tc>
                <w:tc>
                  <w:tcPr>
                    <w:tcW w:w="175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color w:val="000000"/>
                        <w:kern w:val="16"/>
                        <w:szCs w:val="24"/>
                      </w:rPr>
                    </w:pPr>
                    <w:r>
                      <w:rPr>
                        <w:color w:val="000000"/>
                        <w:kern w:val="16"/>
                        <w:szCs w:val="24"/>
                        <w:lang w:eastAsia="lt-LT"/>
                      </w:rPr>
                      <w:t>13</w:t>
                    </w:r>
                  </w:p>
                </w:tc>
              </w:tr>
            </w:tbl>
            <w:p>
              <w:pPr>
                <w:suppressAutoHyphens/>
                <w:rPr>
                  <w:color w:val="000000"/>
                  <w:kern w:val="16"/>
                  <w:szCs w:val="24"/>
                </w:rPr>
              </w:pPr>
            </w:p>
            <w:p>
              <w:pPr>
                <w:suppressAutoHyphens/>
                <w:jc w:val="center"/>
                <w:rPr>
                  <w:b/>
                  <w:i/>
                  <w:szCs w:val="24"/>
                  <w:vertAlign w:val="subscript"/>
                  <w:lang w:eastAsia="lt-LT"/>
                </w:rPr>
              </w:pPr>
              <w:r>
                <w:rPr>
                  <w:b/>
                  <w:szCs w:val="24"/>
                  <w:lang w:eastAsia="lt-LT"/>
                </w:rPr>
                <w:t>Šiluminės galios pataisos koeficientas dėl šildomų patalpų aukščio</w:t>
              </w:r>
              <w:r>
                <w:rPr>
                  <w:b/>
                  <w:i/>
                  <w:szCs w:val="24"/>
                  <w:lang w:eastAsia="lt-LT"/>
                </w:rPr>
                <w:t xml:space="preserve"> k</w:t>
              </w:r>
              <w:r>
                <w:rPr>
                  <w:b/>
                  <w:i/>
                  <w:szCs w:val="24"/>
                  <w:vertAlign w:val="subscript"/>
                  <w:lang w:eastAsia="lt-LT"/>
                </w:rPr>
                <w:t>H,z1</w:t>
              </w:r>
            </w:p>
            <w:p>
              <w:pPr>
                <w:suppressAutoHyphens/>
                <w:jc w:val="right"/>
                <w:rPr>
                  <w:szCs w:val="24"/>
                  <w:lang w:eastAsia="lt-LT"/>
                </w:rPr>
              </w:pPr>
              <w:r>
                <w:rPr>
                  <w:szCs w:val="24"/>
                  <w:lang w:eastAsia="lt-LT"/>
                </w:rPr>
                <w:t>13.4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4040"/>
                <w:gridCol w:w="2363"/>
                <w:gridCol w:w="2442"/>
              </w:tblGrid>
              <w:tr>
                <w:tc>
                  <w:tcPr>
                    <w:tcW w:w="562"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Eil. Nr.</w:t>
                    </w:r>
                  </w:p>
                </w:tc>
                <w:tc>
                  <w:tcPr>
                    <w:tcW w:w="4040" w:type="dxa"/>
                    <w:vMerge w:val="restar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 xml:space="preserve">Dominuojantis šildymo būdas ir šildymo prietaisų išdėstymas </w:t>
                    </w:r>
                  </w:p>
                </w:tc>
                <w:tc>
                  <w:tcPr>
                    <w:tcW w:w="4805" w:type="dxa"/>
                    <w:gridSpan w:val="2"/>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i/>
                        <w:szCs w:val="24"/>
                        <w:lang w:eastAsia="lt-LT"/>
                      </w:rPr>
                      <w:t>k</w:t>
                    </w:r>
                    <w:r>
                      <w:rPr>
                        <w:i/>
                        <w:szCs w:val="24"/>
                        <w:vertAlign w:val="subscript"/>
                        <w:lang w:eastAsia="lt-LT"/>
                      </w:rPr>
                      <w:t>H,z1</w:t>
                    </w:r>
                  </w:p>
                </w:tc>
              </w:tr>
              <w:tr>
                <w:tc>
                  <w:tcPr>
                    <w:tcW w:w="562" w:type="dxa"/>
                    <w:vMerge/>
                    <w:tcBorders>
                      <w:top w:val="single" w:sz="4" w:space="0" w:color="auto"/>
                      <w:left w:val="single" w:sz="4" w:space="0" w:color="auto"/>
                      <w:bottom w:val="single" w:sz="4" w:space="0" w:color="auto"/>
                      <w:right w:val="single" w:sz="4" w:space="0" w:color="auto"/>
                    </w:tcBorders>
                    <w:vAlign w:val="center"/>
                    <w:hideMark/>
                  </w:tcPr>
                  <w:p>
                    <w:pPr>
                      <w:suppressAutoHyphens/>
                      <w:rPr>
                        <w:szCs w:val="24"/>
                      </w:rPr>
                    </w:pPr>
                  </w:p>
                </w:tc>
                <w:tc>
                  <w:tcPr>
                    <w:tcW w:w="4040" w:type="dxa"/>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Cs w:val="24"/>
                      </w:rPr>
                    </w:pP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Šildomos patalpos aukštis nuo 5 iki 10 m</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Šildomos patalpos aukštis nuo 10 iki 15 m</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1.</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Šildomos grindys</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2.</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Šildomos lubos (lubų temperatūra mažesnė už 40 °C)</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netinkamas naudojimas</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3.</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Vidutinės ir aukštos temperatūros spindulinis šildymas iš viršaus į apačią</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1,15</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4.</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Natūrali šilto oro konvekcija</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netinkamas naudojimas</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5.</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Priverstinis šilto oro maišymas sudarant kryžminį oro srautą žemame lygyje</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1,3</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1,6</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6.</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Priverstinis šilto oro maišymas nukreipiant oro srautą iš viršaus į apačią</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1,21</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1,45</w:t>
                    </w:r>
                  </w:p>
                </w:tc>
              </w:tr>
              <w:tr>
                <w:tc>
                  <w:tcPr>
                    <w:tcW w:w="562"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szCs w:val="24"/>
                      </w:rPr>
                    </w:pPr>
                    <w:r>
                      <w:rPr>
                        <w:szCs w:val="24"/>
                        <w:lang w:eastAsia="lt-LT"/>
                      </w:rPr>
                      <w:t>7.</w:t>
                    </w:r>
                  </w:p>
                </w:tc>
                <w:tc>
                  <w:tcPr>
                    <w:tcW w:w="4040"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rPr>
                    </w:pPr>
                    <w:r>
                      <w:rPr>
                        <w:szCs w:val="24"/>
                        <w:lang w:eastAsia="lt-LT"/>
                      </w:rPr>
                      <w:t>Priverstinis oro maišymas sudarant vidutinės ir aukštos temperatūros kryžminį oro srautą iš vidutinio lygio</w:t>
                    </w:r>
                  </w:p>
                </w:tc>
                <w:tc>
                  <w:tcPr>
                    <w:tcW w:w="2363"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1,15</w:t>
                    </w:r>
                  </w:p>
                </w:tc>
                <w:tc>
                  <w:tcPr>
                    <w:tcW w:w="2442" w:type="dxa"/>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rFonts w:eastAsia="Calibri"/>
                        <w:szCs w:val="24"/>
                      </w:rPr>
                    </w:pPr>
                    <w:r>
                      <w:rPr>
                        <w:szCs w:val="24"/>
                        <w:lang w:eastAsia="lt-LT"/>
                      </w:rPr>
                      <w:t>1,3</w:t>
                    </w:r>
                  </w:p>
                </w:tc>
              </w:tr>
            </w:tbl>
            <w:p>
              <w:pPr>
                <w:suppressAutoHyphens/>
                <w:ind w:left="568" w:firstLine="62"/>
                <w:jc w:val="right"/>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894b306cf511ee8f3cbca2fb16d96d">
                <w:r w:rsidRPr="00532B9F">
                  <w:rPr>
                    <w:rFonts w:ascii="Times New Roman" w:eastAsia="MS Mincho" w:hAnsi="Times New Roman"/>
                    <w:sz w:val="20"/>
                    <w:i/>
                    <w:iCs/>
                    <w:color w:val="0000FF" w:themeColor="hyperlink"/>
                    <w:u w:val="single"/>
                  </w:rPr>
                  <w:t>D1-347</w:t>
                </w:r>
              </w:fldSimple>
              <w:r>
                <w:rPr>
                  <w:rFonts w:ascii="Times New Roman" w:eastAsia="MS Mincho" w:hAnsi="Times New Roman"/>
                  <w:sz w:val="20"/>
                  <w:i/>
                  <w:iCs/>
                </w:rPr>
                <w:t>,
2023-10-17,
paskelbta TAR 2023-10-17, i. k. 2023-20325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sdtContent>
    </w:sdt>
    <w:sdt>
      <w:sdtPr>
        <w:alias w:val="14 pr."/>
        <w:tag w:val="part_407c56bb0d544bd1a32c7b636952df3e"/>
        <w:lock w:val="sdtLocked"/>
        <w:richText/>
      </w:sdtPr>
      <w:sdtContent>
        <w:p>
          <w:pPr>
            <w:ind w:left="5245"/>
            <w:sectPr>
              <w:pgSz w:w="11906" w:h="16838"/>
              <w:pgMar w:top="709" w:right="567" w:bottom="567" w:left="1701" w:header="709" w:footer="709" w:gutter="0"/>
              <w:pgNumType w:start="1"/>
              <w:cols w:space="708"/>
              <w:titlePg/>
              <w:docGrid w:linePitch="360"/>
            </w:sectPr>
          </w:pPr>
        </w:p>
        <w:p>
          <w:pPr>
            <w:ind w:left="5245"/>
            <w:rPr>
              <w:color w:val="000000" w:themeColor="text1"/>
            </w:rPr>
          </w:pPr>
          <w:r>
            <w:rPr>
              <w:color w:val="000000" w:themeColor="text1"/>
            </w:rPr>
            <w:t xml:space="preserve">Statybos techninio reglamento </w:t>
          </w:r>
        </w:p>
        <w:p>
          <w:pPr>
            <w:ind w:left="5245"/>
            <w:rPr>
              <w:color w:val="000000" w:themeColor="text1"/>
            </w:rPr>
          </w:pPr>
          <w:r>
            <w:rPr>
              <w:color w:val="000000" w:themeColor="text1"/>
            </w:rPr>
            <w:t>STR 2.01.02:2016 „Pastatų energinio naudingumo projektavimas ir sertifikavimas“</w:t>
          </w:r>
        </w:p>
        <w:p>
          <w:pPr>
            <w:ind w:left="5245"/>
            <w:rPr>
              <w:color w:val="000000" w:themeColor="text1"/>
            </w:rPr>
          </w:pPr>
          <w:sdt>
            <w:sdtPr>
              <w:alias w:val="Numeris"/>
              <w:tag w:val="nr_407c56bb0d544bd1a32c7b636952df3e"/>
              <w:lock w:val="sdtLocked"/>
              <w:richText/>
            </w:sdtPr>
            <w:sdtContent>
              <w:r>
                <w:rPr>
                  <w:color w:val="000000" w:themeColor="text1"/>
                </w:rPr>
                <w:t>14</w:t>
              </w:r>
            </w:sdtContent>
          </w:sdt>
          <w:r>
            <w:rPr>
              <w:color w:val="000000" w:themeColor="text1"/>
            </w:rPr>
            <w:t xml:space="preserve"> priedas</w:t>
          </w:r>
        </w:p>
        <w:p>
          <w:pPr>
            <w:rPr>
              <w:color w:val="000000" w:themeColor="text1"/>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407c56bb0d544bd1a32c7b636952df3e"/>
              <w:lock w:val="sdtLocked"/>
              <w:richText/>
            </w:sdtPr>
            <w:sdtContent>
              <w:r>
                <w:rPr>
                  <w:rFonts w:ascii="Times New Roman Bold" w:hAnsi="Times New Roman Bold"/>
                  <w:b/>
                  <w:caps/>
                  <w:color w:val="000000" w:themeColor="text1"/>
                  <w:lang w:eastAsia="lt-LT"/>
                </w:rPr>
                <w:t xml:space="preserve">Pataisos koeficientų šilumos nuostoliams skaičiuoti per šildomų patalpų atitvaras, besiribojančias su nešildomomis patalpomis, skaičiavimas </w:t>
              </w:r>
            </w:sdtContent>
          </w:sdt>
        </w:p>
        <w:p>
          <w:pPr>
            <w:rPr>
              <w:color w:val="000000" w:themeColor="text1"/>
              <w:sz w:val="10"/>
              <w:szCs w:val="10"/>
            </w:rPr>
          </w:pPr>
        </w:p>
        <w:sdt>
          <w:sdtPr>
            <w:alias w:val="14 pr. 1 p."/>
            <w:tag w:val="part_5d3341bb2f42420bb44f0a7f4c90c52e"/>
            <w:lock w:val="sdtLocked"/>
            <w:richText/>
          </w:sdtPr>
          <w:sdtContent>
            <w:p>
              <w:pPr>
                <w:ind w:firstLine="567"/>
                <w:jc w:val="both"/>
                <w:rPr>
                  <w:color w:val="000000" w:themeColor="text1"/>
                </w:rPr>
              </w:pPr>
              <w:sdt>
                <w:sdtPr>
                  <w:alias w:val="Numeris"/>
                  <w:tag w:val="nr_5d3341bb2f42420bb44f0a7f4c90c52e"/>
                  <w:lock w:val="sdtLocked"/>
                  <w:richText/>
                </w:sdtPr>
                <w:sdtContent>
                  <w:r>
                    <w:rPr>
                      <w:color w:val="000000" w:themeColor="text1"/>
                    </w:rPr>
                    <w:t>1</w:t>
                  </w:r>
                </w:sdtContent>
              </w:sdt>
              <w:r>
                <w:rPr>
                  <w:color w:val="000000" w:themeColor="text1"/>
                </w:rPr>
                <w:t xml:space="preserve">. Pataisos koeficientai šilumos nuostoliams skaičiuoti per šildomų patalpų atitvaras, besiribojančias su nešildomomis patalpomis, turi būti skaičiuojami, jei atitvaros tarp nešildomų patalpų ir išorės atitinka visas šias sąlygas: </w:t>
              </w:r>
            </w:p>
            <w:sdt>
              <w:sdtPr>
                <w:alias w:val="14 pr. 1.1 pp."/>
                <w:tag w:val="part_37c641ddbf374735b5b29ca176eeb83c"/>
                <w:lock w:val="sdtLocked"/>
                <w:richText/>
              </w:sdtPr>
              <w:sdtContent>
                <w:p>
                  <w:pPr>
                    <w:ind w:firstLine="567"/>
                    <w:jc w:val="both"/>
                    <w:rPr>
                      <w:color w:val="000000" w:themeColor="text1"/>
                    </w:rPr>
                  </w:pPr>
                  <w:sdt>
                    <w:sdtPr>
                      <w:alias w:val="Numeris"/>
                      <w:tag w:val="nr_37c641ddbf374735b5b29ca176eeb83c"/>
                      <w:lock w:val="sdtLocked"/>
                      <w:richText/>
                    </w:sdtPr>
                    <w:sdtContent>
                      <w:r>
                        <w:rPr>
                          <w:color w:val="000000" w:themeColor="text1"/>
                        </w:rPr>
                        <w:t>1.1</w:t>
                      </w:r>
                    </w:sdtContent>
                  </w:sdt>
                  <w:r>
                    <w:rPr>
                      <w:color w:val="000000" w:themeColor="text1"/>
                    </w:rPr>
                    <w:t>. langų, stoglangių, vartų ir išorinių įėjimo durų orinio laidžio klasė ne žemesnė už trečią;</w:t>
                  </w:r>
                </w:p>
              </w:sdtContent>
            </w:sdt>
            <w:sdt>
              <w:sdtPr>
                <w:alias w:val="14 pr. 1.2 pp."/>
                <w:tag w:val="part_0198f08211e946839dd34abc5c4c04ce"/>
                <w:lock w:val="sdtLocked"/>
                <w:richText/>
              </w:sdtPr>
              <w:sdtContent>
                <w:p>
                  <w:pPr>
                    <w:ind w:firstLine="567"/>
                    <w:jc w:val="both"/>
                    <w:rPr>
                      <w:color w:val="000000" w:themeColor="text1"/>
                    </w:rPr>
                  </w:pPr>
                  <w:sdt>
                    <w:sdtPr>
                      <w:alias w:val="Numeris"/>
                      <w:tag w:val="nr_0198f08211e946839dd34abc5c4c04ce"/>
                      <w:lock w:val="sdtLocked"/>
                      <w:richText/>
                    </w:sdtPr>
                    <w:sdtContent>
                      <w:r>
                        <w:rPr>
                          <w:color w:val="000000" w:themeColor="text1"/>
                        </w:rPr>
                        <w:t>1.2</w:t>
                      </w:r>
                    </w:sdtContent>
                  </w:sdt>
                  <w:r>
                    <w:rPr>
                      <w:color w:val="000000" w:themeColor="text1"/>
                    </w:rPr>
                    <w:t>. švieslangių orinio laidžio klasė ne žemesnė už A3;</w:t>
                  </w:r>
                </w:p>
              </w:sdtContent>
            </w:sdt>
            <w:sdt>
              <w:sdtPr>
                <w:alias w:val="14 pr. 1.3 pp."/>
                <w:tag w:val="part_77c9b9d620c84baca4aa2f5215b2ee18"/>
                <w:lock w:val="sdtLocked"/>
                <w:richText/>
              </w:sdtPr>
              <w:sdtContent>
                <w:p>
                  <w:pPr>
                    <w:ind w:firstLine="567"/>
                    <w:jc w:val="both"/>
                    <w:rPr>
                      <w:color w:val="000000" w:themeColor="text1"/>
                      <w:spacing w:val="4"/>
                    </w:rPr>
                  </w:pPr>
                  <w:sdt>
                    <w:sdtPr>
                      <w:alias w:val="Numeris"/>
                      <w:tag w:val="nr_77c9b9d620c84baca4aa2f5215b2ee18"/>
                      <w:lock w:val="sdtLocked"/>
                      <w:richText/>
                    </w:sdtPr>
                    <w:sdtContent>
                      <w:r>
                        <w:rPr>
                          <w:color w:val="000000" w:themeColor="text1"/>
                        </w:rPr>
                        <w:t>1.3</w:t>
                      </w:r>
                    </w:sdtContent>
                  </w:sdt>
                  <w:r>
                    <w:rPr>
                      <w:color w:val="000000" w:themeColor="text1"/>
                    </w:rPr>
                    <w:t xml:space="preserve">. sienų šilumos perdavimo koeficientas ne didesnis kaip 0,5 </w:t>
                  </w:r>
                  <w:r>
                    <w:rPr>
                      <w:color w:val="000000" w:themeColor="text1"/>
                      <w:spacing w:val="4"/>
                    </w:rPr>
                    <w:t>(W/m</w:t>
                  </w:r>
                  <w:r>
                    <w:rPr>
                      <w:color w:val="000000" w:themeColor="text1"/>
                    </w:rPr>
                    <w:t>²</w:t>
                  </w:r>
                  <w:r>
                    <w:rPr>
                      <w:color w:val="000000" w:themeColor="text1"/>
                      <w:spacing w:val="4"/>
                    </w:rPr>
                    <w:t>·K);</w:t>
                  </w:r>
                </w:p>
              </w:sdtContent>
            </w:sdt>
            <w:sdt>
              <w:sdtPr>
                <w:alias w:val="14 pr. 1.4 pp."/>
                <w:tag w:val="part_472eb9ae40754de9b8c0462b66e11ded"/>
                <w:lock w:val="sdtLocked"/>
                <w:richText/>
              </w:sdtPr>
              <w:sdtContent>
                <w:p>
                  <w:pPr>
                    <w:ind w:firstLine="567"/>
                    <w:jc w:val="both"/>
                    <w:rPr>
                      <w:color w:val="000000" w:themeColor="text1"/>
                    </w:rPr>
                  </w:pPr>
                  <w:sdt>
                    <w:sdtPr>
                      <w:alias w:val="Numeris"/>
                      <w:tag w:val="nr_472eb9ae40754de9b8c0462b66e11ded"/>
                      <w:lock w:val="sdtLocked"/>
                      <w:richText/>
                    </w:sdtPr>
                    <w:sdtContent>
                      <w:r>
                        <w:rPr>
                          <w:color w:val="000000" w:themeColor="text1"/>
                          <w:spacing w:val="4"/>
                        </w:rPr>
                        <w:t>1.4</w:t>
                      </w:r>
                    </w:sdtContent>
                  </w:sdt>
                  <w:r>
                    <w:rPr>
                      <w:color w:val="000000" w:themeColor="text1"/>
                      <w:spacing w:val="4"/>
                    </w:rPr>
                    <w:t xml:space="preserve">. </w:t>
                  </w:r>
                  <w:r>
                    <w:rPr>
                      <w:color w:val="000000" w:themeColor="text1"/>
                    </w:rPr>
                    <w:t xml:space="preserve">langų, stoglangių, vartų ir išorinių įėjimo durų šilumos perdavimo koeficientas ne didesnis kaip 2 </w:t>
                  </w:r>
                  <w:r>
                    <w:rPr>
                      <w:color w:val="000000" w:themeColor="text1"/>
                      <w:spacing w:val="4"/>
                    </w:rPr>
                    <w:t>(W/m</w:t>
                  </w:r>
                  <w:r>
                    <w:rPr>
                      <w:color w:val="000000" w:themeColor="text1"/>
                    </w:rPr>
                    <w:t>²</w:t>
                  </w:r>
                  <w:r>
                    <w:rPr>
                      <w:color w:val="000000" w:themeColor="text1"/>
                      <w:spacing w:val="4"/>
                    </w:rPr>
                    <w:t>·K).</w:t>
                  </w:r>
                </w:p>
              </w:sdtContent>
            </w:sdt>
          </w:sdtContent>
        </w:sdt>
        <w:sdt>
          <w:sdtPr>
            <w:alias w:val="14 pr. 2 p."/>
            <w:tag w:val="part_bb24d597730e41a9be7e8547f21588eb"/>
            <w:lock w:val="sdtLocked"/>
            <w:richText/>
          </w:sdtPr>
          <w:sdtContent>
            <w:p>
              <w:pPr>
                <w:ind w:firstLine="567"/>
                <w:jc w:val="both"/>
                <w:rPr>
                  <w:color w:val="000000" w:themeColor="text1"/>
                </w:rPr>
              </w:pPr>
              <w:sdt>
                <w:sdtPr>
                  <w:alias w:val="Numeris"/>
                  <w:tag w:val="nr_bb24d597730e41a9be7e8547f21588eb"/>
                  <w:lock w:val="sdtLocked"/>
                  <w:richText/>
                </w:sdtPr>
                <w:sdtContent>
                  <w:r>
                    <w:rPr>
                      <w:color w:val="000000" w:themeColor="text1"/>
                    </w:rPr>
                    <w:t>2</w:t>
                  </w:r>
                </w:sdtContent>
              </w:sdt>
              <w:r>
                <w:rPr>
                  <w:color w:val="000000" w:themeColor="text1"/>
                </w:rPr>
                <w:t xml:space="preserve">. Kiekvieno  mėnesio </w:t>
              </w:r>
              <w:r>
                <w:rPr>
                  <w:i/>
                  <w:color w:val="000000" w:themeColor="text1"/>
                </w:rPr>
                <w:t>„m“</w:t>
              </w:r>
              <w:r>
                <w:rPr>
                  <w:color w:val="000000" w:themeColor="text1"/>
                </w:rPr>
                <w:t xml:space="preserve"> pataisos koeficientas </w:t>
              </w:r>
              <w:r>
                <w:rPr>
                  <w:i/>
                  <w:color w:val="000000" w:themeColor="text1"/>
                </w:rPr>
                <w:t>k</w:t>
              </w:r>
              <w:r>
                <w:rPr>
                  <w:i/>
                  <w:color w:val="000000" w:themeColor="text1"/>
                  <w:vertAlign w:val="subscript"/>
                </w:rPr>
                <w:t>m</w:t>
              </w:r>
              <w:r>
                <w:rPr>
                  <w:color w:val="000000" w:themeColor="text1"/>
                </w:rPr>
                <w:t xml:space="preserve"> (vnt.) šilumos nuostoliams skaičiuoti per šildomų patalpų atitvaras, besiribojančias su nešildomomis patalpomis, apskaičiuojamas taip:</w:t>
              </w:r>
            </w:p>
            <w:p>
              <w:pPr>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32"/>
                        <w:szCs w:val="22"/>
                      </w:rPr>
                      <w:object w:dxaOrig="1368" w:dyaOrig="744">
                        <v:shape id="_x0000_i1957" type="#_x0000_t75" style="width:67.95pt;height:38pt" o:ole="" fillcolor="window">
                          <v:imagedata r:id="rId251" o:title=""/>
                        </v:shape>
                        <o:OLEObject Type="Embed" ProgID="Equation.3" ShapeID="_x0000_i1957" DrawAspect="Content" ObjectID="_0000000001" r:id="rId252"/>
                      </w:object>
                    </w:r>
                    <w:r>
                      <w:rPr>
                        <w:color w:val="000000" w:themeColor="text1"/>
                      </w:rPr>
                      <w:t>;</w:t>
                    </w:r>
                  </w:p>
                </w:tc>
                <w:tc>
                  <w:tcPr>
                    <w:tcW w:w="725" w:type="pct"/>
                    <w:vAlign w:val="center"/>
                    <w:hideMark/>
                  </w:tcPr>
                  <w:p>
                    <w:pPr>
                      <w:spacing w:line="276" w:lineRule="auto"/>
                      <w:jc w:val="right"/>
                      <w:rPr>
                        <w:rFonts w:eastAsia="Calibri"/>
                        <w:color w:val="000000" w:themeColor="text1"/>
                        <w:szCs w:val="22"/>
                      </w:rPr>
                    </w:pPr>
                    <w:r>
                      <w:rPr>
                        <w:color w:val="000000" w:themeColor="text1"/>
                      </w:rPr>
                      <w:t>(14.1)</w:t>
                    </w:r>
                  </w:p>
                </w:tc>
              </w:tr>
            </w:tbl>
            <w:p>
              <w:pPr>
                <w:tabs>
                  <w:tab w:val="left" w:pos="567"/>
                </w:tabs>
                <w:jc w:val="both"/>
                <w:rPr>
                  <w:rFonts w:eastAsia="Calibri"/>
                  <w:color w:val="000000" w:themeColor="text1"/>
                  <w:szCs w:val="22"/>
                </w:rPr>
              </w:pPr>
              <w:r>
                <w:rPr>
                  <w:color w:val="000000" w:themeColor="text1"/>
                </w:rPr>
                <w:t>čia:</w:t>
                <w:tab/>
              </w:r>
              <w:r>
                <w:rPr>
                  <w:i/>
                  <w:color w:val="000000" w:themeColor="text1"/>
                </w:rPr>
                <w:sym w:font="Symbol" w:char="F071"/>
              </w:r>
              <w:r>
                <w:rPr>
                  <w:i/>
                  <w:color w:val="000000" w:themeColor="text1"/>
                  <w:vertAlign w:val="subscript"/>
                </w:rPr>
                <w:t>u,m</w:t>
              </w:r>
              <w:r>
                <w:rPr>
                  <w:color w:val="000000" w:themeColor="text1"/>
                </w:rPr>
                <w:t xml:space="preserve"> </w:t>
              </w:r>
              <w:r>
                <w:rPr>
                  <w:color w:val="000000" w:themeColor="text1"/>
                  <w:spacing w:val="-6"/>
                </w:rPr>
                <w:t>–</w:t>
              </w:r>
              <w:r>
                <w:rPr>
                  <w:color w:val="000000" w:themeColor="text1"/>
                </w:rPr>
                <w:t xml:space="preserve"> kiekvieno mėnesio </w:t>
              </w:r>
              <w:r>
                <w:rPr>
                  <w:i/>
                  <w:color w:val="000000" w:themeColor="text1"/>
                </w:rPr>
                <w:t xml:space="preserve">„m“ </w:t>
              </w:r>
              <w:r>
                <w:rPr>
                  <w:color w:val="000000" w:themeColor="text1"/>
                </w:rPr>
                <w:t>nešildomos patalpos temperatūra (ºC). Apskaičiuojama pagal (14.2) formulę;</w:t>
              </w:r>
            </w:p>
            <w:p>
              <w:pPr>
                <w:ind w:firstLine="567"/>
                <w:jc w:val="both"/>
                <w:rPr>
                  <w:color w:val="000000" w:themeColor="text1"/>
                </w:rPr>
              </w:pPr>
              <w:r>
                <w:rPr>
                  <w:i/>
                  <w:color w:val="000000" w:themeColor="text1"/>
                </w:rPr>
                <w:sym w:font="Symbol" w:char="F071"/>
              </w:r>
              <w:r>
                <w:rPr>
                  <w:i/>
                  <w:color w:val="000000" w:themeColor="text1"/>
                  <w:vertAlign w:val="subscript"/>
                </w:rPr>
                <w:t>i</w:t>
              </w:r>
              <w:r>
                <w:rPr>
                  <w:color w:val="000000" w:themeColor="text1"/>
                </w:rPr>
                <w:t xml:space="preserve"> – pastato vidaus temperatūra metu (ºC). Energijos sąnaudų pastato šildymo sezono metu skaičiavimams naudojama temperatūra </w:t>
              </w:r>
              <w:r>
                <w:rPr>
                  <w:i/>
                  <w:color w:val="000000" w:themeColor="text1"/>
                </w:rPr>
                <w:sym w:font="Symbol" w:char="F071"/>
              </w:r>
              <w:r>
                <w:rPr>
                  <w:i/>
                  <w:color w:val="000000" w:themeColor="text1"/>
                  <w:vertAlign w:val="subscript"/>
                </w:rPr>
                <w:t>iH</w:t>
              </w:r>
              <w:r>
                <w:rPr>
                  <w:color w:val="000000" w:themeColor="text1"/>
                </w:rPr>
                <w:t xml:space="preserve">, o skaičiuojant energijos poreikius pastatui vėsinti, turi būti naudojama temperatūra </w:t>
              </w:r>
              <w:r>
                <w:rPr>
                  <w:i/>
                  <w:color w:val="000000" w:themeColor="text1"/>
                </w:rPr>
                <w:sym w:font="Symbol" w:char="F071"/>
              </w:r>
              <w:r>
                <w:rPr>
                  <w:i/>
                  <w:color w:val="000000" w:themeColor="text1"/>
                  <w:vertAlign w:val="subscript"/>
                </w:rPr>
                <w:t>iC</w:t>
              </w:r>
              <w:r>
                <w:rPr>
                  <w:color w:val="000000" w:themeColor="text1"/>
                </w:rPr>
                <w:t xml:space="preserve">. Temperatūros </w:t>
              </w:r>
              <w:r>
                <w:rPr>
                  <w:i/>
                  <w:color w:val="000000" w:themeColor="text1"/>
                </w:rPr>
                <w:sym w:font="Symbol" w:char="F071"/>
              </w:r>
              <w:r>
                <w:rPr>
                  <w:i/>
                  <w:color w:val="000000" w:themeColor="text1"/>
                  <w:vertAlign w:val="subscript"/>
                </w:rPr>
                <w:t>iH</w:t>
              </w:r>
              <w:r>
                <w:rPr>
                  <w:color w:val="000000" w:themeColor="text1"/>
                </w:rPr>
                <w:t xml:space="preserve"> ir </w:t>
              </w:r>
              <w:r>
                <w:rPr>
                  <w:i/>
                  <w:color w:val="000000" w:themeColor="text1"/>
                </w:rPr>
                <w:sym w:font="Symbol" w:char="F071"/>
              </w:r>
              <w:r>
                <w:rPr>
                  <w:i/>
                  <w:color w:val="000000" w:themeColor="text1"/>
                  <w:vertAlign w:val="subscript"/>
                </w:rPr>
                <w:t>iC</w:t>
              </w:r>
              <w:r>
                <w:rPr>
                  <w:color w:val="000000" w:themeColor="text1"/>
                </w:rPr>
                <w:t xml:space="preserve"> imamos iš Reglamento 2 priedo 2.4 lentelės;</w:t>
              </w:r>
            </w:p>
            <w:p>
              <w:pPr>
                <w:ind w:firstLine="567"/>
                <w:jc w:val="both"/>
                <w:rPr>
                  <w:color w:val="000000" w:themeColor="text1"/>
                </w:rPr>
              </w:pPr>
              <w:r>
                <w:rPr>
                  <w:i/>
                  <w:color w:val="000000" w:themeColor="text1"/>
                </w:rPr>
                <w:sym w:font="Symbol" w:char="F071"/>
              </w:r>
              <w:r>
                <w:rPr>
                  <w:i/>
                  <w:color w:val="000000" w:themeColor="text1"/>
                  <w:vertAlign w:val="subscript"/>
                </w:rPr>
                <w:t>e,m</w:t>
              </w:r>
              <w:r>
                <w:rPr>
                  <w:color w:val="000000" w:themeColor="text1"/>
                </w:rPr>
                <w:t xml:space="preserve"> – atitinkamo mėnesio </w:t>
              </w:r>
              <w:r>
                <w:rPr>
                  <w:i/>
                  <w:color w:val="000000" w:themeColor="text1"/>
                </w:rPr>
                <w:t xml:space="preserve">„m“ </w:t>
              </w:r>
              <w:r>
                <w:rPr>
                  <w:color w:val="000000" w:themeColor="text1"/>
                </w:rPr>
                <w:t>vidutinė išorės oro temperatūra (ºC). Imama iš Reglamento 2 priedo 2.6 lentelės.</w:t>
              </w:r>
            </w:p>
            <w:p>
              <w:pPr>
                <w:ind w:firstLine="567"/>
                <w:rPr>
                  <w:color w:val="000000" w:themeColor="text1"/>
                </w:rPr>
              </w:pPr>
            </w:p>
          </w:sdtContent>
        </w:sdt>
        <w:sdt>
          <w:sdtPr>
            <w:alias w:val="14 pr. 3 p."/>
            <w:tag w:val="part_adeae2b49a48417a9ad45ef35b30dc8c"/>
            <w:lock w:val="sdtLocked"/>
            <w:richText/>
          </w:sdtPr>
          <w:sdtContent>
            <w:p>
              <w:pPr>
                <w:ind w:firstLine="567"/>
                <w:rPr>
                  <w:color w:val="000000" w:themeColor="text1"/>
                </w:rPr>
              </w:pPr>
              <w:sdt>
                <w:sdtPr>
                  <w:alias w:val="Numeris"/>
                  <w:tag w:val="nr_adeae2b49a48417a9ad45ef35b30dc8c"/>
                  <w:lock w:val="sdtLocked"/>
                  <w:richText/>
                </w:sdtPr>
                <w:sdtContent>
                  <w:r>
                    <w:rPr>
                      <w:color w:val="000000" w:themeColor="text1"/>
                    </w:rPr>
                    <w:t>3</w:t>
                  </w:r>
                </w:sdtContent>
              </w:sdt>
              <w:r>
                <w:rPr>
                  <w:color w:val="000000" w:themeColor="text1"/>
                </w:rPr>
                <w:t xml:space="preserve">. Kiekvieno mėnesio </w:t>
              </w:r>
              <w:r>
                <w:rPr>
                  <w:i/>
                  <w:color w:val="000000" w:themeColor="text1"/>
                </w:rPr>
                <w:t>„m“</w:t>
              </w:r>
              <w:r>
                <w:rPr>
                  <w:color w:val="000000" w:themeColor="text1"/>
                </w:rPr>
                <w:t xml:space="preserve"> nešildomos patalpos temperatūra </w:t>
              </w:r>
              <w:r>
                <w:rPr>
                  <w:i/>
                  <w:color w:val="000000" w:themeColor="text1"/>
                </w:rPr>
                <w:sym w:font="Symbol" w:char="F071"/>
              </w:r>
              <w:r>
                <w:rPr>
                  <w:i/>
                  <w:color w:val="000000" w:themeColor="text1"/>
                  <w:vertAlign w:val="subscript"/>
                </w:rPr>
                <w:t>u,m</w:t>
              </w:r>
              <w:r>
                <w:rPr>
                  <w:color w:val="000000" w:themeColor="text1"/>
                </w:rPr>
                <w:t xml:space="preserve"> (ºC) apskaičiuojama taip:</w:t>
              </w:r>
            </w:p>
            <w:p>
              <w:pPr>
                <w:ind w:firstLine="567"/>
                <w:jc w:val="right"/>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60"/>
                        <w:szCs w:val="22"/>
                      </w:rPr>
                      <w:object w:dxaOrig="7356" w:dyaOrig="1320">
                        <v:shape id="_x0000_i1958" type="#_x0000_t75" style="width:365.65pt;height:66.35pt" o:ole="" fillcolor="window">
                          <v:imagedata r:id="rId253" o:title=""/>
                        </v:shape>
                        <o:OLEObject Type="Embed" ProgID="Equation.3" ShapeID="_x0000_i1958" DrawAspect="Content" ObjectID="_0000000001" r:id="rId254"/>
                      </w:object>
                    </w:r>
                    <w:r>
                      <w:rPr>
                        <w:color w:val="000000" w:themeColor="text1"/>
                      </w:rPr>
                      <w:t>;</w:t>
                    </w:r>
                  </w:p>
                </w:tc>
                <w:tc>
                  <w:tcPr>
                    <w:tcW w:w="725" w:type="pct"/>
                    <w:vAlign w:val="center"/>
                    <w:hideMark/>
                  </w:tcPr>
                  <w:p>
                    <w:pPr>
                      <w:spacing w:line="276" w:lineRule="auto"/>
                      <w:jc w:val="right"/>
                      <w:rPr>
                        <w:rFonts w:eastAsia="Calibri"/>
                        <w:color w:val="000000" w:themeColor="text1"/>
                        <w:szCs w:val="22"/>
                      </w:rPr>
                    </w:pPr>
                    <w:r>
                      <w:rPr>
                        <w:color w:val="000000" w:themeColor="text1"/>
                      </w:rPr>
                      <w:t>(14.2)</w:t>
                    </w:r>
                  </w:p>
                </w:tc>
              </w:tr>
            </w:tbl>
            <w:p>
              <w:pPr>
                <w:tabs>
                  <w:tab w:val="left" w:pos="567"/>
                </w:tabs>
                <w:jc w:val="both"/>
                <w:rPr>
                  <w:rFonts w:eastAsia="Calibri"/>
                  <w:color w:val="000000" w:themeColor="text1"/>
                  <w:szCs w:val="22"/>
                </w:rPr>
              </w:pPr>
              <w:r>
                <w:rPr>
                  <w:color w:val="000000" w:themeColor="text1"/>
                </w:rPr>
                <w:t>čia:</w:t>
                <w:tab/>
              </w:r>
              <w:r>
                <w:rPr>
                  <w:i/>
                  <w:color w:val="000000" w:themeColor="text1"/>
                </w:rPr>
                <w:t>A</w:t>
              </w:r>
              <w:r>
                <w:rPr>
                  <w:i/>
                  <w:color w:val="000000" w:themeColor="text1"/>
                  <w:vertAlign w:val="subscript"/>
                </w:rPr>
                <w:t>i,x</w:t>
              </w:r>
              <w:r>
                <w:rPr>
                  <w:color w:val="000000" w:themeColor="text1"/>
                </w:rPr>
                <w:t xml:space="preserve"> </w:t>
              </w:r>
              <w:r>
                <w:rPr>
                  <w:color w:val="000000" w:themeColor="text1"/>
                  <w:spacing w:val="-6"/>
                </w:rPr>
                <w:t>–</w:t>
              </w:r>
              <w:r>
                <w:rPr>
                  <w:color w:val="000000" w:themeColor="text1"/>
                </w:rPr>
                <w:t xml:space="preserve"> atitinkamos „</w:t>
              </w:r>
              <w:r>
                <w:rPr>
                  <w:i/>
                  <w:color w:val="000000" w:themeColor="text1"/>
                </w:rPr>
                <w:t>x</w:t>
              </w:r>
              <w:r>
                <w:rPr>
                  <w:color w:val="000000" w:themeColor="text1"/>
                </w:rPr>
                <w:t>“ atitvaros tarp nešildomos ir šildomos patalpos plotas (m²);</w:t>
              </w:r>
            </w:p>
            <w:p>
              <w:pPr>
                <w:ind w:firstLine="567"/>
                <w:jc w:val="both"/>
                <w:rPr>
                  <w:color w:val="000000" w:themeColor="text1"/>
                </w:rPr>
              </w:pPr>
              <w:r>
                <w:rPr>
                  <w:i/>
                  <w:color w:val="000000" w:themeColor="text1"/>
                </w:rPr>
                <w:t>A</w:t>
              </w:r>
              <w:r>
                <w:rPr>
                  <w:i/>
                  <w:color w:val="000000" w:themeColor="text1"/>
                  <w:vertAlign w:val="subscript"/>
                </w:rPr>
                <w:t>e,x</w:t>
              </w:r>
              <w:r>
                <w:rPr>
                  <w:color w:val="000000" w:themeColor="text1"/>
                </w:rPr>
                <w:t xml:space="preserve"> </w:t>
              </w:r>
              <w:r>
                <w:rPr>
                  <w:color w:val="000000" w:themeColor="text1"/>
                  <w:spacing w:val="-6"/>
                </w:rPr>
                <w:t>–</w:t>
              </w:r>
              <w:r>
                <w:rPr>
                  <w:color w:val="000000" w:themeColor="text1"/>
                </w:rPr>
                <w:t xml:space="preserve"> atitinkamos „</w:t>
              </w:r>
              <w:r>
                <w:rPr>
                  <w:i/>
                  <w:color w:val="000000" w:themeColor="text1"/>
                </w:rPr>
                <w:t>x</w:t>
              </w:r>
              <w:r>
                <w:rPr>
                  <w:color w:val="000000" w:themeColor="text1"/>
                </w:rPr>
                <w:t>“ atitvaros tarp nešildomos patalpos ir išorės plotas (m²);</w:t>
              </w:r>
            </w:p>
            <w:p>
              <w:pPr>
                <w:ind w:firstLine="567"/>
                <w:jc w:val="both"/>
                <w:rPr>
                  <w:color w:val="000000" w:themeColor="text1"/>
                  <w:spacing w:val="6"/>
                </w:rPr>
              </w:pPr>
              <w:r>
                <w:rPr>
                  <w:i/>
                  <w:color w:val="000000" w:themeColor="text1"/>
                  <w:spacing w:val="6"/>
                </w:rPr>
                <w:t>U</w:t>
              </w:r>
              <w:r>
                <w:rPr>
                  <w:i/>
                  <w:color w:val="000000" w:themeColor="text1"/>
                  <w:spacing w:val="6"/>
                  <w:vertAlign w:val="subscript"/>
                </w:rPr>
                <w:t>i,x</w:t>
              </w:r>
              <w:r>
                <w:rPr>
                  <w:color w:val="000000" w:themeColor="text1"/>
                  <w:spacing w:val="6"/>
                </w:rPr>
                <w:t xml:space="preserve"> – </w:t>
              </w:r>
              <w:r>
                <w:rPr>
                  <w:color w:val="000000" w:themeColor="text1"/>
                </w:rPr>
                <w:t>atitinkamos „</w:t>
              </w:r>
              <w:r>
                <w:rPr>
                  <w:i/>
                  <w:color w:val="000000" w:themeColor="text1"/>
                </w:rPr>
                <w:t>x</w:t>
              </w:r>
              <w:r>
                <w:rPr>
                  <w:color w:val="000000" w:themeColor="text1"/>
                </w:rPr>
                <w:t>“ atitvaros tarp nešildomos ir šildomos patalpos</w:t>
              </w:r>
              <w:r>
                <w:rPr>
                  <w:color w:val="000000" w:themeColor="text1"/>
                  <w:spacing w:val="6"/>
                </w:rPr>
                <w:t xml:space="preserve"> šilumos perdavimo koeficientas (W/m</w:t>
              </w:r>
              <w:r>
                <w:rPr>
                  <w:color w:val="000000" w:themeColor="text1"/>
                </w:rPr>
                <w:t>²</w:t>
              </w:r>
              <w:r>
                <w:rPr>
                  <w:color w:val="000000" w:themeColor="text1"/>
                  <w:spacing w:val="6"/>
                </w:rPr>
                <w:t>·K);</w:t>
              </w:r>
            </w:p>
            <w:p>
              <w:pPr>
                <w:ind w:firstLine="567"/>
                <w:jc w:val="both"/>
                <w:rPr>
                  <w:color w:val="000000" w:themeColor="text1"/>
                  <w:spacing w:val="4"/>
                </w:rPr>
              </w:pPr>
              <w:r>
                <w:rPr>
                  <w:i/>
                  <w:color w:val="000000" w:themeColor="text1"/>
                  <w:spacing w:val="4"/>
                </w:rPr>
                <w:t>U</w:t>
              </w:r>
              <w:r>
                <w:rPr>
                  <w:i/>
                  <w:color w:val="000000" w:themeColor="text1"/>
                  <w:spacing w:val="4"/>
                  <w:vertAlign w:val="subscript"/>
                </w:rPr>
                <w:t>e,x</w:t>
              </w:r>
              <w:r>
                <w:rPr>
                  <w:color w:val="000000" w:themeColor="text1"/>
                  <w:spacing w:val="4"/>
                </w:rPr>
                <w:t xml:space="preserve"> – </w:t>
              </w:r>
              <w:r>
                <w:rPr>
                  <w:color w:val="000000" w:themeColor="text1"/>
                </w:rPr>
                <w:t>atitinkamos „</w:t>
              </w:r>
              <w:r>
                <w:rPr>
                  <w:i/>
                  <w:color w:val="000000" w:themeColor="text1"/>
                </w:rPr>
                <w:t>x</w:t>
              </w:r>
              <w:r>
                <w:rPr>
                  <w:color w:val="000000" w:themeColor="text1"/>
                </w:rPr>
                <w:t>“ atitvaros tarp nešildomos patalpos ir išorės</w:t>
              </w:r>
              <w:r>
                <w:rPr>
                  <w:color w:val="000000" w:themeColor="text1"/>
                  <w:spacing w:val="4"/>
                </w:rPr>
                <w:t xml:space="preserve"> šilumos perdavimo koeficientas (W/m</w:t>
              </w:r>
              <w:r>
                <w:rPr>
                  <w:color w:val="000000" w:themeColor="text1"/>
                </w:rPr>
                <w:t>²</w:t>
              </w:r>
              <w:r>
                <w:rPr>
                  <w:color w:val="000000" w:themeColor="text1"/>
                  <w:spacing w:val="4"/>
                </w:rPr>
                <w:t>·K);</w:t>
              </w:r>
            </w:p>
            <w:p>
              <w:pPr>
                <w:ind w:firstLine="567"/>
                <w:jc w:val="both"/>
                <w:rPr>
                  <w:color w:val="000000" w:themeColor="text1"/>
                </w:rPr>
              </w:pPr>
              <w:r>
                <w:rPr>
                  <w:i/>
                  <w:color w:val="000000" w:themeColor="text1"/>
                </w:rPr>
                <w:t>V</w:t>
              </w:r>
              <w:r>
                <w:rPr>
                  <w:color w:val="000000" w:themeColor="text1"/>
                </w:rPr>
                <w:t xml:space="preserve"> </w:t>
              </w:r>
              <w:r>
                <w:rPr>
                  <w:color w:val="000000" w:themeColor="text1"/>
                  <w:spacing w:val="-6"/>
                </w:rPr>
                <w:t>–</w:t>
              </w:r>
              <w:r>
                <w:rPr>
                  <w:color w:val="000000" w:themeColor="text1"/>
                </w:rPr>
                <w:t xml:space="preserve"> nešildomos patalpos tūris (m³);</w:t>
              </w:r>
            </w:p>
            <w:p>
              <w:pPr>
                <w:ind w:firstLine="567"/>
                <w:jc w:val="both"/>
                <w:rPr>
                  <w:color w:val="000000" w:themeColor="text1"/>
                </w:rPr>
              </w:pPr>
              <w:r>
                <w:rPr>
                  <w:bCs/>
                  <w:i/>
                  <w:color w:val="000000" w:themeColor="text1"/>
                </w:rPr>
                <w:sym w:font="Symbol" w:char="F072"/>
              </w:r>
              <w:r>
                <w:rPr>
                  <w:bCs/>
                  <w:i/>
                  <w:color w:val="000000" w:themeColor="text1"/>
                  <w:vertAlign w:val="subscript"/>
                </w:rPr>
                <w:t>air</w:t>
              </w:r>
              <w:r>
                <w:rPr>
                  <w:bCs/>
                  <w:i/>
                  <w:color w:val="000000" w:themeColor="text1"/>
                </w:rPr>
                <w:t>·c</w:t>
              </w:r>
              <w:r>
                <w:rPr>
                  <w:bCs/>
                  <w:i/>
                  <w:color w:val="000000" w:themeColor="text1"/>
                  <w:vertAlign w:val="subscript"/>
                </w:rPr>
                <w:t>air</w:t>
              </w:r>
              <w:r>
                <w:rPr>
                  <w:bCs/>
                  <w:color w:val="000000" w:themeColor="text1"/>
                </w:rPr>
                <w:t xml:space="preserve"> – oro tūrinė šiluminė talpa. </w:t>
              </w:r>
              <w:r>
                <w:rPr>
                  <w:bCs/>
                  <w:i/>
                  <w:color w:val="000000" w:themeColor="text1"/>
                </w:rPr>
                <w:sym w:font="Symbol" w:char="F072"/>
              </w:r>
              <w:r>
                <w:rPr>
                  <w:bCs/>
                  <w:i/>
                  <w:color w:val="000000" w:themeColor="text1"/>
                  <w:vertAlign w:val="subscript"/>
                </w:rPr>
                <w:t>air</w:t>
              </w:r>
              <w:r>
                <w:rPr>
                  <w:bCs/>
                  <w:i/>
                  <w:color w:val="000000" w:themeColor="text1"/>
                </w:rPr>
                <w:t>·c</w:t>
              </w:r>
              <w:r>
                <w:rPr>
                  <w:bCs/>
                  <w:i/>
                  <w:color w:val="000000" w:themeColor="text1"/>
                  <w:vertAlign w:val="subscript"/>
                </w:rPr>
                <w:t>air</w:t>
              </w:r>
              <w:r>
                <w:rPr>
                  <w:bCs/>
                  <w:color w:val="000000" w:themeColor="text1"/>
                  <w:vertAlign w:val="subscript"/>
                </w:rPr>
                <w:t xml:space="preserve"> </w:t>
              </w:r>
              <w:r>
                <w:rPr>
                  <w:color w:val="000000" w:themeColor="text1"/>
                </w:rPr>
                <w:t>=0,34 Wh/(m³·K);</w:t>
              </w:r>
            </w:p>
            <w:p>
              <w:pPr>
                <w:ind w:firstLine="567"/>
                <w:jc w:val="both"/>
                <w:rPr>
                  <w:color w:val="000000" w:themeColor="text1"/>
                </w:rPr>
              </w:pPr>
              <w:r>
                <w:rPr>
                  <w:i/>
                  <w:color w:val="000000" w:themeColor="text1"/>
                </w:rPr>
                <w:t>n</w:t>
              </w:r>
              <w:r>
                <w:rPr>
                  <w:i/>
                  <w:color w:val="000000" w:themeColor="text1"/>
                  <w:vertAlign w:val="subscript"/>
                </w:rPr>
                <w:t>m</w:t>
              </w:r>
              <w:r>
                <w:rPr>
                  <w:color w:val="000000" w:themeColor="text1"/>
                </w:rPr>
                <w:t xml:space="preserve"> </w:t>
              </w:r>
              <w:r>
                <w:rPr>
                  <w:color w:val="000000" w:themeColor="text1"/>
                  <w:spacing w:val="-6"/>
                </w:rPr>
                <w:t xml:space="preserve">– </w:t>
              </w:r>
              <w:r>
                <w:rPr>
                  <w:color w:val="000000" w:themeColor="text1"/>
                </w:rPr>
                <w:t xml:space="preserve">kiekvieno mėnesio </w:t>
              </w:r>
              <w:r>
                <w:rPr>
                  <w:i/>
                  <w:color w:val="000000" w:themeColor="text1"/>
                </w:rPr>
                <w:t xml:space="preserve">„m“ </w:t>
              </w:r>
              <w:r>
                <w:rPr>
                  <w:color w:val="000000" w:themeColor="text1"/>
                </w:rPr>
                <w:t>oro apykaita nešildomojoje patalpoje (1/h). Imama iš 14.1 lentelės;</w:t>
              </w:r>
            </w:p>
            <w:p>
              <w:pPr>
                <w:ind w:firstLine="567"/>
                <w:jc w:val="both"/>
                <w:rPr>
                  <w:color w:val="000000" w:themeColor="text1"/>
                </w:rPr>
              </w:pPr>
              <w:r>
                <w:rPr>
                  <w:i/>
                  <w:color w:val="000000" w:themeColor="text1"/>
                </w:rPr>
                <w:sym w:font="Symbol" w:char="F046"/>
              </w:r>
              <w:r>
                <w:rPr>
                  <w:i/>
                  <w:color w:val="000000" w:themeColor="text1"/>
                  <w:vertAlign w:val="subscript"/>
                </w:rPr>
                <w:t>e,m</w:t>
              </w:r>
              <w:r>
                <w:rPr>
                  <w:color w:val="000000" w:themeColor="text1"/>
                </w:rPr>
                <w:t xml:space="preserve"> – kiekvieno mėnesio </w:t>
              </w:r>
              <w:r>
                <w:rPr>
                  <w:i/>
                  <w:color w:val="000000" w:themeColor="text1"/>
                </w:rPr>
                <w:t xml:space="preserve">„m“ </w:t>
              </w:r>
              <w:r>
                <w:rPr>
                  <w:color w:val="000000" w:themeColor="text1"/>
                </w:rPr>
                <w:t xml:space="preserve">šilumos srautas iš  išorės į nešildomą patalpą (W). Apskaičiuojamas pagal (14.3) formulę. </w:t>
              </w:r>
            </w:p>
            <w:p>
              <w:pPr>
                <w:rPr>
                  <w:color w:val="000000" w:themeColor="text1"/>
                </w:rPr>
              </w:pPr>
              <w:r>
                <w:rPr>
                  <w:color w:val="000000" w:themeColor="text1"/>
                </w:rPr>
                <w:br w:type="page"/>
              </w:r>
            </w:p>
            <w:sdt>
              <w:sdtPr>
                <w:alias w:val="lentele"/>
                <w:tag w:val="part_9b468f303e3a4ef5aa40a273815f6eda"/>
                <w:lock w:val="sdtLocked"/>
                <w:richText/>
              </w:sdtPr>
              <w:sdtContent>
                <w:p>
                  <w:pPr>
                    <w:ind w:left="720"/>
                    <w:jc w:val="right"/>
                  </w:pPr>
                  <w:sdt>
                    <w:sdtPr>
                      <w:alias w:val="Numeris"/>
                      <w:tag w:val="nr_9b468f303e3a4ef5aa40a273815f6eda"/>
                      <w:lock w:val="sdtLocked"/>
                      <w:richText/>
                    </w:sdtPr>
                    <w:sdtContent>
                      <w:r>
                        <w:t>14.1</w:t>
                      </w:r>
                    </w:sdtContent>
                  </w:sdt>
                  <w:r>
                    <w:t xml:space="preserve"> lentelė</w:t>
                  </w:r>
                </w:p>
                <w:p>
                  <w:pPr>
                    <w:jc w:val="center"/>
                    <w:rPr>
                      <w:b/>
                    </w:rPr>
                  </w:pPr>
                  <w:r>
                    <w:rPr>
                      <w:b/>
                    </w:rPr>
                    <w:t xml:space="preserve">Kiekvieno mėnesio </w:t>
                  </w:r>
                  <w:r>
                    <w:rPr>
                      <w:b/>
                      <w:i/>
                    </w:rPr>
                    <w:t xml:space="preserve">„m“ </w:t>
                  </w:r>
                  <w:r>
                    <w:rPr>
                      <w:b/>
                    </w:rPr>
                    <w:t xml:space="preserve">oro apykaita nešildomojoje patalpoje </w:t>
                  </w:r>
                  <w:r>
                    <w:rPr>
                      <w:b/>
                      <w:i/>
                    </w:rPr>
                    <w:t>n</w:t>
                  </w:r>
                  <w:r>
                    <w:rPr>
                      <w:b/>
                      <w:i/>
                      <w:vertAlign w:val="subscript"/>
                    </w:rPr>
                    <w:t>m</w:t>
                  </w:r>
                  <w:r>
                    <w:rPr>
                      <w:b/>
                    </w:rPr>
                    <w:t xml:space="preserve"> (1/h)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7"/>
                    <w:gridCol w:w="694"/>
                    <w:gridCol w:w="694"/>
                    <w:gridCol w:w="693"/>
                    <w:gridCol w:w="693"/>
                    <w:gridCol w:w="693"/>
                    <w:gridCol w:w="693"/>
                    <w:gridCol w:w="693"/>
                    <w:gridCol w:w="694"/>
                    <w:gridCol w:w="694"/>
                    <w:gridCol w:w="702"/>
                    <w:gridCol w:w="702"/>
                    <w:gridCol w:w="702"/>
                  </w:tblGrid>
                  <w:tr>
                    <w:tc>
                      <w:tcPr>
                        <w:tcW w:w="1511" w:type="dxa"/>
                        <w:tcBorders>
                          <w:top w:val="nil"/>
                          <w:left w:val="nil"/>
                          <w:bottom w:val="single" w:sz="4" w:space="0" w:color="auto"/>
                          <w:right w:val="single" w:sz="4" w:space="0" w:color="auto"/>
                        </w:tcBorders>
                      </w:tcPr>
                      <w:p>
                        <w:pPr>
                          <w:spacing w:line="276" w:lineRule="auto"/>
                          <w:jc w:val="both"/>
                          <w:rPr>
                            <w:rFonts w:eastAsia="Calibri"/>
                            <w:szCs w:val="22"/>
                          </w:rPr>
                        </w:pPr>
                      </w:p>
                    </w:tc>
                    <w:tc>
                      <w:tcPr>
                        <w:tcW w:w="8393" w:type="dxa"/>
                        <w:gridSpan w:val="12"/>
                        <w:tcBorders>
                          <w:top w:val="single" w:sz="4" w:space="0" w:color="auto"/>
                          <w:left w:val="single" w:sz="4" w:space="0" w:color="auto"/>
                          <w:bottom w:val="single" w:sz="4" w:space="0" w:color="auto"/>
                          <w:right w:val="single" w:sz="4" w:space="0" w:color="auto"/>
                        </w:tcBorders>
                        <w:hideMark/>
                      </w:tcPr>
                      <w:p>
                        <w:pPr>
                          <w:spacing w:line="276" w:lineRule="auto"/>
                          <w:jc w:val="center"/>
                          <w:rPr>
                            <w:rFonts w:eastAsia="Calibri"/>
                            <w:szCs w:val="22"/>
                          </w:rPr>
                        </w:pPr>
                        <w:r>
                          <w:t>Metų mėnesio numeris</w:t>
                        </w:r>
                      </w:p>
                    </w:tc>
                  </w:tr>
                  <w:tr>
                    <w:tc>
                      <w:tcPr>
                        <w:tcW w:w="151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 xml:space="preserve">Nešildoma patalpa </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3</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4</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6</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7</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8</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9</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10</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11</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12</w:t>
                        </w:r>
                      </w:p>
                    </w:tc>
                  </w:tr>
                  <w:tr>
                    <w:tc>
                      <w:tcPr>
                        <w:tcW w:w="151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Įstiklintas balkonas</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2</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1</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r>
                    <w:tc>
                      <w:tcPr>
                        <w:tcW w:w="1511" w:type="dxa"/>
                        <w:tcBorders>
                          <w:top w:val="single" w:sz="4" w:space="0" w:color="auto"/>
                          <w:left w:val="single" w:sz="4" w:space="0" w:color="auto"/>
                          <w:bottom w:val="single" w:sz="4" w:space="0" w:color="auto"/>
                          <w:right w:val="single" w:sz="4" w:space="0" w:color="auto"/>
                        </w:tcBorders>
                        <w:hideMark/>
                      </w:tcPr>
                      <w:p>
                        <w:pPr>
                          <w:spacing w:line="276" w:lineRule="auto"/>
                          <w:jc w:val="both"/>
                          <w:rPr>
                            <w:rFonts w:eastAsia="Calibri"/>
                            <w:szCs w:val="22"/>
                          </w:rPr>
                        </w:pPr>
                        <w:r>
                          <w:t>Kitos patalpos</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69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c>
                      <w:tcPr>
                        <w:tcW w:w="70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szCs w:val="22"/>
                          </w:rPr>
                        </w:pPr>
                        <w:r>
                          <w:t>0,5</w:t>
                        </w:r>
                      </w:p>
                    </w:tc>
                  </w:tr>
                </w:tbl>
                <w:p>
                  <w:pPr>
                    <w:ind w:firstLine="567"/>
                    <w:rPr>
                      <w:rFonts w:eastAsia="Calibri"/>
                      <w:szCs w:val="22"/>
                    </w:rPr>
                  </w:pPr>
                </w:p>
              </w:sdtContent>
            </w:sdt>
          </w:sdtContent>
        </w:sdt>
        <w:sdt>
          <w:sdtPr>
            <w:alias w:val="14 pr. 4 p."/>
            <w:tag w:val="part_ed6fe058a4b947b0bbc74986a9de91ae"/>
            <w:lock w:val="sdtLocked"/>
            <w:richText/>
          </w:sdtPr>
          <w:sdtContent>
            <w:p>
              <w:pPr>
                <w:ind w:firstLine="570"/>
                <w:rPr>
                  <w:color w:val="000000" w:themeColor="text1"/>
                </w:rPr>
              </w:pPr>
              <w:sdt>
                <w:sdtPr>
                  <w:alias w:val="Numeris"/>
                  <w:tag w:val="nr_ed6fe058a4b947b0bbc74986a9de91ae"/>
                  <w:lock w:val="sdtLocked"/>
                  <w:richText/>
                </w:sdtPr>
                <w:sdtContent>
                  <w:r>
                    <w:rPr>
                      <w:color w:val="000000" w:themeColor="text1"/>
                    </w:rPr>
                    <w:t>4</w:t>
                  </w:r>
                </w:sdtContent>
              </w:sdt>
              <w:r>
                <w:rPr>
                  <w:color w:val="000000" w:themeColor="text1"/>
                </w:rPr>
                <w:t xml:space="preserve">. Kiekvieno mėnesio </w:t>
              </w:r>
              <w:r>
                <w:rPr>
                  <w:i/>
                  <w:color w:val="000000" w:themeColor="text1"/>
                </w:rPr>
                <w:t xml:space="preserve">„m“ </w:t>
              </w:r>
              <w:r>
                <w:rPr>
                  <w:color w:val="000000" w:themeColor="text1"/>
                </w:rPr>
                <w:t xml:space="preserve">šilumos srautas iš  išorės į nešildomą patalpą </w:t>
              </w:r>
              <w:r>
                <w:rPr>
                  <w:i/>
                  <w:color w:val="000000" w:themeColor="text1"/>
                </w:rPr>
                <w:sym w:font="SymbolPS" w:char="F046"/>
              </w:r>
              <w:r>
                <w:rPr>
                  <w:i/>
                  <w:color w:val="000000" w:themeColor="text1"/>
                  <w:vertAlign w:val="subscript"/>
                </w:rPr>
                <w:t>e,m</w:t>
              </w:r>
              <w:r>
                <w:rPr>
                  <w:color w:val="000000" w:themeColor="text1"/>
                </w:rPr>
                <w:t xml:space="preserve"> (W) apskaičiuojamas pagal formulę:</w:t>
              </w:r>
            </w:p>
            <w:p>
              <w:pPr>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14"/>
                        <w:szCs w:val="22"/>
                      </w:rPr>
                      <w:object w:dxaOrig="2292" w:dyaOrig="372">
                        <v:shape id="_x0000_i1959" type="#_x0000_t75" style="width:114.05pt;height:17.8pt" o:ole="">
                          <v:imagedata r:id="rId255" o:title=""/>
                        </v:shape>
                        <o:OLEObject Type="Embed" ProgID="Equation.3" ShapeID="_x0000_i1959" DrawAspect="Content" ObjectID="_0000000001" r:id="rId256"/>
                      </w:object>
                    </w:r>
                  </w:p>
                </w:tc>
                <w:tc>
                  <w:tcPr>
                    <w:tcW w:w="725" w:type="pct"/>
                    <w:vAlign w:val="center"/>
                    <w:hideMark/>
                  </w:tcPr>
                  <w:p>
                    <w:pPr>
                      <w:spacing w:line="276" w:lineRule="auto"/>
                      <w:jc w:val="right"/>
                      <w:rPr>
                        <w:rFonts w:eastAsia="Calibri"/>
                        <w:color w:val="000000" w:themeColor="text1"/>
                        <w:szCs w:val="22"/>
                      </w:rPr>
                    </w:pPr>
                    <w:r>
                      <w:rPr>
                        <w:color w:val="000000" w:themeColor="text1"/>
                      </w:rPr>
                      <w:t>(14.3)</w:t>
                    </w:r>
                  </w:p>
                </w:tc>
              </w:tr>
            </w:tbl>
            <w:p>
              <w:pPr>
                <w:tabs>
                  <w:tab w:val="left" w:pos="567"/>
                </w:tabs>
                <w:jc w:val="both"/>
                <w:rPr>
                  <w:rFonts w:eastAsia="Calibri"/>
                  <w:color w:val="000000" w:themeColor="text1"/>
                  <w:szCs w:val="22"/>
                </w:rPr>
              </w:pPr>
              <w:r>
                <w:rPr>
                  <w:color w:val="000000" w:themeColor="text1"/>
                </w:rPr>
                <w:t>čia:</w:t>
              </w:r>
              <w:r>
                <w:rPr>
                  <w:i/>
                  <w:color w:val="000000" w:themeColor="text1"/>
                </w:rPr>
                <w:t xml:space="preserve"> </w:t>
                <w:tab/>
                <w:sym w:font="Symbol" w:char="F046"/>
              </w:r>
              <w:r>
                <w:rPr>
                  <w:i/>
                  <w:color w:val="000000" w:themeColor="text1"/>
                  <w:vertAlign w:val="subscript"/>
                </w:rPr>
                <w:t xml:space="preserve">e.wda,m </w:t>
              </w:r>
              <w:r>
                <w:rPr>
                  <w:color w:val="000000" w:themeColor="text1"/>
                </w:rPr>
                <w:t xml:space="preserve">– kiekvieno mėnesio </w:t>
              </w:r>
              <w:r>
                <w:rPr>
                  <w:i/>
                  <w:color w:val="000000" w:themeColor="text1"/>
                </w:rPr>
                <w:t xml:space="preserve">„m“ </w:t>
              </w:r>
              <w:r>
                <w:rPr>
                  <w:color w:val="000000" w:themeColor="text1"/>
                </w:rPr>
                <w:t xml:space="preserve"> šilumos srautas iš išorės į nešildomą patalpą per skaidrias atitvaras (W). Apskaičiuojamas pagal (14.4) formulę;</w:t>
              </w:r>
            </w:p>
            <w:p>
              <w:pPr>
                <w:ind w:firstLine="567"/>
                <w:jc w:val="both"/>
                <w:rPr>
                  <w:color w:val="000000" w:themeColor="text1"/>
                </w:rPr>
              </w:pPr>
              <w:r>
                <w:rPr>
                  <w:i/>
                  <w:color w:val="000000" w:themeColor="text1"/>
                </w:rPr>
                <w:sym w:font="Symbol" w:char="F046"/>
              </w:r>
              <w:r>
                <w:rPr>
                  <w:i/>
                  <w:color w:val="000000" w:themeColor="text1"/>
                  <w:vertAlign w:val="subscript"/>
                </w:rPr>
                <w:t xml:space="preserve">e.op,m </w:t>
              </w:r>
              <w:r>
                <w:rPr>
                  <w:color w:val="000000" w:themeColor="text1"/>
                </w:rPr>
                <w:t xml:space="preserve">– kiekvieno mėnesio </w:t>
              </w:r>
              <w:r>
                <w:rPr>
                  <w:i/>
                  <w:color w:val="000000" w:themeColor="text1"/>
                </w:rPr>
                <w:t xml:space="preserve">„m“ </w:t>
              </w:r>
              <w:r>
                <w:rPr>
                  <w:color w:val="000000" w:themeColor="text1"/>
                </w:rPr>
                <w:t xml:space="preserve"> šilumos srautas iš išorės į nešildomą patalpą per nepermatomas atitvaras (W). Apskaičiuojamas pagal (14.5) formulę.</w:t>
              </w:r>
            </w:p>
            <w:p>
              <w:pPr>
                <w:ind w:firstLine="570"/>
                <w:rPr>
                  <w:color w:val="000000" w:themeColor="text1"/>
                </w:rPr>
              </w:pPr>
            </w:p>
          </w:sdtContent>
        </w:sdt>
        <w:sdt>
          <w:sdtPr>
            <w:alias w:val="14 pr. 5 p."/>
            <w:tag w:val="part_699f460ae648460c86e5fbc018c56825"/>
            <w:lock w:val="sdtLocked"/>
            <w:richText/>
          </w:sdtPr>
          <w:sdtContent>
            <w:p>
              <w:pPr>
                <w:ind w:firstLine="570"/>
                <w:jc w:val="both"/>
                <w:rPr>
                  <w:color w:val="000000" w:themeColor="text1"/>
                </w:rPr>
              </w:pPr>
              <w:sdt>
                <w:sdtPr>
                  <w:alias w:val="Numeris"/>
                  <w:tag w:val="nr_699f460ae648460c86e5fbc018c56825"/>
                  <w:lock w:val="sdtLocked"/>
                  <w:richText/>
                </w:sdtPr>
                <w:sdtContent>
                  <w:r>
                    <w:rPr>
                      <w:color w:val="000000" w:themeColor="text1"/>
                    </w:rPr>
                    <w:t>5</w:t>
                  </w:r>
                </w:sdtContent>
              </w:sdt>
              <w:r>
                <w:rPr>
                  <w:color w:val="000000" w:themeColor="text1"/>
                </w:rPr>
                <w:t xml:space="preserve">. Kiekvieno mėnesio </w:t>
              </w:r>
              <w:r>
                <w:rPr>
                  <w:i/>
                  <w:color w:val="000000" w:themeColor="text1"/>
                </w:rPr>
                <w:t xml:space="preserve">„m“ </w:t>
              </w:r>
              <w:r>
                <w:rPr>
                  <w:color w:val="000000" w:themeColor="text1"/>
                </w:rPr>
                <w:t xml:space="preserve"> šilumos srautas iš išorės į nešildomą patalpą per skaidrias atitvaras </w:t>
              </w:r>
              <w:r>
                <w:rPr>
                  <w:i/>
                  <w:color w:val="000000" w:themeColor="text1"/>
                </w:rPr>
                <w:sym w:font="Symbol" w:char="F046"/>
              </w:r>
              <w:r>
                <w:rPr>
                  <w:i/>
                  <w:color w:val="000000" w:themeColor="text1"/>
                  <w:vertAlign w:val="subscript"/>
                </w:rPr>
                <w:t>e.wda,m</w:t>
              </w:r>
              <w:r>
                <w:rPr>
                  <w:color w:val="000000" w:themeColor="text1"/>
                </w:rPr>
                <w:t xml:space="preserve"> (W) apskaičiuojamas taip:</w:t>
              </w:r>
            </w:p>
            <w:p>
              <w:pPr>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238"/>
                        <w:szCs w:val="22"/>
                      </w:rPr>
                      <w:object w:dxaOrig="5856" w:dyaOrig="4884">
                        <v:shape id="_x0000_i1960" type="#_x0000_t75" style="width:293.65pt;height:244.3pt" o:ole="">
                          <v:imagedata r:id="rId257" o:title=""/>
                        </v:shape>
                        <o:OLEObject Type="Embed" ProgID="Equation.3" ShapeID="_x0000_i1960" DrawAspect="Content" ObjectID="_0000000001" r:id="rId258"/>
                      </w:object>
                    </w:r>
                  </w:p>
                </w:tc>
                <w:tc>
                  <w:tcPr>
                    <w:tcW w:w="725" w:type="pct"/>
                    <w:vAlign w:val="center"/>
                    <w:hideMark/>
                  </w:tcPr>
                  <w:p>
                    <w:pPr>
                      <w:spacing w:line="276" w:lineRule="auto"/>
                      <w:jc w:val="right"/>
                      <w:rPr>
                        <w:rFonts w:eastAsia="Calibri"/>
                        <w:color w:val="000000" w:themeColor="text1"/>
                        <w:szCs w:val="22"/>
                      </w:rPr>
                    </w:pPr>
                    <w:r>
                      <w:rPr>
                        <w:color w:val="000000" w:themeColor="text1"/>
                      </w:rPr>
                      <w:t>(14.4)</w:t>
                    </w:r>
                  </w:p>
                </w:tc>
              </w:tr>
            </w:tbl>
            <w:p>
              <w:pPr>
                <w:tabs>
                  <w:tab w:val="left" w:pos="567"/>
                </w:tabs>
                <w:jc w:val="both"/>
                <w:rPr>
                  <w:rFonts w:eastAsia="Calibri"/>
                  <w:bCs/>
                  <w:color w:val="000000" w:themeColor="text1"/>
                  <w:szCs w:val="22"/>
                </w:rPr>
              </w:pPr>
              <w:r>
                <w:rPr>
                  <w:color w:val="000000" w:themeColor="text1"/>
                </w:rPr>
                <w:t>čia:</w:t>
                <w:tab/>
              </w:r>
              <w:r>
                <w:rPr>
                  <w:bCs/>
                  <w:i/>
                  <w:color w:val="000000" w:themeColor="text1"/>
                </w:rPr>
                <w:t>F</w:t>
              </w:r>
              <w:r>
                <w:rPr>
                  <w:bCs/>
                  <w:i/>
                  <w:color w:val="000000" w:themeColor="text1"/>
                  <w:vertAlign w:val="subscript"/>
                </w:rPr>
                <w:t>sh.e</w:t>
              </w:r>
              <w:r>
                <w:rPr>
                  <w:bCs/>
                  <w:i/>
                  <w:color w:val="000000" w:themeColor="text1"/>
                </w:rPr>
                <w:t xml:space="preserve"> </w:t>
              </w:r>
              <w:r>
                <w:rPr>
                  <w:bCs/>
                  <w:color w:val="000000" w:themeColor="text1"/>
                </w:rPr>
                <w:t xml:space="preserve">– koeficientas, įvertinantis pastato išorėje esančias kliūtis Saulės spinduliuotei patekti į nešildomą patalpą (šalia esantys pastatai, medžiai, atitvarų angokraščiai ir pan.). Imama </w:t>
              </w:r>
              <w:r>
                <w:rPr>
                  <w:bCs/>
                  <w:i/>
                  <w:color w:val="000000" w:themeColor="text1"/>
                </w:rPr>
                <w:t>F</w:t>
              </w:r>
              <w:r>
                <w:rPr>
                  <w:bCs/>
                  <w:i/>
                  <w:color w:val="000000" w:themeColor="text1"/>
                  <w:vertAlign w:val="subscript"/>
                </w:rPr>
                <w:t>sh.e</w:t>
              </w:r>
              <w:r>
                <w:rPr>
                  <w:bCs/>
                  <w:i/>
                  <w:color w:val="000000" w:themeColor="text1"/>
                </w:rPr>
                <w:t xml:space="preserve"> </w:t>
              </w:r>
              <w:r>
                <w:rPr>
                  <w:bCs/>
                  <w:color w:val="000000" w:themeColor="text1"/>
                </w:rPr>
                <w:t>=0,9;</w:t>
              </w:r>
            </w:p>
            <w:p>
              <w:pPr>
                <w:ind w:firstLine="567"/>
                <w:jc w:val="both"/>
                <w:rPr>
                  <w:color w:val="000000" w:themeColor="text1"/>
                </w:rPr>
              </w:pPr>
              <w:r>
                <w:rPr>
                  <w:bCs/>
                  <w:i/>
                  <w:color w:val="000000" w:themeColor="text1"/>
                </w:rPr>
                <w:t>F</w:t>
              </w:r>
              <w:r>
                <w:rPr>
                  <w:bCs/>
                  <w:i/>
                  <w:color w:val="000000" w:themeColor="text1"/>
                  <w:vertAlign w:val="subscript"/>
                </w:rPr>
                <w:t>sh.wd,m,x</w:t>
              </w:r>
              <w:r>
                <w:rPr>
                  <w:color w:val="000000" w:themeColor="text1"/>
                </w:rPr>
                <w:t xml:space="preserve">, </w:t>
              </w:r>
              <w:r>
                <w:rPr>
                  <w:bCs/>
                  <w:i/>
                  <w:color w:val="000000" w:themeColor="text1"/>
                </w:rPr>
                <w:t>F</w:t>
              </w:r>
              <w:r>
                <w:rPr>
                  <w:bCs/>
                  <w:i/>
                  <w:color w:val="000000" w:themeColor="text1"/>
                  <w:vertAlign w:val="subscript"/>
                </w:rPr>
                <w:t>sh.gw,m,x</w:t>
              </w:r>
              <w:r>
                <w:rPr>
                  <w:bCs/>
                  <w:color w:val="000000" w:themeColor="text1"/>
                </w:rPr>
                <w:t>,</w:t>
              </w:r>
              <w:r>
                <w:rPr>
                  <w:color w:val="000000" w:themeColor="text1"/>
                </w:rPr>
                <w:t xml:space="preserve"> </w:t>
              </w:r>
              <w:r>
                <w:rPr>
                  <w:bCs/>
                  <w:i/>
                  <w:color w:val="000000" w:themeColor="text1"/>
                </w:rPr>
                <w:t>F</w:t>
              </w:r>
              <w:r>
                <w:rPr>
                  <w:bCs/>
                  <w:i/>
                  <w:color w:val="000000" w:themeColor="text1"/>
                  <w:vertAlign w:val="subscript"/>
                </w:rPr>
                <w:t>sh.bw,m,x</w:t>
              </w:r>
              <w:r>
                <w:rPr>
                  <w:bCs/>
                  <w:color w:val="000000" w:themeColor="text1"/>
                </w:rPr>
                <w:t>,</w:t>
              </w:r>
              <w:r>
                <w:rPr>
                  <w:color w:val="000000" w:themeColor="text1"/>
                </w:rPr>
                <w:t xml:space="preserve"> </w:t>
              </w:r>
              <w:r>
                <w:rPr>
                  <w:bCs/>
                  <w:i/>
                  <w:color w:val="000000" w:themeColor="text1"/>
                </w:rPr>
                <w:t>F</w:t>
              </w:r>
              <w:r>
                <w:rPr>
                  <w:bCs/>
                  <w:i/>
                  <w:color w:val="000000" w:themeColor="text1"/>
                  <w:vertAlign w:val="subscript"/>
                </w:rPr>
                <w:t>sh.og,m,x</w:t>
              </w:r>
              <w:r>
                <w:rPr>
                  <w:bCs/>
                  <w:i/>
                  <w:color w:val="000000" w:themeColor="text1"/>
                </w:rPr>
                <w:t xml:space="preserve"> </w:t>
              </w:r>
              <w:r>
                <w:rPr>
                  <w:bCs/>
                  <w:color w:val="000000" w:themeColor="text1"/>
                </w:rPr>
                <w:t xml:space="preserve">– koeficientai, įvertinantys kiekvieną metų mėnesį </w:t>
              </w:r>
              <w:r>
                <w:rPr>
                  <w:bCs/>
                  <w:i/>
                  <w:color w:val="000000" w:themeColor="text1"/>
                </w:rPr>
                <w:t>„m“</w:t>
              </w:r>
              <w:r>
                <w:rPr>
                  <w:bCs/>
                  <w:color w:val="000000" w:themeColor="text1"/>
                </w:rPr>
                <w:t xml:space="preserve"> Saulės spinduliuotės sumažėjimą per nešildomos patalpos</w:t>
              </w:r>
              <w:r>
                <w:rPr>
                  <w:color w:val="000000" w:themeColor="text1"/>
                </w:rPr>
                <w:t xml:space="preserve"> atitinkamą „</w:t>
              </w:r>
              <w:r>
                <w:rPr>
                  <w:i/>
                  <w:color w:val="000000" w:themeColor="text1"/>
                </w:rPr>
                <w:t>x</w:t>
              </w:r>
              <w:r>
                <w:rPr>
                  <w:color w:val="000000" w:themeColor="text1"/>
                </w:rPr>
                <w:t xml:space="preserve">“ langą, stoglangį, švieslangį ar kitą skaidrią atitvarą </w:t>
              </w:r>
              <w:r>
                <w:rPr>
                  <w:bCs/>
                  <w:color w:val="000000" w:themeColor="text1"/>
                </w:rPr>
                <w:t>dėl šešėlių nuo pastato elementų</w:t>
              </w:r>
              <w:r>
                <w:rPr>
                  <w:color w:val="000000" w:themeColor="text1"/>
                </w:rPr>
                <w:t xml:space="preserve"> arba specialiai šios spinduliuotės sumažinimui pastate įrengtų priemonių. Nustatomi pagal Reglamento 2 priedo 46 punkto reikalavimus;</w:t>
              </w:r>
            </w:p>
            <w:p>
              <w:pPr>
                <w:ind w:firstLine="567"/>
                <w:jc w:val="both"/>
                <w:rPr>
                  <w:color w:val="000000" w:themeColor="text1"/>
                </w:rPr>
              </w:pPr>
              <w:r>
                <w:rPr>
                  <w:bCs/>
                  <w:i/>
                  <w:color w:val="000000" w:themeColor="text1"/>
                </w:rPr>
                <w:t>F</w:t>
              </w:r>
              <w:r>
                <w:rPr>
                  <w:bCs/>
                  <w:i/>
                  <w:color w:val="000000" w:themeColor="text1"/>
                  <w:vertAlign w:val="subscript"/>
                </w:rPr>
                <w:t>e.g,x</w:t>
              </w:r>
              <w:r>
                <w:rPr>
                  <w:color w:val="000000" w:themeColor="text1"/>
                </w:rPr>
                <w:t xml:space="preserve"> </w:t>
              </w:r>
              <w:r>
                <w:rPr>
                  <w:bCs/>
                  <w:color w:val="000000" w:themeColor="text1"/>
                </w:rPr>
                <w:t xml:space="preserve">– koeficientas, įvertinantis Saulės spinduliuotės sumažėjimą per </w:t>
              </w:r>
              <w:r>
                <w:rPr>
                  <w:color w:val="000000" w:themeColor="text1"/>
                </w:rPr>
                <w:t xml:space="preserve">atitinkamą </w:t>
              </w:r>
              <w:r>
                <w:rPr>
                  <w:bCs/>
                  <w:color w:val="000000" w:themeColor="text1"/>
                </w:rPr>
                <w:t xml:space="preserve">nešildomos patalpos </w:t>
              </w:r>
              <w:r>
                <w:rPr>
                  <w:color w:val="000000" w:themeColor="text1"/>
                </w:rPr>
                <w:t>„</w:t>
              </w:r>
              <w:r>
                <w:rPr>
                  <w:i/>
                  <w:color w:val="000000" w:themeColor="text1"/>
                </w:rPr>
                <w:t>x</w:t>
              </w:r>
              <w:r>
                <w:rPr>
                  <w:color w:val="000000" w:themeColor="text1"/>
                </w:rPr>
                <w:t xml:space="preserve">“ langą, stoglangį, švieslangį ar kitą skaidrią atitvarą </w:t>
              </w:r>
              <w:r>
                <w:rPr>
                  <w:bCs/>
                  <w:color w:val="000000" w:themeColor="text1"/>
                </w:rPr>
                <w:t xml:space="preserve">dėl tarp šios atitvaros ir išorės esančių kitų pastato elementų. </w:t>
              </w:r>
              <w:r>
                <w:rPr>
                  <w:color w:val="000000" w:themeColor="text1"/>
                </w:rPr>
                <w:t xml:space="preserve">Imamas iš Reglamento 2 priedo  2.25 lentelės;</w:t>
              </w:r>
            </w:p>
            <w:p>
              <w:pPr>
                <w:ind w:firstLine="567"/>
                <w:jc w:val="both"/>
                <w:rPr>
                  <w:color w:val="000000" w:themeColor="text1"/>
                </w:rPr>
              </w:pPr>
              <w:r>
                <w:rPr>
                  <w:bCs/>
                  <w:i/>
                  <w:color w:val="000000" w:themeColor="text1"/>
                </w:rPr>
                <w:t>I</w:t>
              </w:r>
              <w:r>
                <w:rPr>
                  <w:bCs/>
                  <w:i/>
                  <w:color w:val="000000" w:themeColor="text1"/>
                  <w:vertAlign w:val="subscript"/>
                </w:rPr>
                <w:t>sol.wd,m,x</w:t>
              </w:r>
              <w:r>
                <w:rPr>
                  <w:color w:val="000000" w:themeColor="text1"/>
                </w:rPr>
                <w:t xml:space="preserve">, </w:t>
              </w:r>
              <w:r>
                <w:rPr>
                  <w:bCs/>
                  <w:i/>
                  <w:color w:val="000000" w:themeColor="text1"/>
                </w:rPr>
                <w:t>I</w:t>
              </w:r>
              <w:r>
                <w:rPr>
                  <w:bCs/>
                  <w:i/>
                  <w:color w:val="000000" w:themeColor="text1"/>
                  <w:vertAlign w:val="subscript"/>
                </w:rPr>
                <w:t>sol.gw,m,x</w:t>
              </w:r>
              <w:r>
                <w:rPr>
                  <w:bCs/>
                  <w:color w:val="000000" w:themeColor="text1"/>
                </w:rPr>
                <w:t>,</w:t>
              </w:r>
              <w:r>
                <w:rPr>
                  <w:color w:val="000000" w:themeColor="text1"/>
                </w:rPr>
                <w:t xml:space="preserve"> </w:t>
              </w:r>
              <w:r>
                <w:rPr>
                  <w:bCs/>
                  <w:i/>
                  <w:color w:val="000000" w:themeColor="text1"/>
                </w:rPr>
                <w:t>I</w:t>
              </w:r>
              <w:r>
                <w:rPr>
                  <w:bCs/>
                  <w:i/>
                  <w:color w:val="000000" w:themeColor="text1"/>
                  <w:vertAlign w:val="subscript"/>
                </w:rPr>
                <w:t>sol.bw,m,x</w:t>
              </w:r>
              <w:r>
                <w:rPr>
                  <w:bCs/>
                  <w:color w:val="000000" w:themeColor="text1"/>
                </w:rPr>
                <w:t>,</w:t>
              </w:r>
              <w:r>
                <w:rPr>
                  <w:color w:val="000000" w:themeColor="text1"/>
                </w:rPr>
                <w:t xml:space="preserve"> </w:t>
              </w:r>
              <w:r>
                <w:rPr>
                  <w:bCs/>
                  <w:i/>
                  <w:color w:val="000000" w:themeColor="text1"/>
                </w:rPr>
                <w:t>I</w:t>
              </w:r>
              <w:r>
                <w:rPr>
                  <w:bCs/>
                  <w:i/>
                  <w:color w:val="000000" w:themeColor="text1"/>
                  <w:vertAlign w:val="subscript"/>
                </w:rPr>
                <w:t>sol.og,m,x</w:t>
              </w:r>
              <w:r>
                <w:rPr>
                  <w:color w:val="000000" w:themeColor="text1"/>
                </w:rPr>
                <w:t xml:space="preserve"> – vidutinis kiekvieno metų mėnesio </w:t>
              </w:r>
              <w:r>
                <w:rPr>
                  <w:i/>
                  <w:color w:val="000000" w:themeColor="text1"/>
                </w:rPr>
                <w:t>„m“</w:t>
              </w:r>
              <w:r>
                <w:rPr>
                  <w:color w:val="000000" w:themeColor="text1"/>
                </w:rPr>
                <w:t xml:space="preserve"> Saulės bendrosios spinduliuotės srauto tankis į </w:t>
              </w:r>
              <w:r>
                <w:rPr>
                  <w:bCs/>
                  <w:color w:val="000000" w:themeColor="text1"/>
                </w:rPr>
                <w:t xml:space="preserve">nešildomos patalpos </w:t>
              </w:r>
              <w:r>
                <w:rPr>
                  <w:color w:val="000000" w:themeColor="text1"/>
                </w:rPr>
                <w:t>atitinkamo „</w:t>
              </w:r>
              <w:r>
                <w:rPr>
                  <w:i/>
                  <w:color w:val="000000" w:themeColor="text1"/>
                </w:rPr>
                <w:t>x</w:t>
              </w:r>
              <w:r>
                <w:rPr>
                  <w:color w:val="000000" w:themeColor="text1"/>
                </w:rPr>
                <w:t>“ lango, stoglangio, švieslangio ar kitos skaidrios atitvaros paviršių (W/m²). Imama iš Reglamento 2 priedo 2.33–2.35 lentelių;</w:t>
              </w:r>
            </w:p>
            <w:p>
              <w:pPr>
                <w:ind w:firstLine="567"/>
                <w:jc w:val="both"/>
                <w:rPr>
                  <w:color w:val="000000" w:themeColor="text1"/>
                </w:rPr>
              </w:pPr>
              <w:r>
                <w:rPr>
                  <w:bCs/>
                  <w:i/>
                  <w:color w:val="000000" w:themeColor="text1"/>
                </w:rPr>
                <w:t>g</w:t>
              </w:r>
              <w:r>
                <w:rPr>
                  <w:bCs/>
                  <w:i/>
                  <w:color w:val="000000" w:themeColor="text1"/>
                  <w:vertAlign w:val="subscript"/>
                </w:rPr>
                <w:t>wd,x</w:t>
              </w:r>
              <w:r>
                <w:rPr>
                  <w:color w:val="000000" w:themeColor="text1"/>
                </w:rPr>
                <w:t xml:space="preserve">, </w:t>
              </w:r>
              <w:r>
                <w:rPr>
                  <w:bCs/>
                  <w:i/>
                  <w:color w:val="000000" w:themeColor="text1"/>
                </w:rPr>
                <w:t>g</w:t>
              </w:r>
              <w:r>
                <w:rPr>
                  <w:bCs/>
                  <w:i/>
                  <w:color w:val="000000" w:themeColor="text1"/>
                  <w:vertAlign w:val="subscript"/>
                </w:rPr>
                <w:t>gw,x</w:t>
              </w:r>
              <w:r>
                <w:rPr>
                  <w:bCs/>
                  <w:color w:val="000000" w:themeColor="text1"/>
                </w:rPr>
                <w:t>,</w:t>
              </w:r>
              <w:r>
                <w:rPr>
                  <w:color w:val="000000" w:themeColor="text1"/>
                </w:rPr>
                <w:t xml:space="preserve"> </w:t>
              </w:r>
              <w:r>
                <w:rPr>
                  <w:bCs/>
                  <w:i/>
                  <w:color w:val="000000" w:themeColor="text1"/>
                </w:rPr>
                <w:t>g</w:t>
              </w:r>
              <w:r>
                <w:rPr>
                  <w:bCs/>
                  <w:i/>
                  <w:color w:val="000000" w:themeColor="text1"/>
                  <w:vertAlign w:val="subscript"/>
                </w:rPr>
                <w:t>bw,x</w:t>
              </w:r>
              <w:r>
                <w:rPr>
                  <w:bCs/>
                  <w:color w:val="000000" w:themeColor="text1"/>
                </w:rPr>
                <w:t>,</w:t>
              </w:r>
              <w:r>
                <w:rPr>
                  <w:color w:val="000000" w:themeColor="text1"/>
                </w:rPr>
                <w:t xml:space="preserve"> </w:t>
              </w:r>
              <w:r>
                <w:rPr>
                  <w:bCs/>
                  <w:i/>
                  <w:color w:val="000000" w:themeColor="text1"/>
                </w:rPr>
                <w:t>g</w:t>
              </w:r>
              <w:r>
                <w:rPr>
                  <w:bCs/>
                  <w:i/>
                  <w:color w:val="000000" w:themeColor="text1"/>
                  <w:vertAlign w:val="subscript"/>
                </w:rPr>
                <w:t>og,x</w:t>
              </w:r>
              <w:r>
                <w:rPr>
                  <w:color w:val="000000" w:themeColor="text1"/>
                </w:rPr>
                <w:t xml:space="preserve"> – </w:t>
              </w:r>
              <w:r>
                <w:rPr>
                  <w:bCs/>
                  <w:color w:val="000000" w:themeColor="text1"/>
                </w:rPr>
                <w:t>nešildomos patalpos</w:t>
              </w:r>
              <w:r>
                <w:rPr>
                  <w:color w:val="000000" w:themeColor="text1"/>
                </w:rPr>
                <w:t xml:space="preserve"> atitinkamo „</w:t>
              </w:r>
              <w:r>
                <w:rPr>
                  <w:i/>
                  <w:color w:val="000000" w:themeColor="text1"/>
                </w:rPr>
                <w:t>x</w:t>
              </w:r>
              <w:r>
                <w:rPr>
                  <w:color w:val="000000" w:themeColor="text1"/>
                </w:rPr>
                <w:t xml:space="preserve">“ lango, stoglangio, švieslangio ar kitos skaidrios atitvaros įstiklinimo </w:t>
              </w:r>
              <w:r>
                <w:rPr>
                  <w:bCs/>
                  <w:color w:val="000000" w:themeColor="text1"/>
                </w:rPr>
                <w:t>visuminės saulės energijos praleisties koeficientas</w:t>
              </w:r>
              <w:r>
                <w:rPr>
                  <w:color w:val="000000" w:themeColor="text1"/>
                </w:rPr>
                <w:t>. Imamas iš gamintojo deklaracijos; nesant duomenų, imama iš Reglamento 4 priedo;</w:t>
              </w:r>
            </w:p>
            <w:p>
              <w:pPr>
                <w:ind w:firstLine="567"/>
                <w:jc w:val="both"/>
                <w:rPr>
                  <w:color w:val="000000" w:themeColor="text1"/>
                </w:rPr>
              </w:pPr>
              <w:r>
                <w:rPr>
                  <w:i/>
                  <w:color w:val="000000" w:themeColor="text1"/>
                </w:rPr>
                <w:t>h</w:t>
              </w:r>
              <w:r>
                <w:rPr>
                  <w:i/>
                  <w:color w:val="000000" w:themeColor="text1"/>
                  <w:vertAlign w:val="subscript"/>
                </w:rPr>
                <w:t>se.r</w:t>
              </w:r>
              <w:r>
                <w:rPr>
                  <w:color w:val="000000" w:themeColor="text1"/>
                </w:rPr>
                <w:t xml:space="preserve"> – išorinio paviršiaus spindulinis šilumos perdavimo koeficientas (W/m²·K). Imama </w:t>
              </w:r>
              <w:r>
                <w:rPr>
                  <w:i/>
                  <w:color w:val="000000" w:themeColor="text1"/>
                </w:rPr>
                <w:t>h</w:t>
              </w:r>
              <w:r>
                <w:rPr>
                  <w:i/>
                  <w:color w:val="000000" w:themeColor="text1"/>
                  <w:vertAlign w:val="subscript"/>
                </w:rPr>
                <w:t>se.r</w:t>
              </w:r>
              <w:r>
                <w:rPr>
                  <w:i/>
                  <w:color w:val="000000" w:themeColor="text1"/>
                </w:rPr>
                <w:t>=</w:t>
              </w:r>
              <w:r>
                <w:rPr>
                  <w:color w:val="000000" w:themeColor="text1"/>
                </w:rPr>
                <w:t>5</w:t>
              </w:r>
              <w:r>
                <w:rPr>
                  <w:i/>
                  <w:color w:val="000000" w:themeColor="text1"/>
                </w:rPr>
                <w:t>·ε</w:t>
              </w:r>
              <w:r>
                <w:rPr>
                  <w:color w:val="000000" w:themeColor="text1"/>
                </w:rPr>
                <w:t xml:space="preserve">; atitvaros išorinio paviršiaus emisija </w:t>
              </w:r>
              <w:r>
                <w:rPr>
                  <w:i/>
                  <w:color w:val="000000" w:themeColor="text1"/>
                </w:rPr>
                <w:t>ε</w:t>
              </w:r>
              <w:r>
                <w:rPr>
                  <w:color w:val="000000" w:themeColor="text1"/>
                </w:rPr>
                <w:t xml:space="preserve"> imama </w:t>
              </w:r>
              <w:r>
                <w:rPr>
                  <w:i/>
                  <w:color w:val="000000" w:themeColor="text1"/>
                </w:rPr>
                <w:t>ε</w:t>
              </w:r>
              <w:r>
                <w:rPr>
                  <w:color w:val="000000" w:themeColor="text1"/>
                </w:rPr>
                <w:t>=0,9;</w:t>
              </w:r>
            </w:p>
            <w:p>
              <w:pPr>
                <w:ind w:firstLine="567"/>
                <w:jc w:val="both"/>
                <w:rPr>
                  <w:color w:val="000000" w:themeColor="text1"/>
                </w:rPr>
              </w:pPr>
              <w:r>
                <w:rPr>
                  <w:i/>
                  <w:color w:val="000000" w:themeColor="text1"/>
                </w:rPr>
                <w:t>Δθ</w:t>
              </w:r>
              <w:r>
                <w:rPr>
                  <w:i/>
                  <w:color w:val="000000" w:themeColor="text1"/>
                  <w:vertAlign w:val="subscript"/>
                </w:rPr>
                <w:t>er</w:t>
              </w:r>
              <w:r>
                <w:rPr>
                  <w:i/>
                  <w:color w:val="000000" w:themeColor="text1"/>
                </w:rPr>
                <w:t xml:space="preserve"> </w:t>
              </w:r>
              <w:r>
                <w:rPr>
                  <w:color w:val="000000" w:themeColor="text1"/>
                </w:rPr>
                <w:t xml:space="preserve">– vidutinis temperatūrų skirtumas tarp išorės oro ir dangaus skliauto. Imama   </w:t>
              </w:r>
              <w:r>
                <w:rPr>
                  <w:i/>
                  <w:color w:val="000000" w:themeColor="text1"/>
                </w:rPr>
                <w:t>Δθ</w:t>
              </w:r>
              <w:r>
                <w:rPr>
                  <w:i/>
                  <w:color w:val="000000" w:themeColor="text1"/>
                  <w:vertAlign w:val="subscript"/>
                </w:rPr>
                <w:t>er</w:t>
              </w:r>
              <w:r>
                <w:rPr>
                  <w:color w:val="000000" w:themeColor="text1"/>
                </w:rPr>
                <w:t>=11 °C;</w:t>
              </w:r>
            </w:p>
            <w:p>
              <w:pPr>
                <w:ind w:firstLine="567"/>
                <w:jc w:val="both"/>
                <w:rPr>
                  <w:color w:val="000000" w:themeColor="text1"/>
                </w:rPr>
              </w:pPr>
              <w:r>
                <w:rPr>
                  <w:bCs/>
                  <w:i/>
                  <w:color w:val="000000" w:themeColor="text1"/>
                </w:rPr>
                <w:t>F</w:t>
              </w:r>
              <w:r>
                <w:rPr>
                  <w:bCs/>
                  <w:i/>
                  <w:color w:val="000000" w:themeColor="text1"/>
                  <w:vertAlign w:val="subscript"/>
                </w:rPr>
                <w:t>r.wd,x</w:t>
              </w:r>
              <w:r>
                <w:rPr>
                  <w:color w:val="000000" w:themeColor="text1"/>
                </w:rPr>
                <w:t xml:space="preserve">, </w:t>
              </w:r>
              <w:r>
                <w:rPr>
                  <w:bCs/>
                  <w:i/>
                  <w:color w:val="000000" w:themeColor="text1"/>
                </w:rPr>
                <w:t>F</w:t>
              </w:r>
              <w:r>
                <w:rPr>
                  <w:bCs/>
                  <w:i/>
                  <w:color w:val="000000" w:themeColor="text1"/>
                  <w:vertAlign w:val="subscript"/>
                </w:rPr>
                <w:t>r.gw,x</w:t>
              </w:r>
              <w:r>
                <w:rPr>
                  <w:bCs/>
                  <w:color w:val="000000" w:themeColor="text1"/>
                </w:rPr>
                <w:t>,</w:t>
              </w:r>
              <w:r>
                <w:rPr>
                  <w:color w:val="000000" w:themeColor="text1"/>
                </w:rPr>
                <w:t xml:space="preserve"> </w:t>
              </w:r>
              <w:r>
                <w:rPr>
                  <w:bCs/>
                  <w:i/>
                  <w:color w:val="000000" w:themeColor="text1"/>
                </w:rPr>
                <w:t>F</w:t>
              </w:r>
              <w:r>
                <w:rPr>
                  <w:bCs/>
                  <w:i/>
                  <w:color w:val="000000" w:themeColor="text1"/>
                  <w:vertAlign w:val="subscript"/>
                </w:rPr>
                <w:t>r.bw,x</w:t>
              </w:r>
              <w:r>
                <w:rPr>
                  <w:bCs/>
                  <w:color w:val="000000" w:themeColor="text1"/>
                </w:rPr>
                <w:t>,</w:t>
              </w:r>
              <w:r>
                <w:rPr>
                  <w:color w:val="000000" w:themeColor="text1"/>
                </w:rPr>
                <w:t xml:space="preserve"> </w:t>
              </w:r>
              <w:r>
                <w:rPr>
                  <w:bCs/>
                  <w:i/>
                  <w:color w:val="000000" w:themeColor="text1"/>
                </w:rPr>
                <w:t>F</w:t>
              </w:r>
              <w:r>
                <w:rPr>
                  <w:bCs/>
                  <w:i/>
                  <w:color w:val="000000" w:themeColor="text1"/>
                  <w:vertAlign w:val="subscript"/>
                </w:rPr>
                <w:t>r.og,x</w:t>
              </w:r>
              <w:r>
                <w:rPr>
                  <w:bCs/>
                  <w:i/>
                  <w:color w:val="000000" w:themeColor="text1"/>
                </w:rPr>
                <w:t xml:space="preserve"> </w:t>
              </w:r>
              <w:r>
                <w:rPr>
                  <w:bCs/>
                  <w:color w:val="000000" w:themeColor="text1"/>
                </w:rPr>
                <w:t xml:space="preserve">– koeficientai, įvertinantys kliūtis spinduliniams mainams tarp dangaus skliauto ir nešildomos patalpos </w:t>
              </w:r>
              <w:r>
                <w:rPr>
                  <w:color w:val="000000" w:themeColor="text1"/>
                </w:rPr>
                <w:t>atitinkamo „</w:t>
              </w:r>
              <w:r>
                <w:rPr>
                  <w:i/>
                  <w:color w:val="000000" w:themeColor="text1"/>
                </w:rPr>
                <w:t>x</w:t>
              </w:r>
              <w:r>
                <w:rPr>
                  <w:color w:val="000000" w:themeColor="text1"/>
                </w:rPr>
                <w:t xml:space="preserve">“ lango, stoglangio, švieslangio ar kitos skaidrios atitvaros paviršiaus. Imama iš Reglamento 2 priedo  2.25 lentelės;</w:t>
              </w:r>
            </w:p>
            <w:p>
              <w:pPr>
                <w:ind w:firstLine="567"/>
                <w:jc w:val="both"/>
                <w:rPr>
                  <w:color w:val="000000" w:themeColor="text1"/>
                </w:rPr>
              </w:pPr>
              <w:r>
                <w:rPr>
                  <w:bCs/>
                  <w:i/>
                  <w:color w:val="000000" w:themeColor="text1"/>
                </w:rPr>
                <w:t>A</w:t>
              </w:r>
              <w:r>
                <w:rPr>
                  <w:bCs/>
                  <w:i/>
                  <w:color w:val="000000" w:themeColor="text1"/>
                  <w:vertAlign w:val="subscript"/>
                </w:rPr>
                <w:t>wd,x</w:t>
              </w:r>
              <w:r>
                <w:rPr>
                  <w:color w:val="000000" w:themeColor="text1"/>
                </w:rPr>
                <w:t xml:space="preserve">, </w:t>
              </w:r>
              <w:r>
                <w:rPr>
                  <w:bCs/>
                  <w:i/>
                  <w:color w:val="000000" w:themeColor="text1"/>
                </w:rPr>
                <w:t>A</w:t>
              </w:r>
              <w:r>
                <w:rPr>
                  <w:bCs/>
                  <w:i/>
                  <w:color w:val="000000" w:themeColor="text1"/>
                  <w:vertAlign w:val="subscript"/>
                </w:rPr>
                <w:t>gw,x</w:t>
              </w:r>
              <w:r>
                <w:rPr>
                  <w:bCs/>
                  <w:color w:val="000000" w:themeColor="text1"/>
                </w:rPr>
                <w:t>,</w:t>
              </w:r>
              <w:r>
                <w:rPr>
                  <w:color w:val="000000" w:themeColor="text1"/>
                </w:rPr>
                <w:t xml:space="preserve"> </w:t>
              </w:r>
              <w:r>
                <w:rPr>
                  <w:bCs/>
                  <w:i/>
                  <w:color w:val="000000" w:themeColor="text1"/>
                </w:rPr>
                <w:t>A</w:t>
              </w:r>
              <w:r>
                <w:rPr>
                  <w:bCs/>
                  <w:i/>
                  <w:color w:val="000000" w:themeColor="text1"/>
                  <w:vertAlign w:val="subscript"/>
                </w:rPr>
                <w:t>bw,x</w:t>
              </w:r>
              <w:r>
                <w:rPr>
                  <w:bCs/>
                  <w:color w:val="000000" w:themeColor="text1"/>
                </w:rPr>
                <w:t>,</w:t>
              </w:r>
              <w:r>
                <w:rPr>
                  <w:color w:val="000000" w:themeColor="text1"/>
                </w:rPr>
                <w:t xml:space="preserve"> </w:t>
              </w:r>
              <w:r>
                <w:rPr>
                  <w:bCs/>
                  <w:i/>
                  <w:color w:val="000000" w:themeColor="text1"/>
                </w:rPr>
                <w:t>A</w:t>
              </w:r>
              <w:r>
                <w:rPr>
                  <w:bCs/>
                  <w:i/>
                  <w:color w:val="000000" w:themeColor="text1"/>
                  <w:vertAlign w:val="subscript"/>
                </w:rPr>
                <w:t>og,x</w:t>
              </w:r>
              <w:r>
                <w:rPr>
                  <w:color w:val="000000" w:themeColor="text1"/>
                </w:rPr>
                <w:t xml:space="preserve"> –  </w:t>
              </w:r>
              <w:r>
                <w:rPr>
                  <w:bCs/>
                  <w:color w:val="000000" w:themeColor="text1"/>
                </w:rPr>
                <w:t>nešildomos patalpos</w:t>
              </w:r>
              <w:r>
                <w:rPr>
                  <w:color w:val="000000" w:themeColor="text1"/>
                </w:rPr>
                <w:t xml:space="preserve"> atitinkamo „</w:t>
              </w:r>
              <w:r>
                <w:rPr>
                  <w:i/>
                  <w:color w:val="000000" w:themeColor="text1"/>
                </w:rPr>
                <w:t>x</w:t>
              </w:r>
              <w:r>
                <w:rPr>
                  <w:color w:val="000000" w:themeColor="text1"/>
                </w:rPr>
                <w:t>“ lango, stoglangio, švieslangio ir kitos skaidrios atitvaros plotas (m</w:t>
              </w:r>
              <w:r>
                <w:rPr>
                  <w:color w:val="000000" w:themeColor="text1"/>
                  <w:vertAlign w:val="superscript"/>
                </w:rPr>
                <w:t>2</w:t>
              </w:r>
              <w:r>
                <w:rPr>
                  <w:color w:val="000000" w:themeColor="text1"/>
                </w:rPr>
                <w:t>). Nustatomas pagal Reglamento 7 priedo reikalavimus;</w:t>
              </w:r>
            </w:p>
            <w:p>
              <w:pPr>
                <w:ind w:firstLine="567"/>
                <w:jc w:val="both"/>
                <w:rPr>
                  <w:color w:val="000000" w:themeColor="text1"/>
                </w:rPr>
              </w:pPr>
              <w:r>
                <w:rPr>
                  <w:bCs/>
                  <w:i/>
                  <w:color w:val="000000" w:themeColor="text1"/>
                </w:rPr>
                <w:t>A</w:t>
              </w:r>
              <w:r>
                <w:rPr>
                  <w:bCs/>
                  <w:i/>
                  <w:color w:val="000000" w:themeColor="text1"/>
                  <w:vertAlign w:val="subscript"/>
                </w:rPr>
                <w:t>wd-g,x</w:t>
              </w:r>
              <w:r>
                <w:rPr>
                  <w:color w:val="000000" w:themeColor="text1"/>
                </w:rPr>
                <w:t xml:space="preserve">, </w:t>
              </w:r>
              <w:r>
                <w:rPr>
                  <w:bCs/>
                  <w:i/>
                  <w:color w:val="000000" w:themeColor="text1"/>
                </w:rPr>
                <w:t>A</w:t>
              </w:r>
              <w:r>
                <w:rPr>
                  <w:bCs/>
                  <w:i/>
                  <w:color w:val="000000" w:themeColor="text1"/>
                  <w:vertAlign w:val="subscript"/>
                </w:rPr>
                <w:t>gw-g,x</w:t>
              </w:r>
              <w:r>
                <w:rPr>
                  <w:bCs/>
                  <w:color w:val="000000" w:themeColor="text1"/>
                </w:rPr>
                <w:t>,</w:t>
              </w:r>
              <w:r>
                <w:rPr>
                  <w:color w:val="000000" w:themeColor="text1"/>
                </w:rPr>
                <w:t xml:space="preserve"> </w:t>
              </w:r>
              <w:r>
                <w:rPr>
                  <w:bCs/>
                  <w:i/>
                  <w:color w:val="000000" w:themeColor="text1"/>
                </w:rPr>
                <w:t>A</w:t>
              </w:r>
              <w:r>
                <w:rPr>
                  <w:bCs/>
                  <w:i/>
                  <w:color w:val="000000" w:themeColor="text1"/>
                  <w:vertAlign w:val="subscript"/>
                </w:rPr>
                <w:t>bw-g,x</w:t>
              </w:r>
              <w:r>
                <w:rPr>
                  <w:bCs/>
                  <w:color w:val="000000" w:themeColor="text1"/>
                </w:rPr>
                <w:t>,</w:t>
              </w:r>
              <w:r>
                <w:rPr>
                  <w:color w:val="000000" w:themeColor="text1"/>
                </w:rPr>
                <w:t xml:space="preserve"> </w:t>
              </w:r>
              <w:r>
                <w:rPr>
                  <w:bCs/>
                  <w:i/>
                  <w:color w:val="000000" w:themeColor="text1"/>
                </w:rPr>
                <w:t>A</w:t>
              </w:r>
              <w:r>
                <w:rPr>
                  <w:bCs/>
                  <w:i/>
                  <w:color w:val="000000" w:themeColor="text1"/>
                  <w:vertAlign w:val="subscript"/>
                </w:rPr>
                <w:t>og-g,x</w:t>
              </w:r>
              <w:r>
                <w:rPr>
                  <w:color w:val="000000" w:themeColor="text1"/>
                </w:rPr>
                <w:t xml:space="preserve"> – </w:t>
              </w:r>
              <w:r>
                <w:rPr>
                  <w:bCs/>
                  <w:color w:val="000000" w:themeColor="text1"/>
                </w:rPr>
                <w:t>nešildomos patalpos</w:t>
              </w:r>
              <w:r>
                <w:rPr>
                  <w:color w:val="000000" w:themeColor="text1"/>
                </w:rPr>
                <w:t xml:space="preserve"> atitinkamo „</w:t>
              </w:r>
              <w:r>
                <w:rPr>
                  <w:i/>
                  <w:color w:val="000000" w:themeColor="text1"/>
                </w:rPr>
                <w:t>x</w:t>
              </w:r>
              <w:r>
                <w:rPr>
                  <w:color w:val="000000" w:themeColor="text1"/>
                </w:rPr>
                <w:t>“ lango, stoglangio, švieslangio ar kitos skaidrios atitvaros įstiklintos dalies plotas (m</w:t>
              </w:r>
              <w:r>
                <w:rPr>
                  <w:color w:val="000000" w:themeColor="text1"/>
                  <w:vertAlign w:val="superscript"/>
                </w:rPr>
                <w:t>2</w:t>
              </w:r>
              <w:r>
                <w:rPr>
                  <w:color w:val="000000" w:themeColor="text1"/>
                </w:rPr>
                <w:t>). Nustatomas pagal Reglamento 7 priedo reikalavimus.</w:t>
              </w:r>
            </w:p>
            <w:p>
              <w:pPr>
                <w:ind w:left="720"/>
                <w:rPr>
                  <w:color w:val="000000" w:themeColor="text1"/>
                </w:rPr>
              </w:pPr>
            </w:p>
          </w:sdtContent>
        </w:sdt>
        <w:sdt>
          <w:sdtPr>
            <w:alias w:val="14 pr. 6 p."/>
            <w:tag w:val="part_a2fb069d7ceb45c191cfc1dd278b7b59"/>
            <w:lock w:val="sdtLocked"/>
            <w:richText/>
          </w:sdtPr>
          <w:sdtContent>
            <w:p>
              <w:pPr>
                <w:ind w:firstLine="567"/>
                <w:jc w:val="both"/>
                <w:rPr>
                  <w:color w:val="000000" w:themeColor="text1"/>
                </w:rPr>
              </w:pPr>
              <w:sdt>
                <w:sdtPr>
                  <w:alias w:val="Numeris"/>
                  <w:tag w:val="nr_a2fb069d7ceb45c191cfc1dd278b7b59"/>
                  <w:lock w:val="sdtLocked"/>
                  <w:richText/>
                </w:sdtPr>
                <w:sdtContent>
                  <w:r>
                    <w:rPr>
                      <w:color w:val="000000" w:themeColor="text1"/>
                    </w:rPr>
                    <w:t>6</w:t>
                  </w:r>
                </w:sdtContent>
              </w:sdt>
              <w:r>
                <w:rPr>
                  <w:color w:val="000000" w:themeColor="text1"/>
                </w:rPr>
                <w:t xml:space="preserve">. Kiekvieno mėnesio </w:t>
              </w:r>
              <w:r>
                <w:rPr>
                  <w:i/>
                  <w:color w:val="000000" w:themeColor="text1"/>
                </w:rPr>
                <w:t xml:space="preserve">„m“ </w:t>
              </w:r>
              <w:r>
                <w:rPr>
                  <w:color w:val="000000" w:themeColor="text1"/>
                </w:rPr>
                <w:t xml:space="preserve"> šilumos srautas iš išorės į nešildomą patalpą per nepermatomas atitvaras </w:t>
              </w:r>
              <w:r>
                <w:rPr>
                  <w:i/>
                  <w:color w:val="000000" w:themeColor="text1"/>
                </w:rPr>
                <w:sym w:font="Symbol" w:char="F046"/>
              </w:r>
              <w:r>
                <w:rPr>
                  <w:i/>
                  <w:color w:val="000000" w:themeColor="text1"/>
                  <w:vertAlign w:val="subscript"/>
                </w:rPr>
                <w:t>e.op,m</w:t>
              </w:r>
              <w:r>
                <w:rPr>
                  <w:color w:val="000000" w:themeColor="text1"/>
                </w:rPr>
                <w:t xml:space="preserve"> (W) apskaičiuojamas taip:</w:t>
              </w:r>
            </w:p>
            <w:p>
              <w:pPr>
                <w:ind w:left="720" w:hanging="720"/>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134"/>
                        <w:szCs w:val="22"/>
                      </w:rPr>
                      <w:object w:dxaOrig="6264" w:dyaOrig="2808">
                        <v:shape id="_x0000_i1961" type="#_x0000_t75" style="width:313.1pt;height:139.95pt" o:ole="">
                          <v:imagedata r:id="rId259" o:title=""/>
                        </v:shape>
                        <o:OLEObject Type="Embed" ProgID="Equation.3" ShapeID="_x0000_i1961" DrawAspect="Content" ObjectID="_0000000001" r:id="rId260"/>
                      </w:object>
                    </w:r>
                  </w:p>
                </w:tc>
                <w:tc>
                  <w:tcPr>
                    <w:tcW w:w="725" w:type="pct"/>
                    <w:vAlign w:val="center"/>
                    <w:hideMark/>
                  </w:tcPr>
                  <w:p>
                    <w:pPr>
                      <w:spacing w:line="276" w:lineRule="auto"/>
                      <w:jc w:val="right"/>
                      <w:rPr>
                        <w:rFonts w:eastAsia="Calibri"/>
                        <w:color w:val="000000" w:themeColor="text1"/>
                        <w:szCs w:val="22"/>
                      </w:rPr>
                    </w:pPr>
                    <w:r>
                      <w:rPr>
                        <w:color w:val="000000" w:themeColor="text1"/>
                      </w:rPr>
                      <w:t>(14.5)</w:t>
                    </w:r>
                  </w:p>
                </w:tc>
              </w:tr>
            </w:tbl>
            <w:p>
              <w:pPr>
                <w:ind w:left="720" w:hanging="720"/>
                <w:rPr>
                  <w:rFonts w:eastAsia="Calibri"/>
                  <w:color w:val="000000" w:themeColor="text1"/>
                  <w:szCs w:val="22"/>
                </w:rPr>
              </w:pPr>
            </w:p>
            <w:p>
              <w:pPr>
                <w:tabs>
                  <w:tab w:val="left" w:pos="567"/>
                </w:tabs>
                <w:jc w:val="both"/>
                <w:rPr>
                  <w:bCs/>
                  <w:color w:val="000000" w:themeColor="text1"/>
                </w:rPr>
              </w:pPr>
              <w:r>
                <w:rPr>
                  <w:color w:val="000000" w:themeColor="text1"/>
                </w:rPr>
                <w:t>čia:</w:t>
                <w:tab/>
              </w:r>
              <w:r>
                <w:rPr>
                  <w:bCs/>
                  <w:i/>
                  <w:color w:val="000000" w:themeColor="text1"/>
                </w:rPr>
                <w:t>F</w:t>
              </w:r>
              <w:r>
                <w:rPr>
                  <w:bCs/>
                  <w:i/>
                  <w:color w:val="000000" w:themeColor="text1"/>
                  <w:vertAlign w:val="subscript"/>
                </w:rPr>
                <w:t>sh.e.op</w:t>
              </w:r>
              <w:r>
                <w:rPr>
                  <w:bCs/>
                  <w:i/>
                  <w:color w:val="000000" w:themeColor="text1"/>
                </w:rPr>
                <w:t xml:space="preserve"> </w:t>
              </w:r>
              <w:r>
                <w:rPr>
                  <w:bCs/>
                  <w:color w:val="000000" w:themeColor="text1"/>
                </w:rPr>
                <w:t xml:space="preserve">– koeficientas, įvertinantis pastato išorėje esančias kliūtis Saulės spinduliuotei į nešildomos patalpos nepermatomas atitvaras (šalia esantys pastatai, medžiai, pastato konfigūracija ir pan.). Imama </w:t>
              </w:r>
              <w:r>
                <w:rPr>
                  <w:bCs/>
                  <w:i/>
                  <w:color w:val="000000" w:themeColor="text1"/>
                </w:rPr>
                <w:t>F</w:t>
              </w:r>
              <w:r>
                <w:rPr>
                  <w:bCs/>
                  <w:i/>
                  <w:color w:val="000000" w:themeColor="text1"/>
                  <w:vertAlign w:val="subscript"/>
                </w:rPr>
                <w:t>sh.e.op</w:t>
              </w:r>
              <w:r>
                <w:rPr>
                  <w:bCs/>
                  <w:i/>
                  <w:color w:val="000000" w:themeColor="text1"/>
                </w:rPr>
                <w:t xml:space="preserve"> </w:t>
              </w:r>
              <w:r>
                <w:rPr>
                  <w:bCs/>
                  <w:color w:val="000000" w:themeColor="text1"/>
                </w:rPr>
                <w:t>=0,9;</w:t>
              </w:r>
            </w:p>
            <w:p>
              <w:pPr>
                <w:ind w:left="567"/>
                <w:jc w:val="both"/>
                <w:rPr>
                  <w:bCs/>
                  <w:color w:val="000000" w:themeColor="text1"/>
                </w:rPr>
              </w:pPr>
              <w:r>
                <w:rPr>
                  <w:bCs/>
                  <w:i/>
                  <w:color w:val="000000" w:themeColor="text1"/>
                </w:rPr>
                <w:t>α</w:t>
              </w:r>
              <w:r>
                <w:rPr>
                  <w:bCs/>
                  <w:i/>
                  <w:color w:val="000000" w:themeColor="text1"/>
                  <w:vertAlign w:val="subscript"/>
                </w:rPr>
                <w:t>sol</w:t>
              </w:r>
              <w:r>
                <w:rPr>
                  <w:bCs/>
                  <w:color w:val="000000" w:themeColor="text1"/>
                </w:rPr>
                <w:t xml:space="preserve"> – paviršių Saulės spinduliuotės sugerties koeficientas. Imama </w:t>
              </w:r>
              <w:r>
                <w:rPr>
                  <w:bCs/>
                  <w:i/>
                  <w:color w:val="000000" w:themeColor="text1"/>
                </w:rPr>
                <w:t>α</w:t>
              </w:r>
              <w:r>
                <w:rPr>
                  <w:bCs/>
                  <w:i/>
                  <w:color w:val="000000" w:themeColor="text1"/>
                  <w:vertAlign w:val="subscript"/>
                </w:rPr>
                <w:t>sol</w:t>
              </w:r>
              <w:r>
                <w:rPr>
                  <w:bCs/>
                  <w:i/>
                  <w:color w:val="000000" w:themeColor="text1"/>
                </w:rPr>
                <w:t xml:space="preserve"> </w:t>
              </w:r>
              <w:r>
                <w:rPr>
                  <w:bCs/>
                  <w:color w:val="000000" w:themeColor="text1"/>
                </w:rPr>
                <w:t>=0,65;</w:t>
              </w:r>
            </w:p>
            <w:p>
              <w:pPr>
                <w:ind w:firstLine="567"/>
                <w:jc w:val="both"/>
                <w:rPr>
                  <w:color w:val="000000" w:themeColor="text1"/>
                </w:rPr>
              </w:pPr>
              <w:r>
                <w:rPr>
                  <w:bCs/>
                  <w:i/>
                  <w:color w:val="000000" w:themeColor="text1"/>
                </w:rPr>
                <w:t>F</w:t>
              </w:r>
              <w:r>
                <w:rPr>
                  <w:bCs/>
                  <w:i/>
                  <w:color w:val="000000" w:themeColor="text1"/>
                  <w:vertAlign w:val="subscript"/>
                </w:rPr>
                <w:t>e.w,x</w:t>
              </w:r>
              <w:r>
                <w:rPr>
                  <w:bCs/>
                  <w:color w:val="000000" w:themeColor="text1"/>
                </w:rPr>
                <w:t>,</w:t>
              </w:r>
              <w:r>
                <w:rPr>
                  <w:bCs/>
                  <w:i/>
                  <w:color w:val="000000" w:themeColor="text1"/>
                </w:rPr>
                <w:t xml:space="preserve"> F</w:t>
              </w:r>
              <w:r>
                <w:rPr>
                  <w:bCs/>
                  <w:i/>
                  <w:color w:val="000000" w:themeColor="text1"/>
                  <w:vertAlign w:val="subscript"/>
                </w:rPr>
                <w:t>e.r,x</w:t>
              </w:r>
              <w:r>
                <w:rPr>
                  <w:bCs/>
                  <w:color w:val="000000" w:themeColor="text1"/>
                </w:rPr>
                <w:t>,</w:t>
              </w:r>
              <w:r>
                <w:rPr>
                  <w:bCs/>
                  <w:i/>
                  <w:color w:val="000000" w:themeColor="text1"/>
                </w:rPr>
                <w:t xml:space="preserve"> F</w:t>
              </w:r>
              <w:r>
                <w:rPr>
                  <w:bCs/>
                  <w:i/>
                  <w:color w:val="000000" w:themeColor="text1"/>
                  <w:vertAlign w:val="subscript"/>
                </w:rPr>
                <w:t>e.d,x</w:t>
              </w:r>
              <w:r>
                <w:rPr>
                  <w:bCs/>
                  <w:i/>
                  <w:color w:val="000000" w:themeColor="text1"/>
                </w:rPr>
                <w:t xml:space="preserve"> </w:t>
              </w:r>
              <w:r>
                <w:rPr>
                  <w:bCs/>
                  <w:color w:val="000000" w:themeColor="text1"/>
                </w:rPr>
                <w:t xml:space="preserve">– koeficientas, įvertinantis kliūtis Saulės spinduliuotei per </w:t>
              </w:r>
              <w:r>
                <w:rPr>
                  <w:color w:val="000000" w:themeColor="text1"/>
                </w:rPr>
                <w:t>atitinkamą</w:t>
              </w:r>
              <w:r>
                <w:rPr>
                  <w:bCs/>
                  <w:color w:val="000000" w:themeColor="text1"/>
                </w:rPr>
                <w:t xml:space="preserve"> nešildomos patalpos</w:t>
              </w:r>
              <w:r>
                <w:rPr>
                  <w:color w:val="000000" w:themeColor="text1"/>
                </w:rPr>
                <w:t xml:space="preserve"> „</w:t>
              </w:r>
              <w:r>
                <w:rPr>
                  <w:i/>
                  <w:color w:val="000000" w:themeColor="text1"/>
                </w:rPr>
                <w:t>x</w:t>
              </w:r>
              <w:r>
                <w:rPr>
                  <w:color w:val="000000" w:themeColor="text1"/>
                </w:rPr>
                <w:t xml:space="preserve">“ sieną, stogą ar išorines įėjimo duris </w:t>
              </w:r>
              <w:r>
                <w:rPr>
                  <w:bCs/>
                  <w:color w:val="000000" w:themeColor="text1"/>
                </w:rPr>
                <w:t>dėl tarp šių atitvarų ir išorės esančių kitų pastato elementų.</w:t>
              </w:r>
              <w:r>
                <w:rPr>
                  <w:b/>
                  <w:color w:val="000000" w:themeColor="text1"/>
                </w:rPr>
                <w:t xml:space="preserve"> </w:t>
              </w:r>
              <w:r>
                <w:rPr>
                  <w:bCs/>
                  <w:i/>
                  <w:color w:val="000000" w:themeColor="text1"/>
                </w:rPr>
                <w:t>F</w:t>
              </w:r>
              <w:r>
                <w:rPr>
                  <w:bCs/>
                  <w:i/>
                  <w:color w:val="000000" w:themeColor="text1"/>
                  <w:vertAlign w:val="subscript"/>
                </w:rPr>
                <w:t>e.w,x</w:t>
              </w:r>
              <w:r>
                <w:rPr>
                  <w:color w:val="000000" w:themeColor="text1"/>
                </w:rPr>
                <w:t xml:space="preserve"> imamas iš Reglamento 2 priedo 2.30 lentelės, </w:t>
              </w:r>
              <w:r>
                <w:rPr>
                  <w:bCs/>
                  <w:i/>
                  <w:color w:val="000000" w:themeColor="text1"/>
                </w:rPr>
                <w:t>F</w:t>
              </w:r>
              <w:r>
                <w:rPr>
                  <w:bCs/>
                  <w:i/>
                  <w:color w:val="000000" w:themeColor="text1"/>
                  <w:vertAlign w:val="subscript"/>
                </w:rPr>
                <w:t>e.r,x</w:t>
              </w:r>
              <w:r>
                <w:rPr>
                  <w:color w:val="000000" w:themeColor="text1"/>
                </w:rPr>
                <w:t xml:space="preserve"> imamas iš Reglamento 2 priedo 2.31 lentelės, </w:t>
              </w:r>
              <w:r>
                <w:rPr>
                  <w:bCs/>
                  <w:i/>
                  <w:color w:val="000000" w:themeColor="text1"/>
                </w:rPr>
                <w:t>F</w:t>
              </w:r>
              <w:r>
                <w:rPr>
                  <w:bCs/>
                  <w:i/>
                  <w:color w:val="000000" w:themeColor="text1"/>
                  <w:vertAlign w:val="subscript"/>
                </w:rPr>
                <w:t>e.d,x</w:t>
              </w:r>
              <w:r>
                <w:rPr>
                  <w:bCs/>
                  <w:i/>
                  <w:color w:val="000000" w:themeColor="text1"/>
                </w:rPr>
                <w:t xml:space="preserve"> </w:t>
              </w:r>
              <w:r>
                <w:rPr>
                  <w:color w:val="000000" w:themeColor="text1"/>
                </w:rPr>
                <w:t xml:space="preserve"> imamas iš Reglamento 2 priedo 2.32 lentelės;</w:t>
              </w:r>
            </w:p>
            <w:p>
              <w:pPr>
                <w:ind w:firstLine="567"/>
                <w:jc w:val="both"/>
                <w:rPr>
                  <w:color w:val="000000" w:themeColor="text1"/>
                </w:rPr>
              </w:pPr>
              <w:r>
                <w:rPr>
                  <w:bCs/>
                  <w:i/>
                  <w:color w:val="000000" w:themeColor="text1"/>
                </w:rPr>
                <w:t>I</w:t>
              </w:r>
              <w:r>
                <w:rPr>
                  <w:bCs/>
                  <w:i/>
                  <w:color w:val="000000" w:themeColor="text1"/>
                  <w:vertAlign w:val="subscript"/>
                </w:rPr>
                <w:t>sol.w,m,x</w:t>
              </w:r>
              <w:r>
                <w:rPr>
                  <w:color w:val="000000" w:themeColor="text1"/>
                </w:rPr>
                <w:t xml:space="preserve">, </w:t>
              </w:r>
              <w:r>
                <w:rPr>
                  <w:bCs/>
                  <w:i/>
                  <w:color w:val="000000" w:themeColor="text1"/>
                </w:rPr>
                <w:t>I</w:t>
              </w:r>
              <w:r>
                <w:rPr>
                  <w:bCs/>
                  <w:i/>
                  <w:color w:val="000000" w:themeColor="text1"/>
                  <w:vertAlign w:val="subscript"/>
                </w:rPr>
                <w:t>sol.r,m,x</w:t>
              </w:r>
              <w:r>
                <w:rPr>
                  <w:bCs/>
                  <w:color w:val="000000" w:themeColor="text1"/>
                </w:rPr>
                <w:t>,</w:t>
              </w:r>
              <w:r>
                <w:rPr>
                  <w:color w:val="000000" w:themeColor="text1"/>
                </w:rPr>
                <w:t xml:space="preserve"> </w:t>
              </w:r>
              <w:r>
                <w:rPr>
                  <w:bCs/>
                  <w:i/>
                  <w:color w:val="000000" w:themeColor="text1"/>
                </w:rPr>
                <w:t>I</w:t>
              </w:r>
              <w:r>
                <w:rPr>
                  <w:bCs/>
                  <w:i/>
                  <w:color w:val="000000" w:themeColor="text1"/>
                  <w:vertAlign w:val="subscript"/>
                </w:rPr>
                <w:t>sol.d,m,x</w:t>
              </w:r>
              <w:r>
                <w:rPr>
                  <w:color w:val="000000" w:themeColor="text1"/>
                </w:rPr>
                <w:t xml:space="preserve"> – vidutinis kiekvieno metų mėnesio </w:t>
              </w:r>
              <w:r>
                <w:rPr>
                  <w:i/>
                  <w:color w:val="000000" w:themeColor="text1"/>
                </w:rPr>
                <w:t>„m“</w:t>
              </w:r>
              <w:r>
                <w:rPr>
                  <w:color w:val="000000" w:themeColor="text1"/>
                </w:rPr>
                <w:t xml:space="preserve"> Saulės bendrosios spinduliuotės srauto tankis į </w:t>
              </w:r>
              <w:r>
                <w:rPr>
                  <w:bCs/>
                  <w:color w:val="000000" w:themeColor="text1"/>
                </w:rPr>
                <w:t xml:space="preserve">nešildomos patalpos </w:t>
              </w:r>
              <w:r>
                <w:rPr>
                  <w:color w:val="000000" w:themeColor="text1"/>
                </w:rPr>
                <w:t>atitinkamos „</w:t>
              </w:r>
              <w:r>
                <w:rPr>
                  <w:i/>
                  <w:color w:val="000000" w:themeColor="text1"/>
                </w:rPr>
                <w:t>x</w:t>
              </w:r>
              <w:r>
                <w:rPr>
                  <w:color w:val="000000" w:themeColor="text1"/>
                </w:rPr>
                <w:t>“ sienos, stogo ar išorinių įėjimo durų paviršių (W/m²). Imamas iš Reglamento 2 priedo 2.33-2.35 lentelių;</w:t>
              </w:r>
            </w:p>
            <w:p>
              <w:pPr>
                <w:ind w:firstLine="567"/>
                <w:jc w:val="both"/>
                <w:rPr>
                  <w:color w:val="000000" w:themeColor="text1"/>
                </w:rPr>
              </w:pPr>
              <w:r>
                <w:rPr>
                  <w:bCs/>
                  <w:i/>
                  <w:color w:val="000000" w:themeColor="text1"/>
                </w:rPr>
                <w:t>F</w:t>
              </w:r>
              <w:r>
                <w:rPr>
                  <w:bCs/>
                  <w:i/>
                  <w:color w:val="000000" w:themeColor="text1"/>
                  <w:vertAlign w:val="subscript"/>
                </w:rPr>
                <w:t>r.w,x</w:t>
              </w:r>
              <w:r>
                <w:rPr>
                  <w:color w:val="000000" w:themeColor="text1"/>
                </w:rPr>
                <w:t xml:space="preserve">, </w:t>
              </w:r>
              <w:r>
                <w:rPr>
                  <w:bCs/>
                  <w:i/>
                  <w:color w:val="000000" w:themeColor="text1"/>
                </w:rPr>
                <w:t>F</w:t>
              </w:r>
              <w:r>
                <w:rPr>
                  <w:bCs/>
                  <w:i/>
                  <w:color w:val="000000" w:themeColor="text1"/>
                  <w:vertAlign w:val="subscript"/>
                </w:rPr>
                <w:t>r.r,x</w:t>
              </w:r>
              <w:r>
                <w:rPr>
                  <w:bCs/>
                  <w:color w:val="000000" w:themeColor="text1"/>
                </w:rPr>
                <w:t>,</w:t>
              </w:r>
              <w:r>
                <w:rPr>
                  <w:color w:val="000000" w:themeColor="text1"/>
                </w:rPr>
                <w:t xml:space="preserve"> </w:t>
              </w:r>
              <w:r>
                <w:rPr>
                  <w:bCs/>
                  <w:i/>
                  <w:color w:val="000000" w:themeColor="text1"/>
                </w:rPr>
                <w:t>F</w:t>
              </w:r>
              <w:r>
                <w:rPr>
                  <w:bCs/>
                  <w:i/>
                  <w:color w:val="000000" w:themeColor="text1"/>
                  <w:vertAlign w:val="subscript"/>
                </w:rPr>
                <w:t>r.d,x</w:t>
              </w:r>
              <w:r>
                <w:rPr>
                  <w:bCs/>
                  <w:i/>
                  <w:color w:val="000000" w:themeColor="text1"/>
                </w:rPr>
                <w:t xml:space="preserve"> </w:t>
              </w:r>
              <w:r>
                <w:rPr>
                  <w:bCs/>
                  <w:color w:val="000000" w:themeColor="text1"/>
                </w:rPr>
                <w:t xml:space="preserve">– koeficientai, įvertinantys kliūtis spinduliniams mainams tarp dangaus skliauto ir </w:t>
              </w:r>
              <w:r>
                <w:rPr>
                  <w:color w:val="000000" w:themeColor="text1"/>
                </w:rPr>
                <w:t xml:space="preserve">atitinkamo </w:t>
              </w:r>
              <w:r>
                <w:rPr>
                  <w:bCs/>
                  <w:color w:val="000000" w:themeColor="text1"/>
                </w:rPr>
                <w:t xml:space="preserve">nešildomos patalpos </w:t>
              </w:r>
              <w:r>
                <w:rPr>
                  <w:color w:val="000000" w:themeColor="text1"/>
                </w:rPr>
                <w:t>„</w:t>
              </w:r>
              <w:r>
                <w:rPr>
                  <w:i/>
                  <w:color w:val="000000" w:themeColor="text1"/>
                </w:rPr>
                <w:t>x</w:t>
              </w:r>
              <w:r>
                <w:rPr>
                  <w:color w:val="000000" w:themeColor="text1"/>
                </w:rPr>
                <w:t xml:space="preserve">“ sienos, stogo ar išorinių įėjimo durų paviršių. </w:t>
              </w:r>
              <w:r>
                <w:rPr>
                  <w:bCs/>
                  <w:i/>
                  <w:color w:val="000000" w:themeColor="text1"/>
                </w:rPr>
                <w:t>F</w:t>
              </w:r>
              <w:r>
                <w:rPr>
                  <w:bCs/>
                  <w:i/>
                  <w:color w:val="000000" w:themeColor="text1"/>
                  <w:vertAlign w:val="subscript"/>
                </w:rPr>
                <w:t>r.w,x</w:t>
              </w:r>
              <w:r>
                <w:rPr>
                  <w:color w:val="000000" w:themeColor="text1"/>
                </w:rPr>
                <w:t xml:space="preserve"> imamas iš Reglamento 2 priedo 2.30 lentelės, </w:t>
              </w:r>
              <w:r>
                <w:rPr>
                  <w:bCs/>
                  <w:i/>
                  <w:color w:val="000000" w:themeColor="text1"/>
                </w:rPr>
                <w:t>F</w:t>
              </w:r>
              <w:r>
                <w:rPr>
                  <w:bCs/>
                  <w:i/>
                  <w:color w:val="000000" w:themeColor="text1"/>
                  <w:vertAlign w:val="subscript"/>
                </w:rPr>
                <w:t>r.r,x</w:t>
              </w:r>
              <w:r>
                <w:rPr>
                  <w:color w:val="000000" w:themeColor="text1"/>
                </w:rPr>
                <w:t xml:space="preserve"> imamas iš Reglamento 2 priedo 2.31 lentelės, </w:t>
              </w:r>
              <w:r>
                <w:rPr>
                  <w:bCs/>
                  <w:i/>
                  <w:color w:val="000000" w:themeColor="text1"/>
                </w:rPr>
                <w:t>F</w:t>
              </w:r>
              <w:r>
                <w:rPr>
                  <w:bCs/>
                  <w:i/>
                  <w:color w:val="000000" w:themeColor="text1"/>
                  <w:vertAlign w:val="subscript"/>
                </w:rPr>
                <w:t>r.d,x</w:t>
              </w:r>
              <w:r>
                <w:rPr>
                  <w:bCs/>
                  <w:i/>
                  <w:color w:val="000000" w:themeColor="text1"/>
                </w:rPr>
                <w:t xml:space="preserve"> </w:t>
              </w:r>
              <w:r>
                <w:rPr>
                  <w:color w:val="000000" w:themeColor="text1"/>
                </w:rPr>
                <w:t>imamas iš Reglamento 2 priedo 2.32 lentelės;</w:t>
              </w:r>
            </w:p>
            <w:p>
              <w:pPr>
                <w:ind w:firstLine="567"/>
                <w:jc w:val="both"/>
                <w:rPr>
                  <w:color w:val="000000" w:themeColor="text1"/>
                </w:rPr>
              </w:pPr>
              <w:r>
                <w:rPr>
                  <w:bCs/>
                  <w:i/>
                  <w:color w:val="000000" w:themeColor="text1"/>
                </w:rPr>
                <w:t>A</w:t>
              </w:r>
              <w:r>
                <w:rPr>
                  <w:bCs/>
                  <w:i/>
                  <w:color w:val="000000" w:themeColor="text1"/>
                  <w:vertAlign w:val="subscript"/>
                </w:rPr>
                <w:t>w,x</w:t>
              </w:r>
              <w:r>
                <w:rPr>
                  <w:color w:val="000000" w:themeColor="text1"/>
                </w:rPr>
                <w:t xml:space="preserve">, </w:t>
              </w:r>
              <w:r>
                <w:rPr>
                  <w:bCs/>
                  <w:i/>
                  <w:color w:val="000000" w:themeColor="text1"/>
                </w:rPr>
                <w:t>A</w:t>
              </w:r>
              <w:r>
                <w:rPr>
                  <w:bCs/>
                  <w:i/>
                  <w:color w:val="000000" w:themeColor="text1"/>
                  <w:vertAlign w:val="subscript"/>
                </w:rPr>
                <w:t>r,x</w:t>
              </w:r>
              <w:r>
                <w:rPr>
                  <w:bCs/>
                  <w:color w:val="000000" w:themeColor="text1"/>
                </w:rPr>
                <w:t>,</w:t>
              </w:r>
              <w:r>
                <w:rPr>
                  <w:color w:val="000000" w:themeColor="text1"/>
                </w:rPr>
                <w:t xml:space="preserve"> </w:t>
              </w:r>
              <w:r>
                <w:rPr>
                  <w:bCs/>
                  <w:i/>
                  <w:color w:val="000000" w:themeColor="text1"/>
                </w:rPr>
                <w:t>A</w:t>
              </w:r>
              <w:r>
                <w:rPr>
                  <w:bCs/>
                  <w:i/>
                  <w:color w:val="000000" w:themeColor="text1"/>
                  <w:vertAlign w:val="subscript"/>
                </w:rPr>
                <w:t>d,x</w:t>
              </w:r>
              <w:r>
                <w:rPr>
                  <w:color w:val="000000" w:themeColor="text1"/>
                </w:rPr>
                <w:t xml:space="preserve"> – </w:t>
              </w:r>
              <w:r>
                <w:rPr>
                  <w:bCs/>
                  <w:color w:val="000000" w:themeColor="text1"/>
                </w:rPr>
                <w:t xml:space="preserve">nešildomos patalpos </w:t>
              </w:r>
              <w:r>
                <w:rPr>
                  <w:color w:val="000000" w:themeColor="text1"/>
                </w:rPr>
                <w:t>atitinkamos „</w:t>
              </w:r>
              <w:r>
                <w:rPr>
                  <w:i/>
                  <w:color w:val="000000" w:themeColor="text1"/>
                </w:rPr>
                <w:t>x</w:t>
              </w:r>
              <w:r>
                <w:rPr>
                  <w:color w:val="000000" w:themeColor="text1"/>
                </w:rPr>
                <w:t>“ sienos, stogo ir išorinių durų bei vartų plotas (m</w:t>
              </w:r>
              <w:r>
                <w:rPr>
                  <w:color w:val="000000" w:themeColor="text1"/>
                  <w:vertAlign w:val="superscript"/>
                </w:rPr>
                <w:t>2</w:t>
              </w:r>
              <w:r>
                <w:rPr>
                  <w:color w:val="000000" w:themeColor="text1"/>
                </w:rPr>
                <w:t>). Nustatomas pagal Reglamento 7 priedo reikalavimus.</w:t>
              </w:r>
            </w:p>
            <w:p>
              <w:pPr>
                <w:ind w:firstLine="567"/>
                <w:rPr>
                  <w:bCs/>
                  <w:color w:val="000000" w:themeColor="text1"/>
                </w:rPr>
              </w:pPr>
              <w:r>
                <w:rPr>
                  <w:bCs/>
                  <w:color w:val="000000" w:themeColor="text1"/>
                </w:rPr>
                <w:t xml:space="preserve">Kiti paaiškinimai pateikti prie </w:t>
              </w:r>
              <w:r>
                <w:rPr>
                  <w:color w:val="000000" w:themeColor="text1"/>
                </w:rPr>
                <w:t xml:space="preserve">Reglamento 2 priedo </w:t>
              </w:r>
              <w:r>
                <w:rPr>
                  <w:bCs/>
                  <w:color w:val="000000" w:themeColor="text1"/>
                </w:rPr>
                <w:t>(2.161) formulės.</w:t>
              </w:r>
            </w:p>
            <w:p>
              <w:pPr>
                <w:ind w:left="720"/>
                <w:rPr>
                  <w:color w:val="000000" w:themeColor="text1"/>
                </w:rPr>
              </w:pPr>
            </w:p>
          </w:sdtContent>
        </w:sdt>
        <w:sdt>
          <w:sdtPr>
            <w:alias w:val="14 pr. 7 p."/>
            <w:tag w:val="part_7f7f1effa42646d0964ba99a12a0bf8e"/>
            <w:lock w:val="sdtLocked"/>
            <w:richText/>
          </w:sdtPr>
          <w:sdtContent>
            <w:p>
              <w:pPr>
                <w:ind w:firstLine="567"/>
                <w:jc w:val="both"/>
                <w:rPr>
                  <w:color w:val="000000" w:themeColor="text1"/>
                </w:rPr>
              </w:pPr>
              <w:sdt>
                <w:sdtPr>
                  <w:alias w:val="Numeris"/>
                  <w:tag w:val="nr_7f7f1effa42646d0964ba99a12a0bf8e"/>
                  <w:lock w:val="sdtLocked"/>
                  <w:richText/>
                </w:sdtPr>
                <w:sdtContent>
                  <w:r>
                    <w:rPr>
                      <w:color w:val="000000" w:themeColor="text1"/>
                    </w:rPr>
                    <w:t>7</w:t>
                  </w:r>
                </w:sdtContent>
              </w:sdt>
              <w:r>
                <w:rPr>
                  <w:color w:val="000000" w:themeColor="text1"/>
                </w:rPr>
                <w:t xml:space="preserve">. Jei pastato energijos sąnaudų skaičiavimams naudojamos pagal šio priedo reikalavimus apskaičiuotos koeficiento </w:t>
              </w:r>
              <w:r>
                <w:rPr>
                  <w:i/>
                  <w:color w:val="000000" w:themeColor="text1"/>
                </w:rPr>
                <w:t>k</w:t>
              </w:r>
              <w:r>
                <w:rPr>
                  <w:i/>
                  <w:color w:val="000000" w:themeColor="text1"/>
                  <w:vertAlign w:val="subscript"/>
                </w:rPr>
                <w:t>m</w:t>
              </w:r>
              <w:r>
                <w:rPr>
                  <w:color w:val="000000" w:themeColor="text1"/>
                  <w:vertAlign w:val="subscript"/>
                </w:rPr>
                <w:t xml:space="preserve"> </w:t>
              </w:r>
              <w:r>
                <w:rPr>
                  <w:color w:val="000000" w:themeColor="text1"/>
                </w:rPr>
                <w:t>vertės, šilumos pritekėjimai iš išorės per atitvaras tarp šildomų ir nešildomų patalpų neskaičiuojami.</w:t>
              </w:r>
            </w:p>
          </w:sdtContent>
        </w:sdt>
        <w:sdt>
          <w:sdtPr>
            <w:alias w:val="14 pr. 8 p."/>
            <w:tag w:val="part_92f338794a294db8a8b6dbd0ea710bf1"/>
            <w:lock w:val="sdtLocked"/>
            <w:richText/>
          </w:sdtPr>
          <w:sdtContent>
            <w:p>
              <w:pPr>
                <w:ind w:firstLine="567"/>
                <w:jc w:val="both"/>
                <w:rPr>
                  <w:color w:val="000000" w:themeColor="text1"/>
                </w:rPr>
              </w:pPr>
              <w:sdt>
                <w:sdtPr>
                  <w:alias w:val="Numeris"/>
                  <w:tag w:val="nr_92f338794a294db8a8b6dbd0ea710bf1"/>
                  <w:lock w:val="sdtLocked"/>
                  <w:richText/>
                </w:sdtPr>
                <w:sdtContent>
                  <w:r>
                    <w:rPr>
                      <w:color w:val="000000" w:themeColor="text1"/>
                    </w:rPr>
                    <w:t>8</w:t>
                  </w:r>
                </w:sdtContent>
              </w:sdt>
              <w:r>
                <w:rPr>
                  <w:color w:val="000000" w:themeColor="text1"/>
                </w:rPr>
                <w:t xml:space="preserve">. Jei pastato energijos sąnaudų skaičiavimams naudojamos pagal šio priedo reikalavimus apskaičiuotos koeficiento </w:t>
              </w:r>
              <w:r>
                <w:rPr>
                  <w:i/>
                  <w:color w:val="000000" w:themeColor="text1"/>
                </w:rPr>
                <w:t>k</w:t>
              </w:r>
              <w:r>
                <w:rPr>
                  <w:i/>
                  <w:color w:val="000000" w:themeColor="text1"/>
                  <w:vertAlign w:val="subscript"/>
                </w:rPr>
                <w:t>m</w:t>
              </w:r>
              <w:r>
                <w:rPr>
                  <w:color w:val="000000" w:themeColor="text1"/>
                  <w:vertAlign w:val="subscript"/>
                </w:rPr>
                <w:t xml:space="preserve"> </w:t>
              </w:r>
              <w:r>
                <w:rPr>
                  <w:color w:val="000000" w:themeColor="text1"/>
                </w:rPr>
                <w:t>vertės, atitvarų ir ilginių šiluminių tiltelių tarp šildomų ir nešildomų patalpų skaičiuojamiesiems savitiesiems šilumos nuostoliams pagal Reglamento 2 priedo (2.607) formulę skaičiuoti turi būti naudojama 1</w:t>
              </w:r>
              <w:r>
                <w:rPr>
                  <w:color w:val="000000" w:themeColor="text1"/>
                  <w:spacing w:val="4"/>
                </w:rPr>
                <w:t>–</w:t>
              </w:r>
              <w:r>
                <w:rPr>
                  <w:color w:val="000000" w:themeColor="text1"/>
                </w:rPr>
                <w:t>3 ir 10</w:t>
              </w:r>
              <w:r>
                <w:rPr>
                  <w:color w:val="000000" w:themeColor="text1"/>
                  <w:spacing w:val="4"/>
                </w:rPr>
                <w:t>–</w:t>
              </w:r>
              <w:r>
                <w:rPr>
                  <w:color w:val="000000" w:themeColor="text1"/>
                </w:rPr>
                <w:t>12 metų mėnesių vidutinė minėto koeficiento vertė</w:t>
              </w:r>
              <w:r>
                <w:rPr>
                  <w:i/>
                  <w:color w:val="000000" w:themeColor="text1"/>
                </w:rPr>
                <w:t xml:space="preserve"> k</w:t>
              </w:r>
              <w:r>
                <w:rPr>
                  <w:color w:val="000000" w:themeColor="text1"/>
                </w:rPr>
                <w:t xml:space="preserve"> (vnt.), kuri apskaičiuojama taip:</w:t>
              </w:r>
            </w:p>
            <w:p>
              <w:pPr>
                <w:ind w:firstLine="567"/>
                <w:rPr>
                  <w:color w:val="000000" w:themeColor="text1"/>
                </w:rPr>
              </w:pPr>
            </w:p>
            <w:tbl>
              <w:tblPr>
                <w:tblW w:w="5000" w:type="pct"/>
                <w:tblLook w:val="04A0" w:firstRow="1" w:lastRow="0" w:firstColumn="1" w:lastColumn="0" w:noHBand="0" w:noVBand="1"/>
              </w:tblPr>
              <w:tblGrid>
                <w:gridCol w:w="8425"/>
                <w:gridCol w:w="1429"/>
              </w:tblGrid>
              <w:tr>
                <w:tc>
                  <w:tcPr>
                    <w:tcW w:w="4275" w:type="pct"/>
                    <w:vAlign w:val="center"/>
                    <w:hideMark/>
                  </w:tcPr>
                  <w:p>
                    <w:pPr>
                      <w:spacing w:line="276" w:lineRule="auto"/>
                      <w:jc w:val="center"/>
                      <w:rPr>
                        <w:rFonts w:eastAsia="Calibri"/>
                        <w:color w:val="000000" w:themeColor="text1"/>
                        <w:szCs w:val="22"/>
                      </w:rPr>
                    </w:pPr>
                    <w:r>
                      <w:rPr>
                        <w:rFonts w:eastAsia="Calibri"/>
                        <w:color w:val="000000" w:themeColor="text1"/>
                        <w:position w:val="-24"/>
                        <w:szCs w:val="22"/>
                      </w:rPr>
                      <w:object w:dxaOrig="2232" w:dyaOrig="972">
                        <v:shape id="_x0000_i1962" type="#_x0000_t75" style="width:111.65pt;height:47.75pt" o:ole="">
                          <v:imagedata r:id="rId261" o:title=""/>
                        </v:shape>
                        <o:OLEObject Type="Embed" ProgID="Equation.3" ShapeID="_x0000_i1962" DrawAspect="Content" ObjectID="_0000000001" r:id="rId262"/>
                      </w:object>
                    </w:r>
                    <w:r>
                      <w:rPr>
                        <w:color w:val="000000" w:themeColor="text1"/>
                      </w:rPr>
                      <w:t>.</w:t>
                    </w:r>
                  </w:p>
                </w:tc>
                <w:tc>
                  <w:tcPr>
                    <w:tcW w:w="725" w:type="pct"/>
                    <w:vAlign w:val="center"/>
                    <w:hideMark/>
                  </w:tcPr>
                  <w:p>
                    <w:pPr>
                      <w:spacing w:line="276" w:lineRule="auto"/>
                      <w:jc w:val="right"/>
                      <w:rPr>
                        <w:rFonts w:eastAsia="Calibri"/>
                        <w:color w:val="000000" w:themeColor="text1"/>
                        <w:szCs w:val="22"/>
                      </w:rPr>
                    </w:pPr>
                    <w:r>
                      <w:rPr>
                        <w:color w:val="000000" w:themeColor="text1"/>
                      </w:rPr>
                      <w:t>(14.6)</w:t>
                    </w:r>
                  </w:p>
                </w:tc>
              </w:tr>
            </w:tbl>
            <w:p>
              <w:pPr>
                <w:ind w:firstLine="567"/>
                <w:rPr>
                  <w:rFonts w:eastAsia="Calibri"/>
                  <w:color w:val="000000" w:themeColor="text1"/>
                  <w:szCs w:val="22"/>
                </w:rPr>
              </w:pPr>
            </w:p>
          </w:sdtContent>
        </w:sdt>
        <w:sdt>
          <w:sdtPr>
            <w:alias w:val="pabaiga"/>
            <w:tag w:val="part_ce09914bf39f4ec5a1a901555d96ee72"/>
            <w:lock w:val="sdtLocked"/>
            <w:richText/>
          </w:sdtPr>
          <w:sdtContent>
            <w:p>
              <w:pPr>
                <w:ind w:firstLine="567"/>
                <w:jc w:val="center"/>
                <w:rPr>
                  <w:color w:val="000000" w:themeColor="text1"/>
                </w:rPr>
              </w:pPr>
              <w:r>
                <w:rPr>
                  <w:color w:val="000000" w:themeColor="text1"/>
                </w:rPr>
                <w:t>__________________</w:t>
              </w:r>
            </w:p>
          </w:sdtContent>
        </w:sdt>
      </w:sdtContent>
    </w:sdt>
    <w:sdt>
      <w:sdtPr>
        <w:alias w:val="15 pr."/>
        <w:tag w:val="part_b1373d086cb449e4aa901f37b8dcf14d"/>
        <w:lock w:val="sdtLocked"/>
        <w:richText/>
      </w:sdtPr>
      <w:sdtContent>
        <w:p>
          <w:pPr>
            <w:ind w:left="5245"/>
            <w:sectPr>
              <w:pgSz w:w="11906" w:h="16838"/>
              <w:pgMar w:top="709" w:right="567" w:bottom="567" w:left="1701" w:header="709" w:footer="709" w:gutter="0"/>
              <w:pgNumType w:start="1"/>
              <w:cols w:space="708"/>
              <w:titlePg/>
              <w:docGrid w:linePitch="360"/>
            </w:sectPr>
          </w:pPr>
        </w:p>
        <w:p>
          <w:pPr>
            <w:ind w:left="5245"/>
            <w:rPr>
              <w:color w:val="000000" w:themeColor="text1"/>
            </w:rPr>
          </w:pPr>
          <w:r>
            <w:rPr>
              <w:color w:val="000000" w:themeColor="text1"/>
            </w:rPr>
            <w:t xml:space="preserve">Statybos techninio reglamento </w:t>
          </w:r>
        </w:p>
        <w:p>
          <w:pPr>
            <w:ind w:left="5245"/>
            <w:rPr>
              <w:color w:val="000000" w:themeColor="text1"/>
            </w:rPr>
          </w:pPr>
          <w:r>
            <w:rPr>
              <w:color w:val="000000" w:themeColor="text1"/>
            </w:rPr>
            <w:t>STR 2.01.02:2016 „Pastatų energinio naudingumo projektavimas ir sertifikavimas“</w:t>
          </w:r>
        </w:p>
        <w:p>
          <w:pPr>
            <w:ind w:left="5245"/>
            <w:rPr>
              <w:color w:val="000000" w:themeColor="text1"/>
            </w:rPr>
          </w:pPr>
          <w:sdt>
            <w:sdtPr>
              <w:alias w:val="Numeris"/>
              <w:tag w:val="nr_b1373d086cb449e4aa901f37b8dcf14d"/>
              <w:lock w:val="sdtLocked"/>
              <w:richText/>
            </w:sdtPr>
            <w:sdtContent>
              <w:r>
                <w:rPr>
                  <w:color w:val="000000" w:themeColor="text1"/>
                </w:rPr>
                <w:t>15</w:t>
              </w:r>
            </w:sdtContent>
          </w:sdt>
          <w:r>
            <w:rPr>
              <w:color w:val="000000" w:themeColor="text1"/>
            </w:rPr>
            <w:t xml:space="preserve"> priedas</w:t>
          </w:r>
        </w:p>
        <w:p>
          <w:pPr>
            <w:ind w:left="3240" w:firstLine="1296"/>
            <w:rPr>
              <w:color w:val="000000" w:themeColor="text1"/>
            </w:rPr>
          </w:pPr>
        </w:p>
        <w:p>
          <w:pPr>
            <w:rPr>
              <w:color w:val="000000" w:themeColor="text1"/>
              <w:sz w:val="10"/>
              <w:szCs w:val="10"/>
            </w:rPr>
          </w:pPr>
        </w:p>
        <w:p>
          <w:pPr>
            <w:keepNext/>
            <w:overflowPunct w:val="0"/>
            <w:jc w:val="center"/>
            <w:outlineLvl w:val="1"/>
            <w:rPr>
              <w:rFonts w:ascii="Times New Roman Bold" w:hAnsi="Times New Roman Bold"/>
              <w:b/>
              <w:caps/>
              <w:color w:val="000000" w:themeColor="text1"/>
              <w:lang w:eastAsia="lt-LT"/>
            </w:rPr>
          </w:pPr>
          <w:sdt>
            <w:sdtPr>
              <w:alias w:val="Pavadinimas"/>
              <w:tag w:val="title_b1373d086cb449e4aa901f37b8dcf14d"/>
              <w:lock w:val="sdtLocked"/>
              <w:richText/>
            </w:sdtPr>
            <w:sdtContent>
              <w:r>
                <w:rPr>
                  <w:rFonts w:ascii="Times New Roman Bold" w:hAnsi="Times New Roman Bold"/>
                  <w:b/>
                  <w:caps/>
                  <w:color w:val="000000" w:themeColor="text1"/>
                  <w:sz w:val="2"/>
                  <w:szCs w:val="2"/>
                  <w:lang w:eastAsia="lt-LT"/>
                </w:rPr>
                <w:t>15 priedas.</w:t>
              </w:r>
              <w:r>
                <w:rPr>
                  <w:rFonts w:ascii="Times New Roman Bold" w:hAnsi="Times New Roman Bold"/>
                  <w:b/>
                  <w:caps/>
                  <w:color w:val="000000" w:themeColor="text1"/>
                  <w:lang w:eastAsia="lt-LT"/>
                </w:rPr>
                <w:t xml:space="preserve"> Šilumos šaltinių darbo laiko koeficientų skaičiavimas, kai kartu su kitais šilumos šaltiniais pastatui šildyti naudojami šiluminiai siurbliai</w:t>
              </w:r>
            </w:sdtContent>
          </w:sdt>
        </w:p>
        <w:p>
          <w:pPr>
            <w:rPr>
              <w:color w:val="000000" w:themeColor="text1"/>
              <w:sz w:val="10"/>
              <w:szCs w:val="10"/>
            </w:rPr>
          </w:pPr>
        </w:p>
        <w:p>
          <w:pPr>
            <w:rPr>
              <w:color w:val="000000" w:themeColor="text1"/>
            </w:rPr>
          </w:pPr>
        </w:p>
        <w:sdt>
          <w:sdtPr>
            <w:alias w:val="15 pr. 1 p."/>
            <w:tag w:val="part_048c1ae8f70444cda57ab3d46d08de58"/>
            <w:lock w:val="sdtLocked"/>
            <w:richText/>
          </w:sdtPr>
          <w:sdtContent>
            <w:p>
              <w:pPr>
                <w:tabs>
                  <w:tab w:val="left" w:pos="567"/>
                  <w:tab w:val="left" w:pos="851"/>
                  <w:tab w:val="left" w:pos="993"/>
                </w:tabs>
                <w:suppressAutoHyphens/>
                <w:ind w:firstLine="629"/>
                <w:jc w:val="both"/>
                <w:rPr>
                  <w:color w:val="000000" w:themeColor="text1"/>
                </w:rPr>
              </w:pPr>
              <w:sdt>
                <w:sdtPr>
                  <w:alias w:val="Numeris"/>
                  <w:tag w:val="nr_048c1ae8f70444cda57ab3d46d08de58"/>
                  <w:lock w:val="sdtLocked"/>
                  <w:richText/>
                </w:sdtPr>
                <w:sdtContent>
                  <w:r>
                    <w:rPr>
                      <w:color w:val="000000"/>
                      <w:lang w:eastAsia="lt-LT"/>
                    </w:rPr>
                    <w:t>1</w:t>
                  </w:r>
                </w:sdtContent>
              </w:sdt>
              <w:r>
                <w:rPr>
                  <w:color w:val="000000"/>
                  <w:lang w:eastAsia="lt-LT"/>
                </w:rPr>
                <w:t>. Jei pastatui šildyti naudojami šiluminiai siurbliai, įrengti kartu su šilumos tinklais, dujiniais, kietojo ar skystojo kuro katilais arba kartu su šiluminiais siurbliais naudojamas šildymas elektra, šiluminių siurblių (τ</w:t>
              </w:r>
              <w:r>
                <w:rPr>
                  <w:color w:val="000000"/>
                  <w:vertAlign w:val="subscript"/>
                  <w:lang w:eastAsia="lt-LT"/>
                </w:rPr>
                <w:t>2</w:t>
              </w:r>
              <w:r>
                <w:rPr>
                  <w:color w:val="000000"/>
                  <w:lang w:eastAsia="lt-LT"/>
                </w:rPr>
                <w:t>, vnt.) ir kartu su jais pastatui šildyti naudojamo kitų minėtų šilumos šaltinių (τ</w:t>
              </w:r>
              <w:r>
                <w:rPr>
                  <w:color w:val="000000"/>
                  <w:vertAlign w:val="subscript"/>
                  <w:lang w:eastAsia="lt-LT"/>
                </w:rPr>
                <w:t>1</w:t>
              </w:r>
              <w:r>
                <w:rPr>
                  <w:color w:val="000000"/>
                  <w:lang w:eastAsia="lt-LT"/>
                </w:rPr>
                <w:t>, vnt.) darbo laiko koeficientai apskaičiuojami taip:</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e8fd20247c11edb4cae1b158f98ea5">
                <w:r w:rsidRPr="00532B9F">
                  <w:rPr>
                    <w:rFonts w:ascii="Times New Roman" w:eastAsia="MS Mincho" w:hAnsi="Times New Roman"/>
                    <w:sz w:val="20"/>
                    <w:i/>
                    <w:iCs/>
                    <w:color w:val="0000FF" w:themeColor="hyperlink"/>
                    <w:u w:val="single"/>
                  </w:rPr>
                  <w:t>D1-281</w:t>
                </w:r>
              </w:fldSimple>
              <w:r>
                <w:rPr>
                  <w:rFonts w:ascii="Times New Roman" w:eastAsia="MS Mincho" w:hAnsi="Times New Roman"/>
                  <w:sz w:val="20"/>
                  <w:i/>
                  <w:iCs/>
                </w:rPr>
                <w:t>,
2022-08-25,
paskelbta TAR 2022-08-25, i. k. 2022-17541            </w:t>
              </w:r>
            </w:p>
            <w:sdt>
              <w:sdtPr>
                <w:alias w:val="1.1 pp."/>
                <w:tag w:val="part_1388af8d81b74801a58d42785f2fcc5a"/>
                <w:lock w:val="sdtLocked"/>
                <w:richText/>
              </w:sdtPr>
              <w:sdtContent>
                <w:p>
                  <w:pPr>
                    <w:ind w:firstLine="567"/>
                    <w:jc w:val="both"/>
                    <w:rPr>
                      <w:color w:val="000000" w:themeColor="text1"/>
                    </w:rPr>
                  </w:pPr>
                  <w:sdt>
                    <w:sdtPr>
                      <w:alias w:val="Numeris"/>
                      <w:tag w:val="nr_1388af8d81b74801a58d42785f2fcc5a"/>
                      <w:lock w:val="sdtLocked"/>
                      <w:richText/>
                    </w:sdtPr>
                    <w:sdtContent>
                      <w:r>
                        <w:rPr>
                          <w:color w:val="000000" w:themeColor="text1"/>
                        </w:rPr>
                        <w:t>1.1</w:t>
                      </w:r>
                    </w:sdtContent>
                  </w:sdt>
                  <w:r>
                    <w:rPr>
                      <w:color w:val="000000" w:themeColor="text1"/>
                    </w:rPr>
                    <w:t xml:space="preserve">. apskaičiuojama kiekvieno mėnesio </w:t>
                  </w:r>
                  <w:r>
                    <w:rPr>
                      <w:i/>
                      <w:color w:val="000000" w:themeColor="text1"/>
                    </w:rPr>
                    <w:t>„m“</w:t>
                  </w:r>
                  <w:r>
                    <w:rPr>
                      <w:color w:val="000000" w:themeColor="text1"/>
                    </w:rPr>
                    <w:t xml:space="preserve"> pastatui šildyti reikalinga suminė šilumos šaltinių galia </w:t>
                  </w:r>
                  <w:r>
                    <w:rPr>
                      <w:i/>
                      <w:color w:val="000000" w:themeColor="text1"/>
                    </w:rPr>
                    <w:t>P</w:t>
                  </w:r>
                  <w:r>
                    <w:rPr>
                      <w:i/>
                      <w:color w:val="000000" w:themeColor="text1"/>
                      <w:vertAlign w:val="subscript"/>
                    </w:rPr>
                    <w:t>H,m</w:t>
                  </w:r>
                  <w:r>
                    <w:rPr>
                      <w:color w:val="000000" w:themeColor="text1"/>
                    </w:rPr>
                    <w:t xml:space="preserve"> (W), kuri užtikrintų pastato šildymą esant vidutinei minimaliai mėnesio paros išorės oro temperatūrai:</w:t>
                  </w:r>
                </w:p>
                <w:p>
                  <w:pPr>
                    <w:ind w:firstLine="720"/>
                    <w:rPr>
                      <w:color w:val="000000" w:themeColor="text1"/>
                    </w:rPr>
                  </w:pPr>
                </w:p>
                <w:tbl>
                  <w:tblPr>
                    <w:tblW w:w="0" w:type="auto"/>
                    <w:tblLook w:val="01E0" w:firstRow="1" w:lastRow="1" w:firstColumn="1" w:lastColumn="1" w:noHBand="0" w:noVBand="0"/>
                  </w:tblPr>
                  <w:tblGrid>
                    <w:gridCol w:w="8304"/>
                    <w:gridCol w:w="1050"/>
                  </w:tblGrid>
                  <w:tr>
                    <w:tc>
                      <w:tcPr>
                        <w:tcW w:w="8304" w:type="dxa"/>
                        <w:vAlign w:val="center"/>
                        <w:hideMark/>
                      </w:tcPr>
                      <w:p>
                        <w:pPr>
                          <w:spacing w:line="276" w:lineRule="auto"/>
                          <w:jc w:val="center"/>
                          <w:rPr>
                            <w:rFonts w:eastAsia="Calibri"/>
                            <w:color w:val="000000" w:themeColor="text1"/>
                            <w:szCs w:val="22"/>
                          </w:rPr>
                        </w:pPr>
                        <w:r>
                          <w:rPr>
                            <w:rFonts w:eastAsia="Calibri"/>
                            <w:i/>
                            <w:color w:val="000000" w:themeColor="text1"/>
                            <w:position w:val="-14"/>
                            <w:szCs w:val="22"/>
                          </w:rPr>
                          <w:object w:dxaOrig="3156" w:dyaOrig="372">
                            <v:shape id="_x0000_i1963" type="#_x0000_t75" style="width:158.55pt;height:17.8pt" o:ole="">
                              <v:imagedata r:id="rId263" o:title=""/>
                            </v:shape>
                            <o:OLEObject Type="Embed" ProgID="Equation.3" ShapeID="_x0000_i1963" DrawAspect="Content" ObjectID="_0000000001" r:id="rId264"/>
                          </w:object>
                        </w:r>
                        <w:r>
                          <w:rPr>
                            <w:color w:val="000000" w:themeColor="text1"/>
                          </w:rPr>
                          <w:t>;</w:t>
                        </w:r>
                      </w:p>
                    </w:tc>
                    <w:tc>
                      <w:tcPr>
                        <w:tcW w:w="1050" w:type="dxa"/>
                        <w:vAlign w:val="center"/>
                        <w:hideMark/>
                      </w:tcPr>
                      <w:p>
                        <w:pPr>
                          <w:spacing w:line="276" w:lineRule="auto"/>
                          <w:jc w:val="right"/>
                          <w:rPr>
                            <w:rFonts w:eastAsia="Calibri"/>
                            <w:color w:val="000000" w:themeColor="text1"/>
                            <w:szCs w:val="22"/>
                          </w:rPr>
                        </w:pPr>
                        <w:r>
                          <w:rPr>
                            <w:color w:val="000000" w:themeColor="text1"/>
                          </w:rPr>
                          <w:t>(15.1)</w:t>
                        </w:r>
                      </w:p>
                    </w:tc>
                  </w:tr>
                </w:tbl>
                <w:p>
                  <w:pPr>
                    <w:tabs>
                      <w:tab w:val="left" w:pos="567"/>
                    </w:tabs>
                    <w:jc w:val="both"/>
                    <w:rPr>
                      <w:rFonts w:eastAsia="Calibri"/>
                      <w:color w:val="000000" w:themeColor="text1"/>
                      <w:szCs w:val="22"/>
                    </w:rPr>
                  </w:pPr>
                  <w:r>
                    <w:rPr>
                      <w:color w:val="000000" w:themeColor="text1"/>
                    </w:rPr>
                    <w:t>čia:</w:t>
                    <w:tab/>
                  </w:r>
                  <w:r>
                    <w:rPr>
                      <w:i/>
                      <w:color w:val="000000" w:themeColor="text1"/>
                    </w:rPr>
                    <w:t>H</w:t>
                  </w:r>
                  <w:r>
                    <w:rPr>
                      <w:i/>
                      <w:color w:val="000000" w:themeColor="text1"/>
                      <w:vertAlign w:val="subscript"/>
                    </w:rPr>
                    <w:t>H.p,m</w:t>
                  </w:r>
                  <w:r>
                    <w:rPr>
                      <w:color w:val="000000" w:themeColor="text1"/>
                    </w:rPr>
                    <w:t xml:space="preserve"> – atitinkamo mėnesio „m“ pastato (jo dalies) skaičiuojamieji savitieji šilumos nuostoliai (W/K). Apskaičiuojami pagal Reglamento 2 priedo (2.118) formulę;</w:t>
                  </w:r>
                </w:p>
                <w:p>
                  <w:pPr>
                    <w:ind w:firstLine="567"/>
                    <w:jc w:val="both"/>
                    <w:rPr>
                      <w:color w:val="000000" w:themeColor="text1"/>
                    </w:rPr>
                  </w:pPr>
                  <w:r>
                    <w:rPr>
                      <w:i/>
                      <w:color w:val="000000" w:themeColor="text1"/>
                    </w:rPr>
                    <w:sym w:font="Symbol" w:char="F071"/>
                  </w:r>
                  <w:r>
                    <w:rPr>
                      <w:i/>
                      <w:color w:val="000000" w:themeColor="text1"/>
                      <w:vertAlign w:val="subscript"/>
                    </w:rPr>
                    <w:t>e,P</w:t>
                  </w:r>
                  <w:r>
                    <w:rPr>
                      <w:i/>
                      <w:color w:val="000000" w:themeColor="text1"/>
                      <w:kern w:val="16"/>
                      <w:position w:val="-6"/>
                      <w:vertAlign w:val="subscript"/>
                    </w:rPr>
                    <w:t>H</w:t>
                  </w:r>
                  <w:r>
                    <w:rPr>
                      <w:i/>
                      <w:color w:val="000000" w:themeColor="text1"/>
                      <w:vertAlign w:val="subscript"/>
                    </w:rPr>
                    <w:t>,m</w:t>
                  </w:r>
                  <w:r>
                    <w:rPr>
                      <w:color w:val="000000" w:themeColor="text1"/>
                    </w:rPr>
                    <w:t xml:space="preserve"> – vidutinė minimali mėnesio paros išorės oro temperatūra (°C). Imama iš 15.1 lentelės.</w:t>
                  </w:r>
                </w:p>
                <w:p>
                  <w:pPr>
                    <w:jc w:val="both"/>
                    <w:rPr>
                      <w:color w:val="000000" w:themeColor="text1"/>
                    </w:rPr>
                  </w:pPr>
                </w:p>
              </w:sdtContent>
            </w:sdt>
            <w:sdt>
              <w:sdtPr>
                <w:alias w:val="1.2 pp."/>
                <w:tag w:val="part_a2a6c5a1f456474b8a54daeb8fd92ee9"/>
                <w:lock w:val="sdtLocked"/>
                <w:richText/>
              </w:sdtPr>
              <w:sdtContent>
                <w:p>
                  <w:pPr>
                    <w:ind w:firstLine="567"/>
                    <w:jc w:val="both"/>
                    <w:rPr>
                      <w:color w:val="000000" w:themeColor="text1"/>
                    </w:rPr>
                  </w:pPr>
                  <w:sdt>
                    <w:sdtPr>
                      <w:alias w:val="Numeris"/>
                      <w:tag w:val="nr_a2a6c5a1f456474b8a54daeb8fd92ee9"/>
                      <w:lock w:val="sdtLocked"/>
                      <w:richText/>
                    </w:sdtPr>
                    <w:sdtContent>
                      <w:r>
                        <w:rPr>
                          <w:color w:val="000000" w:themeColor="text1"/>
                        </w:rPr>
                        <w:t>1.2</w:t>
                      </w:r>
                    </w:sdtContent>
                  </w:sdt>
                  <w:r>
                    <w:rPr>
                      <w:color w:val="000000" w:themeColor="text1"/>
                    </w:rPr>
                    <w:t xml:space="preserve">. apskaičiuojami kiekvieno mėnesio „m“ darbo laiko koeficientai kartu su šiluminiais siurbliais naudojamiems šilumos šaltiniams </w:t>
                  </w:r>
                  <w:r>
                    <w:rPr>
                      <w:i/>
                      <w:color w:val="000000" w:themeColor="text1"/>
                    </w:rPr>
                    <w:t>τ</w:t>
                  </w:r>
                  <w:r>
                    <w:rPr>
                      <w:i/>
                      <w:color w:val="000000" w:themeColor="text1"/>
                      <w:vertAlign w:val="subscript"/>
                    </w:rPr>
                    <w:t>1,m</w:t>
                  </w:r>
                  <w:r>
                    <w:rPr>
                      <w:color w:val="000000" w:themeColor="text1"/>
                    </w:rPr>
                    <w:t xml:space="preserve"> (vnt.) ir šiluminiams siurbliams </w:t>
                  </w:r>
                  <w:r>
                    <w:rPr>
                      <w:i/>
                      <w:color w:val="000000" w:themeColor="text1"/>
                    </w:rPr>
                    <w:t>τ</w:t>
                  </w:r>
                  <w:r>
                    <w:rPr>
                      <w:i/>
                      <w:color w:val="000000" w:themeColor="text1"/>
                      <w:vertAlign w:val="subscript"/>
                    </w:rPr>
                    <w:t>2,m</w:t>
                  </w:r>
                  <w:r>
                    <w:rPr>
                      <w:color w:val="000000" w:themeColor="text1"/>
                    </w:rPr>
                    <w:t xml:space="preserve"> (vnt.):</w:t>
                  </w:r>
                </w:p>
                <w:sdt>
                  <w:sdtPr>
                    <w:alias w:val="1.2.1 pp."/>
                    <w:tag w:val="part_93e101dcce4e4d5fb12a1f46696ff59c"/>
                    <w:lock w:val="sdtLocked"/>
                    <w:richText/>
                  </w:sdtPr>
                  <w:sdtContent>
                    <w:p>
                      <w:pPr>
                        <w:ind w:firstLine="567"/>
                        <w:jc w:val="both"/>
                        <w:rPr>
                          <w:color w:val="000000" w:themeColor="text1"/>
                        </w:rPr>
                      </w:pPr>
                      <w:sdt>
                        <w:sdtPr>
                          <w:alias w:val="Numeris"/>
                          <w:tag w:val="nr_93e101dcce4e4d5fb12a1f46696ff59c"/>
                          <w:lock w:val="sdtLocked"/>
                          <w:richText/>
                        </w:sdtPr>
                        <w:sdtContent>
                          <w:r>
                            <w:rPr>
                              <w:color w:val="000000" w:themeColor="text1"/>
                            </w:rPr>
                            <w:t>1.2.1</w:t>
                          </w:r>
                        </w:sdtContent>
                      </w:sdt>
                      <w:r>
                        <w:rPr>
                          <w:color w:val="000000" w:themeColor="text1"/>
                        </w:rPr>
                        <w:t xml:space="preserve">. jei atitinkamą mėnesį „m“ šiluminiai siurbliai pagal savo techninius rodiklius gali būti naudojami pastatui šildyti esant 15.1 lentelėje nurodytai išorės oro temperatūrai ir jei </w:t>
                      </w:r>
                      <w:r>
                        <w:rPr>
                          <w:i/>
                          <w:color w:val="000000" w:themeColor="text1"/>
                        </w:rPr>
                        <w:t>P</w:t>
                      </w:r>
                      <w:r>
                        <w:rPr>
                          <w:i/>
                          <w:color w:val="000000" w:themeColor="text1"/>
                          <w:vertAlign w:val="subscript"/>
                        </w:rPr>
                        <w:t>2</w:t>
                      </w:r>
                      <w:r>
                        <w:rPr>
                          <w:i/>
                          <w:color w:val="000000" w:themeColor="text1"/>
                        </w:rPr>
                        <w:t>≥P</w:t>
                      </w:r>
                      <w:r>
                        <w:rPr>
                          <w:i/>
                          <w:color w:val="000000" w:themeColor="text1"/>
                          <w:vertAlign w:val="subscript"/>
                        </w:rPr>
                        <w:t>H,m</w:t>
                      </w:r>
                      <w:r>
                        <w:rPr>
                          <w:color w:val="000000" w:themeColor="text1"/>
                        </w:rPr>
                        <w:t xml:space="preserve">, tai </w:t>
                      </w:r>
                      <w:r>
                        <w:rPr>
                          <w:i/>
                          <w:color w:val="000000" w:themeColor="text1"/>
                        </w:rPr>
                        <w:t>τ</w:t>
                      </w:r>
                      <w:r>
                        <w:rPr>
                          <w:i/>
                          <w:color w:val="000000" w:themeColor="text1"/>
                          <w:vertAlign w:val="subscript"/>
                        </w:rPr>
                        <w:t>1,m</w:t>
                      </w:r>
                      <w:r>
                        <w:rPr>
                          <w:color w:val="000000" w:themeColor="text1"/>
                          <w:lang w:val="en-US"/>
                        </w:rPr>
                        <w:t>=0</w:t>
                      </w:r>
                      <w:r>
                        <w:rPr>
                          <w:color w:val="000000" w:themeColor="text1"/>
                        </w:rPr>
                        <w:t xml:space="preserve">, o </w:t>
                      </w:r>
                      <w:r>
                        <w:rPr>
                          <w:i/>
                          <w:color w:val="000000" w:themeColor="text1"/>
                        </w:rPr>
                        <w:t>τ</w:t>
                      </w:r>
                      <w:r>
                        <w:rPr>
                          <w:i/>
                          <w:color w:val="000000" w:themeColor="text1"/>
                          <w:vertAlign w:val="subscript"/>
                        </w:rPr>
                        <w:t>2,m</w:t>
                      </w:r>
                      <w:r>
                        <w:rPr>
                          <w:color w:val="000000" w:themeColor="text1"/>
                          <w:lang w:val="en-US"/>
                        </w:rPr>
                        <w:t>=</w:t>
                      </w:r>
                      <w:r>
                        <w:rPr>
                          <w:color w:val="000000" w:themeColor="text1"/>
                        </w:rPr>
                        <w:t>1;</w:t>
                      </w:r>
                    </w:p>
                  </w:sdtContent>
                </w:sdt>
                <w:sdt>
                  <w:sdtPr>
                    <w:alias w:val="1.2.2 pp."/>
                    <w:tag w:val="part_d525d89d60124d27a9cafc3815757e75"/>
                    <w:lock w:val="sdtLocked"/>
                    <w:richText/>
                  </w:sdtPr>
                  <w:sdtContent>
                    <w:p>
                      <w:pPr>
                        <w:ind w:firstLine="567"/>
                        <w:jc w:val="both"/>
                        <w:rPr>
                          <w:color w:val="000000" w:themeColor="text1"/>
                        </w:rPr>
                      </w:pPr>
                      <w:sdt>
                        <w:sdtPr>
                          <w:alias w:val="Numeris"/>
                          <w:tag w:val="nr_d525d89d60124d27a9cafc3815757e75"/>
                          <w:lock w:val="sdtLocked"/>
                          <w:richText/>
                        </w:sdtPr>
                        <w:sdtContent>
                          <w:r>
                            <w:rPr>
                              <w:color w:val="000000" w:themeColor="text1"/>
                            </w:rPr>
                            <w:t>1.2.2</w:t>
                          </w:r>
                        </w:sdtContent>
                      </w:sdt>
                      <w:r>
                        <w:rPr>
                          <w:color w:val="000000" w:themeColor="text1"/>
                        </w:rPr>
                        <w:t xml:space="preserve">. jei atitinkamą mėnesį „m“ šiluminiai siurbliai pagal savo techninius rodiklius gali būti naudojamas pastatui šildyti esant 15.1 lentelėje nurodytai išorės oro temperatūrai ir šildymo sistema įrengta taip, kad vienu metu joje gali veikti šiluminiai siurbliai ir kito tipo 1 punkte išvardinti šilumos šaltiniai, ir jei </w:t>
                      </w:r>
                      <w:r>
                        <w:rPr>
                          <w:i/>
                          <w:color w:val="000000" w:themeColor="text1"/>
                        </w:rPr>
                        <w:t>P</w:t>
                      </w:r>
                      <w:r>
                        <w:rPr>
                          <w:i/>
                          <w:color w:val="000000" w:themeColor="text1"/>
                          <w:vertAlign w:val="subscript"/>
                        </w:rPr>
                        <w:t>2</w:t>
                      </w:r>
                      <w:r>
                        <w:rPr>
                          <w:i/>
                          <w:color w:val="000000" w:themeColor="text1"/>
                        </w:rPr>
                        <w:t>&lt;P</w:t>
                      </w:r>
                      <w:r>
                        <w:rPr>
                          <w:i/>
                          <w:color w:val="000000" w:themeColor="text1"/>
                          <w:vertAlign w:val="subscript"/>
                        </w:rPr>
                        <w:t>H,m</w:t>
                      </w:r>
                      <w:r>
                        <w:rPr>
                          <w:color w:val="000000" w:themeColor="text1"/>
                        </w:rPr>
                        <w:t xml:space="preserve"> ir </w:t>
                      </w:r>
                      <w:r>
                        <w:rPr>
                          <w:i/>
                          <w:color w:val="000000" w:themeColor="text1"/>
                        </w:rPr>
                        <w:t>(P</w:t>
                      </w:r>
                      <w:r>
                        <w:rPr>
                          <w:i/>
                          <w:color w:val="000000" w:themeColor="text1"/>
                          <w:vertAlign w:val="subscript"/>
                        </w:rPr>
                        <w:t>1</w:t>
                      </w:r>
                      <w:r>
                        <w:rPr>
                          <w:i/>
                          <w:color w:val="000000" w:themeColor="text1"/>
                          <w:lang w:val="en-US"/>
                        </w:rPr>
                        <w:t>+</w:t>
                      </w:r>
                      <w:r>
                        <w:rPr>
                          <w:i/>
                          <w:color w:val="000000" w:themeColor="text1"/>
                        </w:rPr>
                        <w:t>P</w:t>
                      </w:r>
                      <w:r>
                        <w:rPr>
                          <w:i/>
                          <w:color w:val="000000" w:themeColor="text1"/>
                          <w:vertAlign w:val="subscript"/>
                        </w:rPr>
                        <w:t>2</w:t>
                      </w:r>
                      <w:r>
                        <w:rPr>
                          <w:i/>
                          <w:color w:val="000000" w:themeColor="text1"/>
                        </w:rPr>
                        <w:t>)≥P</w:t>
                      </w:r>
                      <w:r>
                        <w:rPr>
                          <w:i/>
                          <w:color w:val="000000" w:themeColor="text1"/>
                          <w:vertAlign w:val="subscript"/>
                        </w:rPr>
                        <w:t>H,m</w:t>
                      </w:r>
                      <w:r>
                        <w:rPr>
                          <w:color w:val="000000" w:themeColor="text1"/>
                        </w:rPr>
                        <w:t>,</w:t>
                      </w:r>
                    </w:p>
                    <w:p>
                      <w:pPr>
                        <w:ind w:firstLine="720"/>
                        <w:rPr>
                          <w:color w:val="000000" w:themeColor="text1"/>
                        </w:rPr>
                      </w:pPr>
                    </w:p>
                    <w:tbl>
                      <w:tblPr>
                        <w:tblW w:w="0" w:type="auto"/>
                        <w:tblLook w:val="01E0" w:firstRow="1" w:lastRow="1" w:firstColumn="1" w:lastColumn="1" w:noHBand="0" w:noVBand="0"/>
                      </w:tblPr>
                      <w:tblGrid>
                        <w:gridCol w:w="8304"/>
                        <w:gridCol w:w="1050"/>
                      </w:tblGrid>
                      <w:tr>
                        <w:tc>
                          <w:tcPr>
                            <w:tcW w:w="8304" w:type="dxa"/>
                            <w:vAlign w:val="center"/>
                            <w:hideMark/>
                          </w:tcPr>
                          <w:p>
                            <w:pPr>
                              <w:spacing w:line="276" w:lineRule="auto"/>
                              <w:jc w:val="center"/>
                              <w:rPr>
                                <w:rFonts w:eastAsia="Calibri"/>
                                <w:color w:val="000000" w:themeColor="text1"/>
                                <w:szCs w:val="22"/>
                              </w:rPr>
                            </w:pPr>
                            <w:r>
                              <w:rPr>
                                <w:rFonts w:eastAsia="Calibri"/>
                                <w:i/>
                                <w:color w:val="000000" w:themeColor="text1"/>
                                <w:position w:val="-32"/>
                                <w:szCs w:val="22"/>
                              </w:rPr>
                              <w:object w:dxaOrig="1536" w:dyaOrig="720">
                                <v:shape id="_x0000_i1964" type="#_x0000_t75" style="width:77.65pt;height:36.4pt" o:ole="">
                                  <v:imagedata r:id="rId265" o:title=""/>
                                </v:shape>
                                <o:OLEObject Type="Embed" ProgID="Equation.3" ShapeID="_x0000_i1964" DrawAspect="Content" ObjectID="_0000000001" r:id="rId266"/>
                              </w:object>
                            </w:r>
                            <w:r>
                              <w:rPr>
                                <w:color w:val="000000" w:themeColor="text1"/>
                              </w:rPr>
                              <w:t>;</w:t>
                            </w:r>
                          </w:p>
                        </w:tc>
                        <w:tc>
                          <w:tcPr>
                            <w:tcW w:w="1050" w:type="dxa"/>
                            <w:vAlign w:val="center"/>
                            <w:hideMark/>
                          </w:tcPr>
                          <w:p>
                            <w:pPr>
                              <w:spacing w:line="276" w:lineRule="auto"/>
                              <w:jc w:val="right"/>
                              <w:rPr>
                                <w:rFonts w:eastAsia="Calibri"/>
                                <w:color w:val="000000" w:themeColor="text1"/>
                                <w:szCs w:val="22"/>
                              </w:rPr>
                            </w:pPr>
                            <w:r>
                              <w:rPr>
                                <w:color w:val="000000" w:themeColor="text1"/>
                              </w:rPr>
                              <w:t>(15.2)</w:t>
                            </w:r>
                          </w:p>
                        </w:tc>
                      </w:tr>
                    </w:tbl>
                    <w:p>
                      <w:pPr>
                        <w:ind w:firstLine="720"/>
                        <w:rPr>
                          <w:rFonts w:eastAsia="Calibri"/>
                          <w:color w:val="000000" w:themeColor="text1"/>
                          <w:szCs w:val="22"/>
                        </w:rPr>
                      </w:pPr>
                    </w:p>
                    <w:tbl>
                      <w:tblPr>
                        <w:tblW w:w="0" w:type="auto"/>
                        <w:tblLook w:val="01E0" w:firstRow="1" w:lastRow="1" w:firstColumn="1" w:lastColumn="1" w:noHBand="0" w:noVBand="0"/>
                      </w:tblPr>
                      <w:tblGrid>
                        <w:gridCol w:w="8304"/>
                        <w:gridCol w:w="1050"/>
                      </w:tblGrid>
                      <w:tr>
                        <w:tc>
                          <w:tcPr>
                            <w:tcW w:w="8304" w:type="dxa"/>
                            <w:vAlign w:val="center"/>
                            <w:hideMark/>
                          </w:tcPr>
                          <w:p>
                            <w:pPr>
                              <w:spacing w:line="276" w:lineRule="auto"/>
                              <w:jc w:val="center"/>
                              <w:rPr>
                                <w:rFonts w:eastAsia="Calibri"/>
                                <w:color w:val="000000" w:themeColor="text1"/>
                                <w:szCs w:val="22"/>
                              </w:rPr>
                            </w:pPr>
                            <w:r>
                              <w:rPr>
                                <w:rFonts w:eastAsia="Calibri"/>
                                <w:i/>
                                <w:color w:val="000000" w:themeColor="text1"/>
                                <w:position w:val="-14"/>
                                <w:szCs w:val="22"/>
                              </w:rPr>
                              <w:object w:dxaOrig="1272" w:dyaOrig="372">
                                <v:shape id="_x0000_i1965" type="#_x0000_t75" style="width:63.9pt;height:17.8pt" o:ole="">
                                  <v:imagedata r:id="rId267" o:title=""/>
                                </v:shape>
                                <o:OLEObject Type="Embed" ProgID="Equation.3" ShapeID="_x0000_i1965" DrawAspect="Content" ObjectID="_0000000001" r:id="rId268"/>
                              </w:object>
                            </w:r>
                            <w:r>
                              <w:rPr>
                                <w:color w:val="000000" w:themeColor="text1"/>
                              </w:rPr>
                              <w:t>;</w:t>
                            </w:r>
                          </w:p>
                        </w:tc>
                        <w:tc>
                          <w:tcPr>
                            <w:tcW w:w="1050" w:type="dxa"/>
                            <w:vAlign w:val="center"/>
                            <w:hideMark/>
                          </w:tcPr>
                          <w:p>
                            <w:pPr>
                              <w:spacing w:line="276" w:lineRule="auto"/>
                              <w:jc w:val="right"/>
                              <w:rPr>
                                <w:rFonts w:eastAsia="Calibri"/>
                                <w:color w:val="000000" w:themeColor="text1"/>
                                <w:szCs w:val="22"/>
                              </w:rPr>
                            </w:pPr>
                            <w:r>
                              <w:rPr>
                                <w:color w:val="000000" w:themeColor="text1"/>
                              </w:rPr>
                              <w:t>(15.3)</w:t>
                            </w:r>
                          </w:p>
                        </w:tc>
                      </w:tr>
                    </w:tbl>
                    <w:p>
                      <w:pPr>
                        <w:ind w:firstLine="720"/>
                        <w:rPr>
                          <w:rFonts w:eastAsia="Calibri"/>
                          <w:color w:val="000000" w:themeColor="text1"/>
                          <w:szCs w:val="22"/>
                        </w:rPr>
                      </w:pPr>
                    </w:p>
                    <w:p>
                      <w:pPr>
                        <w:tabs>
                          <w:tab w:val="left" w:pos="567"/>
                        </w:tabs>
                        <w:jc w:val="both"/>
                        <w:rPr>
                          <w:color w:val="000000" w:themeColor="text1"/>
                        </w:rPr>
                      </w:pPr>
                      <w:r>
                        <w:rPr>
                          <w:color w:val="000000" w:themeColor="text1"/>
                        </w:rPr>
                        <w:t>čia:</w:t>
                        <w:tab/>
                      </w:r>
                      <w:r>
                        <w:rPr>
                          <w:i/>
                          <w:color w:val="000000" w:themeColor="text1"/>
                        </w:rPr>
                        <w:t>P</w:t>
                      </w:r>
                      <w:r>
                        <w:rPr>
                          <w:i/>
                          <w:color w:val="000000" w:themeColor="text1"/>
                          <w:vertAlign w:val="subscript"/>
                        </w:rPr>
                        <w:t>1</w:t>
                      </w:r>
                      <w:r>
                        <w:rPr>
                          <w:color w:val="000000" w:themeColor="text1"/>
                        </w:rPr>
                        <w:t xml:space="preserve"> – kartu su šiluminiais siurbliais naudojamų 1 punkte išvardintų šilumos šaltinių, kurie naudoja tą patį energijos šaltinį, suminė galia (W);</w:t>
                      </w:r>
                    </w:p>
                    <w:p>
                      <w:pPr>
                        <w:ind w:firstLine="567"/>
                        <w:jc w:val="both"/>
                        <w:rPr>
                          <w:color w:val="000000" w:themeColor="text1"/>
                        </w:rPr>
                      </w:pPr>
                      <w:r>
                        <w:rPr>
                          <w:i/>
                          <w:color w:val="000000" w:themeColor="text1"/>
                        </w:rPr>
                        <w:t>P</w:t>
                      </w:r>
                      <w:r>
                        <w:rPr>
                          <w:i/>
                          <w:color w:val="000000" w:themeColor="text1"/>
                          <w:vertAlign w:val="subscript"/>
                        </w:rPr>
                        <w:t>2</w:t>
                      </w:r>
                      <w:r>
                        <w:rPr>
                          <w:color w:val="000000" w:themeColor="text1"/>
                        </w:rPr>
                        <w:t xml:space="preserve"> – pastatui šildyti naudojamų šiluminių siurblių suminė galia (W);</w:t>
                      </w:r>
                    </w:p>
                    <w:p>
                      <w:pPr>
                        <w:ind w:firstLine="720"/>
                        <w:jc w:val="both"/>
                        <w:rPr>
                          <w:color w:val="000000" w:themeColor="text1"/>
                        </w:rPr>
                      </w:pPr>
                    </w:p>
                  </w:sdtContent>
                </w:sdt>
                <w:sdt>
                  <w:sdtPr>
                    <w:alias w:val="1.2.3 pp."/>
                    <w:tag w:val="part_6b9e7dfde6ba45be9325773c14121d67"/>
                    <w:lock w:val="sdtLocked"/>
                    <w:richText/>
                  </w:sdtPr>
                  <w:sdtContent>
                    <w:p>
                      <w:pPr>
                        <w:ind w:firstLine="567"/>
                        <w:jc w:val="both"/>
                        <w:rPr>
                          <w:color w:val="000000" w:themeColor="text1"/>
                        </w:rPr>
                      </w:pPr>
                      <w:sdt>
                        <w:sdtPr>
                          <w:alias w:val="Numeris"/>
                          <w:tag w:val="nr_6b9e7dfde6ba45be9325773c14121d67"/>
                          <w:lock w:val="sdtLocked"/>
                          <w:richText/>
                        </w:sdtPr>
                        <w:sdtContent>
                          <w:r>
                            <w:rPr>
                              <w:color w:val="000000" w:themeColor="text1"/>
                            </w:rPr>
                            <w:t>1.2.3</w:t>
                          </w:r>
                        </w:sdtContent>
                      </w:sdt>
                      <w:r>
                        <w:rPr>
                          <w:color w:val="000000" w:themeColor="text1"/>
                        </w:rPr>
                        <w:t xml:space="preserve">. jei atitinkamą mėnesį „m“ šiluminiai siurbliai pagal savo techninius rodiklius gali būti naudojami pastatui šildyti esant 15.1 lentelėje nurodytai išorės oro temperatūrai, tačiau šildymo sistema įrengta taip, kad vienu metu joje negali veikti šiluminiai siurbliai ir kito tipo 1 punkte išvardinti šilumos šaltiniai, ir jei </w:t>
                      </w:r>
                      <w:r>
                        <w:rPr>
                          <w:i/>
                          <w:color w:val="000000" w:themeColor="text1"/>
                        </w:rPr>
                        <w:t>P</w:t>
                      </w:r>
                      <w:r>
                        <w:rPr>
                          <w:i/>
                          <w:color w:val="000000" w:themeColor="text1"/>
                          <w:vertAlign w:val="subscript"/>
                        </w:rPr>
                        <w:t>2</w:t>
                      </w:r>
                      <w:r>
                        <w:rPr>
                          <w:i/>
                          <w:color w:val="000000" w:themeColor="text1"/>
                        </w:rPr>
                        <w:t>&lt;P</w:t>
                      </w:r>
                      <w:r>
                        <w:rPr>
                          <w:i/>
                          <w:color w:val="000000" w:themeColor="text1"/>
                          <w:vertAlign w:val="subscript"/>
                        </w:rPr>
                        <w:t>H,m</w:t>
                      </w:r>
                      <w:r>
                        <w:rPr>
                          <w:color w:val="000000" w:themeColor="text1"/>
                        </w:rPr>
                        <w:t xml:space="preserve">, tai </w:t>
                      </w:r>
                      <w:r>
                        <w:rPr>
                          <w:i/>
                          <w:color w:val="000000" w:themeColor="text1"/>
                        </w:rPr>
                        <w:t>τ</w:t>
                      </w:r>
                      <w:r>
                        <w:rPr>
                          <w:i/>
                          <w:color w:val="000000" w:themeColor="text1"/>
                          <w:vertAlign w:val="subscript"/>
                        </w:rPr>
                        <w:t>1,m</w:t>
                      </w:r>
                      <w:r>
                        <w:rPr>
                          <w:color w:val="000000" w:themeColor="text1"/>
                          <w:lang w:val="en-US"/>
                        </w:rPr>
                        <w:t>=1</w:t>
                      </w:r>
                      <w:r>
                        <w:rPr>
                          <w:color w:val="000000" w:themeColor="text1"/>
                        </w:rPr>
                        <w:t xml:space="preserve">, o </w:t>
                      </w:r>
                      <w:r>
                        <w:rPr>
                          <w:i/>
                          <w:color w:val="000000" w:themeColor="text1"/>
                        </w:rPr>
                        <w:t>τ</w:t>
                      </w:r>
                      <w:r>
                        <w:rPr>
                          <w:i/>
                          <w:color w:val="000000" w:themeColor="text1"/>
                          <w:vertAlign w:val="subscript"/>
                        </w:rPr>
                        <w:t>2,m</w:t>
                      </w:r>
                      <w:r>
                        <w:rPr>
                          <w:color w:val="000000" w:themeColor="text1"/>
                          <w:lang w:val="en-US"/>
                        </w:rPr>
                        <w:t>=</w:t>
                      </w:r>
                      <w:r>
                        <w:rPr>
                          <w:color w:val="000000" w:themeColor="text1"/>
                        </w:rPr>
                        <w:t>0;</w:t>
                      </w:r>
                    </w:p>
                  </w:sdtContent>
                </w:sdt>
                <w:sdt>
                  <w:sdtPr>
                    <w:alias w:val="1.2.4 pp."/>
                    <w:tag w:val="part_6b888c9a752541feb249a24debc5dc62"/>
                    <w:lock w:val="sdtLocked"/>
                    <w:richText/>
                  </w:sdtPr>
                  <w:sdtContent>
                    <w:p>
                      <w:pPr>
                        <w:ind w:firstLine="567"/>
                        <w:jc w:val="both"/>
                        <w:rPr>
                          <w:color w:val="000000" w:themeColor="text1"/>
                        </w:rPr>
                      </w:pPr>
                      <w:sdt>
                        <w:sdtPr>
                          <w:alias w:val="Numeris"/>
                          <w:tag w:val="nr_6b888c9a752541feb249a24debc5dc62"/>
                          <w:lock w:val="sdtLocked"/>
                          <w:richText/>
                        </w:sdtPr>
                        <w:sdtContent>
                          <w:r>
                            <w:rPr>
                              <w:color w:val="000000" w:themeColor="text1"/>
                            </w:rPr>
                            <w:t>1.2.4</w:t>
                          </w:r>
                        </w:sdtContent>
                      </w:sdt>
                      <w:r>
                        <w:rPr>
                          <w:color w:val="000000" w:themeColor="text1"/>
                        </w:rPr>
                        <w:t xml:space="preserve">. jei atitinkamą mėnesį „m“ šiluminis siurblys pagal savo techninius rodiklius negali būti naudojamas pastatui šildyti esant 15.1 lentelėje nurodytai išorės oro temperatūrai, ir jei </w:t>
                      </w:r>
                      <w:r>
                        <w:rPr>
                          <w:i/>
                          <w:color w:val="000000" w:themeColor="text1"/>
                        </w:rPr>
                        <w:t>P</w:t>
                      </w:r>
                      <w:r>
                        <w:rPr>
                          <w:i/>
                          <w:color w:val="000000" w:themeColor="text1"/>
                          <w:vertAlign w:val="subscript"/>
                        </w:rPr>
                        <w:t>2</w:t>
                      </w:r>
                      <w:r>
                        <w:rPr>
                          <w:i/>
                          <w:color w:val="000000" w:themeColor="text1"/>
                        </w:rPr>
                        <w:t>&lt;P</w:t>
                      </w:r>
                      <w:r>
                        <w:rPr>
                          <w:i/>
                          <w:color w:val="000000" w:themeColor="text1"/>
                          <w:vertAlign w:val="subscript"/>
                        </w:rPr>
                        <w:t>H,m</w:t>
                      </w:r>
                      <w:r>
                        <w:rPr>
                          <w:color w:val="000000" w:themeColor="text1"/>
                        </w:rPr>
                        <w:t xml:space="preserve"> ir </w:t>
                      </w:r>
                      <w:r>
                        <w:rPr>
                          <w:i/>
                          <w:color w:val="000000" w:themeColor="text1"/>
                        </w:rPr>
                        <w:t>P</w:t>
                      </w:r>
                      <w:r>
                        <w:rPr>
                          <w:i/>
                          <w:color w:val="000000" w:themeColor="text1"/>
                          <w:vertAlign w:val="subscript"/>
                        </w:rPr>
                        <w:t>1</w:t>
                      </w:r>
                      <w:r>
                        <w:rPr>
                          <w:i/>
                          <w:color w:val="000000" w:themeColor="text1"/>
                        </w:rPr>
                        <w:t>≥P</w:t>
                      </w:r>
                      <w:r>
                        <w:rPr>
                          <w:i/>
                          <w:color w:val="000000" w:themeColor="text1"/>
                          <w:vertAlign w:val="subscript"/>
                        </w:rPr>
                        <w:t>H,m</w:t>
                      </w:r>
                      <w:r>
                        <w:rPr>
                          <w:color w:val="000000" w:themeColor="text1"/>
                        </w:rPr>
                        <w:t xml:space="preserve">, tai </w:t>
                      </w:r>
                      <w:r>
                        <w:rPr>
                          <w:i/>
                          <w:color w:val="000000" w:themeColor="text1"/>
                        </w:rPr>
                        <w:t>τ</w:t>
                      </w:r>
                      <w:r>
                        <w:rPr>
                          <w:i/>
                          <w:color w:val="000000" w:themeColor="text1"/>
                          <w:vertAlign w:val="subscript"/>
                        </w:rPr>
                        <w:t>1,m</w:t>
                      </w:r>
                      <w:r>
                        <w:rPr>
                          <w:color w:val="000000" w:themeColor="text1"/>
                          <w:lang w:val="en-US"/>
                        </w:rPr>
                        <w:t>=1</w:t>
                      </w:r>
                      <w:r>
                        <w:rPr>
                          <w:color w:val="000000" w:themeColor="text1"/>
                        </w:rPr>
                        <w:t xml:space="preserve">, o </w:t>
                      </w:r>
                      <w:r>
                        <w:rPr>
                          <w:i/>
                          <w:color w:val="000000" w:themeColor="text1"/>
                        </w:rPr>
                        <w:t>τ</w:t>
                      </w:r>
                      <w:r>
                        <w:rPr>
                          <w:i/>
                          <w:color w:val="000000" w:themeColor="text1"/>
                          <w:vertAlign w:val="subscript"/>
                        </w:rPr>
                        <w:t>2,m</w:t>
                      </w:r>
                      <w:r>
                        <w:rPr>
                          <w:color w:val="000000" w:themeColor="text1"/>
                          <w:lang w:val="en-US"/>
                        </w:rPr>
                        <w:t>=</w:t>
                      </w:r>
                      <w:r>
                        <w:rPr>
                          <w:color w:val="000000" w:themeColor="text1"/>
                        </w:rPr>
                        <w:t>0;</w:t>
                      </w:r>
                    </w:p>
                  </w:sdtContent>
                </w:sdt>
                <w:sdt>
                  <w:sdtPr>
                    <w:alias w:val="1.2.4 pp."/>
                    <w:tag w:val="part_b5becaaa94dc4fedbe59a06a7fd07e8e"/>
                    <w:lock w:val="sdtLocked"/>
                    <w:richText/>
                  </w:sdtPr>
                  <w:sdtContent>
                    <w:p>
                      <w:pPr>
                        <w:ind w:firstLine="720"/>
                        <w:jc w:val="both"/>
                        <w:rPr>
                          <w:color w:val="000000" w:themeColor="text1"/>
                        </w:rPr>
                      </w:pPr>
                      <w:sdt>
                        <w:sdtPr>
                          <w:alias w:val="Numeris"/>
                          <w:tag w:val="nr_b5becaaa94dc4fedbe59a06a7fd07e8e"/>
                          <w:lock w:val="sdtLocked"/>
                          <w:richText/>
                        </w:sdtPr>
                        <w:sdtContent>
                          <w:r>
                            <w:rPr>
                              <w:color w:val="000000" w:themeColor="text1"/>
                            </w:rPr>
                            <w:t>1.2.4</w:t>
                          </w:r>
                        </w:sdtContent>
                      </w:sdt>
                      <w:r>
                        <w:rPr>
                          <w:color w:val="000000" w:themeColor="text1"/>
                        </w:rPr>
                        <w:t xml:space="preserve">. jei atitinkamą mėnesį „m“ šiluminiai siurbliai pagal savo techninius rodiklius gali būti naudojamas pastatui šildyti esant 15.1 lentelėje nurodytai išorės oro temperatūrai ir šildymo sistema įrengta taip, kad vienu metu joje negali veikti šiluminiai siurbliai ir kito tipo 1 punkte išvardinti šilumos šaltiniai, ir jei </w:t>
                      </w:r>
                      <w:r>
                        <w:rPr>
                          <w:i/>
                          <w:color w:val="000000" w:themeColor="text1"/>
                        </w:rPr>
                        <w:t>P</w:t>
                      </w:r>
                      <w:r>
                        <w:rPr>
                          <w:i/>
                          <w:color w:val="000000" w:themeColor="text1"/>
                          <w:vertAlign w:val="subscript"/>
                        </w:rPr>
                        <w:t>2</w:t>
                      </w:r>
                      <w:r>
                        <w:rPr>
                          <w:i/>
                          <w:color w:val="000000" w:themeColor="text1"/>
                        </w:rPr>
                        <w:t>&lt;P</w:t>
                      </w:r>
                      <w:r>
                        <w:rPr>
                          <w:i/>
                          <w:color w:val="000000" w:themeColor="text1"/>
                          <w:vertAlign w:val="subscript"/>
                        </w:rPr>
                        <w:t>H,m</w:t>
                      </w:r>
                      <w:r>
                        <w:rPr>
                          <w:color w:val="000000" w:themeColor="text1"/>
                        </w:rPr>
                        <w:t xml:space="preserve"> ir </w:t>
                      </w:r>
                      <w:r>
                        <w:rPr>
                          <w:i/>
                          <w:color w:val="000000" w:themeColor="text1"/>
                        </w:rPr>
                        <w:t>P</w:t>
                      </w:r>
                      <w:r>
                        <w:rPr>
                          <w:i/>
                          <w:color w:val="000000" w:themeColor="text1"/>
                          <w:vertAlign w:val="subscript"/>
                        </w:rPr>
                        <w:t>1</w:t>
                      </w:r>
                      <w:r>
                        <w:rPr>
                          <w:i/>
                          <w:color w:val="000000" w:themeColor="text1"/>
                        </w:rPr>
                        <w:t>&lt;P</w:t>
                      </w:r>
                      <w:r>
                        <w:rPr>
                          <w:i/>
                          <w:color w:val="000000" w:themeColor="text1"/>
                          <w:vertAlign w:val="subscript"/>
                        </w:rPr>
                        <w:t>H,m</w:t>
                      </w:r>
                      <w:r>
                        <w:rPr>
                          <w:color w:val="000000" w:themeColor="text1"/>
                        </w:rPr>
                        <w:t xml:space="preserve">, tai darbo laiko koeficientai </w:t>
                      </w:r>
                      <w:r>
                        <w:rPr>
                          <w:i/>
                          <w:color w:val="000000" w:themeColor="text1"/>
                        </w:rPr>
                        <w:t>τ</w:t>
                      </w:r>
                      <w:r>
                        <w:rPr>
                          <w:i/>
                          <w:color w:val="000000" w:themeColor="text1"/>
                          <w:vertAlign w:val="subscript"/>
                        </w:rPr>
                        <w:t>1,m</w:t>
                      </w:r>
                      <w:r>
                        <w:rPr>
                          <w:color w:val="000000" w:themeColor="text1"/>
                          <w:lang w:val="en-US"/>
                        </w:rPr>
                        <w:t xml:space="preserve"> ir </w:t>
                      </w:r>
                      <w:r>
                        <w:rPr>
                          <w:i/>
                          <w:color w:val="000000" w:themeColor="text1"/>
                        </w:rPr>
                        <w:t>τ</w:t>
                      </w:r>
                      <w:r>
                        <w:rPr>
                          <w:i/>
                          <w:color w:val="000000" w:themeColor="text1"/>
                          <w:vertAlign w:val="subscript"/>
                        </w:rPr>
                        <w:t>2,m</w:t>
                      </w:r>
                      <w:r>
                        <w:rPr>
                          <w:color w:val="000000" w:themeColor="text1"/>
                        </w:rPr>
                        <w:t xml:space="preserve"> atitinkamam šilumos šaltinių deriniui imami iš Reglamento 2 priedo 2.47 lentelės 4, 23 arba 28 punkto;</w:t>
                      </w:r>
                    </w:p>
                  </w:sdtContent>
                </w:sdt>
                <w:sdt>
                  <w:sdtPr>
                    <w:alias w:val="1.2.5 pp."/>
                    <w:tag w:val="part_d269f112a6ec46e797a292e72199c01d"/>
                    <w:lock w:val="sdtLocked"/>
                    <w:richText/>
                  </w:sdtPr>
                  <w:sdtContent>
                    <w:p>
                      <w:pPr>
                        <w:ind w:firstLine="720"/>
                        <w:jc w:val="both"/>
                        <w:rPr>
                          <w:color w:val="000000" w:themeColor="text1"/>
                        </w:rPr>
                      </w:pPr>
                      <w:sdt>
                        <w:sdtPr>
                          <w:alias w:val="Numeris"/>
                          <w:tag w:val="nr_d269f112a6ec46e797a292e72199c01d"/>
                          <w:lock w:val="sdtLocked"/>
                          <w:richText/>
                        </w:sdtPr>
                        <w:sdtContent>
                          <w:r>
                            <w:rPr>
                              <w:color w:val="000000" w:themeColor="text1"/>
                            </w:rPr>
                            <w:t>1.2.5</w:t>
                          </w:r>
                        </w:sdtContent>
                      </w:sdt>
                      <w:r>
                        <w:rPr>
                          <w:color w:val="000000" w:themeColor="text1"/>
                        </w:rPr>
                        <w:t xml:space="preserve">. jei atitinkamą mėnesį „m“ šiluminiai siurbliai pagal savo techninius rodiklius gali būti naudojamas pastatui šildyti esant 15.1 lentelėje nurodytai išorės oro temperatūrai ir šildymo sistema įrengta taip, kad vienu metu joje gali veikti šiluminiai siurbliai ir kito tipo 1 punkte išvardinti šilumos šaltiniai, ir jei </w:t>
                      </w:r>
                      <w:r>
                        <w:rPr>
                          <w:i/>
                          <w:color w:val="000000" w:themeColor="text1"/>
                        </w:rPr>
                        <w:t>(P</w:t>
                      </w:r>
                      <w:r>
                        <w:rPr>
                          <w:i/>
                          <w:color w:val="000000" w:themeColor="text1"/>
                          <w:vertAlign w:val="subscript"/>
                        </w:rPr>
                        <w:t>1</w:t>
                      </w:r>
                      <w:r>
                        <w:rPr>
                          <w:i/>
                          <w:color w:val="000000" w:themeColor="text1"/>
                          <w:lang w:val="en-US"/>
                        </w:rPr>
                        <w:t>+</w:t>
                      </w:r>
                      <w:r>
                        <w:rPr>
                          <w:i/>
                          <w:color w:val="000000" w:themeColor="text1"/>
                        </w:rPr>
                        <w:t>P</w:t>
                      </w:r>
                      <w:r>
                        <w:rPr>
                          <w:i/>
                          <w:color w:val="000000" w:themeColor="text1"/>
                          <w:vertAlign w:val="subscript"/>
                        </w:rPr>
                        <w:t>2</w:t>
                      </w:r>
                      <w:r>
                        <w:rPr>
                          <w:i/>
                          <w:color w:val="000000" w:themeColor="text1"/>
                        </w:rPr>
                        <w:t>)&lt;P</w:t>
                      </w:r>
                      <w:r>
                        <w:rPr>
                          <w:i/>
                          <w:color w:val="000000" w:themeColor="text1"/>
                          <w:vertAlign w:val="subscript"/>
                        </w:rPr>
                        <w:t>H,m</w:t>
                      </w:r>
                      <w:r>
                        <w:rPr>
                          <w:color w:val="000000" w:themeColor="text1"/>
                        </w:rPr>
                        <w:t xml:space="preserve">, tai darbo laiko koeficientai </w:t>
                      </w:r>
                      <w:r>
                        <w:rPr>
                          <w:i/>
                          <w:color w:val="000000" w:themeColor="text1"/>
                        </w:rPr>
                        <w:t>τ</w:t>
                      </w:r>
                      <w:r>
                        <w:rPr>
                          <w:i/>
                          <w:color w:val="000000" w:themeColor="text1"/>
                          <w:vertAlign w:val="subscript"/>
                        </w:rPr>
                        <w:t>1,m</w:t>
                      </w:r>
                      <w:r>
                        <w:rPr>
                          <w:color w:val="000000" w:themeColor="text1"/>
                          <w:lang w:val="en-US"/>
                        </w:rPr>
                        <w:t xml:space="preserve"> ir </w:t>
                      </w:r>
                      <w:r>
                        <w:rPr>
                          <w:i/>
                          <w:color w:val="000000" w:themeColor="text1"/>
                        </w:rPr>
                        <w:t>τ</w:t>
                      </w:r>
                      <w:r>
                        <w:rPr>
                          <w:i/>
                          <w:color w:val="000000" w:themeColor="text1"/>
                          <w:vertAlign w:val="subscript"/>
                        </w:rPr>
                        <w:t>2,m</w:t>
                      </w:r>
                      <w:r>
                        <w:rPr>
                          <w:color w:val="000000" w:themeColor="text1"/>
                        </w:rPr>
                        <w:t xml:space="preserve"> atitinkamam šilumos šaltinių deriniui imami iš Reglamento 2 priedo 2.47 lentelės 4, 23 arba 28 punkto.</w:t>
                      </w:r>
                    </w:p>
                    <w:p>
                      <w:pPr>
                        <w:rPr>
                          <w:color w:val="000000" w:themeColor="text1"/>
                        </w:rPr>
                      </w:pPr>
                    </w:p>
                    <w:sdt>
                      <w:sdtPr>
                        <w:alias w:val="skirsnis"/>
                        <w:tag w:val="part_4823f968e8f44062b8e361704f7971fa"/>
                        <w:lock w:val="sdtLocked"/>
                        <w:richText/>
                      </w:sdtPr>
                      <w:sdtContent>
                        <w:p>
                          <w:pPr>
                            <w:ind w:left="720" w:hanging="720"/>
                            <w:jc w:val="center"/>
                            <w:rPr>
                              <w:b/>
                            </w:rPr>
                          </w:pPr>
                          <w:sdt>
                            <w:sdtPr>
                              <w:alias w:val="Pavadinimas"/>
                              <w:tag w:val="title_4823f968e8f44062b8e361704f7971fa"/>
                              <w:lock w:val="sdtLocked"/>
                              <w:richText/>
                            </w:sdtPr>
                            <w:sdtContent>
                              <w:r>
                                <w:rPr>
                                  <w:b/>
                                </w:rPr>
                                <w:t xml:space="preserve">Vidutinė minimali mėnesio paros išorės oro temperatūra </w:t>
                              </w:r>
                              <w:r>
                                <w:rPr>
                                  <w:b/>
                                  <w:i/>
                                  <w:iCs/>
                                </w:rPr>
                                <w:t>θ</w:t>
                              </w:r>
                              <w:r>
                                <w:rPr>
                                  <w:b/>
                                  <w:i/>
                                  <w:iCs/>
                                  <w:vertAlign w:val="subscript"/>
                                </w:rPr>
                                <w:t xml:space="preserve">e.PH,m </w:t>
                              </w:r>
                              <w:r>
                                <w:rPr>
                                  <w:b/>
                                  <w:iCs/>
                                </w:rPr>
                                <w:t>(</w:t>
                              </w:r>
                              <w:r>
                                <w:rPr>
                                  <w:b/>
                                </w:rPr>
                                <w:t>°C) esant vidutinei mėnesio paros temperatūros amplitudei</w:t>
                              </w:r>
                            </w:sdtContent>
                          </w:sdt>
                        </w:p>
                        <w:sdt>
                          <w:sdtPr>
                            <w:alias w:val="lentele"/>
                            <w:tag w:val="part_327bf22b18b449c1aa42f64505f28981"/>
                            <w:lock w:val="sdtLocked"/>
                            <w:richText/>
                          </w:sdtPr>
                          <w:sdtContent>
                            <w:p>
                              <w:pPr>
                                <w:jc w:val="right"/>
                              </w:pPr>
                              <w:sdt>
                                <w:sdtPr>
                                  <w:alias w:val="Numeris"/>
                                  <w:tag w:val="nr_327bf22b18b449c1aa42f64505f28981"/>
                                  <w:lock w:val="sdtLocked"/>
                                  <w:richText/>
                                </w:sdtPr>
                                <w:sdtContent>
                                  <w:r>
                                    <w:t>15.1</w:t>
                                  </w:r>
                                </w:sdtContent>
                              </w:sdt>
                              <w:r>
                                <w:t xml:space="preserve"> lentelė</w:t>
                              </w:r>
                            </w:p>
                            <w:tbl>
                              <w:tblPr>
                                <w:tblW w:w="5000" w:type="pct"/>
                                <w:tblLook w:val="04A0" w:firstRow="1" w:lastRow="0" w:firstColumn="1" w:lastColumn="0" w:noHBand="0" w:noVBand="1"/>
                              </w:tblPr>
                              <w:tblGrid>
                                <w:gridCol w:w="2682"/>
                                <w:gridCol w:w="596"/>
                                <w:gridCol w:w="716"/>
                                <w:gridCol w:w="596"/>
                                <w:gridCol w:w="516"/>
                                <w:gridCol w:w="636"/>
                                <w:gridCol w:w="636"/>
                                <w:gridCol w:w="636"/>
                                <w:gridCol w:w="636"/>
                                <w:gridCol w:w="636"/>
                                <w:gridCol w:w="516"/>
                                <w:gridCol w:w="456"/>
                                <w:gridCol w:w="596"/>
                              </w:tblGrid>
                              <w:tr>
                                <w:trPr>
                                  <w:trHeight w:val="310"/>
                                </w:trPr>
                                <w:tc>
                                  <w:tcPr>
                                    <w:tcW w:w="1611" w:type="pct"/>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rFonts w:eastAsia="Calibri"/>
                                        <w:szCs w:val="24"/>
                                        <w:lang w:val="en-US"/>
                                      </w:rPr>
                                    </w:pPr>
                                    <w:r>
                                      <w:rPr>
                                        <w:szCs w:val="24"/>
                                      </w:rPr>
                                      <w:t>Mėnesio Nr.</w:t>
                                    </w:r>
                                  </w:p>
                                </w:tc>
                                <w:tc>
                                  <w:tcPr>
                                    <w:tcW w:w="28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1</w:t>
                                    </w:r>
                                  </w:p>
                                </w:tc>
                                <w:tc>
                                  <w:tcPr>
                                    <w:tcW w:w="335"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2</w:t>
                                    </w:r>
                                  </w:p>
                                </w:tc>
                                <w:tc>
                                  <w:tcPr>
                                    <w:tcW w:w="28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3</w:t>
                                    </w:r>
                                  </w:p>
                                </w:tc>
                                <w:tc>
                                  <w:tcPr>
                                    <w:tcW w:w="246"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4</w:t>
                                    </w:r>
                                  </w:p>
                                </w:tc>
                                <w:tc>
                                  <w:tcPr>
                                    <w:tcW w:w="29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5</w:t>
                                    </w:r>
                                  </w:p>
                                </w:tc>
                                <w:tc>
                                  <w:tcPr>
                                    <w:tcW w:w="29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6</w:t>
                                    </w:r>
                                  </w:p>
                                </w:tc>
                                <w:tc>
                                  <w:tcPr>
                                    <w:tcW w:w="29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7</w:t>
                                    </w:r>
                                  </w:p>
                                </w:tc>
                                <w:tc>
                                  <w:tcPr>
                                    <w:tcW w:w="29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8</w:t>
                                    </w:r>
                                  </w:p>
                                </w:tc>
                                <w:tc>
                                  <w:tcPr>
                                    <w:tcW w:w="299"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9</w:t>
                                    </w:r>
                                  </w:p>
                                </w:tc>
                                <w:tc>
                                  <w:tcPr>
                                    <w:tcW w:w="246"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10</w:t>
                                    </w:r>
                                  </w:p>
                                </w:tc>
                                <w:tc>
                                  <w:tcPr>
                                    <w:tcW w:w="220"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11</w:t>
                                    </w:r>
                                  </w:p>
                                </w:tc>
                                <w:tc>
                                  <w:tcPr>
                                    <w:tcW w:w="282" w:type="pct"/>
                                    <w:tcBorders>
                                      <w:top w:val="single" w:sz="4" w:space="0" w:color="auto"/>
                                      <w:left w:val="nil"/>
                                      <w:bottom w:val="single" w:sz="4" w:space="0" w:color="auto"/>
                                      <w:right w:val="single" w:sz="4" w:space="0" w:color="auto"/>
                                    </w:tcBorders>
                                    <w:vAlign w:val="center"/>
                                    <w:hideMark/>
                                  </w:tcPr>
                                  <w:p>
                                    <w:pPr>
                                      <w:spacing w:line="276" w:lineRule="auto"/>
                                      <w:jc w:val="center"/>
                                      <w:rPr>
                                        <w:rFonts w:eastAsia="Calibri"/>
                                        <w:szCs w:val="24"/>
                                      </w:rPr>
                                    </w:pPr>
                                    <w:r>
                                      <w:rPr>
                                        <w:szCs w:val="24"/>
                                      </w:rPr>
                                      <w:t>12</w:t>
                                    </w:r>
                                  </w:p>
                                </w:tc>
                              </w:tr>
                              <w:tr>
                                <w:trPr>
                                  <w:trHeight w:val="780"/>
                                </w:trPr>
                                <w:tc>
                                  <w:tcPr>
                                    <w:tcW w:w="1611" w:type="pct"/>
                                    <w:tcBorders>
                                      <w:top w:val="nil"/>
                                      <w:left w:val="single" w:sz="4" w:space="0" w:color="auto"/>
                                      <w:bottom w:val="single" w:sz="4" w:space="0" w:color="auto"/>
                                      <w:right w:val="single" w:sz="4" w:space="0" w:color="auto"/>
                                    </w:tcBorders>
                                    <w:vAlign w:val="center"/>
                                    <w:hideMark/>
                                  </w:tcPr>
                                  <w:p>
                                    <w:pPr>
                                      <w:spacing w:line="276" w:lineRule="auto"/>
                                      <w:jc w:val="center"/>
                                      <w:rPr>
                                        <w:rFonts w:eastAsia="Calibri"/>
                                        <w:szCs w:val="24"/>
                                      </w:rPr>
                                    </w:pPr>
                                    <w:r>
                                      <w:rPr>
                                        <w:szCs w:val="24"/>
                                      </w:rPr>
                                      <w:t>Minimali vidutinė paros išorės oro temperatūra esant vidutinei mėnesio paros temperatūros amplitudei</w:t>
                                    </w:r>
                                  </w:p>
                                  <w:p>
                                    <w:pPr>
                                      <w:spacing w:line="276" w:lineRule="auto"/>
                                      <w:jc w:val="center"/>
                                      <w:rPr>
                                        <w:rFonts w:eastAsia="Calibri"/>
                                        <w:szCs w:val="24"/>
                                      </w:rPr>
                                    </w:pPr>
                                    <w:r>
                                      <w:rPr>
                                        <w:i/>
                                        <w:iCs/>
                                        <w:szCs w:val="24"/>
                                      </w:rPr>
                                      <w:t>θ</w:t>
                                    </w:r>
                                    <w:r>
                                      <w:rPr>
                                        <w:i/>
                                        <w:iCs/>
                                        <w:szCs w:val="24"/>
                                        <w:vertAlign w:val="subscript"/>
                                      </w:rPr>
                                      <w:t xml:space="preserve">e.PH,m </w:t>
                                    </w:r>
                                    <w:r>
                                      <w:rPr>
                                        <w:iCs/>
                                        <w:szCs w:val="24"/>
                                      </w:rPr>
                                      <w:t>(</w:t>
                                    </w:r>
                                    <w:r>
                                      <w:rPr>
                                        <w:szCs w:val="24"/>
                                      </w:rPr>
                                      <w:t>°C)</w:t>
                                    </w:r>
                                  </w:p>
                                </w:tc>
                                <w:tc>
                                  <w:tcPr>
                                    <w:tcW w:w="282"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-7,7</w:t>
                                    </w:r>
                                  </w:p>
                                </w:tc>
                                <w:tc>
                                  <w:tcPr>
                                    <w:tcW w:w="335"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-7,25</w:t>
                                    </w:r>
                                  </w:p>
                                </w:tc>
                                <w:tc>
                                  <w:tcPr>
                                    <w:tcW w:w="282"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-4,5</w:t>
                                    </w:r>
                                  </w:p>
                                </w:tc>
                                <w:tc>
                                  <w:tcPr>
                                    <w:tcW w:w="246"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1,1</w:t>
                                    </w:r>
                                  </w:p>
                                </w:tc>
                                <w:tc>
                                  <w:tcPr>
                                    <w:tcW w:w="299"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6,55</w:t>
                                    </w:r>
                                  </w:p>
                                </w:tc>
                                <w:tc>
                                  <w:tcPr>
                                    <w:tcW w:w="299"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10,1</w:t>
                                    </w:r>
                                  </w:p>
                                </w:tc>
                                <w:tc>
                                  <w:tcPr>
                                    <w:tcW w:w="299"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11,6</w:t>
                                    </w:r>
                                  </w:p>
                                </w:tc>
                                <w:tc>
                                  <w:tcPr>
                                    <w:tcW w:w="299"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11,4</w:t>
                                    </w:r>
                                  </w:p>
                                </w:tc>
                                <w:tc>
                                  <w:tcPr>
                                    <w:tcW w:w="299"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7,45</w:t>
                                    </w:r>
                                  </w:p>
                                </w:tc>
                                <w:tc>
                                  <w:tcPr>
                                    <w:tcW w:w="246"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3,9</w:t>
                                    </w:r>
                                  </w:p>
                                </w:tc>
                                <w:tc>
                                  <w:tcPr>
                                    <w:tcW w:w="220"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0</w:t>
                                    </w:r>
                                  </w:p>
                                </w:tc>
                                <w:tc>
                                  <w:tcPr>
                                    <w:tcW w:w="282" w:type="pct"/>
                                    <w:tcBorders>
                                      <w:top w:val="nil"/>
                                      <w:left w:val="nil"/>
                                      <w:bottom w:val="single" w:sz="4" w:space="0" w:color="auto"/>
                                      <w:right w:val="single" w:sz="4" w:space="0" w:color="auto"/>
                                    </w:tcBorders>
                                    <w:noWrap/>
                                    <w:vAlign w:val="center"/>
                                    <w:hideMark/>
                                  </w:tcPr>
                                  <w:p>
                                    <w:pPr>
                                      <w:spacing w:line="276" w:lineRule="auto"/>
                                      <w:jc w:val="center"/>
                                      <w:rPr>
                                        <w:rFonts w:eastAsia="Calibri"/>
                                        <w:szCs w:val="24"/>
                                      </w:rPr>
                                    </w:pPr>
                                    <w:r>
                                      <w:rPr>
                                        <w:szCs w:val="24"/>
                                      </w:rPr>
                                      <w:t>-4,5</w:t>
                                    </w:r>
                                  </w:p>
                                </w:tc>
                              </w:tr>
                            </w:tbl>
                            <w:p>
                              <w:pPr>
                                <w:ind w:left="720" w:hanging="720"/>
                                <w:jc w:val="center"/>
                                <w:rPr>
                                  <w:rFonts w:eastAsia="Calibri"/>
                                  <w:szCs w:val="22"/>
                                </w:rPr>
                              </w:pP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8cae015a811e9a02091a7dde47252">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2019-01-11,
paskelbta TAR 2019-01-14, i. k. 2019-00444            </w:t>
              </w:r>
            </w:p>
            <w:p/>
          </w:sdtContent>
        </w:sdt>
        <w:sdt>
          <w:sdtPr>
            <w:alias w:val="pabaiga"/>
            <w:tag w:val="part_b7cd485900f94bc88b1c2ed0f15e197b"/>
            <w:lock w:val="sdtLocked"/>
            <w:richText/>
          </w:sdtPr>
          <w:sdtContent>
            <w:p>
              <w:pPr>
                <w:jc w:val="center"/>
                <w:rPr>
                  <w:szCs w:val="22"/>
                </w:rPr>
              </w:pPr>
              <w:r>
                <w:t>___________________________</w:t>
              </w:r>
            </w:p>
            <w:p>
              <w:pPr>
                <w:ind w:firstLine="567"/>
                <w:jc w:val="both"/>
                <w:rPr>
                  <w:strike/>
                  <w:szCs w:val="24"/>
                  <w:lang w:val="en-GB"/>
                </w:rPr>
              </w:pPr>
            </w:p>
          </w:sdtContent>
        </w:sdt>
      </w:sdtContent>
    </w:sdt>
    <w:sdt>
      <w:sdtPr>
        <w:alias w:val="16 pr."/>
        <w:tag w:val="part_f94281aeff594fbd8615ddacb17461e4"/>
        <w:lock w:val="sdtLocked"/>
        <w:richText/>
      </w:sdtPr>
      <w:sdtContent>
        <w:p>
          <w:pPr>
            <w:suppressAutoHyphens/>
            <w:ind w:left="5245"/>
            <w:sectPr>
              <w:pgSz w:w="11906" w:h="16838"/>
              <w:pgMar w:top="709" w:right="567" w:bottom="567" w:left="1701" w:header="709" w:footer="709" w:gutter="0"/>
              <w:pgNumType w:start="1"/>
              <w:cols w:space="708"/>
              <w:titlePg/>
              <w:docGrid w:linePitch="360"/>
            </w:sectPr>
          </w:pPr>
        </w:p>
        <w:p>
          <w:pPr>
            <w:suppressAutoHyphens/>
            <w:ind w:left="5245"/>
            <w:rPr>
              <w:color w:val="000000"/>
              <w:lang w:eastAsia="lt-LT"/>
            </w:rPr>
          </w:pPr>
          <w:r>
            <w:rPr>
              <w:color w:val="000000"/>
              <w:lang w:eastAsia="lt-LT"/>
            </w:rPr>
            <w:t xml:space="preserve">Statybos techninio reglamento </w:t>
          </w:r>
        </w:p>
        <w:p>
          <w:pPr>
            <w:suppressAutoHyphens/>
            <w:ind w:left="5245"/>
            <w:rPr>
              <w:color w:val="000000"/>
              <w:lang w:eastAsia="lt-LT"/>
            </w:rPr>
          </w:pPr>
          <w:r>
            <w:rPr>
              <w:color w:val="000000"/>
              <w:lang w:eastAsia="lt-LT"/>
            </w:rPr>
            <w:t>STR 2.01.02:2016 „Pastatų energinio naudingumo projektavimas ir sertifikavimas“</w:t>
          </w:r>
        </w:p>
        <w:p>
          <w:pPr>
            <w:suppressAutoHyphens/>
            <w:ind w:left="5245"/>
            <w:rPr>
              <w:color w:val="000000"/>
              <w:lang w:eastAsia="lt-LT"/>
            </w:rPr>
          </w:pPr>
          <w:sdt>
            <w:sdtPr>
              <w:alias w:val="Numeris"/>
              <w:tag w:val="nr_f94281aeff594fbd8615ddacb17461e4"/>
              <w:lock w:val="sdtLocked"/>
              <w:richText/>
            </w:sdtPr>
            <w:sdtContent>
              <w:r>
                <w:rPr>
                  <w:color w:val="000000"/>
                  <w:lang w:eastAsia="lt-LT"/>
                </w:rPr>
                <w:t>16</w:t>
              </w:r>
            </w:sdtContent>
          </w:sdt>
          <w:r>
            <w:rPr>
              <w:color w:val="000000"/>
              <w:lang w:eastAsia="lt-LT"/>
            </w:rPr>
            <w:t xml:space="preserve"> priedas</w:t>
          </w:r>
        </w:p>
        <w:p>
          <w:pPr>
            <w:suppressAutoHyphens/>
            <w:ind w:left="3240" w:firstLine="1296"/>
            <w:rPr>
              <w:b/>
              <w:color w:val="000000"/>
              <w:lang w:eastAsia="lt-LT"/>
            </w:rPr>
          </w:pPr>
        </w:p>
        <w:p>
          <w:pPr>
            <w:keepNext/>
            <w:suppressAutoHyphens/>
            <w:overflowPunct w:val="0"/>
            <w:jc w:val="center"/>
            <w:outlineLvl w:val="1"/>
            <w:rPr>
              <w:b/>
              <w:caps/>
              <w:color w:val="000000"/>
              <w:lang w:eastAsia="lt-LT"/>
            </w:rPr>
          </w:pPr>
          <w:sdt>
            <w:sdtPr>
              <w:alias w:val="Pavadinimas"/>
              <w:tag w:val="title_f94281aeff594fbd8615ddacb17461e4"/>
              <w:lock w:val="sdtLocked"/>
              <w:richText/>
            </w:sdtPr>
            <w:sdtContent>
              <w:r>
                <w:rPr>
                  <w:b/>
                  <w:caps/>
                  <w:color w:val="FFFFFF"/>
                  <w:sz w:val="2"/>
                  <w:szCs w:val="2"/>
                  <w:lang w:eastAsia="lt-LT"/>
                </w:rPr>
                <w:t xml:space="preserve">16 priedas. </w:t>
              </w:r>
              <w:r>
                <w:rPr>
                  <w:b/>
                  <w:caps/>
                  <w:color w:val="000000"/>
                  <w:lang w:eastAsia="lt-LT"/>
                </w:rPr>
                <w:t xml:space="preserve">Privalomi duomenys pastato būklės duomenų lape ir šių duomenų nustatymo tvarka atliekant energinio naudingumo sertifikavimą </w:t>
              </w:r>
            </w:sdtContent>
          </w:sdt>
        </w:p>
        <w:p>
          <w:pPr>
            <w:suppressAutoHyphens/>
            <w:rPr>
              <w:b/>
              <w:color w:val="000000"/>
            </w:rPr>
          </w:pPr>
        </w:p>
        <w:sdt>
          <w:sdtPr>
            <w:alias w:val="16 pr. 1 p."/>
            <w:tag w:val="part_04774ebff52d41b2b7d003230479e718"/>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04774ebff52d41b2b7d003230479e718"/>
                  <w:lock w:val="sdtLocked"/>
                  <w:richText/>
                </w:sdtPr>
                <w:sdtContent>
                  <w:r>
                    <w:rPr>
                      <w:szCs w:val="24"/>
                    </w:rPr>
                    <w:t>1</w:t>
                  </w:r>
                </w:sdtContent>
              </w:sdt>
              <w:r>
                <w:rPr>
                  <w:szCs w:val="24"/>
                </w:rPr>
                <w:t>.</w:t>
                <w:tab/>
              </w:r>
              <w:r>
                <w:rPr>
                  <w:szCs w:val="24"/>
                  <w:lang w:eastAsia="lt-LT"/>
                </w:rPr>
                <w:t>Pastato būklės duomenų lapo viršuje turi būti nurodytas pastato adresas, pastato paskirtis, pastato statybos metai, pastato modernizavimo metai ir energinio naudingumo sertifikavimo užsakovo kontaktiniai duomenys (vardas, pavardė, telefonas).</w:t>
              </w:r>
            </w:p>
          </w:sdtContent>
        </w:sdt>
        <w:sdt>
          <w:sdtPr>
            <w:alias w:val="16 pr. 2 p."/>
            <w:tag w:val="part_d474c315e02449e38d0f613db9476694"/>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d474c315e02449e38d0f613db9476694"/>
                  <w:lock w:val="sdtLocked"/>
                  <w:richText/>
                </w:sdtPr>
                <w:sdtContent>
                  <w:r>
                    <w:rPr>
                      <w:szCs w:val="24"/>
                    </w:rPr>
                    <w:t>2</w:t>
                  </w:r>
                </w:sdtContent>
              </w:sdt>
              <w:r>
                <w:rPr>
                  <w:szCs w:val="24"/>
                </w:rPr>
                <w:t>.</w:t>
                <w:tab/>
              </w:r>
              <w:r>
                <w:rPr>
                  <w:szCs w:val="24"/>
                  <w:lang w:eastAsia="lt-LT"/>
                </w:rPr>
                <w:t>Turi būti nurodyta kurie iš žemiau išvardintų dokumentų buvo pateikti prieš atliekant pastato energinio naudingumo sertifikavimą:</w:t>
              </w:r>
            </w:p>
            <w:sdt>
              <w:sdtPr>
                <w:alias w:val="16 pr. 2.1 pp."/>
                <w:tag w:val="part_b897cdb2e3444ddaa72f2aa2ba01805b"/>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b897cdb2e3444ddaa72f2aa2ba01805b"/>
                      <w:lock w:val="sdtLocked"/>
                      <w:richText/>
                    </w:sdtPr>
                    <w:sdtContent>
                      <w:r>
                        <w:rPr>
                          <w:szCs w:val="24"/>
                        </w:rPr>
                        <w:t>2.1</w:t>
                      </w:r>
                    </w:sdtContent>
                  </w:sdt>
                  <w:r>
                    <w:rPr>
                      <w:szCs w:val="24"/>
                    </w:rPr>
                    <w:t>.</w:t>
                    <w:tab/>
                  </w:r>
                  <w:r>
                    <w:rPr>
                      <w:szCs w:val="24"/>
                      <w:lang w:eastAsia="lt-LT"/>
                    </w:rPr>
                    <w:t xml:space="preserve">pastato projektinė dokumentacija. Jeigu tokia dokumentacija pateikta, turi būti pateiktas minėtos dokumentacijos sąrašas; </w:t>
                  </w:r>
                </w:p>
              </w:sdtContent>
            </w:sdt>
            <w:sdt>
              <w:sdtPr>
                <w:alias w:val="16 pr. 2.2 pp."/>
                <w:tag w:val="part_3223fb12dcfe48a2b26752ef64f3230f"/>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3223fb12dcfe48a2b26752ef64f3230f"/>
                      <w:lock w:val="sdtLocked"/>
                      <w:richText/>
                    </w:sdtPr>
                    <w:sdtContent>
                      <w:r>
                        <w:rPr>
                          <w:szCs w:val="24"/>
                        </w:rPr>
                        <w:t>2.2</w:t>
                      </w:r>
                    </w:sdtContent>
                  </w:sdt>
                  <w:r>
                    <w:rPr>
                      <w:szCs w:val="24"/>
                    </w:rPr>
                    <w:t>.</w:t>
                    <w:tab/>
                  </w:r>
                  <w:r>
                    <w:rPr>
                      <w:szCs w:val="24"/>
                      <w:lang w:eastAsia="lt-LT"/>
                    </w:rPr>
                    <w:t>pastato kadastrinių matavimų byla. Jeigu pateikta ne visa kadastrinių matavimų byla, tai turi būti nurodyta;</w:t>
                  </w:r>
                </w:p>
              </w:sdtContent>
            </w:sdt>
            <w:sdt>
              <w:sdtPr>
                <w:alias w:val="16 pr. 2.3 pp."/>
                <w:tag w:val="part_3d6d54c13ca04f20af885edfd2bf8e31"/>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3d6d54c13ca04f20af885edfd2bf8e31"/>
                      <w:lock w:val="sdtLocked"/>
                      <w:richText/>
                    </w:sdtPr>
                    <w:sdtContent>
                      <w:r>
                        <w:rPr>
                          <w:szCs w:val="24"/>
                        </w:rPr>
                        <w:t>2.3</w:t>
                      </w:r>
                    </w:sdtContent>
                  </w:sdt>
                  <w:r>
                    <w:rPr>
                      <w:szCs w:val="24"/>
                    </w:rPr>
                    <w:t>.</w:t>
                    <w:tab/>
                  </w:r>
                  <w:r>
                    <w:rPr>
                      <w:szCs w:val="24"/>
                      <w:lang w:eastAsia="lt-LT"/>
                    </w:rPr>
                    <w:t>pastato energinio naudingumo užsakovo nubraižyti atitvarų pjūvių ir sandūrų brėžiniai. Jeigu tokie brėžiniai pateikti, pastato būklės duomenų lape turi būti pateiktas brėžinių sąrašas, o brėžiniuose turi būti sertifikavimo užsakovo pavardė, parašas ir įrašas „patvirtinu, kad brėžiniuose nurodyti duomenys atitinka faktinę pastato būklę;</w:t>
                  </w:r>
                </w:p>
              </w:sdtContent>
            </w:sdt>
            <w:sdt>
              <w:sdtPr>
                <w:alias w:val="16 pr. 2.4 pp."/>
                <w:tag w:val="part_9a11152445204573970eccf983455c30"/>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9a11152445204573970eccf983455c30"/>
                      <w:lock w:val="sdtLocked"/>
                      <w:richText/>
                    </w:sdtPr>
                    <w:sdtContent>
                      <w:r>
                        <w:rPr>
                          <w:szCs w:val="24"/>
                        </w:rPr>
                        <w:t>2.4</w:t>
                      </w:r>
                    </w:sdtContent>
                  </w:sdt>
                  <w:r>
                    <w:rPr>
                      <w:szCs w:val="24"/>
                    </w:rPr>
                    <w:t>.</w:t>
                    <w:tab/>
                  </w:r>
                  <w:r>
                    <w:rPr>
                      <w:szCs w:val="24"/>
                      <w:lang w:eastAsia="lt-LT"/>
                    </w:rPr>
                    <w:t>kita dokumentacija apie pastato projektinius sprendimus ir šios dokumentacijos apibūdinimas;</w:t>
                  </w:r>
                </w:p>
              </w:sdtContent>
            </w:sdt>
            <w:sdt>
              <w:sdtPr>
                <w:alias w:val="16 pr. 2.5 pp."/>
                <w:tag w:val="part_13b05337f5a4468fb16d83b88ae51a08"/>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13b05337f5a4468fb16d83b88ae51a08"/>
                      <w:lock w:val="sdtLocked"/>
                      <w:richText/>
                    </w:sdtPr>
                    <w:sdtContent>
                      <w:r>
                        <w:rPr>
                          <w:szCs w:val="24"/>
                        </w:rPr>
                        <w:t>2.5</w:t>
                      </w:r>
                    </w:sdtContent>
                  </w:sdt>
                  <w:r>
                    <w:rPr>
                      <w:szCs w:val="24"/>
                    </w:rPr>
                    <w:t>.</w:t>
                    <w:tab/>
                  </w:r>
                  <w:r>
                    <w:rPr>
                      <w:szCs w:val="24"/>
                      <w:lang w:eastAsia="lt-LT"/>
                    </w:rPr>
                    <w:t>langų deklaracijos ar jų kopijos. Jeigu šios deklaracijos pateiktos, jose turi būti sertifikavimo užsakovo pavardė, parašas ir įrašas „patvirtinu, kad šie langai sumontuoti pastate“;</w:t>
                  </w:r>
                </w:p>
              </w:sdtContent>
            </w:sdt>
            <w:sdt>
              <w:sdtPr>
                <w:alias w:val="16 pr. 2.6 pp."/>
                <w:tag w:val="part_e4e71914917e4f2f946c6875bc899a47"/>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e4e71914917e4f2f946c6875bc899a47"/>
                      <w:lock w:val="sdtLocked"/>
                      <w:richText/>
                    </w:sdtPr>
                    <w:sdtContent>
                      <w:r>
                        <w:rPr>
                          <w:szCs w:val="24"/>
                        </w:rPr>
                        <w:t>2.6</w:t>
                      </w:r>
                    </w:sdtContent>
                  </w:sdt>
                  <w:r>
                    <w:rPr>
                      <w:szCs w:val="24"/>
                    </w:rPr>
                    <w:t>.</w:t>
                    <w:tab/>
                  </w:r>
                  <w:r>
                    <w:rPr>
                      <w:szCs w:val="24"/>
                      <w:lang w:eastAsia="lt-LT"/>
                    </w:rPr>
                    <w:t>išorinių įėjimo durų deklaracijos ar jų kopijos. Jeigu šios deklaracijos pateiktos, jose turi būti sertifikavimo užsakovo pavardė, parašas ir įrašas „patvirtinu, kad šios durys sumontuotos pastate“;</w:t>
                  </w:r>
                </w:p>
              </w:sdtContent>
            </w:sdt>
            <w:sdt>
              <w:sdtPr>
                <w:alias w:val="16 pr. 2.7 pp."/>
                <w:tag w:val="part_2afe8a6519b54735b80cc5b1637c0c68"/>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2afe8a6519b54735b80cc5b1637c0c68"/>
                      <w:lock w:val="sdtLocked"/>
                      <w:richText/>
                    </w:sdtPr>
                    <w:sdtContent>
                      <w:r>
                        <w:rPr>
                          <w:szCs w:val="24"/>
                        </w:rPr>
                        <w:t>2.7</w:t>
                      </w:r>
                    </w:sdtContent>
                  </w:sdt>
                  <w:r>
                    <w:rPr>
                      <w:szCs w:val="24"/>
                    </w:rPr>
                    <w:t>.</w:t>
                    <w:tab/>
                  </w:r>
                  <w:r>
                    <w:rPr>
                      <w:szCs w:val="24"/>
                      <w:lang w:eastAsia="lt-LT"/>
                    </w:rPr>
                    <w:t>vartų deklaracijos ar jų kopijos. Jeigu šios deklaracijos pateiktos, jose turi būti sertifikavimo užsakovo pavardė, parašas ir įrašas „patvirtinu, kad šie vartai sumontuoti pastate“;</w:t>
                  </w:r>
                </w:p>
              </w:sdtContent>
            </w:sdt>
            <w:sdt>
              <w:sdtPr>
                <w:alias w:val="16 pr. 2.8 pp."/>
                <w:tag w:val="part_4b1b7c25eaa5434ca4681e5dbd230b93"/>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4b1b7c25eaa5434ca4681e5dbd230b93"/>
                      <w:lock w:val="sdtLocked"/>
                      <w:richText/>
                    </w:sdtPr>
                    <w:sdtContent>
                      <w:r>
                        <w:rPr>
                          <w:szCs w:val="24"/>
                        </w:rPr>
                        <w:t>2.8</w:t>
                      </w:r>
                    </w:sdtContent>
                  </w:sdt>
                  <w:r>
                    <w:rPr>
                      <w:szCs w:val="24"/>
                    </w:rPr>
                    <w:t>.</w:t>
                    <w:tab/>
                  </w:r>
                  <w:r>
                    <w:rPr>
                      <w:szCs w:val="24"/>
                      <w:lang w:eastAsia="lt-LT"/>
                    </w:rPr>
                    <w:t>apdarinių sienų deklaracijos ar jų kopijos. Jeigu šios deklaracijos pateiktos, jose turi būti sertifikavimo užsakovo pavardė, parašas ir įrašas „patvirtinu, kad šios sienos sumontuotos pastate“;</w:t>
                  </w:r>
                </w:p>
              </w:sdtContent>
            </w:sdt>
            <w:sdt>
              <w:sdtPr>
                <w:alias w:val="16 pr. 2.9 pp."/>
                <w:tag w:val="part_ea7c1bd9cdf24b6eb4d2ae9baa24371d"/>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ea7c1bd9cdf24b6eb4d2ae9baa24371d"/>
                      <w:lock w:val="sdtLocked"/>
                      <w:richText/>
                    </w:sdtPr>
                    <w:sdtContent>
                      <w:r>
                        <w:rPr>
                          <w:szCs w:val="24"/>
                        </w:rPr>
                        <w:t>2.9</w:t>
                      </w:r>
                    </w:sdtContent>
                  </w:sdt>
                  <w:r>
                    <w:rPr>
                      <w:szCs w:val="24"/>
                    </w:rPr>
                    <w:t>.</w:t>
                    <w:tab/>
                  </w:r>
                  <w:r>
                    <w:rPr>
                      <w:szCs w:val="24"/>
                      <w:lang w:eastAsia="lt-LT"/>
                    </w:rPr>
                    <w:t>gamyklinių sieninių panelių (lengvų trisluoksnių sieninių panelių su metalinėmis dangomis, trisluoksnių gelžbetoninių sieninių panelių, lengvų karkasinių sieninių panelių, kitų gamyklinių sieninių panelių) deklaracijos ar jų kopijos. Jeigu šios deklaracijos pateiktos, jose turi būti sertifikavimo užsakovo pavardė, parašas ir įrašas „patvirtinu, kad šie sieniniai paneliai sumontuoti pastate“. Jeigu gamyklinių sieninių panelių gamintojas šilumines savybes deklaruoja savo tinklalapyje, deklaracijos kopijos pateikti nebūtina, tačiau pastato būklės duomenų lape turi būti nurodytas sieninių panelių gamintojas, panelių markė ir kuriose atitvarose ar atitvarų sluoksniuose šie produktai panaudoti pastate;</w:t>
                  </w:r>
                </w:p>
              </w:sdtContent>
            </w:sdt>
            <w:sdt>
              <w:sdtPr>
                <w:alias w:val="16 pr. 2.10 pp."/>
                <w:tag w:val="part_2b0319cbf34d4ab79f38281d30ab6f96"/>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2b0319cbf34d4ab79f38281d30ab6f96"/>
                      <w:lock w:val="sdtLocked"/>
                      <w:richText/>
                    </w:sdtPr>
                    <w:sdtContent>
                      <w:r>
                        <w:rPr>
                          <w:szCs w:val="24"/>
                        </w:rPr>
                        <w:t>2.10</w:t>
                      </w:r>
                    </w:sdtContent>
                  </w:sdt>
                  <w:r>
                    <w:rPr>
                      <w:szCs w:val="24"/>
                    </w:rPr>
                    <w:t>.</w:t>
                    <w:tab/>
                  </w:r>
                  <w:r>
                    <w:rPr>
                      <w:szCs w:val="24"/>
                      <w:lang w:eastAsia="lt-LT"/>
                    </w:rPr>
                    <w:t xml:space="preserve">atitvarų termoizoliaciniams sluoksniams panaudotų statybos produktų šilumines savybes pagrindžiantys dokumentai bei kuriose atitvarose ir kuriuose atitvarų sluoksniuose šie produktai panaudoti pastate. Jeigu termoizoliacinių statybos produktų gamintojas šilumines savybes deklaruoja savo tinklalapyje, deklaracijos kopijos pateikti nebūtina, tačiau pastato būklės duomenų lape turi būti nurodytas termoizoliacinių statybos produktų gamintojas, statybos produktų markės, kuriose atitvarose ir kuriuose atitvarų sluoksniuose šie produktai panaudoti pastate;  </w:t>
                  </w:r>
                </w:p>
              </w:sdtContent>
            </w:sdt>
            <w:sdt>
              <w:sdtPr>
                <w:alias w:val="16 pr. 2.11 pp."/>
                <w:tag w:val="part_ebce18e68440439da6b1cc98ecd83f4a"/>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ebce18e68440439da6b1cc98ecd83f4a"/>
                      <w:lock w:val="sdtLocked"/>
                      <w:richText/>
                    </w:sdtPr>
                    <w:sdtContent>
                      <w:r>
                        <w:rPr>
                          <w:szCs w:val="24"/>
                        </w:rPr>
                        <w:t>2.11</w:t>
                      </w:r>
                    </w:sdtContent>
                  </w:sdt>
                  <w:r>
                    <w:rPr>
                      <w:szCs w:val="24"/>
                    </w:rPr>
                    <w:t>.</w:t>
                    <w:tab/>
                  </w:r>
                  <w:r>
                    <w:rPr>
                      <w:szCs w:val="24"/>
                      <w:lang w:eastAsia="lt-LT"/>
                    </w:rPr>
                    <w:t>atitvarų kitiems, negu termoizoliaciniams sluoksniams, panaudotų statybos produktų šilumines savybes pagrindžiantys dokumentai bei kuriose atitvarose ir kuriuose atitvarų sluoksniuose šie produktai panaudoti pastate. Jeigu termoizoliacinių statybos produktų gamintojas šilumines savybes deklaruoja savo tinklalapyje, deklaracijos kopijos pateikti nebūtina, tačiau pastato būklės duomenų lape turi būti nurodytas termoizoliacinio statybos produkto gamintojas, statybos produkto markė, kuriose atitvarose ir kuriuose atitvarų sluoksniuose šis produktas panaudotas pastate;</w:t>
                  </w:r>
                </w:p>
              </w:sdtContent>
            </w:sdt>
            <w:sdt>
              <w:sdtPr>
                <w:alias w:val="16 pr. 2.12 pp."/>
                <w:tag w:val="part_4a48bb9358134813bcbeae9591b2df64"/>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4a48bb9358134813bcbeae9591b2df64"/>
                      <w:lock w:val="sdtLocked"/>
                      <w:richText/>
                    </w:sdtPr>
                    <w:sdtContent>
                      <w:r>
                        <w:rPr>
                          <w:szCs w:val="24"/>
                        </w:rPr>
                        <w:t>2.12</w:t>
                      </w:r>
                    </w:sdtContent>
                  </w:sdt>
                  <w:r>
                    <w:rPr>
                      <w:szCs w:val="24"/>
                    </w:rPr>
                    <w:t>.</w:t>
                    <w:tab/>
                  </w:r>
                  <w:r>
                    <w:rPr>
                      <w:szCs w:val="24"/>
                      <w:lang w:eastAsia="lt-LT"/>
                    </w:rPr>
                    <w:t xml:space="preserve">vandenį šildančių Saulės kolektorių techninius rodiklius pagrindžiantys dokumentai ar jų kopija. Jeigu šie dokumentai pateikti, juose turi būti sertifikavimo užsakovo pavardė, parašas ir įrašas „patvirtinu, kad šie kolektoriai sumontuoti pastate“. Jeigu vandenį šildančių Saulės kolektorių gamintojas jų savybes deklaruoja savo tinklalapyje, minėtų dokumentų pateikti nebūtina, tačiau pastato būklės duomenų lape turi būti nurodytas vandenį šildančių Saulės kolektorių gamintojas ir markė; </w:t>
                  </w:r>
                </w:p>
              </w:sdtContent>
            </w:sdt>
            <w:sdt>
              <w:sdtPr>
                <w:alias w:val="16 pr. 2.13 pp."/>
                <w:tag w:val="part_286973f1fde74f69be9b772075eba59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286973f1fde74f69be9b772075eba597"/>
                      <w:lock w:val="sdtLocked"/>
                      <w:richText/>
                    </w:sdtPr>
                    <w:sdtContent>
                      <w:r>
                        <w:rPr>
                          <w:szCs w:val="24"/>
                        </w:rPr>
                        <w:t>2.13</w:t>
                      </w:r>
                    </w:sdtContent>
                  </w:sdt>
                  <w:r>
                    <w:rPr>
                      <w:szCs w:val="24"/>
                    </w:rPr>
                    <w:t>.</w:t>
                    <w:tab/>
                  </w:r>
                  <w:r>
                    <w:rPr>
                      <w:szCs w:val="24"/>
                      <w:lang w:eastAsia="lt-LT"/>
                    </w:rPr>
                    <w:t xml:space="preserve">fotovoltinių Saulės kolektorių techninius rodiklius pagrindžiantys dokumentai ar jų kopija. Jeigu šie dokumentai pateikti, juose turi būti sertifikavimo užsakovo pavardė, parašas ir įrašas „patvirtinu, kad šie kolektoriai sumontuoti pastate“. Jeigu fotovoltinių Saulės kolektorių gamintojas jų savybes deklaruoja savo tinklalapyje, minėtų dokumentų pateikti nebūtina, tačiau pastato būklės duomenų lape turi būti nurodytas fotovoltinių Saulės kolektorių gamintojas ir markė; </w:t>
                  </w:r>
                </w:p>
              </w:sdtContent>
            </w:sdt>
            <w:sdt>
              <w:sdtPr>
                <w:alias w:val="16 pr. 2.14 pp."/>
                <w:tag w:val="part_c33996e4cce747399f3a9689a640018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c33996e4cce747399f3a9689a6400187"/>
                      <w:lock w:val="sdtLocked"/>
                      <w:richText/>
                    </w:sdtPr>
                    <w:sdtContent>
                      <w:r>
                        <w:rPr>
                          <w:szCs w:val="24"/>
                        </w:rPr>
                        <w:t>2.14</w:t>
                      </w:r>
                    </w:sdtContent>
                  </w:sdt>
                  <w:r>
                    <w:rPr>
                      <w:szCs w:val="24"/>
                    </w:rPr>
                    <w:t>.</w:t>
                    <w:tab/>
                  </w:r>
                  <w:r>
                    <w:rPr>
                      <w:szCs w:val="24"/>
                      <w:lang w:eastAsia="lt-LT"/>
                    </w:rPr>
                    <w:t xml:space="preserve">iš pastate įrengtų fotovoltinių Saulės kolektorių pagamintos elektros energijos dvipusės apskaitos sutartis ar jos kopija; </w:t>
                  </w:r>
                </w:p>
              </w:sdtContent>
            </w:sdt>
            <w:sdt>
              <w:sdtPr>
                <w:alias w:val="16 pr. 2.15 pp."/>
                <w:tag w:val="part_faf2cecdd15d41318bb1094bb29d6db6"/>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faf2cecdd15d41318bb1094bb29d6db6"/>
                      <w:lock w:val="sdtLocked"/>
                      <w:richText/>
                    </w:sdtPr>
                    <w:sdtContent>
                      <w:r>
                        <w:rPr>
                          <w:szCs w:val="24"/>
                        </w:rPr>
                        <w:t>2.15</w:t>
                      </w:r>
                    </w:sdtContent>
                  </w:sdt>
                  <w:r>
                    <w:rPr>
                      <w:szCs w:val="24"/>
                    </w:rPr>
                    <w:t>.</w:t>
                    <w:tab/>
                  </w:r>
                  <w:r>
                    <w:rPr>
                      <w:szCs w:val="24"/>
                      <w:lang w:eastAsia="lt-LT"/>
                    </w:rPr>
                    <w:t>elektros energijos tiekimo pastatui iš nutolusios Saulės elektrinės sutartis ar jos kopija;</w:t>
                  </w:r>
                </w:p>
              </w:sdtContent>
            </w:sdt>
            <w:sdt>
              <w:sdtPr>
                <w:alias w:val="16 pr. 2.16 pp."/>
                <w:tag w:val="part_a39e94e8acc34565af71db819c3a8708"/>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a39e94e8acc34565af71db819c3a8708"/>
                      <w:lock w:val="sdtLocked"/>
                      <w:richText/>
                    </w:sdtPr>
                    <w:sdtContent>
                      <w:r>
                        <w:rPr>
                          <w:szCs w:val="24"/>
                        </w:rPr>
                        <w:t>2.16</w:t>
                      </w:r>
                    </w:sdtContent>
                  </w:sdt>
                  <w:r>
                    <w:rPr>
                      <w:szCs w:val="24"/>
                    </w:rPr>
                    <w:t>.</w:t>
                    <w:tab/>
                  </w:r>
                  <w:r>
                    <w:rPr>
                      <w:szCs w:val="24"/>
                      <w:lang w:eastAsia="lt-LT"/>
                    </w:rPr>
                    <w:t xml:space="preserve">vėjo elektrinių techninius rodiklius pagrindžiantys dokumentai ar jų kopija. Jeigu šie dokumentai pateikti, juose turi būti sertifikavimo užsakovo pavardė, parašas ir įrašas „pastatui elektros energija tiekiama iš šios vėjo elektrinės“. Jeigu vėjo elektrinės gamintojas jos savybes deklaruoja savo tinklalapyje, minėtų dokumentų pateikti nebūtina, tačiau pastato būklės duomenų lape turi būti nurodytas vėjo elektrinės gamintojas ir markė; </w:t>
                  </w:r>
                </w:p>
              </w:sdtContent>
            </w:sdt>
            <w:sdt>
              <w:sdtPr>
                <w:alias w:val="16 pr. 2.17 pp."/>
                <w:tag w:val="part_00a6ef1935944d58af21c2eed752ef36"/>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00a6ef1935944d58af21c2eed752ef36"/>
                      <w:lock w:val="sdtLocked"/>
                      <w:richText/>
                    </w:sdtPr>
                    <w:sdtContent>
                      <w:r>
                        <w:rPr>
                          <w:szCs w:val="24"/>
                        </w:rPr>
                        <w:t>2.17</w:t>
                      </w:r>
                    </w:sdtContent>
                  </w:sdt>
                  <w:r>
                    <w:rPr>
                      <w:szCs w:val="24"/>
                    </w:rPr>
                    <w:t>.</w:t>
                    <w:tab/>
                  </w:r>
                  <w:r>
                    <w:rPr>
                      <w:szCs w:val="24"/>
                      <w:lang w:eastAsia="lt-LT"/>
                    </w:rPr>
                    <w:t xml:space="preserve">iš pastate įrengtų vėjo elektrinių pagamintos elektros energijos dvipusės apskaitos sutartis ar jos kopija; </w:t>
                  </w:r>
                </w:p>
              </w:sdtContent>
            </w:sdt>
            <w:sdt>
              <w:sdtPr>
                <w:alias w:val="16 pr. 2.18 pp."/>
                <w:tag w:val="part_2a95a679ece84872b7dbc6790469a43e"/>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2a95a679ece84872b7dbc6790469a43e"/>
                      <w:lock w:val="sdtLocked"/>
                      <w:richText/>
                    </w:sdtPr>
                    <w:sdtContent>
                      <w:r>
                        <w:rPr>
                          <w:szCs w:val="24"/>
                        </w:rPr>
                        <w:t>2.18</w:t>
                      </w:r>
                    </w:sdtContent>
                  </w:sdt>
                  <w:r>
                    <w:rPr>
                      <w:szCs w:val="24"/>
                    </w:rPr>
                    <w:t>.</w:t>
                    <w:tab/>
                  </w:r>
                  <w:r>
                    <w:rPr>
                      <w:szCs w:val="24"/>
                      <w:lang w:eastAsia="lt-LT"/>
                    </w:rPr>
                    <w:t>elektros energijos tiekimo pastatui iš nutolusios vėjo elektrinės sutartis ar jos kopija;</w:t>
                  </w:r>
                </w:p>
              </w:sdtContent>
            </w:sdt>
            <w:sdt>
              <w:sdtPr>
                <w:alias w:val="16 pr. 2.19 pp."/>
                <w:tag w:val="part_6ae9bd6af2304f079e9ee9ed1e502455"/>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6ae9bd6af2304f079e9ee9ed1e502455"/>
                      <w:lock w:val="sdtLocked"/>
                      <w:richText/>
                    </w:sdtPr>
                    <w:sdtContent>
                      <w:r>
                        <w:rPr>
                          <w:szCs w:val="24"/>
                        </w:rPr>
                        <w:t>2.19</w:t>
                      </w:r>
                    </w:sdtContent>
                  </w:sdt>
                  <w:r>
                    <w:rPr>
                      <w:szCs w:val="24"/>
                    </w:rPr>
                    <w:t>.</w:t>
                    <w:tab/>
                  </w:r>
                  <w:r>
                    <w:rPr>
                      <w:szCs w:val="24"/>
                      <w:lang w:eastAsia="lt-LT"/>
                    </w:rPr>
                    <w:t xml:space="preserve">hidroelektrinių techninius rodiklius pagrindžiantys dokumentai ar jų kopija. Jeigu šie dokumentai pateikti, juose turi būti sertifikavimo užsakovo pavardė, parašas ir įrašas „pastatui elektros energija tiekiama iš šios hidroelektrinės“. Jeigu hidroelektrinės gamintojas jos savybes deklaruoja savo tinklalapyje, minėtų dokumentų pateikti nebūtina, tačiau pastato būklės duomenų lape turi būti nurodytas hidroelektrinės gamintojas ir markė; </w:t>
                  </w:r>
                </w:p>
              </w:sdtContent>
            </w:sdt>
            <w:sdt>
              <w:sdtPr>
                <w:alias w:val="16 pr. 2.20 pp."/>
                <w:tag w:val="part_a7de972b198341549474f48b35db08bf"/>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a7de972b198341549474f48b35db08bf"/>
                      <w:lock w:val="sdtLocked"/>
                      <w:richText/>
                    </w:sdtPr>
                    <w:sdtContent>
                      <w:r>
                        <w:rPr>
                          <w:szCs w:val="24"/>
                        </w:rPr>
                        <w:t>2.20</w:t>
                      </w:r>
                    </w:sdtContent>
                  </w:sdt>
                  <w:r>
                    <w:rPr>
                      <w:szCs w:val="24"/>
                    </w:rPr>
                    <w:t>.</w:t>
                    <w:tab/>
                  </w:r>
                  <w:r>
                    <w:rPr>
                      <w:szCs w:val="24"/>
                      <w:lang w:eastAsia="lt-LT"/>
                    </w:rPr>
                    <w:t xml:space="preserve">pastatui iš hidroelektrinės tiekiamos elektros energijos dvipusės apskaitos sutartis ar jos kopija; </w:t>
                  </w:r>
                </w:p>
              </w:sdtContent>
            </w:sdt>
            <w:sdt>
              <w:sdtPr>
                <w:alias w:val="16 pr. 2.21 pp."/>
                <w:tag w:val="part_7be5dc12ca9a466592976add95f7eab5"/>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7be5dc12ca9a466592976add95f7eab5"/>
                      <w:lock w:val="sdtLocked"/>
                      <w:richText/>
                    </w:sdtPr>
                    <w:sdtContent>
                      <w:r>
                        <w:rPr>
                          <w:szCs w:val="24"/>
                        </w:rPr>
                        <w:t>2.21</w:t>
                      </w:r>
                    </w:sdtContent>
                  </w:sdt>
                  <w:r>
                    <w:rPr>
                      <w:szCs w:val="24"/>
                    </w:rPr>
                    <w:t>.</w:t>
                    <w:tab/>
                  </w:r>
                  <w:r>
                    <w:rPr>
                      <w:szCs w:val="24"/>
                      <w:lang w:eastAsia="lt-LT"/>
                    </w:rPr>
                    <w:t>elektros energijos tiekimo pastatui iš nutolusios hidroelektrinės sutartis ar jos kopija;</w:t>
                  </w:r>
                </w:p>
              </w:sdtContent>
            </w:sdt>
            <w:sdt>
              <w:sdtPr>
                <w:alias w:val="16 pr. 2.22 pp."/>
                <w:tag w:val="part_b764a1bee21f4560b0d964aef2ce5366"/>
                <w:lock w:val="sdtLocked"/>
                <w:richText/>
              </w:sdtPr>
              <w:sdtContent>
                <w:p>
                  <w:pPr>
                    <w:tabs>
                      <w:tab w:val="left" w:pos="851"/>
                      <w:tab w:val="left" w:pos="993"/>
                      <w:tab w:val="left" w:pos="1134"/>
                    </w:tabs>
                    <w:suppressAutoHyphens/>
                    <w:ind w:firstLine="567"/>
                    <w:jc w:val="both"/>
                    <w:rPr>
                      <w:bCs/>
                      <w:szCs w:val="24"/>
                      <w:lang w:eastAsia="lt-LT"/>
                    </w:rPr>
                  </w:pPr>
                  <w:sdt>
                    <w:sdtPr>
                      <w:alias w:val="Numeris"/>
                      <w:tag w:val="nr_b764a1bee21f4560b0d964aef2ce5366"/>
                      <w:lock w:val="sdtLocked"/>
                      <w:richText/>
                    </w:sdtPr>
                    <w:sdtContent>
                      <w:r>
                        <w:rPr>
                          <w:bCs/>
                          <w:szCs w:val="24"/>
                        </w:rPr>
                        <w:t>2.22</w:t>
                      </w:r>
                    </w:sdtContent>
                  </w:sdt>
                  <w:r>
                    <w:rPr>
                      <w:bCs/>
                      <w:szCs w:val="24"/>
                    </w:rPr>
                    <w:t>.</w:t>
                    <w:tab/>
                  </w:r>
                  <w:r>
                    <w:rPr>
                      <w:szCs w:val="24"/>
                      <w:lang w:eastAsia="lt-LT"/>
                    </w:rPr>
                    <w:t xml:space="preserve">akredituotos bandymų laboratorijos išduotas pastato sandarumo bandymų protokolas ar jo kopija (jeigu pastato sandarumo bandymai buvo atlikti).  Jeigu šie protokolai pateikti, juose turi būti sertifikavimo užsakovo pavardė, parašas ir įrašas „duomenis patvirtinu“.</w:t>
                  </w:r>
                </w:p>
              </w:sdtContent>
            </w:sdt>
          </w:sdtContent>
        </w:sdt>
        <w:sdt>
          <w:sdtPr>
            <w:alias w:val="16 pr. 3 p."/>
            <w:tag w:val="part_1604c1989f3b4145920a9bb13d925dee"/>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1604c1989f3b4145920a9bb13d925dee"/>
                  <w:lock w:val="sdtLocked"/>
                  <w:richText/>
                </w:sdtPr>
                <w:sdtContent>
                  <w:r>
                    <w:rPr>
                      <w:szCs w:val="24"/>
                    </w:rPr>
                    <w:t>3</w:t>
                  </w:r>
                </w:sdtContent>
              </w:sdt>
              <w:r>
                <w:rPr>
                  <w:szCs w:val="24"/>
                </w:rPr>
                <w:t>.</w:t>
                <w:tab/>
              </w:r>
              <w:r>
                <w:rPr>
                  <w:szCs w:val="24"/>
                  <w:lang w:eastAsia="lt-LT"/>
                </w:rPr>
                <w:t xml:space="preserve">Pastato būklės duomenų lape privaloma nurodyti visų pastato skirtingos konstrukcijos ir skirtingo storio sienų konstrukcinius sprendimus, t.y. kiekvieno sieną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siena. Jeigu viso pastato sienos vienodo storio ir vienodos konstrukcijos, turi būti įrašas „visų pastato sienų storis ir konstrukcija analogiški“. Jeigu pastato sienų storiai, konstrukcija  ir sienos sluoksniuose panaudoti statybos produktai atitinka sertifikavimo užsakovo pateikto pastato projekto duomenis, sienų konstrukciniai sprendimai gali būti nedetalizuojami, tačiau tada pastato būklės duomenyse turi būti įrašas „sienų konstrukcija ir storiai atitinka pastato projektą“. </w:t>
              </w:r>
            </w:p>
          </w:sdtContent>
        </w:sdt>
        <w:sdt>
          <w:sdtPr>
            <w:alias w:val="16 pr. 4 p."/>
            <w:tag w:val="part_bcd2fb080c3744088f0abd66af5fd8e6"/>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bcd2fb080c3744088f0abd66af5fd8e6"/>
                  <w:lock w:val="sdtLocked"/>
                  <w:richText/>
                </w:sdtPr>
                <w:sdtContent>
                  <w:r>
                    <w:rPr>
                      <w:szCs w:val="24"/>
                    </w:rPr>
                    <w:t>4</w:t>
                  </w:r>
                </w:sdtContent>
              </w:sdt>
              <w:r>
                <w:rPr>
                  <w:szCs w:val="24"/>
                </w:rPr>
                <w:t>.</w:t>
                <w:tab/>
              </w:r>
              <w:r>
                <w:rPr>
                  <w:szCs w:val="24"/>
                  <w:lang w:eastAsia="lt-LT"/>
                </w:rPr>
                <w:t xml:space="preserve">Pastato būklės duomenų lape privaloma nurodyti visų pastato skirtingos konstrukcijos ir skirtingo storio stogų atitvarų konstrukcinius sprendimus, t.y. kiekvieno stogą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siena. Jeigu viso pastato stogai vienodo storio ir vienodos konstrukcijos, turi būti įrašas „visų pastato stogų storis ir konstrukcija analogiški“. Jeigu pastato stogų storiai, konstrukcija  ir stogų sluoksniuose panaudoti statybos produktai atitinka sertifikavimo užsakovo pateikto pastato projekto duomenis, stogų konstrukciniai sprendimai gali būti nedetalizuojami, tačiau tada pastato būklės duomenyse turi būti įrašas „stogų konstrukcija ir storiai atitinka pastato projektą“. </w:t>
              </w:r>
            </w:p>
          </w:sdtContent>
        </w:sdt>
        <w:sdt>
          <w:sdtPr>
            <w:alias w:val="16 pr. 5 p."/>
            <w:tag w:val="part_f1c43dd4f2dc48bba3e8ced368e36686"/>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f1c43dd4f2dc48bba3e8ced368e36686"/>
                  <w:lock w:val="sdtLocked"/>
                  <w:richText/>
                </w:sdtPr>
                <w:sdtContent>
                  <w:r>
                    <w:rPr>
                      <w:szCs w:val="24"/>
                    </w:rPr>
                    <w:t>5</w:t>
                  </w:r>
                </w:sdtContent>
              </w:sdt>
              <w:r>
                <w:rPr>
                  <w:szCs w:val="24"/>
                </w:rPr>
                <w:t>.</w:t>
                <w:tab/>
              </w:r>
              <w:r>
                <w:rPr>
                  <w:szCs w:val="24"/>
                  <w:lang w:eastAsia="lt-LT"/>
                </w:rPr>
                <w:t xml:space="preserve">Pastato būklės duomenų lape privaloma nurodyti visų pastato skirtingos konstrukcijos ir skirtingo storio perdangų, kurios ribojasi su išore, konstrukcinius sprendimus, t.y. kiekvieno perdangą sudarančio sluoksnio statybos produkto pavadinimą, produkto markę (jeigu ji žinoma) ir sluoksnio storį, pagal Reglamento 3 priedo 6 punkto reikalavimus apibūdinti sluoksnyje esančias šilumai laidžias jungtis (jeigu tokios jungtys yra), nevėdinamus oro tarpus ir jų storius, nurodyti ar atitvara su ar be vėdinamo oro tarpo. Taip pat privaloma nurodyti kurioje pastato vietoje yra įrengta atitinkamo storio ir konstrukcijos perdangų, kurios ribojasi su išore. Jeigu viso pastato su išore besiribojančios perdangos vienodo storio ir vienodos konstrukcijos, turi būti įrašas „visų pastato perdangų, kurios ribojasi su išore, storis ir konstrukcija analogiški“. Jeigu pastato perdangų, kurios ribojasi su išore, storiai, konstrukcija  ir perdangų sluoksniuose panaudoti statybos produktai atitinka sertifikavimo užsakovo pateikto pastato projekto duomenis, perdangų, kurios ribojasi su išore, konstrukciniai sprendimai gali būti nedetalizuojami, tačiau tada pastato būklės duomenyse turi būti įrašas „perdangų, kurios ribojasi su išore, konstrukcija ir storiai atitinka pastato projektą“. </w:t>
              </w:r>
            </w:p>
          </w:sdtContent>
        </w:sdt>
        <w:sdt>
          <w:sdtPr>
            <w:alias w:val="16 pr. 6 p."/>
            <w:tag w:val="part_135bede4999b4f3cb9b724c9d29cf50a"/>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135bede4999b4f3cb9b724c9d29cf50a"/>
                  <w:lock w:val="sdtLocked"/>
                  <w:richText/>
                </w:sdtPr>
                <w:sdtContent>
                  <w:r>
                    <w:rPr>
                      <w:szCs w:val="24"/>
                    </w:rPr>
                    <w:t>6</w:t>
                  </w:r>
                </w:sdtContent>
              </w:sdt>
              <w:r>
                <w:rPr>
                  <w:szCs w:val="24"/>
                </w:rPr>
                <w:t>.</w:t>
                <w:tab/>
              </w:r>
              <w:r>
                <w:rPr>
                  <w:szCs w:val="24"/>
                  <w:lang w:eastAsia="lt-LT"/>
                </w:rPr>
                <w:t>Pastato būklės duomenų lape privaloma nurodyti visų pastate esančių tipų ir skirtingų konstrukcijų atitvarų, kurios ribojasi su gruntu (atitvarų, besiribojančių su gruntu, tipai apibūdinti Reglamento 2 priedo VII skyriaus 15-19 punktuose), žemiau išvardintus duomenis:</w:t>
              </w:r>
            </w:p>
            <w:sdt>
              <w:sdtPr>
                <w:alias w:val="16 pr. 6.1 pp."/>
                <w:tag w:val="part_4a9b9e4c6af34cdc896041b720c2a767"/>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4a9b9e4c6af34cdc896041b720c2a767"/>
                      <w:lock w:val="sdtLocked"/>
                      <w:richText/>
                    </w:sdtPr>
                    <w:sdtContent>
                      <w:r>
                        <w:rPr>
                          <w:szCs w:val="24"/>
                        </w:rPr>
                        <w:t>6.1</w:t>
                      </w:r>
                    </w:sdtContent>
                  </w:sdt>
                  <w:r>
                    <w:rPr>
                      <w:szCs w:val="24"/>
                    </w:rPr>
                    <w:t>.</w:t>
                    <w:tab/>
                  </w:r>
                  <w:r>
                    <w:rPr>
                      <w:szCs w:val="24"/>
                      <w:lang w:eastAsia="lt-LT"/>
                    </w:rPr>
                    <w:t>jeigu pastate yra grindys ant grunto su ištisine šilumine izoliacija (žr. Reglamento 2 priedo VII skyriaus 15 punktą ir 2.3 pav.), privaloma nurodyti:</w:t>
                  </w:r>
                </w:p>
                <w:sdt>
                  <w:sdtPr>
                    <w:alias w:val="16 pr. 6.1.1 pp."/>
                    <w:tag w:val="part_c0eb134939cb4b4fbf5a299a65aa5143"/>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c0eb134939cb4b4fbf5a299a65aa5143"/>
                          <w:lock w:val="sdtLocked"/>
                          <w:richText/>
                        </w:sdtPr>
                        <w:sdtContent>
                          <w:r>
                            <w:rPr>
                              <w:szCs w:val="24"/>
                            </w:rPr>
                            <w:t>6.1.1</w:t>
                          </w:r>
                        </w:sdtContent>
                      </w:sdt>
                      <w:r>
                        <w:rPr>
                          <w:szCs w:val="24"/>
                        </w:rPr>
                        <w:t>.</w:t>
                        <w:tab/>
                      </w:r>
                      <w:r>
                        <w:rPr>
                          <w:szCs w:val="24"/>
                          <w:lang w:eastAsia="lt-LT"/>
                        </w:rPr>
                        <w:t>pastato patalpų sąrašą, kuriose įrengtos atitinkamo tipo atitvaros;</w:t>
                      </w:r>
                    </w:p>
                  </w:sdtContent>
                </w:sdt>
                <w:sdt>
                  <w:sdtPr>
                    <w:alias w:val="16 pr. 6.1.2 pp."/>
                    <w:tag w:val="part_97f30bc0ed14457799d7337de29f6fbd"/>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97f30bc0ed14457799d7337de29f6fbd"/>
                          <w:lock w:val="sdtLocked"/>
                          <w:richText/>
                        </w:sdtPr>
                        <w:sdtContent>
                          <w:r>
                            <w:rPr>
                              <w:szCs w:val="24"/>
                            </w:rPr>
                            <w:t>6.1.2</w:t>
                          </w:r>
                        </w:sdtContent>
                      </w:sdt>
                      <w:r>
                        <w:rPr>
                          <w:szCs w:val="24"/>
                        </w:rPr>
                        <w:t>.</w:t>
                        <w:tab/>
                      </w:r>
                      <w:r>
                        <w:rPr>
                          <w:szCs w:val="24"/>
                          <w:lang w:eastAsia="lt-LT"/>
                        </w:rPr>
                        <w:t xml:space="preserve">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Content>
            </w:sdt>
            <w:sdt>
              <w:sdtPr>
                <w:alias w:val="16 pr. 6.2 pp."/>
                <w:tag w:val="part_0757fb9713e4409ea1d6be8464b27c02"/>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0757fb9713e4409ea1d6be8464b27c02"/>
                      <w:lock w:val="sdtLocked"/>
                      <w:richText/>
                    </w:sdtPr>
                    <w:sdtContent>
                      <w:r>
                        <w:rPr>
                          <w:szCs w:val="24"/>
                        </w:rPr>
                        <w:t>6.2</w:t>
                      </w:r>
                    </w:sdtContent>
                  </w:sdt>
                  <w:r>
                    <w:rPr>
                      <w:szCs w:val="24"/>
                    </w:rPr>
                    <w:t>.</w:t>
                    <w:tab/>
                  </w:r>
                  <w:r>
                    <w:rPr>
                      <w:szCs w:val="24"/>
                      <w:lang w:eastAsia="lt-LT"/>
                    </w:rPr>
                    <w:t>jeigu pastate yra grindys ant grunto su papildomu horizontaliu apšiltinimu pakraščiuose (žr. Reglamento 2 priedo VII skyriaus 16 punktą ir 2.4 pav.), privaloma nurodyti:</w:t>
                  </w:r>
                </w:p>
                <w:sdt>
                  <w:sdtPr>
                    <w:alias w:val="16 pr. 6.2.1 pp."/>
                    <w:tag w:val="part_6f304336c1e04d6abf0d96d27a0e091f"/>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6f304336c1e04d6abf0d96d27a0e091f"/>
                          <w:lock w:val="sdtLocked"/>
                          <w:richText/>
                        </w:sdtPr>
                        <w:sdtContent>
                          <w:r>
                            <w:rPr>
                              <w:szCs w:val="24"/>
                            </w:rPr>
                            <w:t>6.2.1</w:t>
                          </w:r>
                        </w:sdtContent>
                      </w:sdt>
                      <w:r>
                        <w:rPr>
                          <w:szCs w:val="24"/>
                        </w:rPr>
                        <w:t>.</w:t>
                        <w:tab/>
                      </w:r>
                      <w:r>
                        <w:rPr>
                          <w:szCs w:val="24"/>
                          <w:lang w:eastAsia="lt-LT"/>
                        </w:rPr>
                        <w:t>pastato patalpų sąrašą, kuriose įrengtos atitinkamo tipo atitvaros;</w:t>
                      </w:r>
                    </w:p>
                  </w:sdtContent>
                </w:sdt>
                <w:sdt>
                  <w:sdtPr>
                    <w:alias w:val="16 pr. 6.2.2 pp."/>
                    <w:tag w:val="part_856e472d1ef545a39f3c11774ae01e09"/>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856e472d1ef545a39f3c11774ae01e09"/>
                          <w:lock w:val="sdtLocked"/>
                          <w:richText/>
                        </w:sdtPr>
                        <w:sdtContent>
                          <w:r>
                            <w:rPr>
                              <w:szCs w:val="24"/>
                            </w:rPr>
                            <w:t>6.2.2</w:t>
                          </w:r>
                        </w:sdtContent>
                      </w:sdt>
                      <w:r>
                        <w:rPr>
                          <w:szCs w:val="24"/>
                        </w:rPr>
                        <w:t>.</w:t>
                        <w:tab/>
                      </w:r>
                      <w:r>
                        <w:rPr>
                          <w:szCs w:val="24"/>
                          <w:lang w:eastAsia="lt-LT"/>
                        </w:rPr>
                        <w:t xml:space="preserve">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2.3 pp."/>
                    <w:tag w:val="part_05a387de3f804e519d03b510c4b44ee8"/>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05a387de3f804e519d03b510c4b44ee8"/>
                          <w:lock w:val="sdtLocked"/>
                          <w:richText/>
                        </w:sdtPr>
                        <w:sdtContent>
                          <w:r>
                            <w:rPr>
                              <w:szCs w:val="24"/>
                            </w:rPr>
                            <w:t>6.2.3</w:t>
                          </w:r>
                        </w:sdtContent>
                      </w:sdt>
                      <w:r>
                        <w:rPr>
                          <w:szCs w:val="24"/>
                        </w:rPr>
                        <w:t>.</w:t>
                        <w:tab/>
                      </w:r>
                      <w:r>
                        <w:rPr>
                          <w:szCs w:val="24"/>
                          <w:lang w:eastAsia="lt-LT"/>
                        </w:rPr>
                        <w:t xml:space="preserve">grindų papildomam horizontaliam apšiltinimui panaudoto statybos produkto pavadinimą, produkto markę (jeigu ji žinoma), sluoksnio storį </w:t>
                      </w:r>
                      <w:r>
                        <w:rPr>
                          <w:i/>
                          <w:iCs/>
                          <w:szCs w:val="24"/>
                          <w:lang w:eastAsia="lt-LT"/>
                        </w:rPr>
                        <w:t>d</w:t>
                      </w:r>
                      <w:r>
                        <w:rPr>
                          <w:i/>
                          <w:iCs/>
                          <w:szCs w:val="24"/>
                          <w:vertAlign w:val="subscript"/>
                          <w:lang w:eastAsia="lt-LT"/>
                        </w:rPr>
                        <w:t>h.ins</w:t>
                      </w:r>
                      <w:r>
                        <w:rPr>
                          <w:szCs w:val="24"/>
                          <w:vertAlign w:val="subscript"/>
                          <w:lang w:eastAsia="lt-LT"/>
                        </w:rPr>
                        <w:t>.</w:t>
                      </w:r>
                      <w:r>
                        <w:rPr>
                          <w:szCs w:val="24"/>
                          <w:lang w:eastAsia="lt-LT"/>
                        </w:rPr>
                        <w:t xml:space="preserve"> ir horizontalaus termoizoliacinio sluoksnio plotį </w:t>
                      </w:r>
                      <w:r>
                        <w:rPr>
                          <w:i/>
                          <w:iCs/>
                          <w:szCs w:val="24"/>
                          <w:lang w:eastAsia="lt-LT"/>
                        </w:rPr>
                        <w:t>D</w:t>
                      </w:r>
                      <w:r>
                        <w:rPr>
                          <w:i/>
                          <w:iCs/>
                          <w:szCs w:val="24"/>
                          <w:vertAlign w:val="subscript"/>
                          <w:lang w:eastAsia="lt-LT"/>
                        </w:rPr>
                        <w:t>h</w:t>
                      </w:r>
                      <w:r>
                        <w:rPr>
                          <w:szCs w:val="24"/>
                          <w:lang w:eastAsia="lt-LT"/>
                        </w:rPr>
                        <w:t xml:space="preserve"> (žr. Reglamento 2 priedo 2.4 pav.). Jeigu grindų papildomo horizontalaus apšiltinimo konstrukcija  ir grindų horizontaliam apšiltinimui panaudoti statybos produktai atitinka sertifikavimo užsakovo pateikto pastato projekto duomenis, grindų papildomo horizontalaus apšiltinimo konstrukciniai sprendimai gali būti nedetalizuojami, tačiau tada pastato būklės duomenyse turi būti įrašas „grindų papildomo horizontalaus apšiltinimo konstrukcija ir kiti duomenys atitinka pastato projektą“;</w:t>
                      </w:r>
                    </w:p>
                  </w:sdtContent>
                </w:sdt>
              </w:sdtContent>
            </w:sdt>
            <w:sdt>
              <w:sdtPr>
                <w:alias w:val="16 pr. 6.3 pp."/>
                <w:tag w:val="part_ed7dceccd394488b9648a2a1de1c05c4"/>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ed7dceccd394488b9648a2a1de1c05c4"/>
                      <w:lock w:val="sdtLocked"/>
                      <w:richText/>
                    </w:sdtPr>
                    <w:sdtContent>
                      <w:r>
                        <w:rPr>
                          <w:szCs w:val="24"/>
                        </w:rPr>
                        <w:t>6.3</w:t>
                      </w:r>
                    </w:sdtContent>
                  </w:sdt>
                  <w:r>
                    <w:rPr>
                      <w:szCs w:val="24"/>
                    </w:rPr>
                    <w:t>.</w:t>
                    <w:tab/>
                  </w:r>
                  <w:r>
                    <w:rPr>
                      <w:szCs w:val="24"/>
                      <w:lang w:eastAsia="lt-LT"/>
                    </w:rPr>
                    <w:t>jeigu pastate yra grindys ant grunto su papildomu vertikaliu apšiltinimu pakraščiuose (žr. Reglamento 2 priedo VII skyriaus 16 punktą ir 2.5 pav.), privaloma nurodyti:</w:t>
                  </w:r>
                </w:p>
                <w:sdt>
                  <w:sdtPr>
                    <w:alias w:val="16 pr. 6.3.1 pp."/>
                    <w:tag w:val="part_276602c18b824e0cb65ae1e802763032"/>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276602c18b824e0cb65ae1e802763032"/>
                          <w:lock w:val="sdtLocked"/>
                          <w:richText/>
                        </w:sdtPr>
                        <w:sdtContent>
                          <w:r>
                            <w:rPr>
                              <w:szCs w:val="24"/>
                            </w:rPr>
                            <w:t>6.3.1</w:t>
                          </w:r>
                        </w:sdtContent>
                      </w:sdt>
                      <w:r>
                        <w:rPr>
                          <w:szCs w:val="24"/>
                        </w:rPr>
                        <w:t>.</w:t>
                        <w:tab/>
                      </w:r>
                      <w:r>
                        <w:rPr>
                          <w:szCs w:val="24"/>
                          <w:lang w:eastAsia="lt-LT"/>
                        </w:rPr>
                        <w:t>pastato patalpų sąrašą, kuriose įrengtos atitinkamo tipo atitvaros;</w:t>
                      </w:r>
                    </w:p>
                  </w:sdtContent>
                </w:sdt>
                <w:sdt>
                  <w:sdtPr>
                    <w:alias w:val="16 pr. 6.3.2 pp."/>
                    <w:tag w:val="part_e0431e23fcee4e6ab6730762977804ad"/>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e0431e23fcee4e6ab6730762977804ad"/>
                          <w:lock w:val="sdtLocked"/>
                          <w:richText/>
                        </w:sdtPr>
                        <w:sdtContent>
                          <w:r>
                            <w:rPr>
                              <w:szCs w:val="24"/>
                            </w:rPr>
                            <w:t>6.3.2</w:t>
                          </w:r>
                        </w:sdtContent>
                      </w:sdt>
                      <w:r>
                        <w:rPr>
                          <w:szCs w:val="24"/>
                        </w:rPr>
                        <w:t>.</w:t>
                        <w:tab/>
                      </w:r>
                      <w:r>
                        <w:rPr>
                          <w:szCs w:val="24"/>
                          <w:lang w:eastAsia="lt-LT"/>
                        </w:rPr>
                        <w:t xml:space="preserve">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3.3 pp."/>
                    <w:tag w:val="part_833dc48fad9349db9111ae088002769b"/>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833dc48fad9349db9111ae088002769b"/>
                          <w:lock w:val="sdtLocked"/>
                          <w:richText/>
                        </w:sdtPr>
                        <w:sdtContent>
                          <w:r>
                            <w:rPr>
                              <w:szCs w:val="24"/>
                            </w:rPr>
                            <w:t>6.3.3</w:t>
                          </w:r>
                        </w:sdtContent>
                      </w:sdt>
                      <w:r>
                        <w:rPr>
                          <w:szCs w:val="24"/>
                        </w:rPr>
                        <w:t>.</w:t>
                        <w:tab/>
                      </w:r>
                      <w:r>
                        <w:rPr>
                          <w:szCs w:val="24"/>
                          <w:lang w:eastAsia="lt-LT"/>
                        </w:rPr>
                        <w:t xml:space="preserve">grindų papildomam vertikaliam apšiltinimui panaudoto statybos produkto pavadinimą, produkto markę (jeigu ji žinoma), sluoksnio storį </w:t>
                      </w:r>
                      <w:r>
                        <w:rPr>
                          <w:i/>
                          <w:iCs/>
                          <w:szCs w:val="24"/>
                          <w:lang w:eastAsia="lt-LT"/>
                        </w:rPr>
                        <w:t>d</w:t>
                      </w:r>
                      <w:r>
                        <w:rPr>
                          <w:i/>
                          <w:iCs/>
                          <w:szCs w:val="24"/>
                          <w:vertAlign w:val="subscript"/>
                          <w:lang w:eastAsia="lt-LT"/>
                        </w:rPr>
                        <w:t>v.ins</w:t>
                      </w:r>
                      <w:r>
                        <w:rPr>
                          <w:szCs w:val="24"/>
                          <w:vertAlign w:val="subscript"/>
                          <w:lang w:eastAsia="lt-LT"/>
                        </w:rPr>
                        <w:t>.</w:t>
                      </w:r>
                      <w:r>
                        <w:rPr>
                          <w:szCs w:val="24"/>
                          <w:lang w:eastAsia="lt-LT"/>
                        </w:rPr>
                        <w:t xml:space="preserve"> ir vertikalaus termoizoliacinio sluoksnio gylį </w:t>
                      </w:r>
                      <w:r>
                        <w:rPr>
                          <w:i/>
                          <w:iCs/>
                          <w:szCs w:val="24"/>
                          <w:lang w:eastAsia="lt-LT"/>
                        </w:rPr>
                        <w:t>D</w:t>
                      </w:r>
                      <w:r>
                        <w:rPr>
                          <w:i/>
                          <w:iCs/>
                          <w:szCs w:val="24"/>
                          <w:vertAlign w:val="subscript"/>
                          <w:lang w:eastAsia="lt-LT"/>
                        </w:rPr>
                        <w:t>v</w:t>
                      </w:r>
                      <w:r>
                        <w:rPr>
                          <w:szCs w:val="24"/>
                          <w:lang w:eastAsia="lt-LT"/>
                        </w:rPr>
                        <w:t xml:space="preserve"> (žr. Reglamento 2 priedo 2.5 pav.). Jeigu grindų papildomo vertikalaus apšiltinimo konstrukcija  ir grindų vertikaliam apšiltinimui panaudoti statybos produktai atitinka sertifikavimo užsakovo pateikto pastato projekto duomenis, grindų papildomo vertikalaus apšiltinimo konstrukciniai sprendimai gali būti nedetalizuojami, tačiau tada pastato būklės duomenyse turi būti įrašas „grindų papildomo vertikalaus apšiltinimo konstrukcija ir kiti duomenys atitinka pastato projektą“;</w:t>
                      </w:r>
                    </w:p>
                  </w:sdtContent>
                </w:sdt>
              </w:sdtContent>
            </w:sdt>
            <w:sdt>
              <w:sdtPr>
                <w:alias w:val="16 pr. 6.4 pp."/>
                <w:tag w:val="part_fbffadb99a8d4b1c8e4219c6a5e09822"/>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fbffadb99a8d4b1c8e4219c6a5e09822"/>
                      <w:lock w:val="sdtLocked"/>
                      <w:richText/>
                    </w:sdtPr>
                    <w:sdtContent>
                      <w:r>
                        <w:rPr>
                          <w:szCs w:val="24"/>
                        </w:rPr>
                        <w:t>6.4</w:t>
                      </w:r>
                    </w:sdtContent>
                  </w:sdt>
                  <w:r>
                    <w:rPr>
                      <w:szCs w:val="24"/>
                    </w:rPr>
                    <w:t>.</w:t>
                    <w:tab/>
                  </w:r>
                  <w:r>
                    <w:rPr>
                      <w:szCs w:val="24"/>
                      <w:lang w:eastAsia="lt-LT"/>
                    </w:rPr>
                    <w:t>jeigu pastate yra grindys ant grunto su papildomu vertikaliu ir horizontaliu apšiltinimu pakraščiuose (žr. Reglamento 2 priedo VII skyriaus 16 punktą ir 2.6 pav.), privaloma nurodyti:</w:t>
                  </w:r>
                </w:p>
                <w:sdt>
                  <w:sdtPr>
                    <w:alias w:val="16 pr. 6.4.1 pp."/>
                    <w:tag w:val="part_7fd5f373ceae4c1994a4a7ebaff9912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7fd5f373ceae4c1994a4a7ebaff99127"/>
                          <w:lock w:val="sdtLocked"/>
                          <w:richText/>
                        </w:sdtPr>
                        <w:sdtContent>
                          <w:r>
                            <w:rPr>
                              <w:szCs w:val="24"/>
                            </w:rPr>
                            <w:t>6.4.1</w:t>
                          </w:r>
                        </w:sdtContent>
                      </w:sdt>
                      <w:r>
                        <w:rPr>
                          <w:szCs w:val="24"/>
                        </w:rPr>
                        <w:t>.</w:t>
                        <w:tab/>
                      </w:r>
                      <w:r>
                        <w:rPr>
                          <w:szCs w:val="24"/>
                          <w:lang w:eastAsia="lt-LT"/>
                        </w:rPr>
                        <w:t>pastato patalpų sąrašą, kuriose įrengtos atitinkamo tipo atitvaros;</w:t>
                      </w:r>
                    </w:p>
                  </w:sdtContent>
                </w:sdt>
                <w:sdt>
                  <w:sdtPr>
                    <w:alias w:val="16 pr. 6.4.2 pp."/>
                    <w:tag w:val="part_0a80583003524a1cb8a5fce97ecf50e4"/>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0a80583003524a1cb8a5fce97ecf50e4"/>
                          <w:lock w:val="sdtLocked"/>
                          <w:richText/>
                        </w:sdtPr>
                        <w:sdtContent>
                          <w:r>
                            <w:rPr>
                              <w:szCs w:val="24"/>
                            </w:rPr>
                            <w:t>6.4.2</w:t>
                          </w:r>
                        </w:sdtContent>
                      </w:sdt>
                      <w:r>
                        <w:rPr>
                          <w:szCs w:val="24"/>
                        </w:rPr>
                        <w:t>.</w:t>
                        <w:tab/>
                      </w:r>
                      <w:r>
                        <w:rPr>
                          <w:szCs w:val="24"/>
                          <w:lang w:eastAsia="lt-LT"/>
                        </w:rPr>
                        <w:t xml:space="preserve">grindų ant grunto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ant grunto plokštės storis, konstrukcija  ir jų sluoksniuose panaudoti statybos produktai atitinka sertifikavimo užsakovo pateikto pastato projekto duomenis, grindų ant grunto plokštės konstrukciniai sprendimai gali būti nedetalizuojami, tačiau tada pastato būklės duomenyse turi būti įrašas „grindų ant grunto plokštės konstrukcija ir storis atitinka pastato projektą“;</w:t>
                      </w:r>
                    </w:p>
                  </w:sdtContent>
                </w:sdt>
                <w:sdt>
                  <w:sdtPr>
                    <w:alias w:val="16 pr. 6.4.3 pp."/>
                    <w:tag w:val="part_62c0e42252954249a0c75df99394ff0d"/>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62c0e42252954249a0c75df99394ff0d"/>
                          <w:lock w:val="sdtLocked"/>
                          <w:richText/>
                        </w:sdtPr>
                        <w:sdtContent>
                          <w:r>
                            <w:rPr>
                              <w:szCs w:val="24"/>
                            </w:rPr>
                            <w:t>6.4.3</w:t>
                          </w:r>
                        </w:sdtContent>
                      </w:sdt>
                      <w:r>
                        <w:rPr>
                          <w:szCs w:val="24"/>
                        </w:rPr>
                        <w:t>.</w:t>
                        <w:tab/>
                      </w:r>
                      <w:r>
                        <w:rPr>
                          <w:szCs w:val="24"/>
                          <w:lang w:eastAsia="lt-LT"/>
                        </w:rPr>
                        <w:t xml:space="preserve">grindų papildomam vertikaliam apšiltinimui panaudoto statybos produkto pavadinimą, produkto markę (jeigu ji žinoma), sluoksnio storį </w:t>
                      </w:r>
                      <w:r>
                        <w:rPr>
                          <w:i/>
                          <w:iCs/>
                          <w:szCs w:val="24"/>
                          <w:lang w:eastAsia="lt-LT"/>
                        </w:rPr>
                        <w:t>d</w:t>
                      </w:r>
                      <w:r>
                        <w:rPr>
                          <w:i/>
                          <w:iCs/>
                          <w:szCs w:val="24"/>
                          <w:vertAlign w:val="subscript"/>
                          <w:lang w:eastAsia="lt-LT"/>
                        </w:rPr>
                        <w:t>v.ins</w:t>
                      </w:r>
                      <w:r>
                        <w:rPr>
                          <w:szCs w:val="24"/>
                          <w:vertAlign w:val="subscript"/>
                          <w:lang w:eastAsia="lt-LT"/>
                        </w:rPr>
                        <w:t>.</w:t>
                      </w:r>
                      <w:r>
                        <w:rPr>
                          <w:szCs w:val="24"/>
                          <w:lang w:eastAsia="lt-LT"/>
                        </w:rPr>
                        <w:t xml:space="preserve"> ir vertikalaus termoizoliacinio sluoksnio gylį </w:t>
                      </w:r>
                      <w:r>
                        <w:rPr>
                          <w:i/>
                          <w:iCs/>
                          <w:szCs w:val="24"/>
                          <w:lang w:eastAsia="lt-LT"/>
                        </w:rPr>
                        <w:t>D</w:t>
                      </w:r>
                      <w:r>
                        <w:rPr>
                          <w:i/>
                          <w:iCs/>
                          <w:szCs w:val="24"/>
                          <w:vertAlign w:val="subscript"/>
                          <w:lang w:eastAsia="lt-LT"/>
                        </w:rPr>
                        <w:t>v</w:t>
                      </w:r>
                      <w:r>
                        <w:rPr>
                          <w:szCs w:val="24"/>
                          <w:lang w:eastAsia="lt-LT"/>
                        </w:rPr>
                        <w:t xml:space="preserve"> (žr. Reglamento 2 priedo 2.6 pav.). Jeigu grindų papildomo vertikalaus apšiltinimo konstrukcija  ir grindų vertikaliam apšiltinimui panaudoti statybos produktai atitinka sertifikavimo užsakovo pateikto pastato projekto duomenis, grindų papildomo vertikalaus apšiltinimo konstrukciniai sprendimai gali būti nedetalizuojami, tačiau tada pastato būklės duomenyse turi būti įrašas „grindų papildomo vertikalaus apšiltinimo konstrukcija ir kiti duomenys atitinka pastato projektą“; </w:t>
                      </w:r>
                    </w:p>
                  </w:sdtContent>
                </w:sdt>
                <w:sdt>
                  <w:sdtPr>
                    <w:alias w:val="16 pr. 6.4.4 pp."/>
                    <w:tag w:val="part_f3269d94f9ba4de585784aa7c54d21bc"/>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f3269d94f9ba4de585784aa7c54d21bc"/>
                          <w:lock w:val="sdtLocked"/>
                          <w:richText/>
                        </w:sdtPr>
                        <w:sdtContent>
                          <w:r>
                            <w:rPr>
                              <w:szCs w:val="24"/>
                            </w:rPr>
                            <w:t>6.4.4</w:t>
                          </w:r>
                        </w:sdtContent>
                      </w:sdt>
                      <w:r>
                        <w:rPr>
                          <w:szCs w:val="24"/>
                        </w:rPr>
                        <w:t>.</w:t>
                        <w:tab/>
                      </w:r>
                      <w:r>
                        <w:rPr>
                          <w:szCs w:val="24"/>
                          <w:lang w:eastAsia="lt-LT"/>
                        </w:rPr>
                        <w:t xml:space="preserve">grindų papildomam horizontaliam apšiltinimui panaudoto statybos produkto pavadinimą, produkto markę (jeigu ji žinoma), sluoksnio storį </w:t>
                      </w:r>
                      <w:r>
                        <w:rPr>
                          <w:i/>
                          <w:iCs/>
                          <w:szCs w:val="24"/>
                          <w:lang w:eastAsia="lt-LT"/>
                        </w:rPr>
                        <w:t>d</w:t>
                      </w:r>
                      <w:r>
                        <w:rPr>
                          <w:i/>
                          <w:iCs/>
                          <w:szCs w:val="24"/>
                          <w:vertAlign w:val="subscript"/>
                          <w:lang w:eastAsia="lt-LT"/>
                        </w:rPr>
                        <w:t>h.ins</w:t>
                      </w:r>
                      <w:r>
                        <w:rPr>
                          <w:szCs w:val="24"/>
                          <w:vertAlign w:val="subscript"/>
                          <w:lang w:eastAsia="lt-LT"/>
                        </w:rPr>
                        <w:t>.</w:t>
                      </w:r>
                      <w:r>
                        <w:rPr>
                          <w:szCs w:val="24"/>
                          <w:lang w:eastAsia="lt-LT"/>
                        </w:rPr>
                        <w:t xml:space="preserve"> ir horizontalaus termoizoliacinio sluoksnio plotį </w:t>
                      </w:r>
                      <w:r>
                        <w:rPr>
                          <w:i/>
                          <w:iCs/>
                          <w:szCs w:val="24"/>
                          <w:lang w:eastAsia="lt-LT"/>
                        </w:rPr>
                        <w:t>D</w:t>
                      </w:r>
                      <w:r>
                        <w:rPr>
                          <w:i/>
                          <w:iCs/>
                          <w:szCs w:val="24"/>
                          <w:vertAlign w:val="subscript"/>
                          <w:lang w:eastAsia="lt-LT"/>
                        </w:rPr>
                        <w:t>h</w:t>
                      </w:r>
                      <w:r>
                        <w:rPr>
                          <w:szCs w:val="24"/>
                          <w:lang w:eastAsia="lt-LT"/>
                        </w:rPr>
                        <w:t xml:space="preserve"> (žr. Reglamento 2 priedo 2.6 pav.). Jeigu grindų papildomo horizontalaus apšiltinimo konstrukcija  ir grindų horizontaliam apšiltinimui panaudoti statybos produktai atitinka sertifikavimo užsakovo pateikto pastato projekto duomenis, grindų papildomo horizontalaus apšiltinimo konstrukciniai sprendimai gali būti nedetalizuojami, tačiau tada pastato būklės duomenyse turi būti įrašas „grindų papildomo horizontalaus apšiltinimo konstrukcija ir kiti duomenys atitinka pastato projektą“;</w:t>
                      </w:r>
                    </w:p>
                  </w:sdtContent>
                </w:sdt>
              </w:sdtContent>
            </w:sdt>
            <w:sdt>
              <w:sdtPr>
                <w:alias w:val="16 pr. 6.5 pp."/>
                <w:tag w:val="part_3ebf602251c14782a9a9f62d51b50719"/>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3ebf602251c14782a9a9f62d51b50719"/>
                      <w:lock w:val="sdtLocked"/>
                      <w:richText/>
                    </w:sdtPr>
                    <w:sdtContent>
                      <w:r>
                        <w:rPr>
                          <w:szCs w:val="24"/>
                        </w:rPr>
                        <w:t>6.5</w:t>
                      </w:r>
                    </w:sdtContent>
                  </w:sdt>
                  <w:r>
                    <w:rPr>
                      <w:szCs w:val="24"/>
                    </w:rPr>
                    <w:t>.</w:t>
                    <w:tab/>
                  </w:r>
                  <w:r>
                    <w:rPr>
                      <w:szCs w:val="24"/>
                      <w:lang w:eastAsia="lt-LT"/>
                    </w:rPr>
                    <w:t>jeigu pastate yra šildomas rūsys (žr. Reglamento 2 priedo VII skyriaus 17 punktą ir 2.7 pav.), privaloma nurodyti:</w:t>
                  </w:r>
                </w:p>
                <w:sdt>
                  <w:sdtPr>
                    <w:alias w:val="16 pr. 6.5.1 pp."/>
                    <w:tag w:val="part_a2e1fea1842a4a2bbdb86311f74e4962"/>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a2e1fea1842a4a2bbdb86311f74e4962"/>
                          <w:lock w:val="sdtLocked"/>
                          <w:richText/>
                        </w:sdtPr>
                        <w:sdtContent>
                          <w:r>
                            <w:rPr>
                              <w:szCs w:val="24"/>
                            </w:rPr>
                            <w:t>6.5.1</w:t>
                          </w:r>
                        </w:sdtContent>
                      </w:sdt>
                      <w:r>
                        <w:rPr>
                          <w:szCs w:val="24"/>
                        </w:rPr>
                        <w:t>.</w:t>
                        <w:tab/>
                      </w:r>
                      <w:r>
                        <w:rPr>
                          <w:szCs w:val="24"/>
                          <w:lang w:eastAsia="lt-LT"/>
                        </w:rPr>
                        <w:t>šildomame rūsyje esančių pastato patalpų sąrašą;</w:t>
                      </w:r>
                    </w:p>
                  </w:sdtContent>
                </w:sdt>
                <w:sdt>
                  <w:sdtPr>
                    <w:alias w:val="16 pr. 6.5.2 pp."/>
                    <w:tag w:val="part_e0d87b33edd946de9d2bbf2685447510"/>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e0d87b33edd946de9d2bbf2685447510"/>
                          <w:lock w:val="sdtLocked"/>
                          <w:richText/>
                        </w:sdtPr>
                        <w:sdtContent>
                          <w:r>
                            <w:rPr>
                              <w:szCs w:val="24"/>
                            </w:rPr>
                            <w:t>6.5.2</w:t>
                          </w:r>
                        </w:sdtContent>
                      </w:sdt>
                      <w:r>
                        <w:rPr>
                          <w:szCs w:val="24"/>
                        </w:rPr>
                        <w:t>.</w:t>
                        <w:tab/>
                      </w:r>
                      <w:r>
                        <w:rPr>
                          <w:szCs w:val="24"/>
                          <w:lang w:eastAsia="lt-LT"/>
                        </w:rPr>
                        <w:t xml:space="preserve">šildomo rūsio grindų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rūsio grindų storis, konstrukcija  ir jų sluoksniuose panaudoti statybos produktai atitinka sertifikavimo užsakovo pateikto pastato projekto duomenis, grindų konstrukciniai sprendimai gali būti nedetalizuojami, tačiau tada pastato būklės duomenyse turi būti įrašas „grindų konstrukcija ir storis atitinka pastato projektą“;</w:t>
                      </w:r>
                    </w:p>
                  </w:sdtContent>
                </w:sdt>
                <w:sdt>
                  <w:sdtPr>
                    <w:alias w:val="16 pr. 6.5.3 pp."/>
                    <w:tag w:val="part_9f7f9cb9f25c432f862218b9413d5bce"/>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9f7f9cb9f25c432f862218b9413d5bce"/>
                          <w:lock w:val="sdtLocked"/>
                          <w:richText/>
                        </w:sdtPr>
                        <w:sdtContent>
                          <w:r>
                            <w:rPr>
                              <w:szCs w:val="24"/>
                            </w:rPr>
                            <w:t>6.5.3</w:t>
                          </w:r>
                        </w:sdtContent>
                      </w:sdt>
                      <w:r>
                        <w:rPr>
                          <w:szCs w:val="24"/>
                        </w:rPr>
                        <w:t>.</w:t>
                        <w:tab/>
                      </w:r>
                      <w:r>
                        <w:rPr>
                          <w:szCs w:val="24"/>
                          <w:lang w:eastAsia="lt-LT"/>
                        </w:rPr>
                        <w:t xml:space="preserve">šildomo rūsio sienų, kurios turi sąlytį su gruntu,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rūsio sienų storis, konstrukcija  ir jų sluoksniuose panaudoti statybos produktai atitinka sertifikavimo užsakovo pateikto pastato projekto duomenis, rūsio sienų konstrukciniai sprendimai gali būti nedetalizuojami, tačiau tada pastato būklės duomenyse turi būti įrašas „rūsio sienų konstrukcija ir storis atitinka pastato projektą“;</w:t>
                      </w:r>
                    </w:p>
                  </w:sdtContent>
                </w:sdt>
              </w:sdtContent>
            </w:sdt>
            <w:sdt>
              <w:sdtPr>
                <w:alias w:val="16 pr. 6.6 pp."/>
                <w:tag w:val="part_f1b1036086d14460ab7dad4802f78cdb"/>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f1b1036086d14460ab7dad4802f78cdb"/>
                      <w:lock w:val="sdtLocked"/>
                      <w:richText/>
                    </w:sdtPr>
                    <w:sdtContent>
                      <w:r>
                        <w:rPr>
                          <w:szCs w:val="24"/>
                        </w:rPr>
                        <w:t>6.6</w:t>
                      </w:r>
                    </w:sdtContent>
                  </w:sdt>
                  <w:r>
                    <w:rPr>
                      <w:szCs w:val="24"/>
                    </w:rPr>
                    <w:t>.</w:t>
                    <w:tab/>
                  </w:r>
                  <w:r>
                    <w:rPr>
                      <w:szCs w:val="24"/>
                      <w:lang w:eastAsia="lt-LT"/>
                    </w:rPr>
                    <w:t>jeigu pastate yra grindys virš vėdinamų pogrindžių (žr. Reglamento 2 priedo VII skyriaus 18 punktą ir 2.8 pav.), privaloma nurodyti:</w:t>
                  </w:r>
                </w:p>
                <w:sdt>
                  <w:sdtPr>
                    <w:alias w:val="16 pr. 6.6.1 pp."/>
                    <w:tag w:val="part_0f475afe417f49ea8abaece3892c62c1"/>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0f475afe417f49ea8abaece3892c62c1"/>
                          <w:lock w:val="sdtLocked"/>
                          <w:richText/>
                        </w:sdtPr>
                        <w:sdtContent>
                          <w:r>
                            <w:rPr>
                              <w:szCs w:val="24"/>
                            </w:rPr>
                            <w:t>6.6.1</w:t>
                          </w:r>
                        </w:sdtContent>
                      </w:sdt>
                      <w:r>
                        <w:rPr>
                          <w:szCs w:val="24"/>
                        </w:rPr>
                        <w:t>.</w:t>
                        <w:tab/>
                      </w:r>
                      <w:r>
                        <w:rPr>
                          <w:szCs w:val="24"/>
                          <w:lang w:eastAsia="lt-LT"/>
                        </w:rPr>
                        <w:t>pastato patalpų sąrašą, kuriose įrengtos atitinkamo tipo atitvaros;</w:t>
                      </w:r>
                    </w:p>
                  </w:sdtContent>
                </w:sdt>
                <w:sdt>
                  <w:sdtPr>
                    <w:alias w:val="16 pr. 6.6.2 pp."/>
                    <w:tag w:val="part_77a6284b803048bd8f597c7618618333"/>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77a6284b803048bd8f597c7618618333"/>
                          <w:lock w:val="sdtLocked"/>
                          <w:richText/>
                        </w:sdtPr>
                        <w:sdtContent>
                          <w:r>
                            <w:rPr>
                              <w:szCs w:val="24"/>
                            </w:rPr>
                            <w:t>6.6.2</w:t>
                          </w:r>
                        </w:sdtContent>
                      </w:sdt>
                      <w:r>
                        <w:rPr>
                          <w:szCs w:val="24"/>
                        </w:rPr>
                        <w:t>.</w:t>
                        <w:tab/>
                      </w:r>
                      <w:r>
                        <w:rPr>
                          <w:szCs w:val="24"/>
                          <w:lang w:eastAsia="lt-LT"/>
                        </w:rPr>
                        <w:t xml:space="preserve">grindų plokštės virš vėdinamo pogrindžio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virš vėdinamo pogrindžio storis, konstrukcija  ir jų sluoksniuose panaudoti statybos produktai atitinka sertifikavimo užsakovo pateikto pastato projekto duomenis, grindų plokštės konstrukciniai sprendimai gali būti nedetalizuojami, tačiau tada pastato būklės duomenyse turi būti įrašas „grindų virš vėdinamo pogrindžio konstrukcija ir storis atitinka pastato projektą“;</w:t>
                      </w:r>
                    </w:p>
                  </w:sdtContent>
                </w:sdt>
                <w:sdt>
                  <w:sdtPr>
                    <w:alias w:val="16 pr. 6.6.3 pp."/>
                    <w:tag w:val="part_7d603d632c944c8aa906592423a1dbe0"/>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7d603d632c944c8aa906592423a1dbe0"/>
                          <w:lock w:val="sdtLocked"/>
                          <w:richText/>
                        </w:sdtPr>
                        <w:sdtContent>
                          <w:r>
                            <w:rPr>
                              <w:szCs w:val="24"/>
                            </w:rPr>
                            <w:t>6.6.3</w:t>
                          </w:r>
                        </w:sdtContent>
                      </w:sdt>
                      <w:r>
                        <w:rPr>
                          <w:szCs w:val="24"/>
                        </w:rPr>
                        <w:t>.</w:t>
                        <w:tab/>
                      </w:r>
                      <w:r>
                        <w:rPr>
                          <w:szCs w:val="24"/>
                          <w:lang w:eastAsia="lt-LT"/>
                        </w:rPr>
                        <w:t xml:space="preserve">vėdinamo pogrindžio grindų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pogrindžio grindų storis, konstrukcija  ir jų sluoksniuose panaudoti statybos produktai atitinka sertifikavimo užsakovo pateikto pastato projekto duomenis, vėdinamo pogrindžio grindų konstrukciniai sprendimai gali būti nedetalizuojami, tačiau tada pastato būklės duomenyse turi būti įrašas „vėdinamo pogrindžio grindų konstrukcija ir storis atitinka pastato projektą“;</w:t>
                      </w:r>
                    </w:p>
                  </w:sdtContent>
                </w:sdt>
                <w:sdt>
                  <w:sdtPr>
                    <w:alias w:val="16 pr. 6.6.4 pp."/>
                    <w:tag w:val="part_435fe025b99e4838bce7d2afeca464c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435fe025b99e4838bce7d2afeca464c7"/>
                          <w:lock w:val="sdtLocked"/>
                          <w:richText/>
                        </w:sdtPr>
                        <w:sdtContent>
                          <w:r>
                            <w:rPr>
                              <w:szCs w:val="24"/>
                            </w:rPr>
                            <w:t>6.6.4</w:t>
                          </w:r>
                        </w:sdtContent>
                      </w:sdt>
                      <w:r>
                        <w:rPr>
                          <w:szCs w:val="24"/>
                        </w:rPr>
                        <w:t>.</w:t>
                        <w:tab/>
                      </w:r>
                      <w:r>
                        <w:rPr>
                          <w:szCs w:val="24"/>
                          <w:lang w:eastAsia="lt-LT"/>
                        </w:rPr>
                        <w:t xml:space="preserve">vėdinamo pogrindžio sienų, esančių virš grunto lygio,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virš grunto lygio esančių sienų konstrukcija nežinoma, tai turi būti nurodyta. Jeigu virš grunto lygio esančių pogrindžio sienų storis, konstrukcija  ir jų sluoksniuose panaudoti statybos produktai atitinka sertifikavimo užsakovo pateikto pastato projekto duomenis, šių sienų konstrukciniai sprendimai gali būti nedetalizuojami, tačiau tada pastato būklės duomenyse turi būti įrašas „virš grunto lygio esančių vėdinamo pogrindžio sienų konstrukcija ir storis atitinka pastato projektą“; </w:t>
                      </w:r>
                    </w:p>
                  </w:sdtContent>
                </w:sdt>
              </w:sdtContent>
            </w:sdt>
            <w:sdt>
              <w:sdtPr>
                <w:alias w:val="16 pr. 6.7 pp."/>
                <w:tag w:val="part_fcd927d5f3814692ad71baafbe43ed42"/>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fcd927d5f3814692ad71baafbe43ed42"/>
                      <w:lock w:val="sdtLocked"/>
                      <w:richText/>
                    </w:sdtPr>
                    <w:sdtContent>
                      <w:r>
                        <w:rPr>
                          <w:szCs w:val="24"/>
                        </w:rPr>
                        <w:t>6.7</w:t>
                      </w:r>
                    </w:sdtContent>
                  </w:sdt>
                  <w:r>
                    <w:rPr>
                      <w:szCs w:val="24"/>
                    </w:rPr>
                    <w:t>.</w:t>
                    <w:tab/>
                  </w:r>
                  <w:r>
                    <w:rPr>
                      <w:szCs w:val="24"/>
                      <w:lang w:eastAsia="lt-LT"/>
                    </w:rPr>
                    <w:t>jeigu pastate yra grindys virš nešildomo vėdinamo rūsio (žr. Reglamento 2 priedo VII skyriaus 19 punktą ir 2.9 pav.), privaloma nurodyti:</w:t>
                  </w:r>
                </w:p>
                <w:sdt>
                  <w:sdtPr>
                    <w:alias w:val="16 pr. 6.7.1 pp."/>
                    <w:tag w:val="part_7fc948c7e96a409eaaee4feac067e15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7fc948c7e96a409eaaee4feac067e157"/>
                          <w:lock w:val="sdtLocked"/>
                          <w:richText/>
                        </w:sdtPr>
                        <w:sdtContent>
                          <w:r>
                            <w:rPr>
                              <w:szCs w:val="24"/>
                            </w:rPr>
                            <w:t>6.7.1</w:t>
                          </w:r>
                        </w:sdtContent>
                      </w:sdt>
                      <w:r>
                        <w:rPr>
                          <w:szCs w:val="24"/>
                        </w:rPr>
                        <w:t>.</w:t>
                        <w:tab/>
                      </w:r>
                      <w:r>
                        <w:rPr>
                          <w:szCs w:val="24"/>
                          <w:lang w:eastAsia="lt-LT"/>
                        </w:rPr>
                        <w:t>pastato patalpų sąrašą, kuriose įrengtos atitinkamo tipo atitvaros;</w:t>
                      </w:r>
                    </w:p>
                  </w:sdtContent>
                </w:sdt>
                <w:sdt>
                  <w:sdtPr>
                    <w:alias w:val="16 pr. 6.7.2 pp."/>
                    <w:tag w:val="part_466be15b88704cffba1d3d1220b2eef6"/>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466be15b88704cffba1d3d1220b2eef6"/>
                          <w:lock w:val="sdtLocked"/>
                          <w:richText/>
                        </w:sdtPr>
                        <w:sdtContent>
                          <w:r>
                            <w:rPr>
                              <w:szCs w:val="24"/>
                            </w:rPr>
                            <w:t>6.7.2</w:t>
                          </w:r>
                        </w:sdtContent>
                      </w:sdt>
                      <w:r>
                        <w:rPr>
                          <w:szCs w:val="24"/>
                        </w:rPr>
                        <w:t>.</w:t>
                        <w:tab/>
                      </w:r>
                      <w:r>
                        <w:rPr>
                          <w:szCs w:val="24"/>
                          <w:lang w:eastAsia="lt-LT"/>
                        </w:rPr>
                        <w:t xml:space="preserve">grindų plokštės virš vėdinamo rūsio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pastato grindų virš vėdinamo rūsio storis, konstrukcija  ir jų sluoksniuose panaudoti statybos produktai atitinka sertifikavimo užsakovo pateikto pastato projekto duomenis, vėdinamo rūsio grindų plokštės konstrukciniai sprendimai gali būti nedetalizuojami, tačiau tada pastato būklės duomenyse turi būti įrašas „grindų virš vėdinamo rūsio konstrukcija ir storis atitinka pastato projektą“;</w:t>
                      </w:r>
                    </w:p>
                  </w:sdtContent>
                </w:sdt>
                <w:sdt>
                  <w:sdtPr>
                    <w:alias w:val="16 pr. 6.7.3 pp."/>
                    <w:tag w:val="part_f3af541e579143ce9ee27be204fa17ed"/>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f3af541e579143ce9ee27be204fa17ed"/>
                          <w:lock w:val="sdtLocked"/>
                          <w:richText/>
                        </w:sdtPr>
                        <w:sdtContent>
                          <w:r>
                            <w:rPr>
                              <w:szCs w:val="24"/>
                            </w:rPr>
                            <w:t>6.7.3</w:t>
                          </w:r>
                        </w:sdtContent>
                      </w:sdt>
                      <w:r>
                        <w:rPr>
                          <w:szCs w:val="24"/>
                        </w:rPr>
                        <w:t>.</w:t>
                        <w:tab/>
                      </w:r>
                      <w:r>
                        <w:rPr>
                          <w:szCs w:val="24"/>
                          <w:lang w:eastAsia="lt-LT"/>
                        </w:rPr>
                        <w:t xml:space="preserve">vėdinamo rūsio grindų plokštės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vėdinamo rūsio grindų storis, konstrukcija  ir jų sluoksniuose panaudoti statybos produktai atitinka sertifikavimo užsakovo pateikto pastato projekto duomenis, vėdinamo rūsio grindų konstrukciniai sprendimai gali būti nedetalizuojami, tačiau tada pastato būklės duomenyse turi būti įrašas „vėdinamo rūsio grindų konstrukcija ir storis atitinka pastato projektą“;</w:t>
                      </w:r>
                    </w:p>
                  </w:sdtContent>
                </w:sdt>
                <w:sdt>
                  <w:sdtPr>
                    <w:alias w:val="16 pr. 6.7.4 pp."/>
                    <w:tag w:val="part_14363d445d0c4a7d9cb3d0e9c6218727"/>
                    <w:lock w:val="sdtLocked"/>
                    <w:richText/>
                  </w:sdtPr>
                  <w:sdtContent>
                    <w:p>
                      <w:pPr>
                        <w:tabs>
                          <w:tab w:val="left" w:pos="851"/>
                          <w:tab w:val="left" w:pos="993"/>
                          <w:tab w:val="left" w:pos="1134"/>
                          <w:tab w:val="left" w:pos="1276"/>
                        </w:tabs>
                        <w:suppressAutoHyphens/>
                        <w:ind w:firstLine="567"/>
                        <w:jc w:val="both"/>
                        <w:rPr>
                          <w:szCs w:val="24"/>
                          <w:lang w:eastAsia="lt-LT"/>
                        </w:rPr>
                      </w:pPr>
                      <w:sdt>
                        <w:sdtPr>
                          <w:alias w:val="Numeris"/>
                          <w:tag w:val="nr_14363d445d0c4a7d9cb3d0e9c6218727"/>
                          <w:lock w:val="sdtLocked"/>
                          <w:richText/>
                        </w:sdtPr>
                        <w:sdtContent>
                          <w:r>
                            <w:rPr>
                              <w:szCs w:val="24"/>
                            </w:rPr>
                            <w:t>6.7.4</w:t>
                          </w:r>
                        </w:sdtContent>
                      </w:sdt>
                      <w:r>
                        <w:rPr>
                          <w:szCs w:val="24"/>
                        </w:rPr>
                        <w:t>.</w:t>
                        <w:tab/>
                      </w:r>
                      <w:r>
                        <w:rPr>
                          <w:szCs w:val="24"/>
                          <w:lang w:eastAsia="lt-LT"/>
                        </w:rPr>
                        <w:t xml:space="preserve">vėdinamo rūsio sienų, esančių virš grunto lygio, kiekvieno sluoksnio statybos produkto pavadinimą, produkto markę (jeigu ji žinoma) ir sluoksnio storį, pagal Reglamento 3 priedo 6 punkto reikalavimus apibūdinti sluoksnyje esančias šilumai laidžias jungtis (jeigu tokios jungtys yra), nevėdinamus oro tarpus ir jų storius. Jeigu virš grunto lygio esančių sienų konstrukcija nežinoma, tai turi būti nurodyta. Jeigu virš grunto lygio esančių vėdinamo rūsio sienų storis, konstrukcija  ir jų sluoksniuose panaudoti statybos produktai atitinka sertifikavimo užsakovo pateikto pastato projekto duomenis, šių sienų konstrukciniai sprendimai gali būti nedetalizuojami, tačiau tada pastato būklės duomenyse turi būti įrašas „virš grunto lygio esančių vėdinamo rūsio sienų konstrukcija ir storis atitinka pastato projektą“. </w:t>
                      </w:r>
                    </w:p>
                  </w:sdtContent>
                </w:sdt>
              </w:sdtContent>
            </w:sdt>
          </w:sdtContent>
        </w:sdt>
        <w:sdt>
          <w:sdtPr>
            <w:alias w:val="16 pr. 7 p."/>
            <w:tag w:val="part_ac4c60acb3794a228c96168ff516774d"/>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ac4c60acb3794a228c96168ff516774d"/>
                  <w:lock w:val="sdtLocked"/>
                  <w:richText/>
                </w:sdtPr>
                <w:sdtContent>
                  <w:r>
                    <w:rPr>
                      <w:szCs w:val="24"/>
                    </w:rPr>
                    <w:t>7</w:t>
                  </w:r>
                </w:sdtContent>
              </w:sdt>
              <w:r>
                <w:rPr>
                  <w:szCs w:val="24"/>
                </w:rPr>
                <w:t>.</w:t>
                <w:tab/>
              </w:r>
              <w:r>
                <w:rPr>
                  <w:szCs w:val="24"/>
                  <w:lang w:eastAsia="lt-LT"/>
                </w:rPr>
                <w:t xml:space="preserve">Turi būti nurodyta virš kurių langų ir durų angų pastato sienose yra įrengtos/neįrengtos gelžbetoninės sąramos. </w:t>
              </w:r>
            </w:p>
          </w:sdtContent>
        </w:sdt>
        <w:sdt>
          <w:sdtPr>
            <w:alias w:val="16 pr. 8 p."/>
            <w:tag w:val="part_53eb8a81b0aa4b37849ea860854f3677"/>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53eb8a81b0aa4b37849ea860854f3677"/>
                  <w:lock w:val="sdtLocked"/>
                  <w:richText/>
                </w:sdtPr>
                <w:sdtContent>
                  <w:r>
                    <w:rPr>
                      <w:szCs w:val="24"/>
                    </w:rPr>
                    <w:t>8</w:t>
                  </w:r>
                </w:sdtContent>
              </w:sdt>
              <w:r>
                <w:rPr>
                  <w:szCs w:val="24"/>
                </w:rPr>
                <w:t>.</w:t>
                <w:tab/>
              </w:r>
              <w:r>
                <w:rPr>
                  <w:szCs w:val="24"/>
                  <w:lang w:eastAsia="lt-LT"/>
                </w:rPr>
                <w:t>Jeigu pastate yra balkonai, kurių grindų plokštės gelžbetoninės, turi būti nurodyta kurių balkonų grindų plokštės ir kuriose vietose kerta/nekerta išorines sienas.</w:t>
              </w:r>
            </w:p>
          </w:sdtContent>
        </w:sdt>
        <w:sdt>
          <w:sdtPr>
            <w:alias w:val="16 pr. 9 p."/>
            <w:tag w:val="part_d2e8f7979574417fb0bc47d2e69274f6"/>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d2e8f7979574417fb0bc47d2e69274f6"/>
                  <w:lock w:val="sdtLocked"/>
                  <w:richText/>
                </w:sdtPr>
                <w:sdtContent>
                  <w:r>
                    <w:rPr>
                      <w:szCs w:val="24"/>
                    </w:rPr>
                    <w:t>9</w:t>
                  </w:r>
                </w:sdtContent>
              </w:sdt>
              <w:r>
                <w:rPr>
                  <w:szCs w:val="24"/>
                </w:rPr>
                <w:t>.</w:t>
                <w:tab/>
              </w:r>
              <w:r>
                <w:rPr>
                  <w:szCs w:val="24"/>
                  <w:lang w:eastAsia="lt-LT"/>
                </w:rPr>
                <w:t>Turi būti nurodyti pastatui šildyti naudojami šilumos šaltinio tipai, gamintojai ir markės, o taip pat šildymo sistemos akumuliacinės talpos ir jų tūriai (jeigu tokios talpos yra). Jeigu pastatui šildyti naudojami keli šilumos šaltiniai, turi būti nurodyta ar šildymo sistema įrengta taip/ne, kad joje vienu metu gali veikti keli šilumos šaltiniai.</w:t>
              </w:r>
            </w:p>
          </w:sdtContent>
        </w:sdt>
        <w:sdt>
          <w:sdtPr>
            <w:alias w:val="16 pr. 10 p."/>
            <w:tag w:val="part_55d809f9d4204c64acc43b3ac765e8d3"/>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55d809f9d4204c64acc43b3ac765e8d3"/>
                  <w:lock w:val="sdtLocked"/>
                  <w:richText/>
                </w:sdtPr>
                <w:sdtContent>
                  <w:r>
                    <w:rPr>
                      <w:szCs w:val="24"/>
                    </w:rPr>
                    <w:t>10</w:t>
                  </w:r>
                </w:sdtContent>
              </w:sdt>
              <w:r>
                <w:rPr>
                  <w:szCs w:val="24"/>
                </w:rPr>
                <w:t>.</w:t>
                <w:tab/>
              </w:r>
              <w:r>
                <w:rPr>
                  <w:szCs w:val="24"/>
                  <w:lang w:eastAsia="lt-LT"/>
                </w:rPr>
                <w:t xml:space="preserve">Turi būti nurodyti šildymo sistemos reguliavimo įtaisai. </w:t>
              </w:r>
            </w:p>
          </w:sdtContent>
        </w:sdt>
        <w:sdt>
          <w:sdtPr>
            <w:alias w:val="16 pr. 11 p."/>
            <w:tag w:val="part_21d0bbf60a5749688ce2a5e74087c944"/>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21d0bbf60a5749688ce2a5e74087c944"/>
                  <w:lock w:val="sdtLocked"/>
                  <w:richText/>
                </w:sdtPr>
                <w:sdtContent>
                  <w:r>
                    <w:rPr>
                      <w:szCs w:val="24"/>
                    </w:rPr>
                    <w:t>11</w:t>
                  </w:r>
                </w:sdtContent>
              </w:sdt>
              <w:r>
                <w:rPr>
                  <w:szCs w:val="24"/>
                </w:rPr>
                <w:t>.</w:t>
                <w:tab/>
              </w:r>
              <w:r>
                <w:rPr>
                  <w:szCs w:val="24"/>
                  <w:lang w:eastAsia="lt-LT"/>
                </w:rPr>
                <w:t>Turi būti nurodyti karštam vandeniui ruošti naudojami šilumos šaltinio tipai, gamintojai ir markės, o taip pat karšto vandens talpos ir jų tūriai (jeigu tokios talpos yra), karšto buitinio vandens ruošimo sistemos reguliavimas pagal Reglamento 2 priedo 2.21 lentelėje nurodytą reguliavimo apibūdinimą.</w:t>
              </w:r>
            </w:p>
          </w:sdtContent>
        </w:sdt>
        <w:sdt>
          <w:sdtPr>
            <w:alias w:val="16 pr. 12 p."/>
            <w:tag w:val="part_d6efc4c3f5164f5ca6d0c1b08678deac"/>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d6efc4c3f5164f5ca6d0c1b08678deac"/>
                  <w:lock w:val="sdtLocked"/>
                  <w:richText/>
                </w:sdtPr>
                <w:sdtContent>
                  <w:r>
                    <w:rPr>
                      <w:szCs w:val="24"/>
                    </w:rPr>
                    <w:t>12</w:t>
                  </w:r>
                </w:sdtContent>
              </w:sdt>
              <w:r>
                <w:rPr>
                  <w:szCs w:val="24"/>
                </w:rPr>
                <w:t>.</w:t>
                <w:tab/>
              </w:r>
              <w:r>
                <w:rPr>
                  <w:szCs w:val="24"/>
                  <w:lang w:eastAsia="lt-LT"/>
                </w:rPr>
                <w:t xml:space="preserve">Turi būti nurodytas pastate naudojami vėdinimo sistemos tipai, patalpos, kuriuose atitinkamas vėdinimo sistemos tipas naudojamas ir atitinkamai patalpų grupei naudojamų vėdinimo įrenginių gamintojai ir markės. Jeigu naudojamos mechaninės vėdinimo sistemos, turi būti nurodyta koks šilumos šaltinis naudojamas į pastatą tiekiamam orui pašildyti. Jeigu tiekiamas oras nepašildomas – tai turi būti nurodyta. </w:t>
              </w:r>
            </w:p>
          </w:sdtContent>
        </w:sdt>
        <w:sdt>
          <w:sdtPr>
            <w:alias w:val="16 pr. 13 p."/>
            <w:tag w:val="part_f49605246412459d823839976e0dcbd1"/>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f49605246412459d823839976e0dcbd1"/>
                  <w:lock w:val="sdtLocked"/>
                  <w:richText/>
                </w:sdtPr>
                <w:sdtContent>
                  <w:r>
                    <w:rPr>
                      <w:szCs w:val="24"/>
                    </w:rPr>
                    <w:t>13</w:t>
                  </w:r>
                </w:sdtContent>
              </w:sdt>
              <w:r>
                <w:rPr>
                  <w:szCs w:val="24"/>
                </w:rPr>
                <w:t>.</w:t>
                <w:tab/>
              </w:r>
              <w:r>
                <w:rPr>
                  <w:szCs w:val="24"/>
                  <w:lang w:eastAsia="lt-LT"/>
                </w:rPr>
                <w:t>Turi būti nurodyti pastatui vėsinti pastate esantys šilumos šaltiniai, pastato patalpos, kuriose jie naudojami ir šių energijos šaltinių tipai, gamintojai ir markės. Jeigu pastate vėsinimo įrenginių nėra, tai turi būti nurodyta.</w:t>
              </w:r>
            </w:p>
          </w:sdtContent>
        </w:sdt>
        <w:sdt>
          <w:sdtPr>
            <w:alias w:val="16 pr. 14 p."/>
            <w:tag w:val="part_6910b4769987478b83d8ac334b6722be"/>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6910b4769987478b83d8ac334b6722be"/>
                  <w:lock w:val="sdtLocked"/>
                  <w:richText/>
                </w:sdtPr>
                <w:sdtContent>
                  <w:r>
                    <w:rPr>
                      <w:szCs w:val="24"/>
                    </w:rPr>
                    <w:t>14</w:t>
                  </w:r>
                </w:sdtContent>
              </w:sdt>
              <w:r>
                <w:rPr>
                  <w:szCs w:val="24"/>
                </w:rPr>
                <w:t>.</w:t>
                <w:tab/>
              </w:r>
              <w:r>
                <w:rPr>
                  <w:szCs w:val="24"/>
                  <w:lang w:eastAsia="lt-LT"/>
                </w:rPr>
                <w:t xml:space="preserve">Turi būti nurodyti pastate esančių vandenį šildančių Saulės kolektorių tipai, kolektorių  efektyvieji plotai, kuriam tikslui naudojami kolektoriai – pastatui šildyti, karštam vandeniui ruošti ar abiem šiems tikslams. Taip pat turi būti nurodytos talpos, su kuriomis šie kolektoriai sujungti, talpų tūriai ir talpų apšiltinimas, t.y. talpos apšiltintos ar neapšiltintos. Jeigu pastate vandenį šildančių Saulės kolektorių nėra, tai turi būti nurodyta.</w:t>
              </w:r>
            </w:p>
          </w:sdtContent>
        </w:sdt>
        <w:sdt>
          <w:sdtPr>
            <w:alias w:val="16 pr. 15 p."/>
            <w:tag w:val="part_1b3193eb379c4ca2865a97a312a74f7e"/>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1b3193eb379c4ca2865a97a312a74f7e"/>
                  <w:lock w:val="sdtLocked"/>
                  <w:richText/>
                </w:sdtPr>
                <w:sdtContent>
                  <w:r>
                    <w:rPr>
                      <w:szCs w:val="24"/>
                    </w:rPr>
                    <w:t>15</w:t>
                  </w:r>
                </w:sdtContent>
              </w:sdt>
              <w:r>
                <w:rPr>
                  <w:szCs w:val="24"/>
                </w:rPr>
                <w:t>.</w:t>
                <w:tab/>
              </w:r>
              <w:r>
                <w:rPr>
                  <w:szCs w:val="24"/>
                  <w:lang w:eastAsia="lt-LT"/>
                </w:rPr>
                <w:t xml:space="preserve">Turi būti nurodyti pastate esančių fotovoltinių Saulės kolektorių tipai, kolektorių  efektyvieji plotai, kuriam tikslui naudojama elektros energija iš fotovoltinių Saulės kolektorių – pastatui šildyti, karštam vandeniui ruošti, elektros prietaisams. Jeigu pastate fotovoltinių Saulės kolektorių nėra, tai turi būti nurodyta. </w:t>
              </w:r>
            </w:p>
          </w:sdtContent>
        </w:sdt>
        <w:sdt>
          <w:sdtPr>
            <w:alias w:val="16 pr. 16 p."/>
            <w:tag w:val="part_1e73b3b5fce743198459c8da6ac8fa4e"/>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1e73b3b5fce743198459c8da6ac8fa4e"/>
                  <w:lock w:val="sdtLocked"/>
                  <w:richText/>
                </w:sdtPr>
                <w:sdtContent>
                  <w:r>
                    <w:rPr>
                      <w:szCs w:val="24"/>
                    </w:rPr>
                    <w:t>16</w:t>
                  </w:r>
                </w:sdtContent>
              </w:sdt>
              <w:r>
                <w:rPr>
                  <w:szCs w:val="24"/>
                </w:rPr>
                <w:t>.</w:t>
                <w:tab/>
              </w:r>
              <w:r>
                <w:rPr>
                  <w:szCs w:val="24"/>
                  <w:lang w:eastAsia="lt-LT"/>
                </w:rPr>
                <w:t>Turi būti nurodytas elektros energijos iš nutolusios Saulės 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Saulės elektrinės netiekiama, tai turi būti nurodyta.</w:t>
              </w:r>
            </w:p>
          </w:sdtContent>
        </w:sdt>
        <w:sdt>
          <w:sdtPr>
            <w:alias w:val="16 pr. 17 p."/>
            <w:tag w:val="part_851120d8136b48e2ab29c1f5b6f98991"/>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851120d8136b48e2ab29c1f5b6f98991"/>
                  <w:lock w:val="sdtLocked"/>
                  <w:richText/>
                </w:sdtPr>
                <w:sdtContent>
                  <w:r>
                    <w:rPr>
                      <w:szCs w:val="24"/>
                    </w:rPr>
                    <w:t>17</w:t>
                  </w:r>
                </w:sdtContent>
              </w:sdt>
              <w:r>
                <w:rPr>
                  <w:szCs w:val="24"/>
                </w:rPr>
                <w:t>.</w:t>
                <w:tab/>
              </w:r>
              <w:r>
                <w:rPr>
                  <w:szCs w:val="24"/>
                  <w:lang w:eastAsia="lt-LT"/>
                </w:rPr>
                <w:t xml:space="preserve">Jeigu pastatui elektros energija tiekiama iš šalia esančių vėjo elektrinių, turi būti nurodyti šalia pastato esančių vėjo elektrinių tipai, atstumas nuo žemės paviršiaus iki vėjaračio ašies (horizontalios ašies vėjo elektrinėms) ar centro (vertikalios ašies vėjo elektrinėms),  sparnų ilgiai (horizontalios ašies vėjo elektrinėms), vertikalios ašies vėjo elektrinės gamintojo deklaruojama elektrinės galia ir vėjo greitis, prie kurio ši galia deklaruojama, kuriam tikslui naudojama elektros energija iš vėjo elektrinių – pastatui šildyti, karštam vandeniui ruošti, elektros prietaisams. Jeigu pastatui elektros energija iš šalia esančių  vėjo elektrinių netiekiama, tai turi būti nurodyta. </w:t>
              </w:r>
            </w:p>
          </w:sdtContent>
        </w:sdt>
        <w:sdt>
          <w:sdtPr>
            <w:alias w:val="16 pr. 18 p."/>
            <w:tag w:val="part_7b463831ada8432d978d2db0a8f3c172"/>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7b463831ada8432d978d2db0a8f3c172"/>
                  <w:lock w:val="sdtLocked"/>
                  <w:richText/>
                </w:sdtPr>
                <w:sdtContent>
                  <w:r>
                    <w:rPr>
                      <w:szCs w:val="24"/>
                    </w:rPr>
                    <w:t>18</w:t>
                  </w:r>
                </w:sdtContent>
              </w:sdt>
              <w:r>
                <w:rPr>
                  <w:szCs w:val="24"/>
                </w:rPr>
                <w:t>.</w:t>
                <w:tab/>
              </w:r>
              <w:r>
                <w:rPr>
                  <w:szCs w:val="24"/>
                  <w:lang w:eastAsia="lt-LT"/>
                </w:rPr>
                <w:t>Turi būti nurodytas elektros energijos iš nutolusios vėjo 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vėjo elektrinės netiekiama, tai turi būti nurodyta.</w:t>
              </w:r>
            </w:p>
          </w:sdtContent>
        </w:sdt>
        <w:sdt>
          <w:sdtPr>
            <w:alias w:val="16 pr. 19 p."/>
            <w:tag w:val="part_a0aaa3c828774469bcc4ff62cd086021"/>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a0aaa3c828774469bcc4ff62cd086021"/>
                  <w:lock w:val="sdtLocked"/>
                  <w:richText/>
                </w:sdtPr>
                <w:sdtContent>
                  <w:r>
                    <w:rPr>
                      <w:szCs w:val="24"/>
                    </w:rPr>
                    <w:t>19</w:t>
                  </w:r>
                </w:sdtContent>
              </w:sdt>
              <w:r>
                <w:rPr>
                  <w:szCs w:val="24"/>
                </w:rPr>
                <w:t>.</w:t>
                <w:tab/>
              </w:r>
              <w:r>
                <w:rPr>
                  <w:szCs w:val="24"/>
                  <w:lang w:eastAsia="lt-LT"/>
                </w:rPr>
                <w:t xml:space="preserve">Jeigu pastatui elektros energija tiekiama iš šalia esančios hidroelektrinės, turi būti nurodyta vidutinė metinė hidroelektrinės elektros gamybos galia ir kuriam tikslui naudojama elektros energija iš hidroelektrinės – pastatui šildyti, karštam vandeniui ruošti, elektros prietaisams. Jeigu pastatui elektros energija iš šalia esančios hidroelektrinės netiekiama, tai turi būti nurodyta. </w:t>
              </w:r>
            </w:p>
          </w:sdtContent>
        </w:sdt>
        <w:sdt>
          <w:sdtPr>
            <w:alias w:val="16 pr. 20 p."/>
            <w:tag w:val="part_ea7a8ed0689343568c0b769f00a6eea6"/>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ea7a8ed0689343568c0b769f00a6eea6"/>
                  <w:lock w:val="sdtLocked"/>
                  <w:richText/>
                </w:sdtPr>
                <w:sdtContent>
                  <w:r>
                    <w:rPr>
                      <w:szCs w:val="24"/>
                    </w:rPr>
                    <w:t>20</w:t>
                  </w:r>
                </w:sdtContent>
              </w:sdt>
              <w:r>
                <w:rPr>
                  <w:szCs w:val="24"/>
                </w:rPr>
                <w:t>.</w:t>
                <w:tab/>
              </w:r>
              <w:r>
                <w:rPr>
                  <w:szCs w:val="24"/>
                  <w:lang w:eastAsia="lt-LT"/>
                </w:rPr>
                <w:t>Turi būti nurodytas elektros energijos iš nutolusios hidroelektrinės tiekėjas, elektros energijos tiekimo sutarties data, numeris ir per metus pastatui pagal minėtą sutartį tiekiamas elektros energijos kiekis ir kuriam tikslui ši elektros energija naudojama pastate – pastatui šildyti, karštam vandeniui ruošti, elektros prietaisams. Jeigu pastatui elektros energija iš nutolusios hidroelektrinės netiekiama, tai turi būti nurodyta.</w:t>
              </w:r>
            </w:p>
          </w:sdtContent>
        </w:sdt>
        <w:sdt>
          <w:sdtPr>
            <w:alias w:val="16 pr. 21 p."/>
            <w:tag w:val="part_46e52cd6ab2b412993b7af9fde429f95"/>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46e52cd6ab2b412993b7af9fde429f95"/>
                  <w:lock w:val="sdtLocked"/>
                  <w:richText/>
                </w:sdtPr>
                <w:sdtContent>
                  <w:r>
                    <w:rPr>
                      <w:szCs w:val="24"/>
                    </w:rPr>
                    <w:t>21</w:t>
                  </w:r>
                </w:sdtContent>
              </w:sdt>
              <w:r>
                <w:rPr>
                  <w:szCs w:val="24"/>
                </w:rPr>
                <w:t>.</w:t>
                <w:tab/>
              </w:r>
              <w:r>
                <w:rPr>
                  <w:szCs w:val="24"/>
                  <w:lang w:eastAsia="lt-LT"/>
                </w:rPr>
                <w:t>Turi būti nurodyta ar pastato projektavimas ir (arba) statyba finansuojama / nefinansuojama Lietuvos Respublikos ir (ar) Europos Sąjungos biudžeto lėšomis.</w:t>
              </w:r>
            </w:p>
          </w:sdtContent>
        </w:sdt>
        <w:sdt>
          <w:sdtPr>
            <w:alias w:val="16 pr. 22 p."/>
            <w:tag w:val="part_2d7dcdb750754a8a91d54f38bfe07420"/>
            <w:lock w:val="sdtLocked"/>
            <w:richText/>
          </w:sdtPr>
          <w:sdtContent>
            <w:p>
              <w:pPr>
                <w:tabs>
                  <w:tab w:val="left" w:pos="851"/>
                  <w:tab w:val="left" w:pos="993"/>
                  <w:tab w:val="left" w:pos="1134"/>
                </w:tabs>
                <w:suppressAutoHyphens/>
                <w:ind w:firstLine="567"/>
                <w:jc w:val="both"/>
                <w:rPr>
                  <w:szCs w:val="24"/>
                  <w:lang w:eastAsia="lt-LT"/>
                </w:rPr>
              </w:pPr>
              <w:sdt>
                <w:sdtPr>
                  <w:alias w:val="Numeris"/>
                  <w:tag w:val="nr_2d7dcdb750754a8a91d54f38bfe07420"/>
                  <w:lock w:val="sdtLocked"/>
                  <w:richText/>
                </w:sdtPr>
                <w:sdtContent>
                  <w:r>
                    <w:rPr>
                      <w:szCs w:val="24"/>
                    </w:rPr>
                    <w:t>22</w:t>
                  </w:r>
                </w:sdtContent>
              </w:sdt>
              <w:r>
                <w:rPr>
                  <w:szCs w:val="24"/>
                </w:rPr>
                <w:t>.</w:t>
                <w:tab/>
              </w:r>
              <w:r>
                <w:rPr>
                  <w:szCs w:val="24"/>
                  <w:lang w:eastAsia="lt-LT"/>
                </w:rPr>
                <w:t>Jeigu sertifikuojamo pastato paskirtis neatitinka nei vienos iš Reglamento 2 priedo 2.4 lentelėje nurodytų paskirčių, sertifikavimo užsakovas pastato būklės duomenų lape privalo nurodyti pagal kurią iš minėtoje 2.4 lentelėje nurodytą paskirtį pastatas naudojamas. Šiuo atveju pastato energinio naudingumo sertifikatas pastatui turi būti išduotas pagal sertifikavimo užsakovo nurodytą paskirtį.</w:t>
              </w:r>
            </w:p>
          </w:sdtContent>
        </w:sdt>
        <w:sdt>
          <w:sdtPr>
            <w:alias w:val="16 pr. 23 p."/>
            <w:tag w:val="part_31d1f9c262b3427087fc3e1fc90d6443"/>
            <w:lock w:val="sdtLocked"/>
            <w:richText/>
          </w:sdtPr>
          <w:sdtContent>
            <w:p>
              <w:pPr>
                <w:tabs>
                  <w:tab w:val="left" w:pos="851"/>
                  <w:tab w:val="left" w:pos="993"/>
                  <w:tab w:val="left" w:pos="1134"/>
                </w:tabs>
                <w:suppressAutoHyphens/>
                <w:ind w:firstLine="567"/>
                <w:jc w:val="both"/>
                <w:rPr>
                  <w:strike/>
                  <w:szCs w:val="24"/>
                  <w:lang w:val="en-GB"/>
                </w:rPr>
              </w:pPr>
              <w:sdt>
                <w:sdtPr>
                  <w:alias w:val="Numeris"/>
                  <w:tag w:val="nr_31d1f9c262b3427087fc3e1fc90d6443"/>
                  <w:lock w:val="sdtLocked"/>
                  <w:richText/>
                </w:sdtPr>
                <w:sdtContent>
                  <w:r>
                    <w:rPr>
                      <w:color w:val="000000"/>
                      <w:szCs w:val="24"/>
                    </w:rPr>
                    <w:t>23</w:t>
                  </w:r>
                </w:sdtContent>
              </w:sdt>
              <w:r>
                <w:rPr>
                  <w:color w:val="000000"/>
                  <w:szCs w:val="24"/>
                </w:rPr>
                <w:t>.</w:t>
                <w:tab/>
              </w:r>
              <w:r>
                <w:rPr>
                  <w:szCs w:val="24"/>
                  <w:lang w:eastAsia="lt-LT"/>
                </w:rPr>
                <w:t>Jeigu pastato būklės duomenys rengiami pastato apžiūros metu, kiekviename pastato būklės duomenų lape pateiktų duomenų teisingumą pastato energinio naudingumo sertifikavimo užsakovas turi patvirtinti savo parašu. Tuo atveju, kada pastato energinio naudingumo sertifikavimo ekspertas dokumentą apie pastato būklės duomenis parengia po pastato apžiūros, šiame dokumente nurodytų pastato būklės duomenų teisingumą sertifikavimo užsakovui suteikiama teisė patvirtinti elektroniniu parašu.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f89f0016411ebb74de75171d26d52">
            <w:r w:rsidRPr="00532B9F">
              <w:rPr>
                <w:rFonts w:ascii="Times New Roman" w:eastAsia="MS Mincho" w:hAnsi="Times New Roman"/>
                <w:sz w:val="20"/>
                <w:i/>
                <w:iCs/>
                <w:color w:val="0000FF" w:themeColor="hyperlink"/>
                <w:u w:val="single"/>
              </w:rPr>
              <w:t>D1-576</w:t>
            </w:r>
          </w:fldSimple>
          <w:r>
            <w:rPr>
              <w:rFonts w:ascii="Times New Roman" w:eastAsia="MS Mincho" w:hAnsi="Times New Roman"/>
              <w:sz w:val="20"/>
              <w:i/>
              <w:iCs/>
            </w:rPr>
            <w:t>,
2020-09-28,
paskelbta TAR 2020-09-28, i. k. 2020-20131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6264d09d3311e79127a823199cc174">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2017-09-18,
paskelbta TAR 2017-09-19, i. k. 2017-14813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58cae015a811e9a02091a7dde47252">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2019-01-11,
paskelbta TAR 2019-01-14, i. k. 2019-00444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09efa0fecf11e99681cd81dcdca52c">
            <w:r w:rsidRPr="00532B9F">
              <w:rPr>
                <w:rFonts w:ascii="Times New Roman" w:eastAsia="MS Mincho" w:hAnsi="Times New Roman"/>
                <w:sz w:val="20"/>
                <w:iCs/>
                <w:color w:val="0000FF" w:themeColor="hyperlink"/>
                <w:u w:val="single"/>
              </w:rPr>
              <w:t>D1-648</w:t>
            </w:r>
          </w:fldSimple>
          <w:r>
            <w:rPr>
              <w:rFonts w:ascii="Times New Roman" w:eastAsia="MS Mincho" w:hAnsi="Times New Roman"/>
              <w:sz w:val="20"/>
              <w:iCs/>
            </w:rPr>
            <w:t>,
2019-10-29,
paskelbta TAR 2019-11-04, i. k. 2019-17486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ef89f0016411ebb74de75171d26d52">
            <w:r w:rsidRPr="00532B9F">
              <w:rPr>
                <w:rFonts w:ascii="Times New Roman" w:eastAsia="MS Mincho" w:hAnsi="Times New Roman"/>
                <w:sz w:val="20"/>
                <w:iCs/>
                <w:color w:val="0000FF" w:themeColor="hyperlink"/>
                <w:u w:val="single"/>
              </w:rPr>
              <w:t>D1-576</w:t>
            </w:r>
          </w:fldSimple>
          <w:r>
            <w:rPr>
              <w:rFonts w:ascii="Times New Roman" w:eastAsia="MS Mincho" w:hAnsi="Times New Roman"/>
              <w:sz w:val="20"/>
              <w:iCs/>
            </w:rPr>
            <w:t>,
2020-09-28,
paskelbta TAR 2020-09-28, i. k. 2020-20131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e8fd20247c11edb4cae1b158f98ea5">
            <w:r w:rsidRPr="00532B9F">
              <w:rPr>
                <w:rFonts w:ascii="Times New Roman" w:eastAsia="MS Mincho" w:hAnsi="Times New Roman"/>
                <w:sz w:val="20"/>
                <w:iCs/>
                <w:color w:val="0000FF" w:themeColor="hyperlink"/>
                <w:u w:val="single"/>
              </w:rPr>
              <w:t>D1-281</w:t>
            </w:r>
          </w:fldSimple>
          <w:r>
            <w:rPr>
              <w:rFonts w:ascii="Times New Roman" w:eastAsia="MS Mincho" w:hAnsi="Times New Roman"/>
              <w:sz w:val="20"/>
              <w:iCs/>
            </w:rPr>
            <w:t>,
2022-08-25,
paskelbta TAR 2022-08-25, i. k. 2022-17541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894b306cf511ee8f3cbca2fb16d96d">
            <w:r w:rsidRPr="00532B9F">
              <w:rPr>
                <w:rFonts w:ascii="Times New Roman" w:eastAsia="MS Mincho" w:hAnsi="Times New Roman"/>
                <w:sz w:val="20"/>
                <w:iCs/>
                <w:color w:val="0000FF" w:themeColor="hyperlink"/>
                <w:u w:val="single"/>
              </w:rPr>
              <w:t>D1-347</w:t>
            </w:r>
          </w:fldSimple>
          <w:r>
            <w:rPr>
              <w:rFonts w:ascii="Times New Roman" w:eastAsia="MS Mincho" w:hAnsi="Times New Roman"/>
              <w:sz w:val="20"/>
              <w:iCs/>
            </w:rPr>
            <w:t>,
2023-10-17,
paskelbta TAR 2023-10-17, i. k. 2023-20325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22250038c11efbcbfb318996800a8">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2024-04-26,
paskelbta TAR 2024-04-26, i. k. 2024-07664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a91651dfc811f08918e1adc7c5b1ec">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2025-12-23,
paskelbta TAR 2025-12-23, i. k. 2025-22474                </w:t>
          </w:r>
        </w:p>
        <w:p>
          <w:pPr>
            <w:jc w:val="both"/>
            <w:rPr>
              <w:rFonts w:ascii="Times New Roman" w:hAnsi="Times New Roman"/>
            </w:rPr>
          </w:pPr>
          <w:r>
            <w:rPr>
              <w:rFonts w:ascii="Times New Roman" w:hAnsi="Times New Roman"/>
              <w:sz w:val="20"/>
            </w:rPr>
            <w:t>Dėl Lietuvos Respublikos aplinkos ministro 2016 m. lapkričio 11 d. įsakymo Nr. D1-754 „Dėl statybos techninio reglamento STR 2.01.02:2016 „Pastatų energinio naudingumo projektavimas ir sertifikavimas“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709" w:right="567" w:bottom="567"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roman"/>
    <w:notTrueType/>
    <w:pitch w:val="default"/>
  </w:font>
  <w:font w:name="SymbolPS">
    <w:panose1 w:val="00000000000000000000"/>
    <w:charset w:val="02"/>
    <w:family w:val="decorative"/>
    <w:notTrueType/>
    <w:pitch w:val="variable"/>
    <w:sig w:usb0="00000003" w:usb1="10000000" w:usb2="00000000" w:usb3="00000000" w:csb0="80000001"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BA"/>
    <w:family w:val="roman"/>
    <w:pitch w:val="variable"/>
    <w:sig w:usb0="E00006FF" w:usb1="420024FF" w:usb2="02000000" w:usb3="00000000" w:csb0="0000019F" w:csb1="00000000"/>
  </w:font>
  <w:font w:name="UniversalMath1 BT">
    <w:altName w:val="Symbol"/>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both"/>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both"/>
      <w:rPr>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jc w:val="center"/>
      <w:rPr>
        <w:szCs w:val="24"/>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jc w:val="center"/>
      <w:rPr>
        <w:szCs w:val="24"/>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jc w:val="center"/>
      <w:rPr>
        <w:szCs w:val="24"/>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rPr>
        <w:rFonts w:ascii="Tahoma" w:hAnsi="Tahoma"/>
        <w:spacing w:val="10"/>
        <w:sz w:val="20"/>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105</w:t>
    </w:r>
    <w:r>
      <w:rPr>
        <w:rFonts w:ascii="Tahoma" w:hAnsi="Tahoma"/>
        <w:spacing w:val="10"/>
        <w:sz w:val="20"/>
        <w:szCs w:val="22"/>
        <w:lang w:eastAsia="lt-LT"/>
      </w:rPr>
      <w:fldChar w:fldCharType="end"/>
    </w:r>
  </w:p>
  <w:p>
    <w:pPr>
      <w:tabs>
        <w:tab w:val="center" w:pos="4153"/>
        <w:tab w:val="right" w:pos="9100"/>
      </w:tabs>
      <w:suppressAutoHyphens/>
      <w:spacing w:after="160" w:line="259" w:lineRule="auto"/>
      <w:jc w:val="center"/>
      <w:rPr>
        <w:rFonts w:ascii="Tahoma" w:hAnsi="Tahoma"/>
        <w:spacing w:val="10"/>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rPr>
        <w:rFonts w:ascii="Tahoma" w:hAnsi="Tahoma"/>
        <w:spacing w:val="10"/>
        <w:sz w:val="20"/>
        <w:szCs w:val="22"/>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4</w:t>
    </w:r>
    <w:r>
      <w:rPr>
        <w:rFonts w:ascii="Tahoma" w:hAnsi="Tahoma"/>
        <w:spacing w:val="10"/>
        <w:sz w:val="20"/>
        <w:szCs w:val="22"/>
        <w:lang w:eastAsia="lt-LT"/>
      </w:rPr>
      <w:fldChar w:fldCharType="end"/>
    </w:r>
  </w:p>
  <w:p>
    <w:pPr>
      <w:tabs>
        <w:tab w:val="center" w:pos="4153"/>
        <w:tab w:val="right" w:pos="9100"/>
      </w:tabs>
      <w:suppressAutoHyphens/>
      <w:spacing w:after="160" w:line="259" w:lineRule="auto"/>
      <w:jc w:val="center"/>
      <w:rPr>
        <w:rFonts w:ascii="Tahoma" w:hAnsi="Tahoma"/>
        <w:spacing w:val="10"/>
        <w:sz w:val="20"/>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rPr>
        <w:rFonts w:ascii="Tahoma" w:hAnsi="Tahoma"/>
        <w:spacing w:val="10"/>
        <w:sz w:val="20"/>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4</w:t>
    </w:r>
    <w:r>
      <w:rPr>
        <w:rFonts w:ascii="Tahoma" w:hAnsi="Tahoma"/>
        <w:spacing w:val="10"/>
        <w:sz w:val="20"/>
        <w:szCs w:val="22"/>
        <w:lang w:eastAsia="lt-LT"/>
      </w:rPr>
      <w:fldChar w:fldCharType="end"/>
    </w:r>
  </w:p>
  <w:p>
    <w:pPr>
      <w:tabs>
        <w:tab w:val="center" w:pos="4153"/>
        <w:tab w:val="right" w:pos="9100"/>
      </w:tabs>
      <w:suppressAutoHyphens/>
      <w:spacing w:after="160" w:line="259" w:lineRule="auto"/>
      <w:jc w:val="center"/>
      <w:rPr>
        <w:rFonts w:ascii="Tahoma" w:hAnsi="Tahoma"/>
        <w:spacing w:val="10"/>
        <w:sz w:val="20"/>
        <w:szCs w:val="22"/>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320"/>
        <w:tab w:val="right" w:pos="8640"/>
      </w:tabs>
      <w:jc w:val="both"/>
      <w:rPr>
        <w:szCs w:val="24"/>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rPr>
        <w:rFonts w:ascii="Tahoma" w:hAnsi="Tahoma"/>
        <w:spacing w:val="10"/>
        <w:sz w:val="20"/>
        <w:szCs w:val="22"/>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4</w:t>
    </w:r>
    <w:r>
      <w:rPr>
        <w:rFonts w:ascii="Tahoma" w:hAnsi="Tahoma"/>
        <w:spacing w:val="10"/>
        <w:sz w:val="20"/>
        <w:szCs w:val="22"/>
        <w:lang w:eastAsia="lt-LT"/>
      </w:rPr>
      <w:fldChar w:fldCharType="end"/>
    </w:r>
  </w:p>
  <w:p>
    <w:pPr>
      <w:tabs>
        <w:tab w:val="center" w:pos="4153"/>
        <w:tab w:val="right" w:pos="9100"/>
      </w:tabs>
      <w:suppressAutoHyphens/>
      <w:spacing w:after="160" w:line="259" w:lineRule="auto"/>
      <w:jc w:val="center"/>
      <w:rPr>
        <w:rFonts w:ascii="Tahoma" w:hAnsi="Tahoma"/>
        <w:spacing w:val="10"/>
        <w:sz w:val="20"/>
        <w:szCs w:val="22"/>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rPr>
        <w:rFonts w:ascii="Tahoma" w:hAnsi="Tahoma"/>
        <w:spacing w:val="10"/>
        <w:sz w:val="20"/>
        <w:szCs w:val="22"/>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PAGE   \* MERGEFORMAT</w:instrText>
    </w:r>
    <w:r>
      <w:rPr>
        <w:rFonts w:ascii="Tahoma" w:hAnsi="Tahoma"/>
        <w:spacing w:val="10"/>
        <w:sz w:val="20"/>
        <w:szCs w:val="22"/>
        <w:lang w:eastAsia="lt-LT"/>
      </w:rPr>
      <w:fldChar w:fldCharType="separate"/>
    </w:r>
    <w:r>
      <w:rPr>
        <w:rFonts w:ascii="Tahoma" w:hAnsi="Tahoma"/>
        <w:spacing w:val="10"/>
        <w:sz w:val="20"/>
        <w:szCs w:val="22"/>
        <w:lang w:eastAsia="lt-LT"/>
      </w:rPr>
      <w:t>2</w:t>
    </w:r>
    <w:r>
      <w:rPr>
        <w:rFonts w:ascii="Tahoma" w:hAnsi="Tahoma"/>
        <w:spacing w:val="10"/>
        <w:sz w:val="20"/>
        <w:szCs w:val="22"/>
        <w:lang w:eastAsia="lt-LT"/>
      </w:rPr>
      <w:fldChar w:fldCharType="end"/>
    </w:r>
  </w:p>
  <w:p>
    <w:pPr>
      <w:tabs>
        <w:tab w:val="center" w:pos="4153"/>
        <w:tab w:val="right" w:pos="9100"/>
      </w:tabs>
      <w:suppressAutoHyphens/>
      <w:spacing w:after="160" w:line="259" w:lineRule="auto"/>
      <w:jc w:val="center"/>
      <w:rPr>
        <w:rFonts w:ascii="Tahoma" w:hAnsi="Tahoma"/>
        <w:spacing w:val="10"/>
        <w:sz w:val="20"/>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jc w:val="center"/>
      <w:rPr>
        <w:szCs w:val="24"/>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320"/>
        <w:tab w:val="right" w:pos="8640"/>
      </w:tabs>
      <w:jc w:val="both"/>
      <w:rPr>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320"/>
        <w:tab w:val="right" w:pos="8640"/>
      </w:tabs>
      <w:jc w:val="both"/>
      <w:rPr>
        <w:szCs w:val="24"/>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320"/>
        <w:tab w:val="right" w:pos="8640"/>
      </w:tabs>
      <w:jc w:val="both"/>
      <w:rPr>
        <w:szCs w:val="24"/>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320"/>
        <w:tab w:val="right" w:pos="8640"/>
      </w:tabs>
      <w:jc w:val="both"/>
      <w:rPr>
        <w:szCs w:val="24"/>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320"/>
        <w:tab w:val="right" w:pos="8640"/>
      </w:tabs>
      <w:jc w:val="both"/>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320"/>
        <w:tab w:val="right" w:pos="8640"/>
      </w:tabs>
      <w:jc w:val="both"/>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tabs>
        <w:tab w:val="center" w:pos="4320"/>
        <w:tab w:val="right" w:pos="8640"/>
      </w:tabs>
      <w:jc w:val="both"/>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tabs>
        <w:tab w:val="center" w:pos="4320"/>
        <w:tab w:val="right" w:pos="8640"/>
      </w:tabs>
      <w:jc w:val="both"/>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jc w:val="both"/>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2565"/>
        <w:tab w:val="center" w:pos="4819"/>
        <w:tab w:val="center" w:pos="7568"/>
        <w:tab w:val="left" w:pos="8295"/>
      </w:tabs>
      <w:spacing w:after="20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246</w:t>
    </w:r>
    <w:r>
      <w:rPr>
        <w:sz w:val="22"/>
        <w:szCs w:val="22"/>
        <w:lang w:eastAsia="lt-LT"/>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2565"/>
        <w:tab w:val="center" w:pos="4819"/>
        <w:tab w:val="center" w:pos="7568"/>
        <w:tab w:val="left" w:pos="8295"/>
      </w:tabs>
      <w:spacing w:after="20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8</w:t>
    </w:r>
    <w:r>
      <w:rPr>
        <w:sz w:val="22"/>
        <w:szCs w:val="22"/>
        <w:lang w:eastAsia="lt-LT"/>
      </w:rPr>
      <w:fldChar w:fldCharType="end"/>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2565"/>
        <w:tab w:val="center" w:pos="4819"/>
        <w:tab w:val="center" w:pos="7568"/>
        <w:tab w:val="left" w:pos="8295"/>
      </w:tabs>
      <w:spacing w:after="20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2565"/>
        <w:tab w:val="center" w:pos="4819"/>
        <w:tab w:val="center" w:pos="7568"/>
        <w:tab w:val="left" w:pos="8295"/>
      </w:tabs>
      <w:spacing w:after="20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102</w:t>
    </w:r>
    <w:r>
      <w:rPr>
        <w:sz w:val="22"/>
        <w:szCs w:val="22"/>
        <w:lang w:eastAsia="lt-LT"/>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spacing w:after="200" w:line="276" w:lineRule="auto"/>
      <w:rPr>
        <w:rFonts w:ascii="Tahoma" w:hAnsi="Tahoma"/>
        <w:spacing w:val="10"/>
        <w:sz w:val="20"/>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6</w:t>
    </w:r>
    <w:r>
      <w:rPr>
        <w:spacing w:val="10"/>
        <w:sz w:val="22"/>
        <w:szCs w:val="24"/>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rPr>
        <w:szCs w:val="24"/>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jc w:val="both"/>
      <w:rPr>
        <w:szCs w:val="24"/>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rPr>
        <w:rFonts w:ascii="Tahoma" w:hAnsi="Tahoma"/>
        <w:spacing w:val="10"/>
        <w:sz w:val="20"/>
        <w:szCs w:val="22"/>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jc w:val="center"/>
      <w:rPr>
        <w:szCs w:val="24"/>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jc w:val="center"/>
      <w:rPr>
        <w:szCs w:val="24"/>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jc w:val="center"/>
      <w:rPr>
        <w:szCs w:val="24"/>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200" w:line="276"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9</w:t>
    </w:r>
    <w:r>
      <w:rPr>
        <w:spacing w:val="10"/>
        <w:sz w:val="22"/>
        <w:szCs w:val="24"/>
        <w:lang w:eastAsia="lt-LT"/>
      </w:rPr>
      <w:fldChar w:fldCharType="end"/>
    </w: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jc w:val="center"/>
      <w:rPr>
        <w:szCs w:val="24"/>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jc w:val="center"/>
      <w:rPr>
        <w:szCs w:val="24"/>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jc w:val="center"/>
      <w:rPr>
        <w:szCs w:val="24"/>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pPr>
      <w:tabs>
        <w:tab w:val="center" w:pos="4153"/>
        <w:tab w:val="right" w:pos="9100"/>
      </w:tabs>
      <w:suppressAutoHyphens/>
      <w:ind w:firstLine="720"/>
      <w:jc w:val="both"/>
      <w:rPr>
        <w:rFonts w:ascii="Tahoma" w:hAnsi="Tahoma"/>
        <w:spacing w:val="10"/>
        <w:sz w:val="20"/>
        <w:lang w:eastAsia="ar-SA"/>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62"/>
  <w:hideSpellingErrors/>
  <w:hideGrammaticalErrors/>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4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967"/>
    <o:shapelayout v:ext="edit">
      <o:idmap v:ext="edit" data="1"/>
    </o:shapelayout>
  </w:shapeDefaults>
  <w:decimalSymbol w:val=","/>
  <w:listSeparator w:val=";"/>
  <w15:docId w15:val="{A8689502-FE7E-400A-8CAC-D7B6F0BEAE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1801061">
      <w:bodyDiv w:val="1"/>
      <w:marLeft w:val="0"/>
      <w:marRight w:val="0"/>
      <w:marTop w:val="0"/>
      <w:marBottom w:val="0"/>
      <w:divBdr>
        <w:top w:val="none" w:sz="0" w:space="0" w:color="auto"/>
        <w:left w:val="none" w:sz="0" w:space="0" w:color="auto"/>
        <w:bottom w:val="none" w:sz="0" w:space="0" w:color="auto"/>
        <w:right w:val="none" w:sz="0" w:space="0" w:color="auto"/>
      </w:divBdr>
    </w:div>
    <w:div w:id="156383860">
      <w:bodyDiv w:val="1"/>
      <w:marLeft w:val="0"/>
      <w:marRight w:val="0"/>
      <w:marTop w:val="0"/>
      <w:marBottom w:val="0"/>
      <w:divBdr>
        <w:top w:val="none" w:sz="0" w:space="0" w:color="auto"/>
        <w:left w:val="none" w:sz="0" w:space="0" w:color="auto"/>
        <w:bottom w:val="none" w:sz="0" w:space="0" w:color="auto"/>
        <w:right w:val="none" w:sz="0" w:space="0" w:color="auto"/>
      </w:divBdr>
    </w:div>
    <w:div w:id="156701341">
      <w:bodyDiv w:val="1"/>
      <w:marLeft w:val="0"/>
      <w:marRight w:val="0"/>
      <w:marTop w:val="0"/>
      <w:marBottom w:val="0"/>
      <w:divBdr>
        <w:top w:val="none" w:sz="0" w:space="0" w:color="auto"/>
        <w:left w:val="none" w:sz="0" w:space="0" w:color="auto"/>
        <w:bottom w:val="none" w:sz="0" w:space="0" w:color="auto"/>
        <w:right w:val="none" w:sz="0" w:space="0" w:color="auto"/>
      </w:divBdr>
    </w:div>
    <w:div w:id="171116069">
      <w:bodyDiv w:val="1"/>
      <w:marLeft w:val="0"/>
      <w:marRight w:val="0"/>
      <w:marTop w:val="0"/>
      <w:marBottom w:val="0"/>
      <w:divBdr>
        <w:top w:val="none" w:sz="0" w:space="0" w:color="auto"/>
        <w:left w:val="none" w:sz="0" w:space="0" w:color="auto"/>
        <w:bottom w:val="none" w:sz="0" w:space="0" w:color="auto"/>
        <w:right w:val="none" w:sz="0" w:space="0" w:color="auto"/>
      </w:divBdr>
    </w:div>
    <w:div w:id="212234689">
      <w:bodyDiv w:val="1"/>
      <w:marLeft w:val="0"/>
      <w:marRight w:val="0"/>
      <w:marTop w:val="0"/>
      <w:marBottom w:val="0"/>
      <w:divBdr>
        <w:top w:val="none" w:sz="0" w:space="0" w:color="auto"/>
        <w:left w:val="none" w:sz="0" w:space="0" w:color="auto"/>
        <w:bottom w:val="none" w:sz="0" w:space="0" w:color="auto"/>
        <w:right w:val="none" w:sz="0" w:space="0" w:color="auto"/>
      </w:divBdr>
    </w:div>
    <w:div w:id="230510160">
      <w:bodyDiv w:val="1"/>
      <w:marLeft w:val="0"/>
      <w:marRight w:val="0"/>
      <w:marTop w:val="0"/>
      <w:marBottom w:val="0"/>
      <w:divBdr>
        <w:top w:val="none" w:sz="0" w:space="0" w:color="auto"/>
        <w:left w:val="none" w:sz="0" w:space="0" w:color="auto"/>
        <w:bottom w:val="none" w:sz="0" w:space="0" w:color="auto"/>
        <w:right w:val="none" w:sz="0" w:space="0" w:color="auto"/>
      </w:divBdr>
    </w:div>
    <w:div w:id="249121596">
      <w:bodyDiv w:val="1"/>
      <w:marLeft w:val="0"/>
      <w:marRight w:val="0"/>
      <w:marTop w:val="0"/>
      <w:marBottom w:val="0"/>
      <w:divBdr>
        <w:top w:val="none" w:sz="0" w:space="0" w:color="auto"/>
        <w:left w:val="none" w:sz="0" w:space="0" w:color="auto"/>
        <w:bottom w:val="none" w:sz="0" w:space="0" w:color="auto"/>
        <w:right w:val="none" w:sz="0" w:space="0" w:color="auto"/>
      </w:divBdr>
    </w:div>
    <w:div w:id="261031331">
      <w:bodyDiv w:val="1"/>
      <w:marLeft w:val="0"/>
      <w:marRight w:val="0"/>
      <w:marTop w:val="0"/>
      <w:marBottom w:val="0"/>
      <w:divBdr>
        <w:top w:val="none" w:sz="0" w:space="0" w:color="auto"/>
        <w:left w:val="none" w:sz="0" w:space="0" w:color="auto"/>
        <w:bottom w:val="none" w:sz="0" w:space="0" w:color="auto"/>
        <w:right w:val="none" w:sz="0" w:space="0" w:color="auto"/>
      </w:divBdr>
    </w:div>
    <w:div w:id="297417544">
      <w:bodyDiv w:val="1"/>
      <w:marLeft w:val="0"/>
      <w:marRight w:val="0"/>
      <w:marTop w:val="0"/>
      <w:marBottom w:val="0"/>
      <w:divBdr>
        <w:top w:val="none" w:sz="0" w:space="0" w:color="auto"/>
        <w:left w:val="none" w:sz="0" w:space="0" w:color="auto"/>
        <w:bottom w:val="none" w:sz="0" w:space="0" w:color="auto"/>
        <w:right w:val="none" w:sz="0" w:space="0" w:color="auto"/>
      </w:divBdr>
    </w:div>
    <w:div w:id="350884123">
      <w:bodyDiv w:val="1"/>
      <w:marLeft w:val="0"/>
      <w:marRight w:val="0"/>
      <w:marTop w:val="0"/>
      <w:marBottom w:val="0"/>
      <w:divBdr>
        <w:top w:val="none" w:sz="0" w:space="0" w:color="auto"/>
        <w:left w:val="none" w:sz="0" w:space="0" w:color="auto"/>
        <w:bottom w:val="none" w:sz="0" w:space="0" w:color="auto"/>
        <w:right w:val="none" w:sz="0" w:space="0" w:color="auto"/>
      </w:divBdr>
    </w:div>
    <w:div w:id="383255032">
      <w:bodyDiv w:val="1"/>
      <w:marLeft w:val="0"/>
      <w:marRight w:val="0"/>
      <w:marTop w:val="0"/>
      <w:marBottom w:val="0"/>
      <w:divBdr>
        <w:top w:val="none" w:sz="0" w:space="0" w:color="auto"/>
        <w:left w:val="none" w:sz="0" w:space="0" w:color="auto"/>
        <w:bottom w:val="none" w:sz="0" w:space="0" w:color="auto"/>
        <w:right w:val="none" w:sz="0" w:space="0" w:color="auto"/>
      </w:divBdr>
    </w:div>
    <w:div w:id="537624425">
      <w:bodyDiv w:val="1"/>
      <w:marLeft w:val="0"/>
      <w:marRight w:val="0"/>
      <w:marTop w:val="0"/>
      <w:marBottom w:val="0"/>
      <w:divBdr>
        <w:top w:val="none" w:sz="0" w:space="0" w:color="auto"/>
        <w:left w:val="none" w:sz="0" w:space="0" w:color="auto"/>
        <w:bottom w:val="none" w:sz="0" w:space="0" w:color="auto"/>
        <w:right w:val="none" w:sz="0" w:space="0" w:color="auto"/>
      </w:divBdr>
    </w:div>
    <w:div w:id="542064646">
      <w:bodyDiv w:val="1"/>
      <w:marLeft w:val="0"/>
      <w:marRight w:val="0"/>
      <w:marTop w:val="0"/>
      <w:marBottom w:val="0"/>
      <w:divBdr>
        <w:top w:val="none" w:sz="0" w:space="0" w:color="auto"/>
        <w:left w:val="none" w:sz="0" w:space="0" w:color="auto"/>
        <w:bottom w:val="none" w:sz="0" w:space="0" w:color="auto"/>
        <w:right w:val="none" w:sz="0" w:space="0" w:color="auto"/>
      </w:divBdr>
    </w:div>
    <w:div w:id="631599667">
      <w:bodyDiv w:val="1"/>
      <w:marLeft w:val="0"/>
      <w:marRight w:val="0"/>
      <w:marTop w:val="0"/>
      <w:marBottom w:val="0"/>
      <w:divBdr>
        <w:top w:val="none" w:sz="0" w:space="0" w:color="auto"/>
        <w:left w:val="none" w:sz="0" w:space="0" w:color="auto"/>
        <w:bottom w:val="none" w:sz="0" w:space="0" w:color="auto"/>
        <w:right w:val="none" w:sz="0" w:space="0" w:color="auto"/>
      </w:divBdr>
    </w:div>
    <w:div w:id="654188826">
      <w:bodyDiv w:val="1"/>
      <w:marLeft w:val="0"/>
      <w:marRight w:val="0"/>
      <w:marTop w:val="0"/>
      <w:marBottom w:val="0"/>
      <w:divBdr>
        <w:top w:val="none" w:sz="0" w:space="0" w:color="auto"/>
        <w:left w:val="none" w:sz="0" w:space="0" w:color="auto"/>
        <w:bottom w:val="none" w:sz="0" w:space="0" w:color="auto"/>
        <w:right w:val="none" w:sz="0" w:space="0" w:color="auto"/>
      </w:divBdr>
    </w:div>
    <w:div w:id="662510776">
      <w:bodyDiv w:val="1"/>
      <w:marLeft w:val="0"/>
      <w:marRight w:val="0"/>
      <w:marTop w:val="0"/>
      <w:marBottom w:val="0"/>
      <w:divBdr>
        <w:top w:val="none" w:sz="0" w:space="0" w:color="auto"/>
        <w:left w:val="none" w:sz="0" w:space="0" w:color="auto"/>
        <w:bottom w:val="none" w:sz="0" w:space="0" w:color="auto"/>
        <w:right w:val="none" w:sz="0" w:space="0" w:color="auto"/>
      </w:divBdr>
    </w:div>
    <w:div w:id="780146818">
      <w:bodyDiv w:val="1"/>
      <w:marLeft w:val="0"/>
      <w:marRight w:val="0"/>
      <w:marTop w:val="0"/>
      <w:marBottom w:val="0"/>
      <w:divBdr>
        <w:top w:val="none" w:sz="0" w:space="0" w:color="auto"/>
        <w:left w:val="none" w:sz="0" w:space="0" w:color="auto"/>
        <w:bottom w:val="none" w:sz="0" w:space="0" w:color="auto"/>
        <w:right w:val="none" w:sz="0" w:space="0" w:color="auto"/>
      </w:divBdr>
    </w:div>
    <w:div w:id="853034433">
      <w:bodyDiv w:val="1"/>
      <w:marLeft w:val="0"/>
      <w:marRight w:val="0"/>
      <w:marTop w:val="0"/>
      <w:marBottom w:val="0"/>
      <w:divBdr>
        <w:top w:val="none" w:sz="0" w:space="0" w:color="auto"/>
        <w:left w:val="none" w:sz="0" w:space="0" w:color="auto"/>
        <w:bottom w:val="none" w:sz="0" w:space="0" w:color="auto"/>
        <w:right w:val="none" w:sz="0" w:space="0" w:color="auto"/>
      </w:divBdr>
    </w:div>
    <w:div w:id="955481559">
      <w:bodyDiv w:val="1"/>
      <w:marLeft w:val="0"/>
      <w:marRight w:val="0"/>
      <w:marTop w:val="0"/>
      <w:marBottom w:val="0"/>
      <w:divBdr>
        <w:top w:val="none" w:sz="0" w:space="0" w:color="auto"/>
        <w:left w:val="none" w:sz="0" w:space="0" w:color="auto"/>
        <w:bottom w:val="none" w:sz="0" w:space="0" w:color="auto"/>
        <w:right w:val="none" w:sz="0" w:space="0" w:color="auto"/>
      </w:divBdr>
    </w:div>
    <w:div w:id="1000081040">
      <w:bodyDiv w:val="1"/>
      <w:marLeft w:val="0"/>
      <w:marRight w:val="0"/>
      <w:marTop w:val="0"/>
      <w:marBottom w:val="0"/>
      <w:divBdr>
        <w:top w:val="none" w:sz="0" w:space="0" w:color="auto"/>
        <w:left w:val="none" w:sz="0" w:space="0" w:color="auto"/>
        <w:bottom w:val="none" w:sz="0" w:space="0" w:color="auto"/>
        <w:right w:val="none" w:sz="0" w:space="0" w:color="auto"/>
      </w:divBdr>
    </w:div>
    <w:div w:id="1043751995">
      <w:bodyDiv w:val="1"/>
      <w:marLeft w:val="0"/>
      <w:marRight w:val="0"/>
      <w:marTop w:val="0"/>
      <w:marBottom w:val="0"/>
      <w:divBdr>
        <w:top w:val="none" w:sz="0" w:space="0" w:color="auto"/>
        <w:left w:val="none" w:sz="0" w:space="0" w:color="auto"/>
        <w:bottom w:val="none" w:sz="0" w:space="0" w:color="auto"/>
        <w:right w:val="none" w:sz="0" w:space="0" w:color="auto"/>
      </w:divBdr>
    </w:div>
    <w:div w:id="1054506448">
      <w:bodyDiv w:val="1"/>
      <w:marLeft w:val="0"/>
      <w:marRight w:val="0"/>
      <w:marTop w:val="0"/>
      <w:marBottom w:val="0"/>
      <w:divBdr>
        <w:top w:val="none" w:sz="0" w:space="0" w:color="auto"/>
        <w:left w:val="none" w:sz="0" w:space="0" w:color="auto"/>
        <w:bottom w:val="none" w:sz="0" w:space="0" w:color="auto"/>
        <w:right w:val="none" w:sz="0" w:space="0" w:color="auto"/>
      </w:divBdr>
    </w:div>
    <w:div w:id="1138452332">
      <w:bodyDiv w:val="1"/>
      <w:marLeft w:val="0"/>
      <w:marRight w:val="0"/>
      <w:marTop w:val="0"/>
      <w:marBottom w:val="0"/>
      <w:divBdr>
        <w:top w:val="none" w:sz="0" w:space="0" w:color="auto"/>
        <w:left w:val="none" w:sz="0" w:space="0" w:color="auto"/>
        <w:bottom w:val="none" w:sz="0" w:space="0" w:color="auto"/>
        <w:right w:val="none" w:sz="0" w:space="0" w:color="auto"/>
      </w:divBdr>
    </w:div>
    <w:div w:id="1157458237">
      <w:bodyDiv w:val="1"/>
      <w:marLeft w:val="0"/>
      <w:marRight w:val="0"/>
      <w:marTop w:val="0"/>
      <w:marBottom w:val="0"/>
      <w:divBdr>
        <w:top w:val="none" w:sz="0" w:space="0" w:color="auto"/>
        <w:left w:val="none" w:sz="0" w:space="0" w:color="auto"/>
        <w:bottom w:val="none" w:sz="0" w:space="0" w:color="auto"/>
        <w:right w:val="none" w:sz="0" w:space="0" w:color="auto"/>
      </w:divBdr>
    </w:div>
    <w:div w:id="1205215327">
      <w:bodyDiv w:val="1"/>
      <w:marLeft w:val="0"/>
      <w:marRight w:val="0"/>
      <w:marTop w:val="0"/>
      <w:marBottom w:val="0"/>
      <w:divBdr>
        <w:top w:val="none" w:sz="0" w:space="0" w:color="auto"/>
        <w:left w:val="none" w:sz="0" w:space="0" w:color="auto"/>
        <w:bottom w:val="none" w:sz="0" w:space="0" w:color="auto"/>
        <w:right w:val="none" w:sz="0" w:space="0" w:color="auto"/>
      </w:divBdr>
    </w:div>
    <w:div w:id="1218276653">
      <w:bodyDiv w:val="1"/>
      <w:marLeft w:val="0"/>
      <w:marRight w:val="0"/>
      <w:marTop w:val="0"/>
      <w:marBottom w:val="0"/>
      <w:divBdr>
        <w:top w:val="none" w:sz="0" w:space="0" w:color="auto"/>
        <w:left w:val="none" w:sz="0" w:space="0" w:color="auto"/>
        <w:bottom w:val="none" w:sz="0" w:space="0" w:color="auto"/>
        <w:right w:val="none" w:sz="0" w:space="0" w:color="auto"/>
      </w:divBdr>
    </w:div>
    <w:div w:id="1315337126">
      <w:bodyDiv w:val="1"/>
      <w:marLeft w:val="0"/>
      <w:marRight w:val="0"/>
      <w:marTop w:val="0"/>
      <w:marBottom w:val="0"/>
      <w:divBdr>
        <w:top w:val="none" w:sz="0" w:space="0" w:color="auto"/>
        <w:left w:val="none" w:sz="0" w:space="0" w:color="auto"/>
        <w:bottom w:val="none" w:sz="0" w:space="0" w:color="auto"/>
        <w:right w:val="none" w:sz="0" w:space="0" w:color="auto"/>
      </w:divBdr>
    </w:div>
    <w:div w:id="1373338261">
      <w:bodyDiv w:val="1"/>
      <w:marLeft w:val="0"/>
      <w:marRight w:val="0"/>
      <w:marTop w:val="0"/>
      <w:marBottom w:val="0"/>
      <w:divBdr>
        <w:top w:val="none" w:sz="0" w:space="0" w:color="auto"/>
        <w:left w:val="none" w:sz="0" w:space="0" w:color="auto"/>
        <w:bottom w:val="none" w:sz="0" w:space="0" w:color="auto"/>
        <w:right w:val="none" w:sz="0" w:space="0" w:color="auto"/>
      </w:divBdr>
    </w:div>
    <w:div w:id="1398433228">
      <w:bodyDiv w:val="1"/>
      <w:marLeft w:val="0"/>
      <w:marRight w:val="0"/>
      <w:marTop w:val="0"/>
      <w:marBottom w:val="0"/>
      <w:divBdr>
        <w:top w:val="none" w:sz="0" w:space="0" w:color="auto"/>
        <w:left w:val="none" w:sz="0" w:space="0" w:color="auto"/>
        <w:bottom w:val="none" w:sz="0" w:space="0" w:color="auto"/>
        <w:right w:val="none" w:sz="0" w:space="0" w:color="auto"/>
      </w:divBdr>
    </w:div>
    <w:div w:id="1475026099">
      <w:bodyDiv w:val="1"/>
      <w:marLeft w:val="0"/>
      <w:marRight w:val="0"/>
      <w:marTop w:val="0"/>
      <w:marBottom w:val="0"/>
      <w:divBdr>
        <w:top w:val="none" w:sz="0" w:space="0" w:color="auto"/>
        <w:left w:val="none" w:sz="0" w:space="0" w:color="auto"/>
        <w:bottom w:val="none" w:sz="0" w:space="0" w:color="auto"/>
        <w:right w:val="none" w:sz="0" w:space="0" w:color="auto"/>
      </w:divBdr>
    </w:div>
    <w:div w:id="1670910218">
      <w:bodyDiv w:val="1"/>
      <w:marLeft w:val="0"/>
      <w:marRight w:val="0"/>
      <w:marTop w:val="0"/>
      <w:marBottom w:val="0"/>
      <w:divBdr>
        <w:top w:val="none" w:sz="0" w:space="0" w:color="auto"/>
        <w:left w:val="none" w:sz="0" w:space="0" w:color="auto"/>
        <w:bottom w:val="none" w:sz="0" w:space="0" w:color="auto"/>
        <w:right w:val="none" w:sz="0" w:space="0" w:color="auto"/>
      </w:divBdr>
    </w:div>
    <w:div w:id="1757700946">
      <w:bodyDiv w:val="1"/>
      <w:marLeft w:val="0"/>
      <w:marRight w:val="0"/>
      <w:marTop w:val="0"/>
      <w:marBottom w:val="0"/>
      <w:divBdr>
        <w:top w:val="none" w:sz="0" w:space="0" w:color="auto"/>
        <w:left w:val="none" w:sz="0" w:space="0" w:color="auto"/>
        <w:bottom w:val="none" w:sz="0" w:space="0" w:color="auto"/>
        <w:right w:val="none" w:sz="0" w:space="0" w:color="auto"/>
      </w:divBdr>
    </w:div>
    <w:div w:id="1808280851">
      <w:bodyDiv w:val="1"/>
      <w:marLeft w:val="0"/>
      <w:marRight w:val="0"/>
      <w:marTop w:val="0"/>
      <w:marBottom w:val="0"/>
      <w:divBdr>
        <w:top w:val="none" w:sz="0" w:space="0" w:color="auto"/>
        <w:left w:val="none" w:sz="0" w:space="0" w:color="auto"/>
        <w:bottom w:val="none" w:sz="0" w:space="0" w:color="auto"/>
        <w:right w:val="none" w:sz="0" w:space="0" w:color="auto"/>
      </w:divBdr>
    </w:div>
    <w:div w:id="1845702986">
      <w:bodyDiv w:val="1"/>
      <w:marLeft w:val="0"/>
      <w:marRight w:val="0"/>
      <w:marTop w:val="0"/>
      <w:marBottom w:val="0"/>
      <w:divBdr>
        <w:top w:val="none" w:sz="0" w:space="0" w:color="auto"/>
        <w:left w:val="none" w:sz="0" w:space="0" w:color="auto"/>
        <w:bottom w:val="none" w:sz="0" w:space="0" w:color="auto"/>
        <w:right w:val="none" w:sz="0" w:space="0" w:color="auto"/>
      </w:divBdr>
    </w:div>
    <w:div w:id="1887834855">
      <w:bodyDiv w:val="1"/>
      <w:marLeft w:val="0"/>
      <w:marRight w:val="0"/>
      <w:marTop w:val="0"/>
      <w:marBottom w:val="0"/>
      <w:divBdr>
        <w:top w:val="none" w:sz="0" w:space="0" w:color="auto"/>
        <w:left w:val="none" w:sz="0" w:space="0" w:color="auto"/>
        <w:bottom w:val="none" w:sz="0" w:space="0" w:color="auto"/>
        <w:right w:val="none" w:sz="0" w:space="0" w:color="auto"/>
      </w:divBdr>
    </w:div>
    <w:div w:id="1923223254">
      <w:bodyDiv w:val="1"/>
      <w:marLeft w:val="0"/>
      <w:marRight w:val="0"/>
      <w:marTop w:val="0"/>
      <w:marBottom w:val="0"/>
      <w:divBdr>
        <w:top w:val="none" w:sz="0" w:space="0" w:color="auto"/>
        <w:left w:val="none" w:sz="0" w:space="0" w:color="auto"/>
        <w:bottom w:val="none" w:sz="0" w:space="0" w:color="auto"/>
        <w:right w:val="none" w:sz="0" w:space="0" w:color="auto"/>
      </w:divBdr>
    </w:div>
    <w:div w:id="1938056398">
      <w:bodyDiv w:val="1"/>
      <w:marLeft w:val="0"/>
      <w:marRight w:val="0"/>
      <w:marTop w:val="0"/>
      <w:marBottom w:val="0"/>
      <w:divBdr>
        <w:top w:val="none" w:sz="0" w:space="0" w:color="auto"/>
        <w:left w:val="none" w:sz="0" w:space="0" w:color="auto"/>
        <w:bottom w:val="none" w:sz="0" w:space="0" w:color="auto"/>
        <w:right w:val="none" w:sz="0" w:space="0" w:color="auto"/>
      </w:divBdr>
    </w:div>
    <w:div w:id="2036148599">
      <w:bodyDiv w:val="1"/>
      <w:marLeft w:val="0"/>
      <w:marRight w:val="0"/>
      <w:marTop w:val="0"/>
      <w:marBottom w:val="0"/>
      <w:divBdr>
        <w:top w:val="none" w:sz="0" w:space="0" w:color="auto"/>
        <w:left w:val="none" w:sz="0" w:space="0" w:color="auto"/>
        <w:bottom w:val="none" w:sz="0" w:space="0" w:color="auto"/>
        <w:right w:val="none" w:sz="0" w:space="0" w:color="auto"/>
      </w:divBdr>
    </w:div>
    <w:div w:id="2144076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182.bin"/>
  <Relationship Id="rId100" Type="http://schemas.openxmlformats.org/officeDocument/2006/relationships/oleObject" Target="embeddings/oleObject4150.bin"/>
  <Relationship Id="rId1000" Type="http://schemas.openxmlformats.org/officeDocument/2006/relationships/image" Target="media/image7369.wmf"/>
  <Relationship Id="rId1001" Type="http://schemas.openxmlformats.org/officeDocument/2006/relationships/oleObject" Target="embeddings/oleObject8445.bin"/>
  <Relationship Id="rId1002" Type="http://schemas.openxmlformats.org/officeDocument/2006/relationships/image" Target="media/image7370.wmf"/>
  <Relationship Id="rId1003" Type="http://schemas.openxmlformats.org/officeDocument/2006/relationships/oleObject" Target="embeddings/oleObject8446.bin"/>
  <Relationship Id="rId1004" Type="http://schemas.openxmlformats.org/officeDocument/2006/relationships/image" Target="media/image7371.wmf"/>
  <Relationship Id="rId1005" Type="http://schemas.openxmlformats.org/officeDocument/2006/relationships/oleObject" Target="embeddings/oleObject8447.bin"/>
  <Relationship Id="rId1006" Type="http://schemas.openxmlformats.org/officeDocument/2006/relationships/image" Target="media/image7372.wmf"/>
  <Relationship Id="rId1007" Type="http://schemas.openxmlformats.org/officeDocument/2006/relationships/oleObject" Target="embeddings/oleObject8448.bin"/>
  <Relationship Id="rId1008" Type="http://schemas.openxmlformats.org/officeDocument/2006/relationships/image" Target="media/image7378.wmf"/>
  <Relationship Id="rId1009" Type="http://schemas.openxmlformats.org/officeDocument/2006/relationships/oleObject" Target="embeddings/oleObject8454.bin"/>
  <Relationship Id="rId101" Type="http://schemas.openxmlformats.org/officeDocument/2006/relationships/image" Target="media/image3053.wmf"/>
  <Relationship Id="rId1010" Type="http://schemas.openxmlformats.org/officeDocument/2006/relationships/image" Target="media/image7385.wmf"/>
  <Relationship Id="rId1011" Type="http://schemas.openxmlformats.org/officeDocument/2006/relationships/oleObject" Target="embeddings/oleObject8461.bin"/>
  <Relationship Id="rId1012" Type="http://schemas.openxmlformats.org/officeDocument/2006/relationships/image" Target="media/image7391.wmf"/>
  <Relationship Id="rId1013" Type="http://schemas.openxmlformats.org/officeDocument/2006/relationships/oleObject" Target="embeddings/oleObject8467.bin"/>
  <Relationship Id="rId1014" Type="http://schemas.openxmlformats.org/officeDocument/2006/relationships/image" Target="media/image7397.wmf"/>
  <Relationship Id="rId1015" Type="http://schemas.openxmlformats.org/officeDocument/2006/relationships/oleObject" Target="embeddings/oleObject8473.bin"/>
  <Relationship Id="rId1016" Type="http://schemas.openxmlformats.org/officeDocument/2006/relationships/image" Target="media/image7403.wmf"/>
  <Relationship Id="rId1017" Type="http://schemas.openxmlformats.org/officeDocument/2006/relationships/oleObject" Target="embeddings/oleObject8479.bin"/>
  <Relationship Id="rId1018" Type="http://schemas.openxmlformats.org/officeDocument/2006/relationships/image" Target="media/image7409.wmf"/>
  <Relationship Id="rId1019" Type="http://schemas.openxmlformats.org/officeDocument/2006/relationships/oleObject" Target="embeddings/oleObject8485.bin"/>
  <Relationship Id="rId102" Type="http://schemas.openxmlformats.org/officeDocument/2006/relationships/oleObject" Target="embeddings/oleObject4151.bin"/>
  <Relationship Id="rId1020" Type="http://schemas.openxmlformats.org/officeDocument/2006/relationships/image" Target="media/image7415.wmf"/>
  <Relationship Id="rId1021" Type="http://schemas.openxmlformats.org/officeDocument/2006/relationships/oleObject" Target="embeddings/oleObject8491.bin"/>
  <Relationship Id="rId1022" Type="http://schemas.openxmlformats.org/officeDocument/2006/relationships/image" Target="media/image7431.wmf"/>
  <Relationship Id="rId1023" Type="http://schemas.openxmlformats.org/officeDocument/2006/relationships/oleObject" Target="embeddings/oleObject8507.bin"/>
  <Relationship Id="rId1024" Type="http://schemas.openxmlformats.org/officeDocument/2006/relationships/image" Target="media/image7432.wmf"/>
  <Relationship Id="rId1025" Type="http://schemas.openxmlformats.org/officeDocument/2006/relationships/oleObject" Target="embeddings/oleObject8508.bin"/>
  <Relationship Id="rId1026" Type="http://schemas.openxmlformats.org/officeDocument/2006/relationships/image" Target="media/image7433.wmf"/>
  <Relationship Id="rId1027" Type="http://schemas.openxmlformats.org/officeDocument/2006/relationships/oleObject" Target="embeddings/oleObject8509.bin"/>
  <Relationship Id="rId1028" Type="http://schemas.openxmlformats.org/officeDocument/2006/relationships/image" Target="media/image7444.wmf"/>
  <Relationship Id="rId1029" Type="http://schemas.openxmlformats.org/officeDocument/2006/relationships/oleObject" Target="embeddings/oleObject8520.bin"/>
  <Relationship Id="rId103" Type="http://schemas.openxmlformats.org/officeDocument/2006/relationships/image" Target="media/image3054.wmf"/>
  <Relationship Id="rId1030" Type="http://schemas.openxmlformats.org/officeDocument/2006/relationships/image" Target="media/image7445.wmf"/>
  <Relationship Id="rId1031" Type="http://schemas.openxmlformats.org/officeDocument/2006/relationships/oleObject" Target="embeddings/oleObject8521.bin"/>
  <Relationship Id="rId1032" Type="http://schemas.openxmlformats.org/officeDocument/2006/relationships/image" Target="media/image7556.wmf"/>
  <Relationship Id="rId1033" Type="http://schemas.openxmlformats.org/officeDocument/2006/relationships/oleObject" Target="embeddings/oleObject8632.bin"/>
  <Relationship Id="rId1034" Type="http://schemas.openxmlformats.org/officeDocument/2006/relationships/image" Target="media/image7557.wmf"/>
  <Relationship Id="rId1035" Type="http://schemas.openxmlformats.org/officeDocument/2006/relationships/oleObject" Target="embeddings/oleObject8633.bin"/>
  <Relationship Id="rId1036" Type="http://schemas.openxmlformats.org/officeDocument/2006/relationships/image" Target="media/image7558.wmf"/>
  <Relationship Id="rId1037" Type="http://schemas.openxmlformats.org/officeDocument/2006/relationships/oleObject" Target="embeddings/oleObject8634.bin"/>
  <Relationship Id="rId1038" Type="http://schemas.openxmlformats.org/officeDocument/2006/relationships/image" Target="media/image7559.wmf"/>
  <Relationship Id="rId1039" Type="http://schemas.openxmlformats.org/officeDocument/2006/relationships/oleObject" Target="embeddings/oleObject8635.bin"/>
  <Relationship Id="rId104" Type="http://schemas.openxmlformats.org/officeDocument/2006/relationships/oleObject" Target="embeddings/oleObject4152.bin"/>
  <Relationship Id="rId1040" Type="http://schemas.openxmlformats.org/officeDocument/2006/relationships/image" Target="media/image7560.wmf"/>
  <Relationship Id="rId1041" Type="http://schemas.openxmlformats.org/officeDocument/2006/relationships/oleObject" Target="embeddings/oleObject8636.bin"/>
  <Relationship Id="rId1042" Type="http://schemas.openxmlformats.org/officeDocument/2006/relationships/image" Target="media/image7561.wmf"/>
  <Relationship Id="rId1043" Type="http://schemas.openxmlformats.org/officeDocument/2006/relationships/oleObject" Target="embeddings/oleObject8637.bin"/>
  <Relationship Id="rId1044" Type="http://schemas.openxmlformats.org/officeDocument/2006/relationships/image" Target="media/image7562.wmf"/>
  <Relationship Id="rId1045" Type="http://schemas.openxmlformats.org/officeDocument/2006/relationships/oleObject" Target="embeddings/oleObject8638.bin"/>
  <Relationship Id="rId1046" Type="http://schemas.openxmlformats.org/officeDocument/2006/relationships/image" Target="media/image7563.wmf"/>
  <Relationship Id="rId1047" Type="http://schemas.openxmlformats.org/officeDocument/2006/relationships/oleObject" Target="embeddings/oleObject8639.bin"/>
  <Relationship Id="rId1048" Type="http://schemas.openxmlformats.org/officeDocument/2006/relationships/image" Target="media/image7564.wmf"/>
  <Relationship Id="rId1049" Type="http://schemas.openxmlformats.org/officeDocument/2006/relationships/oleObject" Target="embeddings/oleObject8640.bin"/>
  <Relationship Id="rId105" Type="http://schemas.openxmlformats.org/officeDocument/2006/relationships/image" Target="media/image3055.wmf"/>
  <Relationship Id="rId1050" Type="http://schemas.openxmlformats.org/officeDocument/2006/relationships/image" Target="media/image7565.wmf"/>
  <Relationship Id="rId1051" Type="http://schemas.openxmlformats.org/officeDocument/2006/relationships/oleObject" Target="embeddings/oleObject8641.bin"/>
  <Relationship Id="rId1052" Type="http://schemas.openxmlformats.org/officeDocument/2006/relationships/image" Target="media/image7566.wmf"/>
  <Relationship Id="rId1053" Type="http://schemas.openxmlformats.org/officeDocument/2006/relationships/oleObject" Target="embeddings/oleObject8642.bin"/>
  <Relationship Id="rId1054" Type="http://schemas.openxmlformats.org/officeDocument/2006/relationships/image" Target="media/image7567.wmf"/>
  <Relationship Id="rId1055" Type="http://schemas.openxmlformats.org/officeDocument/2006/relationships/oleObject" Target="embeddings/oleObject8643.bin"/>
  <Relationship Id="rId1056" Type="http://schemas.openxmlformats.org/officeDocument/2006/relationships/image" Target="media/image7568.wmf"/>
  <Relationship Id="rId1057" Type="http://schemas.openxmlformats.org/officeDocument/2006/relationships/oleObject" Target="embeddings/oleObject8644.bin"/>
  <Relationship Id="rId1058" Type="http://schemas.openxmlformats.org/officeDocument/2006/relationships/image" Target="media/image7569.wmf"/>
  <Relationship Id="rId1059" Type="http://schemas.openxmlformats.org/officeDocument/2006/relationships/oleObject" Target="embeddings/oleObject8645.bin"/>
  <Relationship Id="rId106" Type="http://schemas.openxmlformats.org/officeDocument/2006/relationships/oleObject" Target="embeddings/oleObject4153.bin"/>
  <Relationship Id="rId1060" Type="http://schemas.openxmlformats.org/officeDocument/2006/relationships/image" Target="media/image7570.wmf"/>
  <Relationship Id="rId1061" Type="http://schemas.openxmlformats.org/officeDocument/2006/relationships/oleObject" Target="embeddings/oleObject8646.bin"/>
  <Relationship Id="rId1062" Type="http://schemas.openxmlformats.org/officeDocument/2006/relationships/image" Target="media/image7571.wmf"/>
  <Relationship Id="rId1063" Type="http://schemas.openxmlformats.org/officeDocument/2006/relationships/oleObject" Target="embeddings/oleObject8647.bin"/>
  <Relationship Id="rId1064" Type="http://schemas.openxmlformats.org/officeDocument/2006/relationships/image" Target="media/image7572.wmf"/>
  <Relationship Id="rId1065" Type="http://schemas.openxmlformats.org/officeDocument/2006/relationships/oleObject" Target="embeddings/oleObject8648.bin"/>
  <Relationship Id="rId1066" Type="http://schemas.openxmlformats.org/officeDocument/2006/relationships/image" Target="media/image7573.wmf"/>
  <Relationship Id="rId1067" Type="http://schemas.openxmlformats.org/officeDocument/2006/relationships/oleObject" Target="embeddings/oleObject8649.bin"/>
  <Relationship Id="rId1068" Type="http://schemas.openxmlformats.org/officeDocument/2006/relationships/image" Target="media/image7574.wmf"/>
  <Relationship Id="rId1069" Type="http://schemas.openxmlformats.org/officeDocument/2006/relationships/oleObject" Target="embeddings/oleObject8650.bin"/>
  <Relationship Id="rId107" Type="http://schemas.openxmlformats.org/officeDocument/2006/relationships/image" Target="media/image3056.wmf"/>
  <Relationship Id="rId1070" Type="http://schemas.openxmlformats.org/officeDocument/2006/relationships/image" Target="media/image7575.wmf"/>
  <Relationship Id="rId1071" Type="http://schemas.openxmlformats.org/officeDocument/2006/relationships/oleObject" Target="embeddings/oleObject8651.bin"/>
  <Relationship Id="rId1072" Type="http://schemas.openxmlformats.org/officeDocument/2006/relationships/image" Target="media/image7576.wmf"/>
  <Relationship Id="rId1073" Type="http://schemas.openxmlformats.org/officeDocument/2006/relationships/oleObject" Target="embeddings/oleObject8652.bin"/>
  <Relationship Id="rId1074" Type="http://schemas.openxmlformats.org/officeDocument/2006/relationships/image" Target="media/image7577.wmf"/>
  <Relationship Id="rId1075" Type="http://schemas.openxmlformats.org/officeDocument/2006/relationships/oleObject" Target="embeddings/oleObject8653.bin"/>
  <Relationship Id="rId1076" Type="http://schemas.openxmlformats.org/officeDocument/2006/relationships/hyperlink" TargetMode="External" Target="https://www.e-tar.lt/portal/legalAct.html?documentId=6bef89f0016411ebb74de75171d26d52"/>
  <Relationship Id="rId1077" Type="http://schemas.openxmlformats.org/officeDocument/2006/relationships/image" Target="media/image7684.wmf"/>
  <Relationship Id="rId1078" Type="http://schemas.openxmlformats.org/officeDocument/2006/relationships/oleObject" Target="embeddings/oleObject8760.bin"/>
  <Relationship Id="rId1079" Type="http://schemas.openxmlformats.org/officeDocument/2006/relationships/image" Target="media/image7685.wmf"/>
  <Relationship Id="rId108" Type="http://schemas.openxmlformats.org/officeDocument/2006/relationships/oleObject" Target="embeddings/oleObject4154.bin"/>
  <Relationship Id="rId1080" Type="http://schemas.openxmlformats.org/officeDocument/2006/relationships/oleObject" Target="embeddings/oleObject8761.bin"/>
  <Relationship Id="rId1081" Type="http://schemas.openxmlformats.org/officeDocument/2006/relationships/image" Target="media/image7686.wmf"/>
  <Relationship Id="rId1082" Type="http://schemas.openxmlformats.org/officeDocument/2006/relationships/oleObject" Target="embeddings/oleObject8762.bin"/>
  <Relationship Id="rId1083" Type="http://schemas.openxmlformats.org/officeDocument/2006/relationships/image" Target="media/image7687.wmf"/>
  <Relationship Id="rId1084" Type="http://schemas.openxmlformats.org/officeDocument/2006/relationships/oleObject" Target="embeddings/oleObject8763.bin"/>
  <Relationship Id="rId1085" Type="http://schemas.openxmlformats.org/officeDocument/2006/relationships/image" Target="media/image7688.wmf"/>
  <Relationship Id="rId1086" Type="http://schemas.openxmlformats.org/officeDocument/2006/relationships/oleObject" Target="embeddings/oleObject8764.bin"/>
  <Relationship Id="rId1087" Type="http://schemas.openxmlformats.org/officeDocument/2006/relationships/image" Target="media/image7689.wmf"/>
  <Relationship Id="rId1088" Type="http://schemas.openxmlformats.org/officeDocument/2006/relationships/oleObject" Target="embeddings/oleObject8765.bin"/>
  <Relationship Id="rId1089" Type="http://schemas.openxmlformats.org/officeDocument/2006/relationships/image" Target="media/image7690.wmf"/>
  <Relationship Id="rId109" Type="http://schemas.openxmlformats.org/officeDocument/2006/relationships/image" Target="media/image3057.wmf"/>
  <Relationship Id="rId1090" Type="http://schemas.openxmlformats.org/officeDocument/2006/relationships/oleObject" Target="embeddings/oleObject8766.bin"/>
  <Relationship Id="rId1091" Type="http://schemas.openxmlformats.org/officeDocument/2006/relationships/image" Target="media/image7691.wmf"/>
  <Relationship Id="rId1092" Type="http://schemas.openxmlformats.org/officeDocument/2006/relationships/oleObject" Target="embeddings/oleObject8767.bin"/>
  <Relationship Id="rId1093" Type="http://schemas.openxmlformats.org/officeDocument/2006/relationships/image" Target="media/image7692.wmf"/>
  <Relationship Id="rId1094" Type="http://schemas.openxmlformats.org/officeDocument/2006/relationships/oleObject" Target="embeddings/oleObject8768.bin"/>
  <Relationship Id="rId1095" Type="http://schemas.openxmlformats.org/officeDocument/2006/relationships/image" Target="media/image7693.wmf"/>
  <Relationship Id="rId1096" Type="http://schemas.openxmlformats.org/officeDocument/2006/relationships/oleObject" Target="embeddings/oleObject8769.bin"/>
  <Relationship Id="rId1097" Type="http://schemas.openxmlformats.org/officeDocument/2006/relationships/image" Target="media/image7694.wmf"/>
  <Relationship Id="rId1098" Type="http://schemas.openxmlformats.org/officeDocument/2006/relationships/oleObject" Target="embeddings/oleObject8770.bin"/>
  <Relationship Id="rId1099" Type="http://schemas.openxmlformats.org/officeDocument/2006/relationships/image" Target="media/image7695.wmf"/>
  <Relationship Id="rId11" Type="http://schemas.openxmlformats.org/officeDocument/2006/relationships/oleObject" Target="embeddings/oleObject8.bin"/>
  <Relationship Id="rId110" Type="http://schemas.openxmlformats.org/officeDocument/2006/relationships/oleObject" Target="embeddings/oleObject4155.bin"/>
  <Relationship Id="rId1100" Type="http://schemas.openxmlformats.org/officeDocument/2006/relationships/oleObject" Target="embeddings/oleObject8771.bin"/>
  <Relationship Id="rId1101" Type="http://schemas.openxmlformats.org/officeDocument/2006/relationships/image" Target="media/image7696.wmf"/>
  <Relationship Id="rId1102" Type="http://schemas.openxmlformats.org/officeDocument/2006/relationships/oleObject" Target="embeddings/oleObject8772.bin"/>
  <Relationship Id="rId1103" Type="http://schemas.openxmlformats.org/officeDocument/2006/relationships/image" Target="media/image7697.wmf"/>
  <Relationship Id="rId1104" Type="http://schemas.openxmlformats.org/officeDocument/2006/relationships/oleObject" Target="embeddings/oleObject8773.bin"/>
  <Relationship Id="rId1105" Type="http://schemas.openxmlformats.org/officeDocument/2006/relationships/image" Target="media/image7698.wmf"/>
  <Relationship Id="rId1106" Type="http://schemas.openxmlformats.org/officeDocument/2006/relationships/oleObject" Target="embeddings/oleObject8774.bin"/>
  <Relationship Id="rId1107" Type="http://schemas.openxmlformats.org/officeDocument/2006/relationships/image" Target="media/image7699.wmf"/>
  <Relationship Id="rId1108" Type="http://schemas.openxmlformats.org/officeDocument/2006/relationships/oleObject" Target="embeddings/oleObject8775.bin"/>
  <Relationship Id="rId1109" Type="http://schemas.openxmlformats.org/officeDocument/2006/relationships/image" Target="media/image7700.wmf"/>
  <Relationship Id="rId111" Type="http://schemas.openxmlformats.org/officeDocument/2006/relationships/image" Target="media/image3058.wmf"/>
  <Relationship Id="rId1110" Type="http://schemas.openxmlformats.org/officeDocument/2006/relationships/oleObject" Target="embeddings/oleObject8776.bin"/>
  <Relationship Id="rId1111" Type="http://schemas.openxmlformats.org/officeDocument/2006/relationships/image" Target="media/image7701.wmf"/>
  <Relationship Id="rId1112" Type="http://schemas.openxmlformats.org/officeDocument/2006/relationships/oleObject" Target="embeddings/oleObject8777.bin"/>
  <Relationship Id="rId1113" Type="http://schemas.openxmlformats.org/officeDocument/2006/relationships/image" Target="media/image7702.wmf"/>
  <Relationship Id="rId1114" Type="http://schemas.openxmlformats.org/officeDocument/2006/relationships/oleObject" Target="embeddings/oleObject8778.bin"/>
  <Relationship Id="rId1115" Type="http://schemas.openxmlformats.org/officeDocument/2006/relationships/image" Target="media/image7703.wmf"/>
  <Relationship Id="rId1116" Type="http://schemas.openxmlformats.org/officeDocument/2006/relationships/oleObject" Target="embeddings/oleObject8779.bin"/>
  <Relationship Id="rId1117" Type="http://schemas.openxmlformats.org/officeDocument/2006/relationships/image" Target="media/image7704.wmf"/>
  <Relationship Id="rId1118" Type="http://schemas.openxmlformats.org/officeDocument/2006/relationships/oleObject" Target="embeddings/oleObject8780.bin"/>
  <Relationship Id="rId1119" Type="http://schemas.openxmlformats.org/officeDocument/2006/relationships/image" Target="media/image7811.wmf"/>
  <Relationship Id="rId112" Type="http://schemas.openxmlformats.org/officeDocument/2006/relationships/oleObject" Target="embeddings/oleObject4156.bin"/>
  <Relationship Id="rId1120" Type="http://schemas.openxmlformats.org/officeDocument/2006/relationships/oleObject" Target="embeddings/oleObject8887.bin"/>
  <Relationship Id="rId1121" Type="http://schemas.openxmlformats.org/officeDocument/2006/relationships/image" Target="media/image7812.wmf"/>
  <Relationship Id="rId1122" Type="http://schemas.openxmlformats.org/officeDocument/2006/relationships/oleObject" Target="embeddings/oleObject8888.bin"/>
  <Relationship Id="rId1123" Type="http://schemas.openxmlformats.org/officeDocument/2006/relationships/image" Target="media/image7813.wmf"/>
  <Relationship Id="rId1124" Type="http://schemas.openxmlformats.org/officeDocument/2006/relationships/oleObject" Target="embeddings/oleObject8889.bin"/>
  <Relationship Id="rId1125" Type="http://schemas.openxmlformats.org/officeDocument/2006/relationships/image" Target="media/image7814.wmf"/>
  <Relationship Id="rId1126" Type="http://schemas.openxmlformats.org/officeDocument/2006/relationships/oleObject" Target="embeddings/oleObject8890.bin"/>
  <Relationship Id="rId1127" Type="http://schemas.openxmlformats.org/officeDocument/2006/relationships/image" Target="media/image7815.wmf"/>
  <Relationship Id="rId1128" Type="http://schemas.openxmlformats.org/officeDocument/2006/relationships/oleObject" Target="embeddings/oleObject8891.bin"/>
  <Relationship Id="rId1129" Type="http://schemas.openxmlformats.org/officeDocument/2006/relationships/image" Target="media/image7816.wmf"/>
  <Relationship Id="rId113" Type="http://schemas.openxmlformats.org/officeDocument/2006/relationships/image" Target="media/image3059.wmf"/>
  <Relationship Id="rId1130" Type="http://schemas.openxmlformats.org/officeDocument/2006/relationships/oleObject" Target="embeddings/oleObject8892.bin"/>
  <Relationship Id="rId1131" Type="http://schemas.openxmlformats.org/officeDocument/2006/relationships/image" Target="media/image7817.wmf"/>
  <Relationship Id="rId1132" Type="http://schemas.openxmlformats.org/officeDocument/2006/relationships/oleObject" Target="embeddings/oleObject8893.bin"/>
  <Relationship Id="rId1133" Type="http://schemas.openxmlformats.org/officeDocument/2006/relationships/image" Target="media/image7818.wmf"/>
  <Relationship Id="rId1134" Type="http://schemas.openxmlformats.org/officeDocument/2006/relationships/oleObject" Target="embeddings/oleObject8894.bin"/>
  <Relationship Id="rId1135" Type="http://schemas.openxmlformats.org/officeDocument/2006/relationships/image" Target="media/image7819.wmf"/>
  <Relationship Id="rId1136" Type="http://schemas.openxmlformats.org/officeDocument/2006/relationships/oleObject" Target="embeddings/oleObject8895.bin"/>
  <Relationship Id="rId1137" Type="http://schemas.openxmlformats.org/officeDocument/2006/relationships/image" Target="media/image7820.wmf"/>
  <Relationship Id="rId1138" Type="http://schemas.openxmlformats.org/officeDocument/2006/relationships/oleObject" Target="embeddings/oleObject8896.bin"/>
  <Relationship Id="rId1139" Type="http://schemas.openxmlformats.org/officeDocument/2006/relationships/image" Target="media/image7821.wmf"/>
  <Relationship Id="rId114" Type="http://schemas.openxmlformats.org/officeDocument/2006/relationships/oleObject" Target="embeddings/oleObject4157.bin"/>
  <Relationship Id="rId1140" Type="http://schemas.openxmlformats.org/officeDocument/2006/relationships/oleObject" Target="embeddings/oleObject8897.bin"/>
  <Relationship Id="rId1141" Type="http://schemas.openxmlformats.org/officeDocument/2006/relationships/image" Target="media/image7822.wmf"/>
  <Relationship Id="rId1142" Type="http://schemas.openxmlformats.org/officeDocument/2006/relationships/oleObject" Target="embeddings/oleObject8898.bin"/>
  <Relationship Id="rId1143" Type="http://schemas.openxmlformats.org/officeDocument/2006/relationships/image" Target="media/image7823.wmf"/>
  <Relationship Id="rId1144" Type="http://schemas.openxmlformats.org/officeDocument/2006/relationships/oleObject" Target="embeddings/oleObject8899.bin"/>
  <Relationship Id="rId1145" Type="http://schemas.openxmlformats.org/officeDocument/2006/relationships/image" Target="media/image7824.wmf"/>
  <Relationship Id="rId1146" Type="http://schemas.openxmlformats.org/officeDocument/2006/relationships/oleObject" Target="embeddings/oleObject8900.bin"/>
  <Relationship Id="rId1147" Type="http://schemas.openxmlformats.org/officeDocument/2006/relationships/image" Target="media/image7825.wmf"/>
  <Relationship Id="rId1148" Type="http://schemas.openxmlformats.org/officeDocument/2006/relationships/oleObject" Target="embeddings/oleObject8901.bin"/>
  <Relationship Id="rId1149" Type="http://schemas.openxmlformats.org/officeDocument/2006/relationships/image" Target="media/image7826.wmf"/>
  <Relationship Id="rId115" Type="http://schemas.openxmlformats.org/officeDocument/2006/relationships/image" Target="media/image3060.wmf"/>
  <Relationship Id="rId1150" Type="http://schemas.openxmlformats.org/officeDocument/2006/relationships/oleObject" Target="embeddings/oleObject8902.bin"/>
  <Relationship Id="rId1151" Type="http://schemas.openxmlformats.org/officeDocument/2006/relationships/image" Target="media/image7827.wmf"/>
  <Relationship Id="rId1152" Type="http://schemas.openxmlformats.org/officeDocument/2006/relationships/oleObject" Target="embeddings/oleObject8903.bin"/>
  <Relationship Id="rId1153" Type="http://schemas.openxmlformats.org/officeDocument/2006/relationships/image" Target="media/image7828.wmf"/>
  <Relationship Id="rId1154" Type="http://schemas.openxmlformats.org/officeDocument/2006/relationships/oleObject" Target="embeddings/oleObject8904.bin"/>
  <Relationship Id="rId1155" Type="http://schemas.openxmlformats.org/officeDocument/2006/relationships/image" Target="media/image7829.wmf"/>
  <Relationship Id="rId1156" Type="http://schemas.openxmlformats.org/officeDocument/2006/relationships/oleObject" Target="embeddings/oleObject8905.bin"/>
  <Relationship Id="rId1157" Type="http://schemas.openxmlformats.org/officeDocument/2006/relationships/image" Target="media/image7830.wmf"/>
  <Relationship Id="rId1158" Type="http://schemas.openxmlformats.org/officeDocument/2006/relationships/oleObject" Target="embeddings/oleObject8906.bin"/>
  <Relationship Id="rId1159" Type="http://schemas.openxmlformats.org/officeDocument/2006/relationships/image" Target="media/image7831.wmf"/>
  <Relationship Id="rId116" Type="http://schemas.openxmlformats.org/officeDocument/2006/relationships/oleObject" Target="embeddings/oleObject4158.bin"/>
  <Relationship Id="rId1160" Type="http://schemas.openxmlformats.org/officeDocument/2006/relationships/oleObject" Target="embeddings/oleObject8907.bin"/>
  <Relationship Id="rId1161" Type="http://schemas.openxmlformats.org/officeDocument/2006/relationships/image" Target="media/image7837.wmf"/>
  <Relationship Id="rId1162" Type="http://schemas.openxmlformats.org/officeDocument/2006/relationships/oleObject" Target="embeddings/oleObject8913.bin"/>
  <Relationship Id="rId1163" Type="http://schemas.openxmlformats.org/officeDocument/2006/relationships/image" Target="media/image125.png"/>
  <Relationship Id="rId1164" Type="http://schemas.openxmlformats.org/officeDocument/2006/relationships/image" Target="media/image126.png"/>
  <Relationship Id="rId1165" Type="http://schemas.openxmlformats.org/officeDocument/2006/relationships/image" Target="media/image7928.wmf"/>
  <Relationship Id="rId1166" Type="http://schemas.openxmlformats.org/officeDocument/2006/relationships/oleObject" Target="embeddings/oleObject9004.bin"/>
  <Relationship Id="rId1167" Type="http://schemas.openxmlformats.org/officeDocument/2006/relationships/image" Target="media/image7929.wmf"/>
  <Relationship Id="rId1168" Type="http://schemas.openxmlformats.org/officeDocument/2006/relationships/oleObject" Target="embeddings/oleObject9005.bin"/>
  <Relationship Id="rId1169" Type="http://schemas.openxmlformats.org/officeDocument/2006/relationships/image" Target="media/image7930.wmf"/>
  <Relationship Id="rId117" Type="http://schemas.openxmlformats.org/officeDocument/2006/relationships/image" Target="media/image3061.wmf"/>
  <Relationship Id="rId1170" Type="http://schemas.openxmlformats.org/officeDocument/2006/relationships/oleObject" Target="embeddings/oleObject9006.bin"/>
  <Relationship Id="rId1171" Type="http://schemas.openxmlformats.org/officeDocument/2006/relationships/image" Target="media/image7931.wmf"/>
  <Relationship Id="rId1172" Type="http://schemas.openxmlformats.org/officeDocument/2006/relationships/oleObject" Target="embeddings/oleObject9007.bin"/>
  <Relationship Id="rId1173" Type="http://schemas.openxmlformats.org/officeDocument/2006/relationships/image" Target="media/image7932.wmf"/>
  <Relationship Id="rId1174" Type="http://schemas.openxmlformats.org/officeDocument/2006/relationships/oleObject" Target="embeddings/oleObject9008.bin"/>
  <Relationship Id="rId1175" Type="http://schemas.openxmlformats.org/officeDocument/2006/relationships/image" Target="media/image7933.wmf"/>
  <Relationship Id="rId1176" Type="http://schemas.openxmlformats.org/officeDocument/2006/relationships/oleObject" Target="embeddings/oleObject9009.bin"/>
  <Relationship Id="rId1177" Type="http://schemas.openxmlformats.org/officeDocument/2006/relationships/image" Target="media/image7934.wmf"/>
  <Relationship Id="rId1178" Type="http://schemas.openxmlformats.org/officeDocument/2006/relationships/oleObject" Target="embeddings/oleObject9010.bin"/>
  <Relationship Id="rId1179" Type="http://schemas.openxmlformats.org/officeDocument/2006/relationships/image" Target="media/image7935.wmf"/>
  <Relationship Id="rId118" Type="http://schemas.openxmlformats.org/officeDocument/2006/relationships/oleObject" Target="embeddings/oleObject4159.bin"/>
  <Relationship Id="rId1180" Type="http://schemas.openxmlformats.org/officeDocument/2006/relationships/oleObject" Target="embeddings/oleObject9011.bin"/>
  <Relationship Id="rId1181" Type="http://schemas.openxmlformats.org/officeDocument/2006/relationships/image" Target="media/image7936.wmf"/>
  <Relationship Id="rId1182" Type="http://schemas.openxmlformats.org/officeDocument/2006/relationships/oleObject" Target="embeddings/oleObject9012.bin"/>
  <Relationship Id="rId1183" Type="http://schemas.openxmlformats.org/officeDocument/2006/relationships/image" Target="media/image7937.wmf"/>
  <Relationship Id="rId1184" Type="http://schemas.openxmlformats.org/officeDocument/2006/relationships/oleObject" Target="embeddings/oleObject9013.bin"/>
  <Relationship Id="rId1185" Type="http://schemas.openxmlformats.org/officeDocument/2006/relationships/image" Target="media/image7938.wmf"/>
  <Relationship Id="rId1186" Type="http://schemas.openxmlformats.org/officeDocument/2006/relationships/oleObject" Target="embeddings/oleObject9014.bin"/>
  <Relationship Id="rId1187" Type="http://schemas.openxmlformats.org/officeDocument/2006/relationships/image" Target="media/image7939.wmf"/>
  <Relationship Id="rId1188" Type="http://schemas.openxmlformats.org/officeDocument/2006/relationships/oleObject" Target="embeddings/oleObject9015.bin"/>
  <Relationship Id="rId1189" Type="http://schemas.openxmlformats.org/officeDocument/2006/relationships/image" Target="media/image7940.wmf"/>
  <Relationship Id="rId119" Type="http://schemas.openxmlformats.org/officeDocument/2006/relationships/image" Target="media/image3062.wmf"/>
  <Relationship Id="rId1190" Type="http://schemas.openxmlformats.org/officeDocument/2006/relationships/oleObject" Target="embeddings/oleObject9016.bin"/>
  <Relationship Id="rId1191" Type="http://schemas.openxmlformats.org/officeDocument/2006/relationships/image" Target="media/image7941.wmf"/>
  <Relationship Id="rId1192" Type="http://schemas.openxmlformats.org/officeDocument/2006/relationships/oleObject" Target="embeddings/oleObject9017.bin"/>
  <Relationship Id="rId1193" Type="http://schemas.openxmlformats.org/officeDocument/2006/relationships/image" Target="media/image7942.wmf"/>
  <Relationship Id="rId1194" Type="http://schemas.openxmlformats.org/officeDocument/2006/relationships/oleObject" Target="embeddings/oleObject9018.bin"/>
  <Relationship Id="rId1195" Type="http://schemas.openxmlformats.org/officeDocument/2006/relationships/image" Target="media/image7943.wmf"/>
  <Relationship Id="rId1196" Type="http://schemas.openxmlformats.org/officeDocument/2006/relationships/oleObject" Target="embeddings/oleObject9019.bin"/>
  <Relationship Id="rId1197" Type="http://schemas.openxmlformats.org/officeDocument/2006/relationships/image" Target="media/image7944.wmf"/>
  <Relationship Id="rId1198" Type="http://schemas.openxmlformats.org/officeDocument/2006/relationships/oleObject" Target="embeddings/oleObject9020.bin"/>
  <Relationship Id="rId1199" Type="http://schemas.openxmlformats.org/officeDocument/2006/relationships/image" Target="media/image7945.wmf"/>
  <Relationship Id="rId12" Type="http://schemas.openxmlformats.org/officeDocument/2006/relationships/oleObject" Target="embeddings/oleObject854.bin"/>
  <Relationship Id="rId120" Type="http://schemas.openxmlformats.org/officeDocument/2006/relationships/oleObject" Target="embeddings/oleObject4160.bin"/>
  <Relationship Id="rId1200" Type="http://schemas.openxmlformats.org/officeDocument/2006/relationships/oleObject" Target="embeddings/oleObject9021.bin"/>
  <Relationship Id="rId1201" Type="http://schemas.openxmlformats.org/officeDocument/2006/relationships/image" Target="media/image8046.wmf"/>
  <Relationship Id="rId1202" Type="http://schemas.openxmlformats.org/officeDocument/2006/relationships/oleObject" Target="embeddings/oleObject9122.bin"/>
  <Relationship Id="rId1203" Type="http://schemas.openxmlformats.org/officeDocument/2006/relationships/image" Target="media/image8047.wmf"/>
  <Relationship Id="rId1204" Type="http://schemas.openxmlformats.org/officeDocument/2006/relationships/oleObject" Target="embeddings/oleObject9123.bin"/>
  <Relationship Id="rId1205" Type="http://schemas.openxmlformats.org/officeDocument/2006/relationships/image" Target="media/image8048.wmf"/>
  <Relationship Id="rId1206" Type="http://schemas.openxmlformats.org/officeDocument/2006/relationships/oleObject" Target="embeddings/oleObject9124.bin"/>
  <Relationship Id="rId1207" Type="http://schemas.openxmlformats.org/officeDocument/2006/relationships/image" Target="media/image8049.wmf"/>
  <Relationship Id="rId1208" Type="http://schemas.openxmlformats.org/officeDocument/2006/relationships/oleObject" Target="embeddings/oleObject9125.bin"/>
  <Relationship Id="rId1209" Type="http://schemas.openxmlformats.org/officeDocument/2006/relationships/image" Target="media/image8050.wmf"/>
  <Relationship Id="rId121" Type="http://schemas.openxmlformats.org/officeDocument/2006/relationships/image" Target="media/image3063.wmf"/>
  <Relationship Id="rId1210" Type="http://schemas.openxmlformats.org/officeDocument/2006/relationships/oleObject" Target="embeddings/oleObject9126.bin"/>
  <Relationship Id="rId1211" Type="http://schemas.openxmlformats.org/officeDocument/2006/relationships/image" Target="media/image8051.wmf"/>
  <Relationship Id="rId1212" Type="http://schemas.openxmlformats.org/officeDocument/2006/relationships/oleObject" Target="embeddings/oleObject9127.bin"/>
  <Relationship Id="rId1213" Type="http://schemas.openxmlformats.org/officeDocument/2006/relationships/image" Target="media/image8052.wmf"/>
  <Relationship Id="rId1214" Type="http://schemas.openxmlformats.org/officeDocument/2006/relationships/oleObject" Target="embeddings/oleObject9128.bin"/>
  <Relationship Id="rId1215" Type="http://schemas.openxmlformats.org/officeDocument/2006/relationships/image" Target="media/image8053.wmf"/>
  <Relationship Id="rId1216" Type="http://schemas.openxmlformats.org/officeDocument/2006/relationships/oleObject" Target="embeddings/oleObject9129.bin"/>
  <Relationship Id="rId1217" Type="http://schemas.openxmlformats.org/officeDocument/2006/relationships/image" Target="media/image8054.wmf"/>
  <Relationship Id="rId1218" Type="http://schemas.openxmlformats.org/officeDocument/2006/relationships/oleObject" Target="embeddings/oleObject9130.bin"/>
  <Relationship Id="rId1219" Type="http://schemas.openxmlformats.org/officeDocument/2006/relationships/image" Target="media/image8055.wmf"/>
  <Relationship Id="rId122" Type="http://schemas.openxmlformats.org/officeDocument/2006/relationships/oleObject" Target="embeddings/oleObject4161.bin"/>
  <Relationship Id="rId1220" Type="http://schemas.openxmlformats.org/officeDocument/2006/relationships/oleObject" Target="embeddings/oleObject9131.bin"/>
  <Relationship Id="rId1221" Type="http://schemas.openxmlformats.org/officeDocument/2006/relationships/image" Target="media/image8056.wmf"/>
  <Relationship Id="rId1222" Type="http://schemas.openxmlformats.org/officeDocument/2006/relationships/oleObject" Target="embeddings/oleObject9132.bin"/>
  <Relationship Id="rId1223" Type="http://schemas.openxmlformats.org/officeDocument/2006/relationships/image" Target="media/image8057.wmf"/>
  <Relationship Id="rId1224" Type="http://schemas.openxmlformats.org/officeDocument/2006/relationships/oleObject" Target="embeddings/oleObject9133.bin"/>
  <Relationship Id="rId1225" Type="http://schemas.openxmlformats.org/officeDocument/2006/relationships/image" Target="media/image8058.wmf"/>
  <Relationship Id="rId1226" Type="http://schemas.openxmlformats.org/officeDocument/2006/relationships/oleObject" Target="embeddings/oleObject9134.bin"/>
  <Relationship Id="rId1227" Type="http://schemas.openxmlformats.org/officeDocument/2006/relationships/image" Target="media/image8059.wmf"/>
  <Relationship Id="rId1228" Type="http://schemas.openxmlformats.org/officeDocument/2006/relationships/oleObject" Target="embeddings/oleObject9135.bin"/>
  <Relationship Id="rId1229" Type="http://schemas.openxmlformats.org/officeDocument/2006/relationships/image" Target="media/image8060.wmf"/>
  <Relationship Id="rId123" Type="http://schemas.openxmlformats.org/officeDocument/2006/relationships/image" Target="media/image3064.wmf"/>
  <Relationship Id="rId1230" Type="http://schemas.openxmlformats.org/officeDocument/2006/relationships/oleObject" Target="embeddings/oleObject9136.bin"/>
  <Relationship Id="rId1231" Type="http://schemas.openxmlformats.org/officeDocument/2006/relationships/image" Target="media/image8061.wmf"/>
  <Relationship Id="rId1232" Type="http://schemas.openxmlformats.org/officeDocument/2006/relationships/oleObject" Target="embeddings/oleObject9137.bin"/>
  <Relationship Id="rId1233" Type="http://schemas.openxmlformats.org/officeDocument/2006/relationships/image" Target="media/image8062.wmf"/>
  <Relationship Id="rId1234" Type="http://schemas.openxmlformats.org/officeDocument/2006/relationships/oleObject" Target="embeddings/oleObject9138.bin"/>
  <Relationship Id="rId1235" Type="http://schemas.openxmlformats.org/officeDocument/2006/relationships/image" Target="media/image8063.wmf"/>
  <Relationship Id="rId1236" Type="http://schemas.openxmlformats.org/officeDocument/2006/relationships/oleObject" Target="embeddings/oleObject9139.bin"/>
  <Relationship Id="rId1237" Type="http://schemas.openxmlformats.org/officeDocument/2006/relationships/image" Target="media/image8064.wmf"/>
  <Relationship Id="rId1238" Type="http://schemas.openxmlformats.org/officeDocument/2006/relationships/oleObject" Target="embeddings/oleObject9140.bin"/>
  <Relationship Id="rId1239" Type="http://schemas.openxmlformats.org/officeDocument/2006/relationships/image" Target="media/image8065.wmf"/>
  <Relationship Id="rId124" Type="http://schemas.openxmlformats.org/officeDocument/2006/relationships/oleObject" Target="embeddings/oleObject4162.bin"/>
  <Relationship Id="rId1240" Type="http://schemas.openxmlformats.org/officeDocument/2006/relationships/oleObject" Target="embeddings/oleObject9141.bin"/>
  <Relationship Id="rId1241" Type="http://schemas.openxmlformats.org/officeDocument/2006/relationships/image" Target="media/image8072.wmf"/>
  <Relationship Id="rId1242" Type="http://schemas.openxmlformats.org/officeDocument/2006/relationships/oleObject" Target="embeddings/oleObject9148.bin"/>
  <Relationship Id="rId1243" Type="http://schemas.openxmlformats.org/officeDocument/2006/relationships/image" Target="media/image8275.wmf"/>
  <Relationship Id="rId1244" Type="http://schemas.openxmlformats.org/officeDocument/2006/relationships/oleObject" Target="embeddings/oleObject9351.bin"/>
  <Relationship Id="rId1245" Type="http://schemas.openxmlformats.org/officeDocument/2006/relationships/image" Target="media/image8276.wmf"/>
  <Relationship Id="rId1246" Type="http://schemas.openxmlformats.org/officeDocument/2006/relationships/oleObject" Target="embeddings/oleObject9352.bin"/>
  <Relationship Id="rId1247" Type="http://schemas.openxmlformats.org/officeDocument/2006/relationships/image" Target="media/image8277.wmf"/>
  <Relationship Id="rId1248" Type="http://schemas.openxmlformats.org/officeDocument/2006/relationships/oleObject" Target="embeddings/oleObject9353.bin"/>
  <Relationship Id="rId1249" Type="http://schemas.openxmlformats.org/officeDocument/2006/relationships/image" Target="media/image8278.wmf"/>
  <Relationship Id="rId125" Type="http://schemas.openxmlformats.org/officeDocument/2006/relationships/image" Target="media/image3065.wmf"/>
  <Relationship Id="rId1250" Type="http://schemas.openxmlformats.org/officeDocument/2006/relationships/oleObject" Target="embeddings/oleObject9354.bin"/>
  <Relationship Id="rId1251" Type="http://schemas.openxmlformats.org/officeDocument/2006/relationships/image" Target="media/image8279.wmf"/>
  <Relationship Id="rId1252" Type="http://schemas.openxmlformats.org/officeDocument/2006/relationships/oleObject" Target="embeddings/oleObject9355.bin"/>
  <Relationship Id="rId1253" Type="http://schemas.openxmlformats.org/officeDocument/2006/relationships/image" Target="media/image8280.wmf"/>
  <Relationship Id="rId1254" Type="http://schemas.openxmlformats.org/officeDocument/2006/relationships/oleObject" Target="embeddings/oleObject9356.bin"/>
  <Relationship Id="rId1255" Type="http://schemas.openxmlformats.org/officeDocument/2006/relationships/image" Target="media/image8281.wmf"/>
  <Relationship Id="rId1256" Type="http://schemas.openxmlformats.org/officeDocument/2006/relationships/oleObject" Target="embeddings/oleObject9357.bin"/>
  <Relationship Id="rId1257" Type="http://schemas.openxmlformats.org/officeDocument/2006/relationships/image" Target="media/image8282.wmf"/>
  <Relationship Id="rId1258" Type="http://schemas.openxmlformats.org/officeDocument/2006/relationships/oleObject" Target="embeddings/oleObject9358.bin"/>
  <Relationship Id="rId1259" Type="http://schemas.openxmlformats.org/officeDocument/2006/relationships/image" Target="media/image8283.wmf"/>
  <Relationship Id="rId126" Type="http://schemas.openxmlformats.org/officeDocument/2006/relationships/oleObject" Target="embeddings/oleObject4163.bin"/>
  <Relationship Id="rId1260" Type="http://schemas.openxmlformats.org/officeDocument/2006/relationships/oleObject" Target="embeddings/oleObject9359.bin"/>
  <Relationship Id="rId1261" Type="http://schemas.openxmlformats.org/officeDocument/2006/relationships/image" Target="media/image8284.wmf"/>
  <Relationship Id="rId1262" Type="http://schemas.openxmlformats.org/officeDocument/2006/relationships/oleObject" Target="embeddings/oleObject9360.bin"/>
  <Relationship Id="rId1263" Type="http://schemas.openxmlformats.org/officeDocument/2006/relationships/image" Target="media/image8285.wmf"/>
  <Relationship Id="rId1264" Type="http://schemas.openxmlformats.org/officeDocument/2006/relationships/oleObject" Target="embeddings/oleObject9361.bin"/>
  <Relationship Id="rId1265" Type="http://schemas.openxmlformats.org/officeDocument/2006/relationships/image" Target="media/image8286.wmf"/>
  <Relationship Id="rId1266" Type="http://schemas.openxmlformats.org/officeDocument/2006/relationships/oleObject" Target="embeddings/oleObject9362.bin"/>
  <Relationship Id="rId1267" Type="http://schemas.openxmlformats.org/officeDocument/2006/relationships/image" Target="media/image8287.wmf"/>
  <Relationship Id="rId1268" Type="http://schemas.openxmlformats.org/officeDocument/2006/relationships/oleObject" Target="embeddings/oleObject9363.bin"/>
  <Relationship Id="rId1269" Type="http://schemas.openxmlformats.org/officeDocument/2006/relationships/image" Target="media/image8288.wmf"/>
  <Relationship Id="rId127" Type="http://schemas.openxmlformats.org/officeDocument/2006/relationships/image" Target="media/image3066.wmf"/>
  <Relationship Id="rId1270" Type="http://schemas.openxmlformats.org/officeDocument/2006/relationships/oleObject" Target="embeddings/oleObject9364.bin"/>
  <Relationship Id="rId1271" Type="http://schemas.openxmlformats.org/officeDocument/2006/relationships/image" Target="media/image8289.wmf"/>
  <Relationship Id="rId1272" Type="http://schemas.openxmlformats.org/officeDocument/2006/relationships/oleObject" Target="embeddings/oleObject9365.bin"/>
  <Relationship Id="rId1273" Type="http://schemas.openxmlformats.org/officeDocument/2006/relationships/image" Target="media/image8290.wmf"/>
  <Relationship Id="rId1274" Type="http://schemas.openxmlformats.org/officeDocument/2006/relationships/oleObject" Target="embeddings/oleObject9366.bin"/>
  <Relationship Id="rId1275" Type="http://schemas.openxmlformats.org/officeDocument/2006/relationships/image" Target="media/image8291.wmf"/>
  <Relationship Id="rId1276" Type="http://schemas.openxmlformats.org/officeDocument/2006/relationships/oleObject" Target="embeddings/oleObject9367.bin"/>
  <Relationship Id="rId1277" Type="http://schemas.openxmlformats.org/officeDocument/2006/relationships/image" Target="media/image8292.wmf"/>
  <Relationship Id="rId1278" Type="http://schemas.openxmlformats.org/officeDocument/2006/relationships/oleObject" Target="embeddings/oleObject9368.bin"/>
  <Relationship Id="rId1279" Type="http://schemas.openxmlformats.org/officeDocument/2006/relationships/image" Target="media/image8293.wmf"/>
  <Relationship Id="rId128" Type="http://schemas.openxmlformats.org/officeDocument/2006/relationships/oleObject" Target="embeddings/oleObject4164.bin"/>
  <Relationship Id="rId1280" Type="http://schemas.openxmlformats.org/officeDocument/2006/relationships/oleObject" Target="embeddings/oleObject9369.bin"/>
  <Relationship Id="rId1281" Type="http://schemas.openxmlformats.org/officeDocument/2006/relationships/image" Target="media/image8294.wmf"/>
  <Relationship Id="rId1282" Type="http://schemas.openxmlformats.org/officeDocument/2006/relationships/oleObject" Target="embeddings/oleObject9370.bin"/>
  <Relationship Id="rId1283" Type="http://schemas.openxmlformats.org/officeDocument/2006/relationships/image" Target="media/image8295.wmf"/>
  <Relationship Id="rId1284" Type="http://schemas.openxmlformats.org/officeDocument/2006/relationships/oleObject" Target="embeddings/oleObject9371.bin"/>
  <Relationship Id="rId1285" Type="http://schemas.openxmlformats.org/officeDocument/2006/relationships/image" Target="media/image8296.wmf"/>
  <Relationship Id="rId1286" Type="http://schemas.openxmlformats.org/officeDocument/2006/relationships/oleObject" Target="embeddings/oleObject9372.bin"/>
  <Relationship Id="rId1287" Type="http://schemas.openxmlformats.org/officeDocument/2006/relationships/image" Target="media/image8297.wmf"/>
  <Relationship Id="rId1288" Type="http://schemas.openxmlformats.org/officeDocument/2006/relationships/oleObject" Target="embeddings/oleObject9373.bin"/>
  <Relationship Id="rId1289" Type="http://schemas.openxmlformats.org/officeDocument/2006/relationships/image" Target="media/image8298.wmf"/>
  <Relationship Id="rId129" Type="http://schemas.openxmlformats.org/officeDocument/2006/relationships/image" Target="media/image3067.wmf"/>
  <Relationship Id="rId1290" Type="http://schemas.openxmlformats.org/officeDocument/2006/relationships/oleObject" Target="embeddings/oleObject9374.bin"/>
  <Relationship Id="rId1291" Type="http://schemas.openxmlformats.org/officeDocument/2006/relationships/image" Target="media/image8299.wmf"/>
  <Relationship Id="rId1292" Type="http://schemas.openxmlformats.org/officeDocument/2006/relationships/oleObject" Target="embeddings/oleObject9375.bin"/>
  <Relationship Id="rId1293" Type="http://schemas.openxmlformats.org/officeDocument/2006/relationships/image" Target="media/image8300.wmf"/>
  <Relationship Id="rId1294" Type="http://schemas.openxmlformats.org/officeDocument/2006/relationships/oleObject" Target="embeddings/oleObject9376.bin"/>
  <Relationship Id="rId1295" Type="http://schemas.openxmlformats.org/officeDocument/2006/relationships/image" Target="media/image8301.wmf"/>
  <Relationship Id="rId1296" Type="http://schemas.openxmlformats.org/officeDocument/2006/relationships/oleObject" Target="embeddings/oleObject9377.bin"/>
  <Relationship Id="rId1297" Type="http://schemas.openxmlformats.org/officeDocument/2006/relationships/image" Target="media/image8302.wmf"/>
  <Relationship Id="rId1298" Type="http://schemas.openxmlformats.org/officeDocument/2006/relationships/oleObject" Target="embeddings/oleObject9378.bin"/>
  <Relationship Id="rId1299" Type="http://schemas.openxmlformats.org/officeDocument/2006/relationships/image" Target="media/image8303.wmf"/>
  <Relationship Id="rId13" Type="http://schemas.openxmlformats.org/officeDocument/2006/relationships/oleObject" Target="embeddings/oleObject9.bin"/>
  <Relationship Id="rId130" Type="http://schemas.openxmlformats.org/officeDocument/2006/relationships/oleObject" Target="embeddings/oleObject4165.bin"/>
  <Relationship Id="rId1300" Type="http://schemas.openxmlformats.org/officeDocument/2006/relationships/oleObject" Target="embeddings/oleObject9379.bin"/>
  <Relationship Id="rId1301" Type="http://schemas.openxmlformats.org/officeDocument/2006/relationships/image" Target="media/image8304.wmf"/>
  <Relationship Id="rId1302" Type="http://schemas.openxmlformats.org/officeDocument/2006/relationships/oleObject" Target="embeddings/oleObject9380.bin"/>
  <Relationship Id="rId1303" Type="http://schemas.openxmlformats.org/officeDocument/2006/relationships/image" Target="media/image8305.wmf"/>
  <Relationship Id="rId1304" Type="http://schemas.openxmlformats.org/officeDocument/2006/relationships/oleObject" Target="embeddings/oleObject9381.bin"/>
  <Relationship Id="rId1305" Type="http://schemas.openxmlformats.org/officeDocument/2006/relationships/image" Target="media/image8306.wmf"/>
  <Relationship Id="rId1306" Type="http://schemas.openxmlformats.org/officeDocument/2006/relationships/oleObject" Target="embeddings/oleObject9382.bin"/>
  <Relationship Id="rId1307" Type="http://schemas.openxmlformats.org/officeDocument/2006/relationships/image" Target="media/image8307.wmf"/>
  <Relationship Id="rId1308" Type="http://schemas.openxmlformats.org/officeDocument/2006/relationships/oleObject" Target="embeddings/oleObject9383.bin"/>
  <Relationship Id="rId1309" Type="http://schemas.openxmlformats.org/officeDocument/2006/relationships/image" Target="media/image8308.wmf"/>
  <Relationship Id="rId131" Type="http://schemas.openxmlformats.org/officeDocument/2006/relationships/image" Target="media/image3068.wmf"/>
  <Relationship Id="rId1310" Type="http://schemas.openxmlformats.org/officeDocument/2006/relationships/oleObject" Target="embeddings/oleObject9384.bin"/>
  <Relationship Id="rId1311" Type="http://schemas.openxmlformats.org/officeDocument/2006/relationships/image" Target="media/image8309.wmf"/>
  <Relationship Id="rId1312" Type="http://schemas.openxmlformats.org/officeDocument/2006/relationships/oleObject" Target="embeddings/oleObject9385.bin"/>
  <Relationship Id="rId1313" Type="http://schemas.openxmlformats.org/officeDocument/2006/relationships/image" Target="media/image8310.wmf"/>
  <Relationship Id="rId1314" Type="http://schemas.openxmlformats.org/officeDocument/2006/relationships/oleObject" Target="embeddings/oleObject9386.bin"/>
  <Relationship Id="rId1315" Type="http://schemas.openxmlformats.org/officeDocument/2006/relationships/image" Target="media/image8311.wmf"/>
  <Relationship Id="rId1316" Type="http://schemas.openxmlformats.org/officeDocument/2006/relationships/oleObject" Target="embeddings/oleObject9387.bin"/>
  <Relationship Id="rId1317" Type="http://schemas.openxmlformats.org/officeDocument/2006/relationships/image" Target="media/image8312.wmf"/>
  <Relationship Id="rId1318" Type="http://schemas.openxmlformats.org/officeDocument/2006/relationships/oleObject" Target="embeddings/oleObject9388.bin"/>
  <Relationship Id="rId1319" Type="http://schemas.openxmlformats.org/officeDocument/2006/relationships/image" Target="media/image8313.wmf"/>
  <Relationship Id="rId132" Type="http://schemas.openxmlformats.org/officeDocument/2006/relationships/oleObject" Target="embeddings/oleObject4166.bin"/>
  <Relationship Id="rId1320" Type="http://schemas.openxmlformats.org/officeDocument/2006/relationships/oleObject" Target="embeddings/oleObject9389.bin"/>
  <Relationship Id="rId1321" Type="http://schemas.openxmlformats.org/officeDocument/2006/relationships/image" Target="media/image8314.wmf"/>
  <Relationship Id="rId1322" Type="http://schemas.openxmlformats.org/officeDocument/2006/relationships/oleObject" Target="embeddings/oleObject9390.bin"/>
  <Relationship Id="rId1323" Type="http://schemas.openxmlformats.org/officeDocument/2006/relationships/image" Target="media/image8320.wmf"/>
  <Relationship Id="rId1324" Type="http://schemas.openxmlformats.org/officeDocument/2006/relationships/oleObject" Target="embeddings/oleObject9396.bin"/>
  <Relationship Id="rId1325" Type="http://schemas.openxmlformats.org/officeDocument/2006/relationships/image" Target="media/image8520.wmf"/>
  <Relationship Id="rId1326" Type="http://schemas.openxmlformats.org/officeDocument/2006/relationships/oleObject" Target="embeddings/oleObject9596.bin"/>
  <Relationship Id="rId1327" Type="http://schemas.openxmlformats.org/officeDocument/2006/relationships/image" Target="media/image8521.wmf"/>
  <Relationship Id="rId1328" Type="http://schemas.openxmlformats.org/officeDocument/2006/relationships/oleObject" Target="embeddings/oleObject9597.bin"/>
  <Relationship Id="rId1329" Type="http://schemas.openxmlformats.org/officeDocument/2006/relationships/image" Target="media/image8522.wmf"/>
  <Relationship Id="rId133" Type="http://schemas.openxmlformats.org/officeDocument/2006/relationships/image" Target="media/image3069.wmf"/>
  <Relationship Id="rId1330" Type="http://schemas.openxmlformats.org/officeDocument/2006/relationships/oleObject" Target="embeddings/oleObject9598.bin"/>
  <Relationship Id="rId1331" Type="http://schemas.openxmlformats.org/officeDocument/2006/relationships/image" Target="media/image8523.wmf"/>
  <Relationship Id="rId1332" Type="http://schemas.openxmlformats.org/officeDocument/2006/relationships/oleObject" Target="embeddings/oleObject9599.bin"/>
  <Relationship Id="rId1333" Type="http://schemas.openxmlformats.org/officeDocument/2006/relationships/image" Target="media/image8524.wmf"/>
  <Relationship Id="rId1334" Type="http://schemas.openxmlformats.org/officeDocument/2006/relationships/oleObject" Target="embeddings/oleObject9600.bin"/>
  <Relationship Id="rId1335" Type="http://schemas.openxmlformats.org/officeDocument/2006/relationships/image" Target="media/image8525.wmf"/>
  <Relationship Id="rId1336" Type="http://schemas.openxmlformats.org/officeDocument/2006/relationships/oleObject" Target="embeddings/oleObject9601.bin"/>
  <Relationship Id="rId1337" Type="http://schemas.openxmlformats.org/officeDocument/2006/relationships/image" Target="media/image8526.wmf"/>
  <Relationship Id="rId1338" Type="http://schemas.openxmlformats.org/officeDocument/2006/relationships/oleObject" Target="embeddings/oleObject9602.bin"/>
  <Relationship Id="rId1339" Type="http://schemas.openxmlformats.org/officeDocument/2006/relationships/image" Target="media/image8527.wmf"/>
  <Relationship Id="rId134" Type="http://schemas.openxmlformats.org/officeDocument/2006/relationships/oleObject" Target="embeddings/oleObject4167.bin"/>
  <Relationship Id="rId1340" Type="http://schemas.openxmlformats.org/officeDocument/2006/relationships/oleObject" Target="embeddings/oleObject9603.bin"/>
  <Relationship Id="rId1341" Type="http://schemas.openxmlformats.org/officeDocument/2006/relationships/image" Target="media/image8528.wmf"/>
  <Relationship Id="rId1342" Type="http://schemas.openxmlformats.org/officeDocument/2006/relationships/oleObject" Target="embeddings/oleObject9604.bin"/>
  <Relationship Id="rId1343" Type="http://schemas.openxmlformats.org/officeDocument/2006/relationships/image" Target="media/image8529.wmf"/>
  <Relationship Id="rId1344" Type="http://schemas.openxmlformats.org/officeDocument/2006/relationships/oleObject" Target="embeddings/oleObject9605.bin"/>
  <Relationship Id="rId1345" Type="http://schemas.openxmlformats.org/officeDocument/2006/relationships/image" Target="media/image8530.wmf"/>
  <Relationship Id="rId1346" Type="http://schemas.openxmlformats.org/officeDocument/2006/relationships/oleObject" Target="embeddings/oleObject9606.bin"/>
  <Relationship Id="rId1347" Type="http://schemas.openxmlformats.org/officeDocument/2006/relationships/image" Target="media/image8531.wmf"/>
  <Relationship Id="rId1348" Type="http://schemas.openxmlformats.org/officeDocument/2006/relationships/oleObject" Target="embeddings/oleObject9607.bin"/>
  <Relationship Id="rId1349" Type="http://schemas.openxmlformats.org/officeDocument/2006/relationships/image" Target="media/image8532.wmf"/>
  <Relationship Id="rId135" Type="http://schemas.openxmlformats.org/officeDocument/2006/relationships/image" Target="media/image3070.wmf"/>
  <Relationship Id="rId1350" Type="http://schemas.openxmlformats.org/officeDocument/2006/relationships/oleObject" Target="embeddings/oleObject9608.bin"/>
  <Relationship Id="rId1351" Type="http://schemas.openxmlformats.org/officeDocument/2006/relationships/image" Target="media/image8533.wmf"/>
  <Relationship Id="rId1352" Type="http://schemas.openxmlformats.org/officeDocument/2006/relationships/oleObject" Target="embeddings/oleObject9609.bin"/>
  <Relationship Id="rId1353" Type="http://schemas.openxmlformats.org/officeDocument/2006/relationships/image" Target="media/image8534.wmf"/>
  <Relationship Id="rId1354" Type="http://schemas.openxmlformats.org/officeDocument/2006/relationships/oleObject" Target="embeddings/oleObject9610.bin"/>
  <Relationship Id="rId1355" Type="http://schemas.openxmlformats.org/officeDocument/2006/relationships/image" Target="media/image8535.wmf"/>
  <Relationship Id="rId1356" Type="http://schemas.openxmlformats.org/officeDocument/2006/relationships/oleObject" Target="embeddings/oleObject9611.bin"/>
  <Relationship Id="rId1357" Type="http://schemas.openxmlformats.org/officeDocument/2006/relationships/image" Target="media/image8536.wmf"/>
  <Relationship Id="rId1358" Type="http://schemas.openxmlformats.org/officeDocument/2006/relationships/oleObject" Target="embeddings/oleObject9612.bin"/>
  <Relationship Id="rId1359" Type="http://schemas.openxmlformats.org/officeDocument/2006/relationships/image" Target="media/image8537.wmf"/>
  <Relationship Id="rId136" Type="http://schemas.openxmlformats.org/officeDocument/2006/relationships/oleObject" Target="embeddings/oleObject4168.bin"/>
  <Relationship Id="rId1360" Type="http://schemas.openxmlformats.org/officeDocument/2006/relationships/oleObject" Target="embeddings/oleObject9613.bin"/>
  <Relationship Id="rId1361" Type="http://schemas.openxmlformats.org/officeDocument/2006/relationships/image" Target="media/image8538.wmf"/>
  <Relationship Id="rId1362" Type="http://schemas.openxmlformats.org/officeDocument/2006/relationships/oleObject" Target="embeddings/oleObject9614.bin"/>
  <Relationship Id="rId1363" Type="http://schemas.openxmlformats.org/officeDocument/2006/relationships/image" Target="media/image8539.wmf"/>
  <Relationship Id="rId1364" Type="http://schemas.openxmlformats.org/officeDocument/2006/relationships/oleObject" Target="embeddings/oleObject9615.bin"/>
  <Relationship Id="rId1365" Type="http://schemas.openxmlformats.org/officeDocument/2006/relationships/image" Target="media/image8540.wmf"/>
  <Relationship Id="rId1366" Type="http://schemas.openxmlformats.org/officeDocument/2006/relationships/oleObject" Target="embeddings/oleObject9616.bin"/>
  <Relationship Id="rId1367" Type="http://schemas.openxmlformats.org/officeDocument/2006/relationships/image" Target="media/image8541.wmf"/>
  <Relationship Id="rId1368" Type="http://schemas.openxmlformats.org/officeDocument/2006/relationships/oleObject" Target="embeddings/oleObject9617.bin"/>
  <Relationship Id="rId1369" Type="http://schemas.openxmlformats.org/officeDocument/2006/relationships/image" Target="media/image8542.wmf"/>
  <Relationship Id="rId137" Type="http://schemas.openxmlformats.org/officeDocument/2006/relationships/image" Target="media/image3071.wmf"/>
  <Relationship Id="rId1370" Type="http://schemas.openxmlformats.org/officeDocument/2006/relationships/oleObject" Target="embeddings/oleObject9618.bin"/>
  <Relationship Id="rId1371" Type="http://schemas.openxmlformats.org/officeDocument/2006/relationships/image" Target="media/image8543.wmf"/>
  <Relationship Id="rId1372" Type="http://schemas.openxmlformats.org/officeDocument/2006/relationships/oleObject" Target="embeddings/oleObject9619.bin"/>
  <Relationship Id="rId1373" Type="http://schemas.openxmlformats.org/officeDocument/2006/relationships/image" Target="media/image8544.wmf"/>
  <Relationship Id="rId1374" Type="http://schemas.openxmlformats.org/officeDocument/2006/relationships/oleObject" Target="embeddings/oleObject9620.bin"/>
  <Relationship Id="rId1375" Type="http://schemas.openxmlformats.org/officeDocument/2006/relationships/image" Target="media/image8545.wmf"/>
  <Relationship Id="rId1376" Type="http://schemas.openxmlformats.org/officeDocument/2006/relationships/oleObject" Target="embeddings/oleObject9621.bin"/>
  <Relationship Id="rId1377" Type="http://schemas.openxmlformats.org/officeDocument/2006/relationships/image" Target="media/image8546.wmf"/>
  <Relationship Id="rId1378" Type="http://schemas.openxmlformats.org/officeDocument/2006/relationships/oleObject" Target="embeddings/oleObject9622.bin"/>
  <Relationship Id="rId1379" Type="http://schemas.openxmlformats.org/officeDocument/2006/relationships/image" Target="media/image8547.wmf"/>
  <Relationship Id="rId138" Type="http://schemas.openxmlformats.org/officeDocument/2006/relationships/oleObject" Target="embeddings/oleObject4169.bin"/>
  <Relationship Id="rId1380" Type="http://schemas.openxmlformats.org/officeDocument/2006/relationships/oleObject" Target="embeddings/oleObject9623.bin"/>
  <Relationship Id="rId1381" Type="http://schemas.openxmlformats.org/officeDocument/2006/relationships/image" Target="media/image8548.wmf"/>
  <Relationship Id="rId1382" Type="http://schemas.openxmlformats.org/officeDocument/2006/relationships/oleObject" Target="embeddings/oleObject9624.bin"/>
  <Relationship Id="rId1383" Type="http://schemas.openxmlformats.org/officeDocument/2006/relationships/image" Target="media/image8549.wmf"/>
  <Relationship Id="rId1384" Type="http://schemas.openxmlformats.org/officeDocument/2006/relationships/oleObject" Target="embeddings/oleObject9625.bin"/>
  <Relationship Id="rId1385" Type="http://schemas.openxmlformats.org/officeDocument/2006/relationships/image" Target="media/image8550.wmf"/>
  <Relationship Id="rId1386" Type="http://schemas.openxmlformats.org/officeDocument/2006/relationships/oleObject" Target="embeddings/oleObject9626.bin"/>
  <Relationship Id="rId1387" Type="http://schemas.openxmlformats.org/officeDocument/2006/relationships/image" Target="media/image8551.wmf"/>
  <Relationship Id="rId1388" Type="http://schemas.openxmlformats.org/officeDocument/2006/relationships/oleObject" Target="embeddings/oleObject9627.bin"/>
  <Relationship Id="rId1389" Type="http://schemas.openxmlformats.org/officeDocument/2006/relationships/image" Target="media/image8552.wmf"/>
  <Relationship Id="rId139" Type="http://schemas.openxmlformats.org/officeDocument/2006/relationships/image" Target="media/image3072.wmf"/>
  <Relationship Id="rId1390" Type="http://schemas.openxmlformats.org/officeDocument/2006/relationships/oleObject" Target="embeddings/oleObject9628.bin"/>
  <Relationship Id="rId1391" Type="http://schemas.openxmlformats.org/officeDocument/2006/relationships/image" Target="media/image8553.wmf"/>
  <Relationship Id="rId1392" Type="http://schemas.openxmlformats.org/officeDocument/2006/relationships/oleObject" Target="embeddings/oleObject9629.bin"/>
  <Relationship Id="rId1393" Type="http://schemas.openxmlformats.org/officeDocument/2006/relationships/image" Target="media/image8554.wmf"/>
  <Relationship Id="rId1394" Type="http://schemas.openxmlformats.org/officeDocument/2006/relationships/oleObject" Target="embeddings/oleObject9630.bin"/>
  <Relationship Id="rId1395" Type="http://schemas.openxmlformats.org/officeDocument/2006/relationships/image" Target="media/image8555.wmf"/>
  <Relationship Id="rId1396" Type="http://schemas.openxmlformats.org/officeDocument/2006/relationships/oleObject" Target="embeddings/oleObject9631.bin"/>
  <Relationship Id="rId1397" Type="http://schemas.openxmlformats.org/officeDocument/2006/relationships/image" Target="media/image8556.wmf"/>
  <Relationship Id="rId1398" Type="http://schemas.openxmlformats.org/officeDocument/2006/relationships/oleObject" Target="embeddings/oleObject9632.bin"/>
  <Relationship Id="rId1399" Type="http://schemas.openxmlformats.org/officeDocument/2006/relationships/image" Target="media/image8557.wmf"/>
  <Relationship Id="rId14" Type="http://schemas.openxmlformats.org/officeDocument/2006/relationships/endnotes" Target="endnotes.xml"/>
  <Relationship Id="rId140" Type="http://schemas.openxmlformats.org/officeDocument/2006/relationships/oleObject" Target="embeddings/oleObject4170.bin"/>
  <Relationship Id="rId1400" Type="http://schemas.openxmlformats.org/officeDocument/2006/relationships/oleObject" Target="embeddings/oleObject9633.bin"/>
  <Relationship Id="rId1401" Type="http://schemas.openxmlformats.org/officeDocument/2006/relationships/image" Target="media/image8558.wmf"/>
  <Relationship Id="rId1402" Type="http://schemas.openxmlformats.org/officeDocument/2006/relationships/oleObject" Target="embeddings/oleObject9634.bin"/>
  <Relationship Id="rId1403" Type="http://schemas.openxmlformats.org/officeDocument/2006/relationships/image" Target="media/image8559.wmf"/>
  <Relationship Id="rId1404" Type="http://schemas.openxmlformats.org/officeDocument/2006/relationships/oleObject" Target="embeddings/oleObject9635.bin"/>
  <Relationship Id="rId1405" Type="http://schemas.openxmlformats.org/officeDocument/2006/relationships/image" Target="media/image8560.wmf"/>
  <Relationship Id="rId1406" Type="http://schemas.openxmlformats.org/officeDocument/2006/relationships/oleObject" Target="embeddings/oleObject9636.bin"/>
  <Relationship Id="rId1407" Type="http://schemas.openxmlformats.org/officeDocument/2006/relationships/image" Target="media/image8561.wmf"/>
  <Relationship Id="rId1408" Type="http://schemas.openxmlformats.org/officeDocument/2006/relationships/oleObject" Target="embeddings/oleObject9637.bin"/>
  <Relationship Id="rId1409" Type="http://schemas.openxmlformats.org/officeDocument/2006/relationships/image" Target="media/image8562.wmf"/>
  <Relationship Id="rId141" Type="http://schemas.openxmlformats.org/officeDocument/2006/relationships/image" Target="media/image3073.wmf"/>
  <Relationship Id="rId1410" Type="http://schemas.openxmlformats.org/officeDocument/2006/relationships/oleObject" Target="embeddings/oleObject9638.bin"/>
  <Relationship Id="rId1411" Type="http://schemas.openxmlformats.org/officeDocument/2006/relationships/image" Target="media/image8563.wmf"/>
  <Relationship Id="rId1412" Type="http://schemas.openxmlformats.org/officeDocument/2006/relationships/oleObject" Target="embeddings/oleObject9639.bin"/>
  <Relationship Id="rId1413" Type="http://schemas.openxmlformats.org/officeDocument/2006/relationships/image" Target="media/image8592.wmf"/>
  <Relationship Id="rId1414" Type="http://schemas.openxmlformats.org/officeDocument/2006/relationships/oleObject" Target="embeddings/oleObject9668.bin"/>
  <Relationship Id="rId1415" Type="http://schemas.openxmlformats.org/officeDocument/2006/relationships/image" Target="media/image8823.wmf"/>
  <Relationship Id="rId1416" Type="http://schemas.openxmlformats.org/officeDocument/2006/relationships/oleObject" Target="embeddings/oleObject9899.bin"/>
  <Relationship Id="rId1417" Type="http://schemas.openxmlformats.org/officeDocument/2006/relationships/image" Target="media/image8824.wmf"/>
  <Relationship Id="rId1418" Type="http://schemas.openxmlformats.org/officeDocument/2006/relationships/oleObject" Target="embeddings/oleObject9900.bin"/>
  <Relationship Id="rId1419" Type="http://schemas.openxmlformats.org/officeDocument/2006/relationships/image" Target="media/image8825.wmf"/>
  <Relationship Id="rId142" Type="http://schemas.openxmlformats.org/officeDocument/2006/relationships/oleObject" Target="embeddings/oleObject4171.bin"/>
  <Relationship Id="rId1420" Type="http://schemas.openxmlformats.org/officeDocument/2006/relationships/oleObject" Target="embeddings/oleObject9901.bin"/>
  <Relationship Id="rId1421" Type="http://schemas.openxmlformats.org/officeDocument/2006/relationships/image" Target="media/image8826.wmf"/>
  <Relationship Id="rId1422" Type="http://schemas.openxmlformats.org/officeDocument/2006/relationships/oleObject" Target="embeddings/oleObject9902.bin"/>
  <Relationship Id="rId1423" Type="http://schemas.openxmlformats.org/officeDocument/2006/relationships/image" Target="media/image8827.wmf"/>
  <Relationship Id="rId1424" Type="http://schemas.openxmlformats.org/officeDocument/2006/relationships/oleObject" Target="embeddings/oleObject9903.bin"/>
  <Relationship Id="rId1425" Type="http://schemas.openxmlformats.org/officeDocument/2006/relationships/image" Target="media/image8828.wmf"/>
  <Relationship Id="rId1426" Type="http://schemas.openxmlformats.org/officeDocument/2006/relationships/oleObject" Target="embeddings/oleObject9904.bin"/>
  <Relationship Id="rId1427" Type="http://schemas.openxmlformats.org/officeDocument/2006/relationships/image" Target="media/image8829.wmf"/>
  <Relationship Id="rId1428" Type="http://schemas.openxmlformats.org/officeDocument/2006/relationships/oleObject" Target="embeddings/oleObject9905.bin"/>
  <Relationship Id="rId1429" Type="http://schemas.openxmlformats.org/officeDocument/2006/relationships/image" Target="media/image8830.wmf"/>
  <Relationship Id="rId143" Type="http://schemas.openxmlformats.org/officeDocument/2006/relationships/image" Target="media/image3074.wmf"/>
  <Relationship Id="rId1430" Type="http://schemas.openxmlformats.org/officeDocument/2006/relationships/oleObject" Target="embeddings/oleObject9906.bin"/>
  <Relationship Id="rId1431" Type="http://schemas.openxmlformats.org/officeDocument/2006/relationships/image" Target="media/image8831.wmf"/>
  <Relationship Id="rId1432" Type="http://schemas.openxmlformats.org/officeDocument/2006/relationships/oleObject" Target="embeddings/oleObject9907.bin"/>
  <Relationship Id="rId1433" Type="http://schemas.openxmlformats.org/officeDocument/2006/relationships/image" Target="media/image8832.wmf"/>
  <Relationship Id="rId1434" Type="http://schemas.openxmlformats.org/officeDocument/2006/relationships/oleObject" Target="embeddings/oleObject9908.bin"/>
  <Relationship Id="rId1435" Type="http://schemas.openxmlformats.org/officeDocument/2006/relationships/image" Target="media/image8833.wmf"/>
  <Relationship Id="rId1436" Type="http://schemas.openxmlformats.org/officeDocument/2006/relationships/oleObject" Target="embeddings/oleObject9909.bin"/>
  <Relationship Id="rId1437" Type="http://schemas.openxmlformats.org/officeDocument/2006/relationships/image" Target="media/image8834.wmf"/>
  <Relationship Id="rId1438" Type="http://schemas.openxmlformats.org/officeDocument/2006/relationships/oleObject" Target="embeddings/oleObject9910.bin"/>
  <Relationship Id="rId1439" Type="http://schemas.openxmlformats.org/officeDocument/2006/relationships/image" Target="media/image8835.wmf"/>
  <Relationship Id="rId144" Type="http://schemas.openxmlformats.org/officeDocument/2006/relationships/oleObject" Target="embeddings/oleObject4172.bin"/>
  <Relationship Id="rId1440" Type="http://schemas.openxmlformats.org/officeDocument/2006/relationships/oleObject" Target="embeddings/oleObject9911.bin"/>
  <Relationship Id="rId1441" Type="http://schemas.openxmlformats.org/officeDocument/2006/relationships/image" Target="media/image8836.wmf"/>
  <Relationship Id="rId1442" Type="http://schemas.openxmlformats.org/officeDocument/2006/relationships/oleObject" Target="embeddings/oleObject9912.bin"/>
  <Relationship Id="rId1443" Type="http://schemas.openxmlformats.org/officeDocument/2006/relationships/image" Target="media/image8837.wmf"/>
  <Relationship Id="rId1444" Type="http://schemas.openxmlformats.org/officeDocument/2006/relationships/oleObject" Target="embeddings/oleObject9913.bin"/>
  <Relationship Id="rId1445" Type="http://schemas.openxmlformats.org/officeDocument/2006/relationships/image" Target="media/image8838.wmf"/>
  <Relationship Id="rId1446" Type="http://schemas.openxmlformats.org/officeDocument/2006/relationships/oleObject" Target="embeddings/oleObject9914.bin"/>
  <Relationship Id="rId1447" Type="http://schemas.openxmlformats.org/officeDocument/2006/relationships/image" Target="media/image8839.wmf"/>
  <Relationship Id="rId1448" Type="http://schemas.openxmlformats.org/officeDocument/2006/relationships/oleObject" Target="embeddings/oleObject9915.bin"/>
  <Relationship Id="rId1449" Type="http://schemas.openxmlformats.org/officeDocument/2006/relationships/image" Target="media/image8840.wmf"/>
  <Relationship Id="rId145" Type="http://schemas.openxmlformats.org/officeDocument/2006/relationships/image" Target="media/image3075.wmf"/>
  <Relationship Id="rId1450" Type="http://schemas.openxmlformats.org/officeDocument/2006/relationships/oleObject" Target="embeddings/oleObject9916.bin"/>
  <Relationship Id="rId1451" Type="http://schemas.openxmlformats.org/officeDocument/2006/relationships/image" Target="media/image8841.wmf"/>
  <Relationship Id="rId1452" Type="http://schemas.openxmlformats.org/officeDocument/2006/relationships/oleObject" Target="embeddings/oleObject9917.bin"/>
  <Relationship Id="rId1453" Type="http://schemas.openxmlformats.org/officeDocument/2006/relationships/image" Target="media/image8842.wmf"/>
  <Relationship Id="rId1454" Type="http://schemas.openxmlformats.org/officeDocument/2006/relationships/oleObject" Target="embeddings/oleObject9918.bin"/>
  <Relationship Id="rId1455" Type="http://schemas.openxmlformats.org/officeDocument/2006/relationships/image" Target="media/image8843.wmf"/>
  <Relationship Id="rId1456" Type="http://schemas.openxmlformats.org/officeDocument/2006/relationships/oleObject" Target="embeddings/oleObject9919.bin"/>
  <Relationship Id="rId1457" Type="http://schemas.openxmlformats.org/officeDocument/2006/relationships/image" Target="media/image8844.wmf"/>
  <Relationship Id="rId1458" Type="http://schemas.openxmlformats.org/officeDocument/2006/relationships/oleObject" Target="embeddings/oleObject9920.bin"/>
  <Relationship Id="rId1459" Type="http://schemas.openxmlformats.org/officeDocument/2006/relationships/image" Target="media/image8845.wmf"/>
  <Relationship Id="rId146" Type="http://schemas.openxmlformats.org/officeDocument/2006/relationships/oleObject" Target="embeddings/oleObject4173.bin"/>
  <Relationship Id="rId1460" Type="http://schemas.openxmlformats.org/officeDocument/2006/relationships/oleObject" Target="embeddings/oleObject9921.bin"/>
  <Relationship Id="rId1461" Type="http://schemas.openxmlformats.org/officeDocument/2006/relationships/image" Target="media/image8846.wmf"/>
  <Relationship Id="rId1462" Type="http://schemas.openxmlformats.org/officeDocument/2006/relationships/oleObject" Target="embeddings/oleObject9922.bin"/>
  <Relationship Id="rId1463" Type="http://schemas.openxmlformats.org/officeDocument/2006/relationships/image" Target="media/image8847.wmf"/>
  <Relationship Id="rId1464" Type="http://schemas.openxmlformats.org/officeDocument/2006/relationships/oleObject" Target="embeddings/oleObject9923.bin"/>
  <Relationship Id="rId1465" Type="http://schemas.openxmlformats.org/officeDocument/2006/relationships/image" Target="media/image8848.wmf"/>
  <Relationship Id="rId1466" Type="http://schemas.openxmlformats.org/officeDocument/2006/relationships/oleObject" Target="embeddings/oleObject9924.bin"/>
  <Relationship Id="rId1467" Type="http://schemas.openxmlformats.org/officeDocument/2006/relationships/image" Target="media/image8849.wmf"/>
  <Relationship Id="rId1468" Type="http://schemas.openxmlformats.org/officeDocument/2006/relationships/oleObject" Target="embeddings/oleObject9925.bin"/>
  <Relationship Id="rId1469" Type="http://schemas.openxmlformats.org/officeDocument/2006/relationships/image" Target="media/image8850.wmf"/>
  <Relationship Id="rId147" Type="http://schemas.openxmlformats.org/officeDocument/2006/relationships/image" Target="media/image3076.wmf"/>
  <Relationship Id="rId1470" Type="http://schemas.openxmlformats.org/officeDocument/2006/relationships/oleObject" Target="embeddings/oleObject9926.bin"/>
  <Relationship Id="rId1471" Type="http://schemas.openxmlformats.org/officeDocument/2006/relationships/image" Target="media/image8851.wmf"/>
  <Relationship Id="rId1472" Type="http://schemas.openxmlformats.org/officeDocument/2006/relationships/oleObject" Target="embeddings/oleObject9927.bin"/>
  <Relationship Id="rId1473" Type="http://schemas.openxmlformats.org/officeDocument/2006/relationships/image" Target="media/image8852.wmf"/>
  <Relationship Id="rId1474" Type="http://schemas.openxmlformats.org/officeDocument/2006/relationships/oleObject" Target="embeddings/oleObject9928.bin"/>
  <Relationship Id="rId1475" Type="http://schemas.openxmlformats.org/officeDocument/2006/relationships/image" Target="media/image8853.wmf"/>
  <Relationship Id="rId1476" Type="http://schemas.openxmlformats.org/officeDocument/2006/relationships/oleObject" Target="embeddings/oleObject9929.bin"/>
  <Relationship Id="rId1477" Type="http://schemas.openxmlformats.org/officeDocument/2006/relationships/image" Target="media/image8854.wmf"/>
  <Relationship Id="rId1478" Type="http://schemas.openxmlformats.org/officeDocument/2006/relationships/oleObject" Target="embeddings/oleObject9930.bin"/>
  <Relationship Id="rId1479" Type="http://schemas.openxmlformats.org/officeDocument/2006/relationships/image" Target="media/image8855.wmf"/>
  <Relationship Id="rId148" Type="http://schemas.openxmlformats.org/officeDocument/2006/relationships/oleObject" Target="embeddings/oleObject4174.bin"/>
  <Relationship Id="rId1480" Type="http://schemas.openxmlformats.org/officeDocument/2006/relationships/oleObject" Target="embeddings/oleObject9931.bin"/>
  <Relationship Id="rId1481" Type="http://schemas.openxmlformats.org/officeDocument/2006/relationships/image" Target="media/image8856.wmf"/>
  <Relationship Id="rId1482" Type="http://schemas.openxmlformats.org/officeDocument/2006/relationships/oleObject" Target="embeddings/oleObject9932.bin"/>
  <Relationship Id="rId1483" Type="http://schemas.openxmlformats.org/officeDocument/2006/relationships/image" Target="media/image8857.wmf"/>
  <Relationship Id="rId1484" Type="http://schemas.openxmlformats.org/officeDocument/2006/relationships/oleObject" Target="embeddings/oleObject9933.bin"/>
  <Relationship Id="rId1485" Type="http://schemas.openxmlformats.org/officeDocument/2006/relationships/image" Target="media/image8858.wmf"/>
  <Relationship Id="rId1486" Type="http://schemas.openxmlformats.org/officeDocument/2006/relationships/oleObject" Target="embeddings/oleObject9934.bin"/>
  <Relationship Id="rId1487" Type="http://schemas.openxmlformats.org/officeDocument/2006/relationships/image" Target="media/image8859.wmf"/>
  <Relationship Id="rId1488" Type="http://schemas.openxmlformats.org/officeDocument/2006/relationships/oleObject" Target="embeddings/oleObject9935.bin"/>
  <Relationship Id="rId1489" Type="http://schemas.openxmlformats.org/officeDocument/2006/relationships/image" Target="media/image8860.wmf"/>
  <Relationship Id="rId149" Type="http://schemas.openxmlformats.org/officeDocument/2006/relationships/image" Target="media/image3077.wmf"/>
  <Relationship Id="rId1490" Type="http://schemas.openxmlformats.org/officeDocument/2006/relationships/oleObject" Target="embeddings/oleObject9936.bin"/>
  <Relationship Id="rId1491" Type="http://schemas.openxmlformats.org/officeDocument/2006/relationships/image" Target="media/image8861.wmf"/>
  <Relationship Id="rId1492" Type="http://schemas.openxmlformats.org/officeDocument/2006/relationships/oleObject" Target="embeddings/oleObject9937.bin"/>
  <Relationship Id="rId1493" Type="http://schemas.openxmlformats.org/officeDocument/2006/relationships/image" Target="media/image8862.wmf"/>
  <Relationship Id="rId1494" Type="http://schemas.openxmlformats.org/officeDocument/2006/relationships/oleObject" Target="embeddings/oleObject9938.bin"/>
  <Relationship Id="rId1495" Type="http://schemas.openxmlformats.org/officeDocument/2006/relationships/image" Target="media/image8863.wmf"/>
  <Relationship Id="rId1496" Type="http://schemas.openxmlformats.org/officeDocument/2006/relationships/oleObject" Target="embeddings/oleObject9939.bin"/>
  <Relationship Id="rId1497" Type="http://schemas.openxmlformats.org/officeDocument/2006/relationships/image" Target="media/image8864.wmf"/>
  <Relationship Id="rId1498" Type="http://schemas.openxmlformats.org/officeDocument/2006/relationships/oleObject" Target="embeddings/oleObject9940.bin"/>
  <Relationship Id="rId1499" Type="http://schemas.openxmlformats.org/officeDocument/2006/relationships/image" Target="media/image8865.wmf"/>
  <Relationship Id="rId15" Type="http://schemas.openxmlformats.org/officeDocument/2006/relationships/fontTable" Target="fontTable.xml"/>
  <Relationship Id="rId150" Type="http://schemas.openxmlformats.org/officeDocument/2006/relationships/oleObject" Target="embeddings/oleObject4175.bin"/>
  <Relationship Id="rId1500" Type="http://schemas.openxmlformats.org/officeDocument/2006/relationships/oleObject" Target="embeddings/oleObject9941.bin"/>
  <Relationship Id="rId1501" Type="http://schemas.openxmlformats.org/officeDocument/2006/relationships/image" Target="media/image8866.wmf"/>
  <Relationship Id="rId1502" Type="http://schemas.openxmlformats.org/officeDocument/2006/relationships/oleObject" Target="embeddings/oleObject9942.bin"/>
  <Relationship Id="rId1503" Type="http://schemas.openxmlformats.org/officeDocument/2006/relationships/image" Target="media/image8867.wmf"/>
  <Relationship Id="rId1504" Type="http://schemas.openxmlformats.org/officeDocument/2006/relationships/oleObject" Target="embeddings/oleObject9943.bin"/>
  <Relationship Id="rId1505" Type="http://schemas.openxmlformats.org/officeDocument/2006/relationships/image" Target="media/image8868.wmf"/>
  <Relationship Id="rId1506" Type="http://schemas.openxmlformats.org/officeDocument/2006/relationships/oleObject" Target="embeddings/oleObject9944.bin"/>
  <Relationship Id="rId1507" Type="http://schemas.openxmlformats.org/officeDocument/2006/relationships/image" Target="media/image8980.wmf"/>
  <Relationship Id="rId1508" Type="http://schemas.openxmlformats.org/officeDocument/2006/relationships/oleObject" Target="embeddings/oleObject10056.bin"/>
  <Relationship Id="rId1509" Type="http://schemas.openxmlformats.org/officeDocument/2006/relationships/image" Target="media/image8981.wmf"/>
  <Relationship Id="rId151" Type="http://schemas.openxmlformats.org/officeDocument/2006/relationships/image" Target="media/image3078.wmf"/>
  <Relationship Id="rId1510" Type="http://schemas.openxmlformats.org/officeDocument/2006/relationships/oleObject" Target="embeddings/oleObject10057.bin"/>
  <Relationship Id="rId1511" Type="http://schemas.openxmlformats.org/officeDocument/2006/relationships/image" Target="media/image8982.wmf"/>
  <Relationship Id="rId1512" Type="http://schemas.openxmlformats.org/officeDocument/2006/relationships/oleObject" Target="embeddings/oleObject10058.bin"/>
  <Relationship Id="rId1513" Type="http://schemas.openxmlformats.org/officeDocument/2006/relationships/image" Target="media/image8983.wmf"/>
  <Relationship Id="rId1514" Type="http://schemas.openxmlformats.org/officeDocument/2006/relationships/oleObject" Target="embeddings/oleObject10059.bin"/>
  <Relationship Id="rId1515" Type="http://schemas.openxmlformats.org/officeDocument/2006/relationships/image" Target="media/image8984.wmf"/>
  <Relationship Id="rId1516" Type="http://schemas.openxmlformats.org/officeDocument/2006/relationships/oleObject" Target="embeddings/oleObject10060.bin"/>
  <Relationship Id="rId1517" Type="http://schemas.openxmlformats.org/officeDocument/2006/relationships/image" Target="media/image8985.wmf"/>
  <Relationship Id="rId1518" Type="http://schemas.openxmlformats.org/officeDocument/2006/relationships/oleObject" Target="embeddings/oleObject10061.bin"/>
  <Relationship Id="rId1519" Type="http://schemas.openxmlformats.org/officeDocument/2006/relationships/image" Target="media/image8986.wmf"/>
  <Relationship Id="rId152" Type="http://schemas.openxmlformats.org/officeDocument/2006/relationships/oleObject" Target="embeddings/oleObject4176.bin"/>
  <Relationship Id="rId1520" Type="http://schemas.openxmlformats.org/officeDocument/2006/relationships/oleObject" Target="embeddings/oleObject10062.bin"/>
  <Relationship Id="rId1521" Type="http://schemas.openxmlformats.org/officeDocument/2006/relationships/image" Target="media/image8987.wmf"/>
  <Relationship Id="rId1522" Type="http://schemas.openxmlformats.org/officeDocument/2006/relationships/oleObject" Target="embeddings/oleObject10063.bin"/>
  <Relationship Id="rId1523" Type="http://schemas.openxmlformats.org/officeDocument/2006/relationships/image" Target="media/image8988.wmf"/>
  <Relationship Id="rId1524" Type="http://schemas.openxmlformats.org/officeDocument/2006/relationships/oleObject" Target="embeddings/oleObject10064.bin"/>
  <Relationship Id="rId1525" Type="http://schemas.openxmlformats.org/officeDocument/2006/relationships/image" Target="media/image8989.wmf"/>
  <Relationship Id="rId1526" Type="http://schemas.openxmlformats.org/officeDocument/2006/relationships/oleObject" Target="embeddings/oleObject10065.bin"/>
  <Relationship Id="rId1527" Type="http://schemas.openxmlformats.org/officeDocument/2006/relationships/image" Target="media/image8990.wmf"/>
  <Relationship Id="rId1528" Type="http://schemas.openxmlformats.org/officeDocument/2006/relationships/oleObject" Target="embeddings/oleObject10066.bin"/>
  <Relationship Id="rId1529" Type="http://schemas.openxmlformats.org/officeDocument/2006/relationships/image" Target="media/image8991.wmf"/>
  <Relationship Id="rId153" Type="http://schemas.openxmlformats.org/officeDocument/2006/relationships/image" Target="media/image3079.wmf"/>
  <Relationship Id="rId1530" Type="http://schemas.openxmlformats.org/officeDocument/2006/relationships/oleObject" Target="embeddings/oleObject10067.bin"/>
  <Relationship Id="rId1531" Type="http://schemas.openxmlformats.org/officeDocument/2006/relationships/image" Target="media/image8992.wmf"/>
  <Relationship Id="rId1532" Type="http://schemas.openxmlformats.org/officeDocument/2006/relationships/oleObject" Target="embeddings/oleObject10068.bin"/>
  <Relationship Id="rId1533" Type="http://schemas.openxmlformats.org/officeDocument/2006/relationships/image" Target="media/image8993.wmf"/>
  <Relationship Id="rId1534" Type="http://schemas.openxmlformats.org/officeDocument/2006/relationships/oleObject" Target="embeddings/oleObject10069.bin"/>
  <Relationship Id="rId1535" Type="http://schemas.openxmlformats.org/officeDocument/2006/relationships/image" Target="media/image8994.wmf"/>
  <Relationship Id="rId1536" Type="http://schemas.openxmlformats.org/officeDocument/2006/relationships/oleObject" Target="embeddings/oleObject10070.bin"/>
  <Relationship Id="rId1537" Type="http://schemas.openxmlformats.org/officeDocument/2006/relationships/image" Target="media/image8995.wmf"/>
  <Relationship Id="rId1538" Type="http://schemas.openxmlformats.org/officeDocument/2006/relationships/oleObject" Target="embeddings/oleObject10071.bin"/>
  <Relationship Id="rId1539" Type="http://schemas.openxmlformats.org/officeDocument/2006/relationships/image" Target="media/image8996.wmf"/>
  <Relationship Id="rId154" Type="http://schemas.openxmlformats.org/officeDocument/2006/relationships/oleObject" Target="embeddings/oleObject4177.bin"/>
  <Relationship Id="rId1540" Type="http://schemas.openxmlformats.org/officeDocument/2006/relationships/oleObject" Target="embeddings/oleObject10072.bin"/>
  <Relationship Id="rId1541" Type="http://schemas.openxmlformats.org/officeDocument/2006/relationships/image" Target="media/image8997.wmf"/>
  <Relationship Id="rId1542" Type="http://schemas.openxmlformats.org/officeDocument/2006/relationships/oleObject" Target="embeddings/oleObject10073.bin"/>
  <Relationship Id="rId1543" Type="http://schemas.openxmlformats.org/officeDocument/2006/relationships/image" Target="media/image8998.wmf"/>
  <Relationship Id="rId1544" Type="http://schemas.openxmlformats.org/officeDocument/2006/relationships/oleObject" Target="embeddings/oleObject10074.bin"/>
  <Relationship Id="rId1545" Type="http://schemas.openxmlformats.org/officeDocument/2006/relationships/image" Target="media/image8999.wmf"/>
  <Relationship Id="rId1546" Type="http://schemas.openxmlformats.org/officeDocument/2006/relationships/oleObject" Target="embeddings/oleObject10075.bin"/>
  <Relationship Id="rId1547" Type="http://schemas.openxmlformats.org/officeDocument/2006/relationships/image" Target="media/image9000.wmf"/>
  <Relationship Id="rId1548" Type="http://schemas.openxmlformats.org/officeDocument/2006/relationships/oleObject" Target="embeddings/oleObject10076.bin"/>
  <Relationship Id="rId1549" Type="http://schemas.openxmlformats.org/officeDocument/2006/relationships/image" Target="media/image9001.wmf"/>
  <Relationship Id="rId155" Type="http://schemas.openxmlformats.org/officeDocument/2006/relationships/image" Target="media/image3080.wmf"/>
  <Relationship Id="rId1550" Type="http://schemas.openxmlformats.org/officeDocument/2006/relationships/oleObject" Target="embeddings/oleObject10077.bin"/>
  <Relationship Id="rId1551" Type="http://schemas.openxmlformats.org/officeDocument/2006/relationships/image" Target="media/image9008.wmf"/>
  <Relationship Id="rId1552" Type="http://schemas.openxmlformats.org/officeDocument/2006/relationships/oleObject" Target="embeddings/oleObject10084.bin"/>
  <Relationship Id="rId1553" Type="http://schemas.openxmlformats.org/officeDocument/2006/relationships/image" Target="media/image9014.wmf"/>
  <Relationship Id="rId1554" Type="http://schemas.openxmlformats.org/officeDocument/2006/relationships/oleObject" Target="embeddings/oleObject10090.bin"/>
  <Relationship Id="rId1555" Type="http://schemas.openxmlformats.org/officeDocument/2006/relationships/image" Target="media/image9020.wmf"/>
  <Relationship Id="rId1556" Type="http://schemas.openxmlformats.org/officeDocument/2006/relationships/oleObject" Target="embeddings/oleObject10096.bin"/>
  <Relationship Id="rId1557" Type="http://schemas.openxmlformats.org/officeDocument/2006/relationships/image" Target="media/image9026.wmf"/>
  <Relationship Id="rId1558" Type="http://schemas.openxmlformats.org/officeDocument/2006/relationships/oleObject" Target="embeddings/oleObject10102.bin"/>
  <Relationship Id="rId1559" Type="http://schemas.openxmlformats.org/officeDocument/2006/relationships/image" Target="media/image9032.wmf"/>
  <Relationship Id="rId156" Type="http://schemas.openxmlformats.org/officeDocument/2006/relationships/oleObject" Target="embeddings/oleObject4178.bin"/>
  <Relationship Id="rId1560" Type="http://schemas.openxmlformats.org/officeDocument/2006/relationships/oleObject" Target="embeddings/oleObject10108.bin"/>
  <Relationship Id="rId1561" Type="http://schemas.openxmlformats.org/officeDocument/2006/relationships/image" Target="media/image9038.wmf"/>
  <Relationship Id="rId1562" Type="http://schemas.openxmlformats.org/officeDocument/2006/relationships/oleObject" Target="embeddings/oleObject10114.bin"/>
  <Relationship Id="rId1563" Type="http://schemas.openxmlformats.org/officeDocument/2006/relationships/image" Target="media/image9071.wmf"/>
  <Relationship Id="rId1564" Type="http://schemas.openxmlformats.org/officeDocument/2006/relationships/oleObject" Target="embeddings/oleObject10147.bin"/>
  <Relationship Id="rId1565" Type="http://schemas.openxmlformats.org/officeDocument/2006/relationships/image" Target="media/image9072.wmf"/>
  <Relationship Id="rId1566" Type="http://schemas.openxmlformats.org/officeDocument/2006/relationships/oleObject" Target="embeddings/oleObject10148.bin"/>
  <Relationship Id="rId1567" Type="http://schemas.openxmlformats.org/officeDocument/2006/relationships/image" Target="media/image9115.wmf"/>
  <Relationship Id="rId1568" Type="http://schemas.openxmlformats.org/officeDocument/2006/relationships/oleObject" Target="embeddings/oleObject10191.bin"/>
  <Relationship Id="rId1569" Type="http://schemas.openxmlformats.org/officeDocument/2006/relationships/image" Target="media/image9116.wmf"/>
  <Relationship Id="rId157" Type="http://schemas.openxmlformats.org/officeDocument/2006/relationships/image" Target="media/image3511.wmf"/>
  <Relationship Id="rId1570" Type="http://schemas.openxmlformats.org/officeDocument/2006/relationships/oleObject" Target="embeddings/oleObject10192.bin"/>
  <Relationship Id="rId1571" Type="http://schemas.openxmlformats.org/officeDocument/2006/relationships/image" Target="media/image9117.wmf"/>
  <Relationship Id="rId1572" Type="http://schemas.openxmlformats.org/officeDocument/2006/relationships/oleObject" Target="embeddings/oleObject10193.bin"/>
  <Relationship Id="rId1573" Type="http://schemas.openxmlformats.org/officeDocument/2006/relationships/image" Target="media/image9118.wmf"/>
  <Relationship Id="rId1574" Type="http://schemas.openxmlformats.org/officeDocument/2006/relationships/oleObject" Target="embeddings/oleObject10194.bin"/>
  <Relationship Id="rId1575" Type="http://schemas.openxmlformats.org/officeDocument/2006/relationships/image" Target="media/image9119.wmf"/>
  <Relationship Id="rId1576" Type="http://schemas.openxmlformats.org/officeDocument/2006/relationships/oleObject" Target="embeddings/oleObject10195.bin"/>
  <Relationship Id="rId1577" Type="http://schemas.openxmlformats.org/officeDocument/2006/relationships/image" Target="media/image9120.wmf"/>
  <Relationship Id="rId1578" Type="http://schemas.openxmlformats.org/officeDocument/2006/relationships/oleObject" Target="embeddings/oleObject10196.bin"/>
  <Relationship Id="rId1579" Type="http://schemas.openxmlformats.org/officeDocument/2006/relationships/image" Target="media/image9121.wmf"/>
  <Relationship Id="rId158" Type="http://schemas.openxmlformats.org/officeDocument/2006/relationships/oleObject" Target="embeddings/oleObject4609.bin"/>
  <Relationship Id="rId1580" Type="http://schemas.openxmlformats.org/officeDocument/2006/relationships/oleObject" Target="embeddings/oleObject10197.bin"/>
  <Relationship Id="rId1581" Type="http://schemas.openxmlformats.org/officeDocument/2006/relationships/image" Target="media/image9122.wmf"/>
  <Relationship Id="rId1582" Type="http://schemas.openxmlformats.org/officeDocument/2006/relationships/oleObject" Target="embeddings/oleObject10198.bin"/>
  <Relationship Id="rId1583" Type="http://schemas.openxmlformats.org/officeDocument/2006/relationships/image" Target="media/image9123.wmf"/>
  <Relationship Id="rId1584" Type="http://schemas.openxmlformats.org/officeDocument/2006/relationships/oleObject" Target="embeddings/oleObject10199.bin"/>
  <Relationship Id="rId1585" Type="http://schemas.openxmlformats.org/officeDocument/2006/relationships/image" Target="media/image9157.wmf"/>
  <Relationship Id="rId1586" Type="http://schemas.openxmlformats.org/officeDocument/2006/relationships/oleObject" Target="embeddings/oleObject10233.bin"/>
  <Relationship Id="rId1587" Type="http://schemas.openxmlformats.org/officeDocument/2006/relationships/image" Target="media/image9158.wmf"/>
  <Relationship Id="rId1588" Type="http://schemas.openxmlformats.org/officeDocument/2006/relationships/oleObject" Target="embeddings/oleObject10234.bin"/>
  <Relationship Id="rId1589" Type="http://schemas.openxmlformats.org/officeDocument/2006/relationships/image" Target="media/image9159.wmf"/>
  <Relationship Id="rId159" Type="http://schemas.openxmlformats.org/officeDocument/2006/relationships/image" Target="media/image3512.wmf"/>
  <Relationship Id="rId1590" Type="http://schemas.openxmlformats.org/officeDocument/2006/relationships/oleObject" Target="embeddings/oleObject10235.bin"/>
  <Relationship Id="rId1591" Type="http://schemas.openxmlformats.org/officeDocument/2006/relationships/image" Target="media/image9160.wmf"/>
  <Relationship Id="rId1592" Type="http://schemas.openxmlformats.org/officeDocument/2006/relationships/oleObject" Target="embeddings/oleObject10236.bin"/>
  <Relationship Id="rId1593" Type="http://schemas.openxmlformats.org/officeDocument/2006/relationships/image" Target="media/image9161.wmf"/>
  <Relationship Id="rId1594" Type="http://schemas.openxmlformats.org/officeDocument/2006/relationships/oleObject" Target="embeddings/oleObject10237.bin"/>
  <Relationship Id="rId1595" Type="http://schemas.openxmlformats.org/officeDocument/2006/relationships/image" Target="media/image9162.wmf"/>
  <Relationship Id="rId1596" Type="http://schemas.openxmlformats.org/officeDocument/2006/relationships/oleObject" Target="embeddings/oleObject10238.bin"/>
  <Relationship Id="rId1597" Type="http://schemas.openxmlformats.org/officeDocument/2006/relationships/image" Target="media/image9163.wmf"/>
  <Relationship Id="rId1598" Type="http://schemas.openxmlformats.org/officeDocument/2006/relationships/oleObject" Target="embeddings/oleObject10239.bin"/>
  <Relationship Id="rId1599" Type="http://schemas.openxmlformats.org/officeDocument/2006/relationships/image" Target="media/image9169.wmf"/>
  <Relationship Id="rId16" Type="http://schemas.openxmlformats.org/officeDocument/2006/relationships/footnotes" Target="footnotes.xml"/>
  <Relationship Id="rId160" Type="http://schemas.openxmlformats.org/officeDocument/2006/relationships/oleObject" Target="embeddings/oleObject4610.bin"/>
  <Relationship Id="rId1600" Type="http://schemas.openxmlformats.org/officeDocument/2006/relationships/oleObject" Target="embeddings/oleObject10245.bin"/>
  <Relationship Id="rId1601" Type="http://schemas.openxmlformats.org/officeDocument/2006/relationships/image" Target="media/image9180.wmf"/>
  <Relationship Id="rId1602" Type="http://schemas.openxmlformats.org/officeDocument/2006/relationships/oleObject" Target="embeddings/oleObject10256.bin"/>
  <Relationship Id="rId1603" Type="http://schemas.openxmlformats.org/officeDocument/2006/relationships/image" Target="media/image9181.wmf"/>
  <Relationship Id="rId1604" Type="http://schemas.openxmlformats.org/officeDocument/2006/relationships/oleObject" Target="embeddings/oleObject10257.bin"/>
  <Relationship Id="rId1605" Type="http://schemas.openxmlformats.org/officeDocument/2006/relationships/image" Target="media/image9210.wmf"/>
  <Relationship Id="rId1606" Type="http://schemas.openxmlformats.org/officeDocument/2006/relationships/oleObject" Target="embeddings/oleObject10286.bin"/>
  <Relationship Id="rId1607" Type="http://schemas.openxmlformats.org/officeDocument/2006/relationships/image" Target="media/image9211.wmf"/>
  <Relationship Id="rId1608" Type="http://schemas.openxmlformats.org/officeDocument/2006/relationships/oleObject" Target="embeddings/oleObject10287.bin"/>
  <Relationship Id="rId1609" Type="http://schemas.openxmlformats.org/officeDocument/2006/relationships/image" Target="media/image9212.wmf"/>
  <Relationship Id="rId161" Type="http://schemas.openxmlformats.org/officeDocument/2006/relationships/image" Target="media/image3513.wmf"/>
  <Relationship Id="rId1610" Type="http://schemas.openxmlformats.org/officeDocument/2006/relationships/oleObject" Target="embeddings/oleObject10288.bin"/>
  <Relationship Id="rId1611" Type="http://schemas.openxmlformats.org/officeDocument/2006/relationships/image" Target="media/image9231.wmf"/>
  <Relationship Id="rId1612" Type="http://schemas.openxmlformats.org/officeDocument/2006/relationships/oleObject" Target="embeddings/oleObject10307.bin"/>
  <Relationship Id="rId1613" Type="http://schemas.openxmlformats.org/officeDocument/2006/relationships/image" Target="media/image9232.wmf"/>
  <Relationship Id="rId1614" Type="http://schemas.openxmlformats.org/officeDocument/2006/relationships/oleObject" Target="embeddings/oleObject10308.bin"/>
  <Relationship Id="rId1615" Type="http://schemas.openxmlformats.org/officeDocument/2006/relationships/image" Target="media/image9233.wmf"/>
  <Relationship Id="rId1616" Type="http://schemas.openxmlformats.org/officeDocument/2006/relationships/oleObject" Target="embeddings/oleObject10309.bin"/>
  <Relationship Id="rId1617" Type="http://schemas.openxmlformats.org/officeDocument/2006/relationships/image" Target="media/image9234.wmf"/>
  <Relationship Id="rId1618" Type="http://schemas.openxmlformats.org/officeDocument/2006/relationships/oleObject" Target="embeddings/oleObject10310.bin"/>
  <Relationship Id="rId1619" Type="http://schemas.openxmlformats.org/officeDocument/2006/relationships/image" Target="media/image9325.wmf"/>
  <Relationship Id="rId162" Type="http://schemas.openxmlformats.org/officeDocument/2006/relationships/oleObject" Target="embeddings/oleObject4611.bin"/>
  <Relationship Id="rId1620" Type="http://schemas.openxmlformats.org/officeDocument/2006/relationships/oleObject" Target="embeddings/oleObject10401.bin"/>
  <Relationship Id="rId1621" Type="http://schemas.openxmlformats.org/officeDocument/2006/relationships/image" Target="media/image9326.wmf"/>
  <Relationship Id="rId1622" Type="http://schemas.openxmlformats.org/officeDocument/2006/relationships/oleObject" Target="embeddings/oleObject10402.bin"/>
  <Relationship Id="rId1623" Type="http://schemas.openxmlformats.org/officeDocument/2006/relationships/image" Target="media/image9327.wmf"/>
  <Relationship Id="rId1624" Type="http://schemas.openxmlformats.org/officeDocument/2006/relationships/oleObject" Target="embeddings/oleObject10403.bin"/>
  <Relationship Id="rId1625" Type="http://schemas.openxmlformats.org/officeDocument/2006/relationships/image" Target="media/image9328.wmf"/>
  <Relationship Id="rId1626" Type="http://schemas.openxmlformats.org/officeDocument/2006/relationships/oleObject" Target="embeddings/oleObject10404.bin"/>
  <Relationship Id="rId1627" Type="http://schemas.openxmlformats.org/officeDocument/2006/relationships/image" Target="media/image9329.wmf"/>
  <Relationship Id="rId1628" Type="http://schemas.openxmlformats.org/officeDocument/2006/relationships/oleObject" Target="embeddings/oleObject10405.bin"/>
  <Relationship Id="rId1629" Type="http://schemas.openxmlformats.org/officeDocument/2006/relationships/image" Target="media/image9330.wmf"/>
  <Relationship Id="rId163" Type="http://schemas.openxmlformats.org/officeDocument/2006/relationships/image" Target="media/image3514.wmf"/>
  <Relationship Id="rId1630" Type="http://schemas.openxmlformats.org/officeDocument/2006/relationships/oleObject" Target="embeddings/oleObject10406.bin"/>
  <Relationship Id="rId1631" Type="http://schemas.openxmlformats.org/officeDocument/2006/relationships/image" Target="media/image9331.wmf"/>
  <Relationship Id="rId1632" Type="http://schemas.openxmlformats.org/officeDocument/2006/relationships/oleObject" Target="embeddings/oleObject10407.bin"/>
  <Relationship Id="rId1633" Type="http://schemas.openxmlformats.org/officeDocument/2006/relationships/image" Target="media/image9337.wmf"/>
  <Relationship Id="rId1634" Type="http://schemas.openxmlformats.org/officeDocument/2006/relationships/oleObject" Target="embeddings/oleObject10413.bin"/>
  <Relationship Id="rId1635" Type="http://schemas.openxmlformats.org/officeDocument/2006/relationships/image" Target="media/image9343.wmf"/>
  <Relationship Id="rId1636" Type="http://schemas.openxmlformats.org/officeDocument/2006/relationships/oleObject" Target="embeddings/oleObject10419.bin"/>
  <Relationship Id="rId1637" Type="http://schemas.openxmlformats.org/officeDocument/2006/relationships/image" Target="media/image9349.wmf"/>
  <Relationship Id="rId1638" Type="http://schemas.openxmlformats.org/officeDocument/2006/relationships/oleObject" Target="embeddings/oleObject10425.bin"/>
  <Relationship Id="rId1639" Type="http://schemas.openxmlformats.org/officeDocument/2006/relationships/image" Target="media/image9355.wmf"/>
  <Relationship Id="rId164" Type="http://schemas.openxmlformats.org/officeDocument/2006/relationships/oleObject" Target="embeddings/oleObject4612.bin"/>
  <Relationship Id="rId1640" Type="http://schemas.openxmlformats.org/officeDocument/2006/relationships/oleObject" Target="embeddings/oleObject10431.bin"/>
  <Relationship Id="rId1641" Type="http://schemas.openxmlformats.org/officeDocument/2006/relationships/image" Target="media/image9361.wmf"/>
  <Relationship Id="rId1642" Type="http://schemas.openxmlformats.org/officeDocument/2006/relationships/oleObject" Target="embeddings/oleObject10437.bin"/>
  <Relationship Id="rId1643" Type="http://schemas.openxmlformats.org/officeDocument/2006/relationships/hyperlink" TargetMode="External" Target="https://www.e-tar.lt/portal/legalAct.html?documentId=5d58cae015a811e9a02091a7dde47252"/>
  <Relationship Id="rId1644" Type="http://schemas.openxmlformats.org/officeDocument/2006/relationships/image" Target="media/image9367.wmf"/>
  <Relationship Id="rId1645" Type="http://schemas.openxmlformats.org/officeDocument/2006/relationships/oleObject" Target="embeddings/oleObject10443.bin"/>
  <Relationship Id="rId1646" Type="http://schemas.openxmlformats.org/officeDocument/2006/relationships/hyperlink" TargetMode="External" Target="https://www.e-tar.lt/portal/legalAct.html?documentId=5d58cae015a811e9a02091a7dde47252"/>
  <Relationship Id="rId1647" Type="http://schemas.openxmlformats.org/officeDocument/2006/relationships/image" Target="media/image9373.wmf"/>
  <Relationship Id="rId1648" Type="http://schemas.openxmlformats.org/officeDocument/2006/relationships/oleObject" Target="embeddings/oleObject10449.bin"/>
  <Relationship Id="rId1649" Type="http://schemas.openxmlformats.org/officeDocument/2006/relationships/hyperlink" TargetMode="External" Target="https://www.e-tar.lt/portal/legalAct.html?documentId=5d58cae015a811e9a02091a7dde47252"/>
  <Relationship Id="rId165" Type="http://schemas.openxmlformats.org/officeDocument/2006/relationships/image" Target="media/image3515.wmf"/>
  <Relationship Id="rId1650" Type="http://schemas.openxmlformats.org/officeDocument/2006/relationships/image" Target="media/image9397.wmf"/>
  <Relationship Id="rId1651" Type="http://schemas.openxmlformats.org/officeDocument/2006/relationships/oleObject" Target="embeddings/oleObject10473.bin"/>
  <Relationship Id="rId1652" Type="http://schemas.openxmlformats.org/officeDocument/2006/relationships/image" Target="media/image9398.wmf"/>
  <Relationship Id="rId1653" Type="http://schemas.openxmlformats.org/officeDocument/2006/relationships/oleObject" Target="embeddings/oleObject10474.bin"/>
  <Relationship Id="rId1654" Type="http://schemas.openxmlformats.org/officeDocument/2006/relationships/image" Target="media/image9399.wmf"/>
  <Relationship Id="rId1655" Type="http://schemas.openxmlformats.org/officeDocument/2006/relationships/oleObject" Target="embeddings/oleObject10475.bin"/>
  <Relationship Id="rId1656" Type="http://schemas.openxmlformats.org/officeDocument/2006/relationships/image" Target="media/image9400.wmf"/>
  <Relationship Id="rId1657" Type="http://schemas.openxmlformats.org/officeDocument/2006/relationships/oleObject" Target="embeddings/oleObject10476.bin"/>
  <Relationship Id="rId1658" Type="http://schemas.openxmlformats.org/officeDocument/2006/relationships/image" Target="media/image9401.wmf"/>
  <Relationship Id="rId1659" Type="http://schemas.openxmlformats.org/officeDocument/2006/relationships/oleObject" Target="embeddings/oleObject10477.bin"/>
  <Relationship Id="rId166" Type="http://schemas.openxmlformats.org/officeDocument/2006/relationships/oleObject" Target="embeddings/oleObject4613.bin"/>
  <Relationship Id="rId1660" Type="http://schemas.openxmlformats.org/officeDocument/2006/relationships/image" Target="media/image9407.wmf"/>
  <Relationship Id="rId1661" Type="http://schemas.openxmlformats.org/officeDocument/2006/relationships/oleObject" Target="embeddings/oleObject10483.bin"/>
  <Relationship Id="rId1662" Type="http://schemas.openxmlformats.org/officeDocument/2006/relationships/image" Target="media/image9413.wmf"/>
  <Relationship Id="rId1663" Type="http://schemas.openxmlformats.org/officeDocument/2006/relationships/oleObject" Target="embeddings/oleObject10489.bin"/>
  <Relationship Id="rId1664" Type="http://schemas.openxmlformats.org/officeDocument/2006/relationships/image" Target="media/image9419.wmf"/>
  <Relationship Id="rId1665" Type="http://schemas.openxmlformats.org/officeDocument/2006/relationships/oleObject" Target="embeddings/oleObject10495.bin"/>
  <Relationship Id="rId1666" Type="http://schemas.openxmlformats.org/officeDocument/2006/relationships/hyperlink" TargetMode="External" Target="https://www.e-tar.lt/portal/legalAct.html?documentId=6bef89f0016411ebb74de75171d26d52"/>
  <Relationship Id="rId1667" Type="http://schemas.openxmlformats.org/officeDocument/2006/relationships/image" Target="media/image9430.wmf"/>
  <Relationship Id="rId1668" Type="http://schemas.openxmlformats.org/officeDocument/2006/relationships/oleObject" Target="embeddings/oleObject10506.bin"/>
  <Relationship Id="rId1669" Type="http://schemas.openxmlformats.org/officeDocument/2006/relationships/image" Target="media/image9431.wmf"/>
  <Relationship Id="rId167" Type="http://schemas.openxmlformats.org/officeDocument/2006/relationships/image" Target="media/image3516.wmf"/>
  <Relationship Id="rId1670" Type="http://schemas.openxmlformats.org/officeDocument/2006/relationships/oleObject" Target="embeddings/oleObject10507.bin"/>
  <Relationship Id="rId1671" Type="http://schemas.openxmlformats.org/officeDocument/2006/relationships/image" Target="media/image9442.wmf"/>
  <Relationship Id="rId1672" Type="http://schemas.openxmlformats.org/officeDocument/2006/relationships/oleObject" Target="embeddings/oleObject10518.bin"/>
  <Relationship Id="rId1673" Type="http://schemas.openxmlformats.org/officeDocument/2006/relationships/image" Target="media/image9443.wmf"/>
  <Relationship Id="rId1674" Type="http://schemas.openxmlformats.org/officeDocument/2006/relationships/oleObject" Target="embeddings/oleObject10519.bin"/>
  <Relationship Id="rId1675" Type="http://schemas.openxmlformats.org/officeDocument/2006/relationships/image" Target="media/image9492.wmf"/>
  <Relationship Id="rId1676" Type="http://schemas.openxmlformats.org/officeDocument/2006/relationships/oleObject" Target="embeddings/oleObject10568.bin"/>
  <Relationship Id="rId1677" Type="http://schemas.openxmlformats.org/officeDocument/2006/relationships/image" Target="media/image9493.wmf"/>
  <Relationship Id="rId1678" Type="http://schemas.openxmlformats.org/officeDocument/2006/relationships/oleObject" Target="embeddings/oleObject10569.bin"/>
  <Relationship Id="rId1679" Type="http://schemas.openxmlformats.org/officeDocument/2006/relationships/image" Target="media/image9494.wmf"/>
  <Relationship Id="rId168" Type="http://schemas.openxmlformats.org/officeDocument/2006/relationships/oleObject" Target="embeddings/oleObject4614.bin"/>
  <Relationship Id="rId1680" Type="http://schemas.openxmlformats.org/officeDocument/2006/relationships/oleObject" Target="embeddings/oleObject10570.bin"/>
  <Relationship Id="rId1681" Type="http://schemas.openxmlformats.org/officeDocument/2006/relationships/image" Target="media/image9495.wmf"/>
  <Relationship Id="rId1682" Type="http://schemas.openxmlformats.org/officeDocument/2006/relationships/oleObject" Target="embeddings/oleObject10571.bin"/>
  <Relationship Id="rId1683" Type="http://schemas.openxmlformats.org/officeDocument/2006/relationships/image" Target="media/image9496.wmf"/>
  <Relationship Id="rId1684" Type="http://schemas.openxmlformats.org/officeDocument/2006/relationships/oleObject" Target="embeddings/oleObject10572.bin"/>
  <Relationship Id="rId1685" Type="http://schemas.openxmlformats.org/officeDocument/2006/relationships/image" Target="media/image9497.wmf"/>
  <Relationship Id="rId1686" Type="http://schemas.openxmlformats.org/officeDocument/2006/relationships/oleObject" Target="embeddings/oleObject10573.bin"/>
  <Relationship Id="rId1687" Type="http://schemas.openxmlformats.org/officeDocument/2006/relationships/image" Target="media/image9498.wmf"/>
  <Relationship Id="rId1688" Type="http://schemas.openxmlformats.org/officeDocument/2006/relationships/oleObject" Target="embeddings/oleObject10574.bin"/>
  <Relationship Id="rId1689" Type="http://schemas.openxmlformats.org/officeDocument/2006/relationships/image" Target="media/image9499.wmf"/>
  <Relationship Id="rId169" Type="http://schemas.openxmlformats.org/officeDocument/2006/relationships/image" Target="media/image3517.wmf"/>
  <Relationship Id="rId1690" Type="http://schemas.openxmlformats.org/officeDocument/2006/relationships/oleObject" Target="embeddings/oleObject10575.bin"/>
  <Relationship Id="rId1691" Type="http://schemas.openxmlformats.org/officeDocument/2006/relationships/image" Target="media/image9500.wmf"/>
  <Relationship Id="rId1692" Type="http://schemas.openxmlformats.org/officeDocument/2006/relationships/oleObject" Target="embeddings/oleObject10576.bin"/>
  <Relationship Id="rId1693" Type="http://schemas.openxmlformats.org/officeDocument/2006/relationships/image" Target="media/image9501.wmf"/>
  <Relationship Id="rId1694" Type="http://schemas.openxmlformats.org/officeDocument/2006/relationships/oleObject" Target="embeddings/oleObject10577.bin"/>
  <Relationship Id="rId1695" Type="http://schemas.openxmlformats.org/officeDocument/2006/relationships/image" Target="media/image9502.wmf"/>
  <Relationship Id="rId1696" Type="http://schemas.openxmlformats.org/officeDocument/2006/relationships/oleObject" Target="embeddings/oleObject10578.bin"/>
  <Relationship Id="rId1697" Type="http://schemas.openxmlformats.org/officeDocument/2006/relationships/image" Target="media/image9503.wmf"/>
  <Relationship Id="rId1698" Type="http://schemas.openxmlformats.org/officeDocument/2006/relationships/oleObject" Target="embeddings/oleObject10579.bin"/>
  <Relationship Id="rId1699" Type="http://schemas.openxmlformats.org/officeDocument/2006/relationships/image" Target="media/image9552.wmf"/>
  <Relationship Id="rId17" Type="http://schemas.openxmlformats.org/officeDocument/2006/relationships/glossaryDocument" Target="glossary/document.xml"/>
  <Relationship Id="rId170" Type="http://schemas.openxmlformats.org/officeDocument/2006/relationships/oleObject" Target="embeddings/oleObject4615.bin"/>
  <Relationship Id="rId1700" Type="http://schemas.openxmlformats.org/officeDocument/2006/relationships/oleObject" Target="embeddings/oleObject10628.bin"/>
  <Relationship Id="rId1701" Type="http://schemas.openxmlformats.org/officeDocument/2006/relationships/image" Target="media/image9553.wmf"/>
  <Relationship Id="rId1702" Type="http://schemas.openxmlformats.org/officeDocument/2006/relationships/oleObject" Target="embeddings/oleObject10629.bin"/>
  <Relationship Id="rId1703" Type="http://schemas.openxmlformats.org/officeDocument/2006/relationships/image" Target="media/image9554.wmf"/>
  <Relationship Id="rId1704" Type="http://schemas.openxmlformats.org/officeDocument/2006/relationships/oleObject" Target="embeddings/oleObject10630.bin"/>
  <Relationship Id="rId1705" Type="http://schemas.openxmlformats.org/officeDocument/2006/relationships/image" Target="media/image9555.wmf"/>
  <Relationship Id="rId1706" Type="http://schemas.openxmlformats.org/officeDocument/2006/relationships/oleObject" Target="embeddings/oleObject10631.bin"/>
  <Relationship Id="rId1707" Type="http://schemas.openxmlformats.org/officeDocument/2006/relationships/image" Target="media/image9556.wmf"/>
  <Relationship Id="rId1708" Type="http://schemas.openxmlformats.org/officeDocument/2006/relationships/oleObject" Target="embeddings/oleObject10632.bin"/>
  <Relationship Id="rId1709" Type="http://schemas.openxmlformats.org/officeDocument/2006/relationships/image" Target="media/image9557.wmf"/>
  <Relationship Id="rId171" Type="http://schemas.openxmlformats.org/officeDocument/2006/relationships/image" Target="media/image3518.wmf"/>
  <Relationship Id="rId1710" Type="http://schemas.openxmlformats.org/officeDocument/2006/relationships/oleObject" Target="embeddings/oleObject10633.bin"/>
  <Relationship Id="rId1711" Type="http://schemas.openxmlformats.org/officeDocument/2006/relationships/image" Target="media/image9558.wmf"/>
  <Relationship Id="rId1712" Type="http://schemas.openxmlformats.org/officeDocument/2006/relationships/oleObject" Target="embeddings/oleObject10634.bin"/>
  <Relationship Id="rId1713" Type="http://schemas.openxmlformats.org/officeDocument/2006/relationships/image" Target="media/image9559.wmf"/>
  <Relationship Id="rId1714" Type="http://schemas.openxmlformats.org/officeDocument/2006/relationships/oleObject" Target="embeddings/oleObject10635.bin"/>
  <Relationship Id="rId1715" Type="http://schemas.openxmlformats.org/officeDocument/2006/relationships/image" Target="media/image9560.wmf"/>
  <Relationship Id="rId1716" Type="http://schemas.openxmlformats.org/officeDocument/2006/relationships/oleObject" Target="embeddings/oleObject10636.bin"/>
  <Relationship Id="rId1717" Type="http://schemas.openxmlformats.org/officeDocument/2006/relationships/image" Target="media/image9561.wmf"/>
  <Relationship Id="rId1718" Type="http://schemas.openxmlformats.org/officeDocument/2006/relationships/oleObject" Target="embeddings/oleObject10637.bin"/>
  <Relationship Id="rId1719" Type="http://schemas.openxmlformats.org/officeDocument/2006/relationships/image" Target="media/image9562.wmf"/>
  <Relationship Id="rId172" Type="http://schemas.openxmlformats.org/officeDocument/2006/relationships/oleObject" Target="embeddings/oleObject4616.bin"/>
  <Relationship Id="rId1720" Type="http://schemas.openxmlformats.org/officeDocument/2006/relationships/oleObject" Target="embeddings/oleObject10638.bin"/>
  <Relationship Id="rId1721" Type="http://schemas.openxmlformats.org/officeDocument/2006/relationships/image" Target="media/image9563.wmf"/>
  <Relationship Id="rId1722" Type="http://schemas.openxmlformats.org/officeDocument/2006/relationships/oleObject" Target="embeddings/oleObject10639.bin"/>
  <Relationship Id="rId1723" Type="http://schemas.openxmlformats.org/officeDocument/2006/relationships/image" Target="media/image9568.wmf"/>
  <Relationship Id="rId1724" Type="http://schemas.openxmlformats.org/officeDocument/2006/relationships/oleObject" Target="embeddings/oleObject10644.bin"/>
  <Relationship Id="rId1725" Type="http://schemas.openxmlformats.org/officeDocument/2006/relationships/image" Target="media/image9573.wmf"/>
  <Relationship Id="rId1726" Type="http://schemas.openxmlformats.org/officeDocument/2006/relationships/oleObject" Target="embeddings/oleObject10649.bin"/>
  <Relationship Id="rId1727" Type="http://schemas.openxmlformats.org/officeDocument/2006/relationships/image" Target="media/image9578.wmf"/>
  <Relationship Id="rId1728" Type="http://schemas.openxmlformats.org/officeDocument/2006/relationships/oleObject" Target="embeddings/oleObject10654.bin"/>
  <Relationship Id="rId1729" Type="http://schemas.openxmlformats.org/officeDocument/2006/relationships/hyperlink" TargetMode="External" Target="https://www.e-tar.lt/portal/legalAct.html?documentId=5d58cae015a811e9a02091a7dde47252"/>
  <Relationship Id="rId173" Type="http://schemas.openxmlformats.org/officeDocument/2006/relationships/image" Target="media/image3519.wmf"/>
  <Relationship Id="rId1730" Type="http://schemas.openxmlformats.org/officeDocument/2006/relationships/image" Target="media/image9587.wmf"/>
  <Relationship Id="rId1731" Type="http://schemas.openxmlformats.org/officeDocument/2006/relationships/oleObject" Target="embeddings/oleObject10663.bin"/>
  <Relationship Id="rId1732" Type="http://schemas.openxmlformats.org/officeDocument/2006/relationships/image" Target="media/image9588.wmf"/>
  <Relationship Id="rId1733" Type="http://schemas.openxmlformats.org/officeDocument/2006/relationships/oleObject" Target="embeddings/oleObject10664.bin"/>
  <Relationship Id="rId1734" Type="http://schemas.openxmlformats.org/officeDocument/2006/relationships/image" Target="media/image9597.wmf"/>
  <Relationship Id="rId1735" Type="http://schemas.openxmlformats.org/officeDocument/2006/relationships/oleObject" Target="embeddings/oleObject10673.bin"/>
  <Relationship Id="rId1736" Type="http://schemas.openxmlformats.org/officeDocument/2006/relationships/image" Target="media/image9598.wmf"/>
  <Relationship Id="rId1737" Type="http://schemas.openxmlformats.org/officeDocument/2006/relationships/oleObject" Target="embeddings/oleObject10674.bin"/>
  <Relationship Id="rId1738" Type="http://schemas.openxmlformats.org/officeDocument/2006/relationships/image" Target="media/image9603.wmf"/>
  <Relationship Id="rId1739" Type="http://schemas.openxmlformats.org/officeDocument/2006/relationships/oleObject" Target="embeddings/oleObject10679.bin"/>
  <Relationship Id="rId174" Type="http://schemas.openxmlformats.org/officeDocument/2006/relationships/oleObject" Target="embeddings/oleObject4617.bin"/>
  <Relationship Id="rId1740" Type="http://schemas.openxmlformats.org/officeDocument/2006/relationships/image" Target="media/image9608.wmf"/>
  <Relationship Id="rId1741" Type="http://schemas.openxmlformats.org/officeDocument/2006/relationships/oleObject" Target="embeddings/oleObject10684.bin"/>
  <Relationship Id="rId1742" Type="http://schemas.openxmlformats.org/officeDocument/2006/relationships/image" Target="media/image9613.wmf"/>
  <Relationship Id="rId1743" Type="http://schemas.openxmlformats.org/officeDocument/2006/relationships/oleObject" Target="embeddings/oleObject10689.bin"/>
  <Relationship Id="rId1744" Type="http://schemas.openxmlformats.org/officeDocument/2006/relationships/image" Target="media/image9622.wmf"/>
  <Relationship Id="rId1745" Type="http://schemas.openxmlformats.org/officeDocument/2006/relationships/oleObject" Target="embeddings/oleObject10698.bin"/>
  <Relationship Id="rId1746" Type="http://schemas.openxmlformats.org/officeDocument/2006/relationships/image" Target="media/image9623.wmf"/>
  <Relationship Id="rId1747" Type="http://schemas.openxmlformats.org/officeDocument/2006/relationships/oleObject" Target="embeddings/oleObject10699.bin"/>
  <Relationship Id="rId1748" Type="http://schemas.openxmlformats.org/officeDocument/2006/relationships/image" Target="media/image9632.wmf"/>
  <Relationship Id="rId1749" Type="http://schemas.openxmlformats.org/officeDocument/2006/relationships/oleObject" Target="embeddings/oleObject10708.bin"/>
  <Relationship Id="rId175" Type="http://schemas.openxmlformats.org/officeDocument/2006/relationships/image" Target="media/image3520.wmf"/>
  <Relationship Id="rId1750" Type="http://schemas.openxmlformats.org/officeDocument/2006/relationships/image" Target="media/image9633.wmf"/>
  <Relationship Id="rId1751" Type="http://schemas.openxmlformats.org/officeDocument/2006/relationships/oleObject" Target="embeddings/oleObject10709.bin"/>
  <Relationship Id="rId1752" Type="http://schemas.openxmlformats.org/officeDocument/2006/relationships/image" Target="media/image9642.wmf"/>
  <Relationship Id="rId1753" Type="http://schemas.openxmlformats.org/officeDocument/2006/relationships/oleObject" Target="embeddings/oleObject10718.bin"/>
  <Relationship Id="rId1754" Type="http://schemas.openxmlformats.org/officeDocument/2006/relationships/image" Target="media/image9643.wmf"/>
  <Relationship Id="rId1755" Type="http://schemas.openxmlformats.org/officeDocument/2006/relationships/oleObject" Target="embeddings/oleObject10719.bin"/>
  <Relationship Id="rId1756" Type="http://schemas.openxmlformats.org/officeDocument/2006/relationships/hyperlink" TargetMode="External" Target="https://www.e-tar.lt/portal/legalAct.html?documentId=6bef89f0016411ebb74de75171d26d52"/>
  <Relationship Id="rId1757" Type="http://schemas.openxmlformats.org/officeDocument/2006/relationships/image" Target="media/image9652.wmf"/>
  <Relationship Id="rId1758" Type="http://schemas.openxmlformats.org/officeDocument/2006/relationships/oleObject" Target="embeddings/oleObject10728.bin"/>
  <Relationship Id="rId1759" Type="http://schemas.openxmlformats.org/officeDocument/2006/relationships/image" Target="media/image9653.wmf"/>
  <Relationship Id="rId176" Type="http://schemas.openxmlformats.org/officeDocument/2006/relationships/oleObject" Target="embeddings/oleObject4618.bin"/>
  <Relationship Id="rId1760" Type="http://schemas.openxmlformats.org/officeDocument/2006/relationships/oleObject" Target="embeddings/oleObject10729.bin"/>
  <Relationship Id="rId1761" Type="http://schemas.openxmlformats.org/officeDocument/2006/relationships/image" Target="media/image9666.wmf"/>
  <Relationship Id="rId1762" Type="http://schemas.openxmlformats.org/officeDocument/2006/relationships/oleObject" Target="embeddings/oleObject10742.bin"/>
  <Relationship Id="rId1763" Type="http://schemas.openxmlformats.org/officeDocument/2006/relationships/image" Target="media/image9667.wmf"/>
  <Relationship Id="rId1764" Type="http://schemas.openxmlformats.org/officeDocument/2006/relationships/oleObject" Target="embeddings/oleObject10743.bin"/>
  <Relationship Id="rId1765" Type="http://schemas.openxmlformats.org/officeDocument/2006/relationships/image" Target="media/image9668.wmf"/>
  <Relationship Id="rId1766" Type="http://schemas.openxmlformats.org/officeDocument/2006/relationships/oleObject" Target="embeddings/oleObject10744.bin"/>
  <Relationship Id="rId1767" Type="http://schemas.openxmlformats.org/officeDocument/2006/relationships/image" Target="media/image9681.wmf"/>
  <Relationship Id="rId1768" Type="http://schemas.openxmlformats.org/officeDocument/2006/relationships/oleObject" Target="embeddings/oleObject10757.bin"/>
  <Relationship Id="rId1769" Type="http://schemas.openxmlformats.org/officeDocument/2006/relationships/image" Target="media/image9682.wmf"/>
  <Relationship Id="rId177" Type="http://schemas.openxmlformats.org/officeDocument/2006/relationships/image" Target="media/image3521.wmf"/>
  <Relationship Id="rId1770" Type="http://schemas.openxmlformats.org/officeDocument/2006/relationships/oleObject" Target="embeddings/oleObject10758.bin"/>
  <Relationship Id="rId1771" Type="http://schemas.openxmlformats.org/officeDocument/2006/relationships/image" Target="media/image9683.wmf"/>
  <Relationship Id="rId1772" Type="http://schemas.openxmlformats.org/officeDocument/2006/relationships/oleObject" Target="embeddings/oleObject10759.bin"/>
  <Relationship Id="rId1773" Type="http://schemas.openxmlformats.org/officeDocument/2006/relationships/image" Target="media/image9692.wmf"/>
  <Relationship Id="rId1774" Type="http://schemas.openxmlformats.org/officeDocument/2006/relationships/oleObject" Target="embeddings/oleObject10768.bin"/>
  <Relationship Id="rId1775" Type="http://schemas.openxmlformats.org/officeDocument/2006/relationships/image" Target="media/image9693.wmf"/>
  <Relationship Id="rId1776" Type="http://schemas.openxmlformats.org/officeDocument/2006/relationships/oleObject" Target="embeddings/oleObject10769.bin"/>
  <Relationship Id="rId1777" Type="http://schemas.openxmlformats.org/officeDocument/2006/relationships/image" Target="media/image9710.wmf"/>
  <Relationship Id="rId1778" Type="http://schemas.openxmlformats.org/officeDocument/2006/relationships/oleObject" Target="embeddings/oleObject10786.bin"/>
  <Relationship Id="rId1779" Type="http://schemas.openxmlformats.org/officeDocument/2006/relationships/image" Target="media/image9711.wmf"/>
  <Relationship Id="rId178" Type="http://schemas.openxmlformats.org/officeDocument/2006/relationships/oleObject" Target="embeddings/oleObject4619.bin"/>
  <Relationship Id="rId1780" Type="http://schemas.openxmlformats.org/officeDocument/2006/relationships/oleObject" Target="embeddings/oleObject10787.bin"/>
  <Relationship Id="rId1781" Type="http://schemas.openxmlformats.org/officeDocument/2006/relationships/image" Target="media/image9712.wmf"/>
  <Relationship Id="rId1782" Type="http://schemas.openxmlformats.org/officeDocument/2006/relationships/oleObject" Target="embeddings/oleObject10788.bin"/>
  <Relationship Id="rId1783" Type="http://schemas.openxmlformats.org/officeDocument/2006/relationships/image" Target="media/image9713.wmf"/>
  <Relationship Id="rId1784" Type="http://schemas.openxmlformats.org/officeDocument/2006/relationships/oleObject" Target="embeddings/oleObject10789.bin"/>
  <Relationship Id="rId1785" Type="http://schemas.openxmlformats.org/officeDocument/2006/relationships/hyperlink" TargetMode="External" Target="https://www.e-tar.lt/portal/legalAct.html?documentId=5d58cae015a811e9a02091a7dde47252"/>
  <Relationship Id="rId1786" Type="http://schemas.openxmlformats.org/officeDocument/2006/relationships/hyperlink" TargetMode="External" Target="https://www.e-tar.lt/portal/legalAct.html?documentId=6bef89f0016411ebb74de75171d26d52"/>
  <Relationship Id="rId1787" Type="http://schemas.openxmlformats.org/officeDocument/2006/relationships/image" Target="media/image9734.wmf"/>
  <Relationship Id="rId1788" Type="http://schemas.openxmlformats.org/officeDocument/2006/relationships/oleObject" Target="embeddings/oleObject10810.bin"/>
  <Relationship Id="rId1789" Type="http://schemas.openxmlformats.org/officeDocument/2006/relationships/image" Target="media/image9735.wmf"/>
  <Relationship Id="rId179" Type="http://schemas.openxmlformats.org/officeDocument/2006/relationships/image" Target="media/image3522.wmf"/>
  <Relationship Id="rId1790" Type="http://schemas.openxmlformats.org/officeDocument/2006/relationships/oleObject" Target="embeddings/oleObject10811.bin"/>
  <Relationship Id="rId1791" Type="http://schemas.openxmlformats.org/officeDocument/2006/relationships/image" Target="media/image9736.wmf"/>
  <Relationship Id="rId1792" Type="http://schemas.openxmlformats.org/officeDocument/2006/relationships/oleObject" Target="embeddings/oleObject10812.bin"/>
  <Relationship Id="rId1793" Type="http://schemas.openxmlformats.org/officeDocument/2006/relationships/image" Target="media/image9737.wmf"/>
  <Relationship Id="rId1794" Type="http://schemas.openxmlformats.org/officeDocument/2006/relationships/oleObject" Target="embeddings/oleObject10813.bin"/>
  <Relationship Id="rId1795" Type="http://schemas.openxmlformats.org/officeDocument/2006/relationships/image" Target="media/image9738.wmf"/>
  <Relationship Id="rId1796" Type="http://schemas.openxmlformats.org/officeDocument/2006/relationships/oleObject" Target="embeddings/oleObject10814.bin"/>
  <Relationship Id="rId1797" Type="http://schemas.openxmlformats.org/officeDocument/2006/relationships/image" Target="media/image9743.wmf"/>
  <Relationship Id="rId1798" Type="http://schemas.openxmlformats.org/officeDocument/2006/relationships/oleObject" Target="embeddings/oleObject10819.bin"/>
  <Relationship Id="rId1799" Type="http://schemas.openxmlformats.org/officeDocument/2006/relationships/image" Target="media/image9748.wmf"/>
  <Relationship Id="rId18" Type="http://schemas.openxmlformats.org/officeDocument/2006/relationships/hyperlink" TargetMode="External" Target="https://www.e-tar.lt/portal/legalAct.html?documentId=5d58cae015a811e9a02091a7dde47252"/>
  <Relationship Id="rId180" Type="http://schemas.openxmlformats.org/officeDocument/2006/relationships/oleObject" Target="embeddings/oleObject4620.bin"/>
  <Relationship Id="rId1800" Type="http://schemas.openxmlformats.org/officeDocument/2006/relationships/oleObject" Target="embeddings/oleObject10824.bin"/>
  <Relationship Id="rId1801" Type="http://schemas.openxmlformats.org/officeDocument/2006/relationships/image" Target="media/image9753.wmf"/>
  <Relationship Id="rId1802" Type="http://schemas.openxmlformats.org/officeDocument/2006/relationships/oleObject" Target="embeddings/oleObject10829.bin"/>
  <Relationship Id="rId1803" Type="http://schemas.openxmlformats.org/officeDocument/2006/relationships/image" Target="media/image9758.wmf"/>
  <Relationship Id="rId1804" Type="http://schemas.openxmlformats.org/officeDocument/2006/relationships/oleObject" Target="embeddings/oleObject10834.bin"/>
  <Relationship Id="rId1805" Type="http://schemas.openxmlformats.org/officeDocument/2006/relationships/image" Target="media/image9767.wmf"/>
  <Relationship Id="rId1806" Type="http://schemas.openxmlformats.org/officeDocument/2006/relationships/oleObject" Target="embeddings/oleObject10843.bin"/>
  <Relationship Id="rId1807" Type="http://schemas.openxmlformats.org/officeDocument/2006/relationships/image" Target="media/image9768.wmf"/>
  <Relationship Id="rId1808" Type="http://schemas.openxmlformats.org/officeDocument/2006/relationships/oleObject" Target="embeddings/oleObject10844.bin"/>
  <Relationship Id="rId1809" Type="http://schemas.openxmlformats.org/officeDocument/2006/relationships/image" Target="media/image9773.wmf"/>
  <Relationship Id="rId181" Type="http://schemas.openxmlformats.org/officeDocument/2006/relationships/image" Target="media/image3523.wmf"/>
  <Relationship Id="rId1810" Type="http://schemas.openxmlformats.org/officeDocument/2006/relationships/oleObject" Target="embeddings/oleObject10849.bin"/>
  <Relationship Id="rId1811" Type="http://schemas.openxmlformats.org/officeDocument/2006/relationships/image" Target="media/image9778.wmf"/>
  <Relationship Id="rId1812" Type="http://schemas.openxmlformats.org/officeDocument/2006/relationships/oleObject" Target="embeddings/oleObject10854.bin"/>
  <Relationship Id="rId1813" Type="http://schemas.openxmlformats.org/officeDocument/2006/relationships/image" Target="media/image9783.wmf"/>
  <Relationship Id="rId1814" Type="http://schemas.openxmlformats.org/officeDocument/2006/relationships/oleObject" Target="embeddings/oleObject10859.bin"/>
  <Relationship Id="rId1815" Type="http://schemas.openxmlformats.org/officeDocument/2006/relationships/image" Target="media/image9804.wmf"/>
  <Relationship Id="rId1816" Type="http://schemas.openxmlformats.org/officeDocument/2006/relationships/oleObject" Target="embeddings/oleObject10880.bin"/>
  <Relationship Id="rId1817" Type="http://schemas.openxmlformats.org/officeDocument/2006/relationships/image" Target="media/image9805.wmf"/>
  <Relationship Id="rId1818" Type="http://schemas.openxmlformats.org/officeDocument/2006/relationships/oleObject" Target="embeddings/oleObject10881.bin"/>
  <Relationship Id="rId1819" Type="http://schemas.openxmlformats.org/officeDocument/2006/relationships/image" Target="media/image9806.wmf"/>
  <Relationship Id="rId182" Type="http://schemas.openxmlformats.org/officeDocument/2006/relationships/oleObject" Target="embeddings/oleObject4621.bin"/>
  <Relationship Id="rId1820" Type="http://schemas.openxmlformats.org/officeDocument/2006/relationships/oleObject" Target="embeddings/oleObject10882.bin"/>
  <Relationship Id="rId1821" Type="http://schemas.openxmlformats.org/officeDocument/2006/relationships/image" Target="media/image9807.wmf"/>
  <Relationship Id="rId1822" Type="http://schemas.openxmlformats.org/officeDocument/2006/relationships/oleObject" Target="embeddings/oleObject10883.bin"/>
  <Relationship Id="rId1823" Type="http://schemas.openxmlformats.org/officeDocument/2006/relationships/image" Target="media/image9808.wmf"/>
  <Relationship Id="rId1824" Type="http://schemas.openxmlformats.org/officeDocument/2006/relationships/oleObject" Target="embeddings/oleObject10884.bin"/>
  <Relationship Id="rId1825" Type="http://schemas.openxmlformats.org/officeDocument/2006/relationships/image" Target="media/image9821.wmf"/>
  <Relationship Id="rId1826" Type="http://schemas.openxmlformats.org/officeDocument/2006/relationships/oleObject" Target="embeddings/oleObject10897.bin"/>
  <Relationship Id="rId1827" Type="http://schemas.openxmlformats.org/officeDocument/2006/relationships/image" Target="media/image9822.wmf"/>
  <Relationship Id="rId1828" Type="http://schemas.openxmlformats.org/officeDocument/2006/relationships/oleObject" Target="embeddings/oleObject10898.bin"/>
  <Relationship Id="rId1829" Type="http://schemas.openxmlformats.org/officeDocument/2006/relationships/image" Target="media/image9823.wmf"/>
  <Relationship Id="rId183" Type="http://schemas.openxmlformats.org/officeDocument/2006/relationships/image" Target="media/image3524.wmf"/>
  <Relationship Id="rId1830" Type="http://schemas.openxmlformats.org/officeDocument/2006/relationships/oleObject" Target="embeddings/oleObject10899.bin"/>
  <Relationship Id="rId1831" Type="http://schemas.openxmlformats.org/officeDocument/2006/relationships/image" Target="media/image9852.wmf"/>
  <Relationship Id="rId1832" Type="http://schemas.openxmlformats.org/officeDocument/2006/relationships/oleObject" Target="embeddings/oleObject10928.bin"/>
  <Relationship Id="rId1833" Type="http://schemas.openxmlformats.org/officeDocument/2006/relationships/image" Target="media/image9853.wmf"/>
  <Relationship Id="rId1834" Type="http://schemas.openxmlformats.org/officeDocument/2006/relationships/oleObject" Target="embeddings/oleObject10929.bin"/>
  <Relationship Id="rId1835" Type="http://schemas.openxmlformats.org/officeDocument/2006/relationships/image" Target="media/image9854.wmf"/>
  <Relationship Id="rId1836" Type="http://schemas.openxmlformats.org/officeDocument/2006/relationships/oleObject" Target="embeddings/oleObject10930.bin"/>
  <Relationship Id="rId1837" Type="http://schemas.openxmlformats.org/officeDocument/2006/relationships/image" Target="media/image9855.wmf"/>
  <Relationship Id="rId1838" Type="http://schemas.openxmlformats.org/officeDocument/2006/relationships/oleObject" Target="embeddings/oleObject10931.bin"/>
  <Relationship Id="rId1839" Type="http://schemas.openxmlformats.org/officeDocument/2006/relationships/image" Target="media/image9856.wmf"/>
  <Relationship Id="rId184" Type="http://schemas.openxmlformats.org/officeDocument/2006/relationships/oleObject" Target="embeddings/oleObject4622.bin"/>
  <Relationship Id="rId1840" Type="http://schemas.openxmlformats.org/officeDocument/2006/relationships/oleObject" Target="embeddings/oleObject10932.bin"/>
  <Relationship Id="rId1841" Type="http://schemas.openxmlformats.org/officeDocument/2006/relationships/image" Target="media/image9857.wmf"/>
  <Relationship Id="rId1842" Type="http://schemas.openxmlformats.org/officeDocument/2006/relationships/oleObject" Target="embeddings/oleObject10933.bin"/>
  <Relationship Id="rId1843" Type="http://schemas.openxmlformats.org/officeDocument/2006/relationships/image" Target="media/image9858.wmf"/>
  <Relationship Id="rId1844" Type="http://schemas.openxmlformats.org/officeDocument/2006/relationships/oleObject" Target="embeddings/oleObject10934.bin"/>
  <Relationship Id="rId1845" Type="http://schemas.openxmlformats.org/officeDocument/2006/relationships/image" Target="media/image9903.wmf"/>
  <Relationship Id="rId1846" Type="http://schemas.openxmlformats.org/officeDocument/2006/relationships/oleObject" Target="embeddings/oleObject10979.bin"/>
  <Relationship Id="rId1847" Type="http://schemas.openxmlformats.org/officeDocument/2006/relationships/image" Target="media/image9904.wmf"/>
  <Relationship Id="rId1848" Type="http://schemas.openxmlformats.org/officeDocument/2006/relationships/oleObject" Target="embeddings/oleObject10980.bin"/>
  <Relationship Id="rId1849" Type="http://schemas.openxmlformats.org/officeDocument/2006/relationships/image" Target="media/image9905.wmf"/>
  <Relationship Id="rId185" Type="http://schemas.openxmlformats.org/officeDocument/2006/relationships/image" Target="media/image3525.wmf"/>
  <Relationship Id="rId1850" Type="http://schemas.openxmlformats.org/officeDocument/2006/relationships/oleObject" Target="embeddings/oleObject10981.bin"/>
  <Relationship Id="rId1851" Type="http://schemas.openxmlformats.org/officeDocument/2006/relationships/image" Target="media/image9906.wmf"/>
  <Relationship Id="rId1852" Type="http://schemas.openxmlformats.org/officeDocument/2006/relationships/oleObject" Target="embeddings/oleObject10982.bin"/>
  <Relationship Id="rId1853" Type="http://schemas.openxmlformats.org/officeDocument/2006/relationships/image" Target="media/image9907.wmf"/>
  <Relationship Id="rId1854" Type="http://schemas.openxmlformats.org/officeDocument/2006/relationships/oleObject" Target="embeddings/oleObject10983.bin"/>
  <Relationship Id="rId1855" Type="http://schemas.openxmlformats.org/officeDocument/2006/relationships/image" Target="media/image9908.wmf"/>
  <Relationship Id="rId1856" Type="http://schemas.openxmlformats.org/officeDocument/2006/relationships/oleObject" Target="embeddings/oleObject10984.bin"/>
  <Relationship Id="rId1857" Type="http://schemas.openxmlformats.org/officeDocument/2006/relationships/image" Target="media/image9909.wmf"/>
  <Relationship Id="rId1858" Type="http://schemas.openxmlformats.org/officeDocument/2006/relationships/oleObject" Target="embeddings/oleObject10985.bin"/>
  <Relationship Id="rId1859" Type="http://schemas.openxmlformats.org/officeDocument/2006/relationships/image" Target="media/image9910.wmf"/>
  <Relationship Id="rId186" Type="http://schemas.openxmlformats.org/officeDocument/2006/relationships/oleObject" Target="embeddings/oleObject4623.bin"/>
  <Relationship Id="rId1860" Type="http://schemas.openxmlformats.org/officeDocument/2006/relationships/oleObject" Target="embeddings/oleObject10986.bin"/>
  <Relationship Id="rId1861" Type="http://schemas.openxmlformats.org/officeDocument/2006/relationships/image" Target="media/image9911.wmf"/>
  <Relationship Id="rId1862" Type="http://schemas.openxmlformats.org/officeDocument/2006/relationships/oleObject" Target="embeddings/oleObject10987.bin"/>
  <Relationship Id="rId1863" Type="http://schemas.openxmlformats.org/officeDocument/2006/relationships/image" Target="media/image9912.wmf"/>
  <Relationship Id="rId1864" Type="http://schemas.openxmlformats.org/officeDocument/2006/relationships/oleObject" Target="embeddings/oleObject10988.bin"/>
  <Relationship Id="rId1865" Type="http://schemas.openxmlformats.org/officeDocument/2006/relationships/image" Target="media/image9913.wmf"/>
  <Relationship Id="rId1866" Type="http://schemas.openxmlformats.org/officeDocument/2006/relationships/oleObject" Target="embeddings/oleObject10989.bin"/>
  <Relationship Id="rId1867" Type="http://schemas.openxmlformats.org/officeDocument/2006/relationships/image" Target="media/image9930.wmf"/>
  <Relationship Id="rId1868" Type="http://schemas.openxmlformats.org/officeDocument/2006/relationships/oleObject" Target="embeddings/oleObject11006.bin"/>
  <Relationship Id="rId1869" Type="http://schemas.openxmlformats.org/officeDocument/2006/relationships/image" Target="media/image9931.wmf"/>
  <Relationship Id="rId187" Type="http://schemas.openxmlformats.org/officeDocument/2006/relationships/image" Target="media/image3526.wmf"/>
  <Relationship Id="rId1870" Type="http://schemas.openxmlformats.org/officeDocument/2006/relationships/oleObject" Target="embeddings/oleObject11007.bin"/>
  <Relationship Id="rId1871" Type="http://schemas.openxmlformats.org/officeDocument/2006/relationships/image" Target="media/image9932.wmf"/>
  <Relationship Id="rId1872" Type="http://schemas.openxmlformats.org/officeDocument/2006/relationships/oleObject" Target="embeddings/oleObject11008.bin"/>
  <Relationship Id="rId1873" Type="http://schemas.openxmlformats.org/officeDocument/2006/relationships/image" Target="media/image9933.wmf"/>
  <Relationship Id="rId1874" Type="http://schemas.openxmlformats.org/officeDocument/2006/relationships/oleObject" Target="embeddings/oleObject11009.bin"/>
  <Relationship Id="rId1875" Type="http://schemas.openxmlformats.org/officeDocument/2006/relationships/image" Target="media/image10014.wmf"/>
  <Relationship Id="rId1876" Type="http://schemas.openxmlformats.org/officeDocument/2006/relationships/oleObject" Target="embeddings/oleObject11090.bin"/>
  <Relationship Id="rId1877" Type="http://schemas.openxmlformats.org/officeDocument/2006/relationships/image" Target="media/image10015.wmf"/>
  <Relationship Id="rId1878" Type="http://schemas.openxmlformats.org/officeDocument/2006/relationships/oleObject" Target="embeddings/oleObject11091.bin"/>
  <Relationship Id="rId1879" Type="http://schemas.openxmlformats.org/officeDocument/2006/relationships/image" Target="media/image10016.wmf"/>
  <Relationship Id="rId188" Type="http://schemas.openxmlformats.org/officeDocument/2006/relationships/oleObject" Target="embeddings/oleObject4624.bin"/>
  <Relationship Id="rId1880" Type="http://schemas.openxmlformats.org/officeDocument/2006/relationships/oleObject" Target="embeddings/oleObject11092.bin"/>
  <Relationship Id="rId1881" Type="http://schemas.openxmlformats.org/officeDocument/2006/relationships/image" Target="media/image10017.wmf"/>
  <Relationship Id="rId1882" Type="http://schemas.openxmlformats.org/officeDocument/2006/relationships/oleObject" Target="embeddings/oleObject11093.bin"/>
  <Relationship Id="rId1883" Type="http://schemas.openxmlformats.org/officeDocument/2006/relationships/image" Target="media/image10018.wmf"/>
  <Relationship Id="rId1884" Type="http://schemas.openxmlformats.org/officeDocument/2006/relationships/oleObject" Target="embeddings/oleObject11094.bin"/>
  <Relationship Id="rId1885" Type="http://schemas.openxmlformats.org/officeDocument/2006/relationships/image" Target="media/image10019.wmf"/>
  <Relationship Id="rId1886" Type="http://schemas.openxmlformats.org/officeDocument/2006/relationships/oleObject" Target="embeddings/oleObject11095.bin"/>
  <Relationship Id="rId1887" Type="http://schemas.openxmlformats.org/officeDocument/2006/relationships/image" Target="media/image10020.wmf"/>
  <Relationship Id="rId1888" Type="http://schemas.openxmlformats.org/officeDocument/2006/relationships/oleObject" Target="embeddings/oleObject11096.bin"/>
  <Relationship Id="rId1889" Type="http://schemas.openxmlformats.org/officeDocument/2006/relationships/image" Target="media/image10021.wmf"/>
  <Relationship Id="rId189" Type="http://schemas.openxmlformats.org/officeDocument/2006/relationships/image" Target="media/image3527.wmf"/>
  <Relationship Id="rId1890" Type="http://schemas.openxmlformats.org/officeDocument/2006/relationships/oleObject" Target="embeddings/oleObject11097.bin"/>
  <Relationship Id="rId1891" Type="http://schemas.openxmlformats.org/officeDocument/2006/relationships/image" Target="media/image10022.wmf"/>
  <Relationship Id="rId1892" Type="http://schemas.openxmlformats.org/officeDocument/2006/relationships/oleObject" Target="embeddings/oleObject11098.bin"/>
  <Relationship Id="rId1893" Type="http://schemas.openxmlformats.org/officeDocument/2006/relationships/image" Target="media/image10023.wmf"/>
  <Relationship Id="rId1894" Type="http://schemas.openxmlformats.org/officeDocument/2006/relationships/oleObject" Target="embeddings/oleObject11099.bin"/>
  <Relationship Id="rId1895" Type="http://schemas.openxmlformats.org/officeDocument/2006/relationships/image" Target="media/image10024.wmf"/>
  <Relationship Id="rId1896" Type="http://schemas.openxmlformats.org/officeDocument/2006/relationships/oleObject" Target="embeddings/oleObject11100.bin"/>
  <Relationship Id="rId1897" Type="http://schemas.openxmlformats.org/officeDocument/2006/relationships/image" Target="media/image10025.wmf"/>
  <Relationship Id="rId1898" Type="http://schemas.openxmlformats.org/officeDocument/2006/relationships/oleObject" Target="embeddings/oleObject11101.bin"/>
  <Relationship Id="rId1899" Type="http://schemas.openxmlformats.org/officeDocument/2006/relationships/image" Target="media/image10026.wmf"/>
  <Relationship Id="rId19" Type="http://schemas.openxmlformats.org/officeDocument/2006/relationships/hyperlink" TargetMode="External" Target="https://www.e-tar.lt/portal/legalAct.html?documentId=6bef89f0016411ebb74de75171d26d52"/>
  <Relationship Id="rId190" Type="http://schemas.openxmlformats.org/officeDocument/2006/relationships/oleObject" Target="embeddings/oleObject4625.bin"/>
  <Relationship Id="rId1900" Type="http://schemas.openxmlformats.org/officeDocument/2006/relationships/oleObject" Target="embeddings/oleObject11102.bin"/>
  <Relationship Id="rId1901" Type="http://schemas.openxmlformats.org/officeDocument/2006/relationships/image" Target="media/image10027.wmf"/>
  <Relationship Id="rId1902" Type="http://schemas.openxmlformats.org/officeDocument/2006/relationships/oleObject" Target="embeddings/oleObject11103.bin"/>
  <Relationship Id="rId1903" Type="http://schemas.openxmlformats.org/officeDocument/2006/relationships/image" Target="media/image10028.wmf"/>
  <Relationship Id="rId1904" Type="http://schemas.openxmlformats.org/officeDocument/2006/relationships/oleObject" Target="embeddings/oleObject11104.bin"/>
  <Relationship Id="rId1905" Type="http://schemas.openxmlformats.org/officeDocument/2006/relationships/image" Target="media/image10029.wmf"/>
  <Relationship Id="rId1906" Type="http://schemas.openxmlformats.org/officeDocument/2006/relationships/oleObject" Target="embeddings/oleObject11105.bin"/>
  <Relationship Id="rId1907" Type="http://schemas.openxmlformats.org/officeDocument/2006/relationships/image" Target="media/image10030.wmf"/>
  <Relationship Id="rId1908" Type="http://schemas.openxmlformats.org/officeDocument/2006/relationships/oleObject" Target="embeddings/oleObject11106.bin"/>
  <Relationship Id="rId1909" Type="http://schemas.openxmlformats.org/officeDocument/2006/relationships/image" Target="media/image10031.wmf"/>
  <Relationship Id="rId191" Type="http://schemas.openxmlformats.org/officeDocument/2006/relationships/image" Target="media/image3528.wmf"/>
  <Relationship Id="rId1910" Type="http://schemas.openxmlformats.org/officeDocument/2006/relationships/oleObject" Target="embeddings/oleObject11107.bin"/>
  <Relationship Id="rId1911" Type="http://schemas.openxmlformats.org/officeDocument/2006/relationships/image" Target="media/image10032.wmf"/>
  <Relationship Id="rId1912" Type="http://schemas.openxmlformats.org/officeDocument/2006/relationships/oleObject" Target="embeddings/oleObject11108.bin"/>
  <Relationship Id="rId1913" Type="http://schemas.openxmlformats.org/officeDocument/2006/relationships/image" Target="media/image10033.wmf"/>
  <Relationship Id="rId1914" Type="http://schemas.openxmlformats.org/officeDocument/2006/relationships/oleObject" Target="embeddings/oleObject11109.bin"/>
  <Relationship Id="rId1915" Type="http://schemas.openxmlformats.org/officeDocument/2006/relationships/image" Target="media/image10106.wmf"/>
  <Relationship Id="rId1916" Type="http://schemas.openxmlformats.org/officeDocument/2006/relationships/oleObject" Target="embeddings/oleObject11182.bin"/>
  <Relationship Id="rId1917" Type="http://schemas.openxmlformats.org/officeDocument/2006/relationships/image" Target="media/image10107.wmf"/>
  <Relationship Id="rId1918" Type="http://schemas.openxmlformats.org/officeDocument/2006/relationships/oleObject" Target="embeddings/oleObject11183.bin"/>
  <Relationship Id="rId1919" Type="http://schemas.openxmlformats.org/officeDocument/2006/relationships/image" Target="media/image10108.wmf"/>
  <Relationship Id="rId192" Type="http://schemas.openxmlformats.org/officeDocument/2006/relationships/oleObject" Target="embeddings/oleObject4626.bin"/>
  <Relationship Id="rId1920" Type="http://schemas.openxmlformats.org/officeDocument/2006/relationships/oleObject" Target="embeddings/oleObject11184.bin"/>
  <Relationship Id="rId1921" Type="http://schemas.openxmlformats.org/officeDocument/2006/relationships/image" Target="media/image10109.wmf"/>
  <Relationship Id="rId1922" Type="http://schemas.openxmlformats.org/officeDocument/2006/relationships/oleObject" Target="embeddings/oleObject11185.bin"/>
  <Relationship Id="rId1923" Type="http://schemas.openxmlformats.org/officeDocument/2006/relationships/image" Target="media/image10110.wmf"/>
  <Relationship Id="rId1924" Type="http://schemas.openxmlformats.org/officeDocument/2006/relationships/oleObject" Target="embeddings/oleObject11186.bin"/>
  <Relationship Id="rId1925" Type="http://schemas.openxmlformats.org/officeDocument/2006/relationships/image" Target="media/image10111.wmf"/>
  <Relationship Id="rId1926" Type="http://schemas.openxmlformats.org/officeDocument/2006/relationships/oleObject" Target="embeddings/oleObject11187.bin"/>
  <Relationship Id="rId1927" Type="http://schemas.openxmlformats.org/officeDocument/2006/relationships/image" Target="media/image10112.wmf"/>
  <Relationship Id="rId1928" Type="http://schemas.openxmlformats.org/officeDocument/2006/relationships/oleObject" Target="embeddings/oleObject11188.bin"/>
  <Relationship Id="rId1929" Type="http://schemas.openxmlformats.org/officeDocument/2006/relationships/image" Target="media/image10113.wmf"/>
  <Relationship Id="rId193" Type="http://schemas.openxmlformats.org/officeDocument/2006/relationships/image" Target="media/image3529.wmf"/>
  <Relationship Id="rId1930" Type="http://schemas.openxmlformats.org/officeDocument/2006/relationships/oleObject" Target="embeddings/oleObject11189.bin"/>
  <Relationship Id="rId1931" Type="http://schemas.openxmlformats.org/officeDocument/2006/relationships/image" Target="media/image10114.wmf"/>
  <Relationship Id="rId1932" Type="http://schemas.openxmlformats.org/officeDocument/2006/relationships/oleObject" Target="embeddings/oleObject11190.bin"/>
  <Relationship Id="rId1933" Type="http://schemas.openxmlformats.org/officeDocument/2006/relationships/image" Target="media/image10115.wmf"/>
  <Relationship Id="rId1934" Type="http://schemas.openxmlformats.org/officeDocument/2006/relationships/oleObject" Target="embeddings/oleObject11191.bin"/>
  <Relationship Id="rId1935" Type="http://schemas.openxmlformats.org/officeDocument/2006/relationships/image" Target="media/image10116.wmf"/>
  <Relationship Id="rId1936" Type="http://schemas.openxmlformats.org/officeDocument/2006/relationships/oleObject" Target="embeddings/oleObject11192.bin"/>
  <Relationship Id="rId1937" Type="http://schemas.openxmlformats.org/officeDocument/2006/relationships/image" Target="media/image10117.wmf"/>
  <Relationship Id="rId1938" Type="http://schemas.openxmlformats.org/officeDocument/2006/relationships/oleObject" Target="embeddings/oleObject11193.bin"/>
  <Relationship Id="rId1939" Type="http://schemas.openxmlformats.org/officeDocument/2006/relationships/image" Target="media/image10118.wmf"/>
  <Relationship Id="rId194" Type="http://schemas.openxmlformats.org/officeDocument/2006/relationships/oleObject" Target="embeddings/oleObject4627.bin"/>
  <Relationship Id="rId1940" Type="http://schemas.openxmlformats.org/officeDocument/2006/relationships/oleObject" Target="embeddings/oleObject11194.bin"/>
  <Relationship Id="rId1941" Type="http://schemas.openxmlformats.org/officeDocument/2006/relationships/image" Target="media/image10119.wmf"/>
  <Relationship Id="rId1942" Type="http://schemas.openxmlformats.org/officeDocument/2006/relationships/oleObject" Target="embeddings/oleObject11195.bin"/>
  <Relationship Id="rId1943" Type="http://schemas.openxmlformats.org/officeDocument/2006/relationships/image" Target="media/image10120.wmf"/>
  <Relationship Id="rId1944" Type="http://schemas.openxmlformats.org/officeDocument/2006/relationships/oleObject" Target="embeddings/oleObject11196.bin"/>
  <Relationship Id="rId1945" Type="http://schemas.openxmlformats.org/officeDocument/2006/relationships/image" Target="media/image10121.wmf"/>
  <Relationship Id="rId1946" Type="http://schemas.openxmlformats.org/officeDocument/2006/relationships/oleObject" Target="embeddings/oleObject11197.bin"/>
  <Relationship Id="rId1947" Type="http://schemas.openxmlformats.org/officeDocument/2006/relationships/image" Target="media/image10122.wmf"/>
  <Relationship Id="rId1948" Type="http://schemas.openxmlformats.org/officeDocument/2006/relationships/oleObject" Target="embeddings/oleObject11198.bin"/>
  <Relationship Id="rId1949" Type="http://schemas.openxmlformats.org/officeDocument/2006/relationships/image" Target="media/image10123.wmf"/>
  <Relationship Id="rId195" Type="http://schemas.openxmlformats.org/officeDocument/2006/relationships/image" Target="media/image3530.wmf"/>
  <Relationship Id="rId1950" Type="http://schemas.openxmlformats.org/officeDocument/2006/relationships/oleObject" Target="embeddings/oleObject11199.bin"/>
  <Relationship Id="rId1951" Type="http://schemas.openxmlformats.org/officeDocument/2006/relationships/image" Target="media/image10128.wmf"/>
  <Relationship Id="rId1952" Type="http://schemas.openxmlformats.org/officeDocument/2006/relationships/oleObject" Target="embeddings/oleObject11204.bin"/>
  <Relationship Id="rId1953" Type="http://schemas.openxmlformats.org/officeDocument/2006/relationships/hyperlink" TargetMode="External" Target="https://www.e-tar.lt/portal/legalAct.html?documentId=5d58cae015a811e9a02091a7dde47252"/>
  <Relationship Id="rId1954" Type="http://schemas.openxmlformats.org/officeDocument/2006/relationships/hyperlink" TargetMode="External" Target="https://www.e-tar.lt/portal/legalAct.html?documentId=6bef89f0016411ebb74de75171d26d52"/>
  <Relationship Id="rId1955" Type="http://schemas.openxmlformats.org/officeDocument/2006/relationships/customXml" Target="../customXml/item1.xml"/>
  <Relationship Id="rId196" Type="http://schemas.openxmlformats.org/officeDocument/2006/relationships/oleObject" Target="embeddings/oleObject4628.bin"/>
  <Relationship Id="rId197" Type="http://schemas.openxmlformats.org/officeDocument/2006/relationships/image" Target="media/image3531.wmf"/>
  <Relationship Id="rId198" Type="http://schemas.openxmlformats.org/officeDocument/2006/relationships/oleObject" Target="embeddings/oleObject4629.bin"/>
  <Relationship Id="rId199" Type="http://schemas.openxmlformats.org/officeDocument/2006/relationships/image" Target="media/image3532.wmf"/>
  <Relationship Id="rId2" Type="http://schemas.openxmlformats.org/officeDocument/2006/relationships/oleObject" Target="embeddings/oleObject10.bin"/>
  <Relationship Id="rId20" Type="http://schemas.openxmlformats.org/officeDocument/2006/relationships/settings" Target="settings.xml"/>
  <Relationship Id="rId200" Type="http://schemas.openxmlformats.org/officeDocument/2006/relationships/oleObject" Target="embeddings/oleObject4630.bin"/>
  <Relationship Id="rId201" Type="http://schemas.openxmlformats.org/officeDocument/2006/relationships/image" Target="media/image3533.wmf"/>
  <Relationship Id="rId202" Type="http://schemas.openxmlformats.org/officeDocument/2006/relationships/oleObject" Target="embeddings/oleObject4631.bin"/>
  <Relationship Id="rId203" Type="http://schemas.openxmlformats.org/officeDocument/2006/relationships/image" Target="media/image3534.wmf"/>
  <Relationship Id="rId204" Type="http://schemas.openxmlformats.org/officeDocument/2006/relationships/oleObject" Target="embeddings/oleObject4632.bin"/>
  <Relationship Id="rId205" Type="http://schemas.openxmlformats.org/officeDocument/2006/relationships/image" Target="media/image3535.wmf"/>
  <Relationship Id="rId206" Type="http://schemas.openxmlformats.org/officeDocument/2006/relationships/oleObject" Target="embeddings/oleObject4633.bin"/>
  <Relationship Id="rId207" Type="http://schemas.openxmlformats.org/officeDocument/2006/relationships/image" Target="media/image3536.wmf"/>
  <Relationship Id="rId208" Type="http://schemas.openxmlformats.org/officeDocument/2006/relationships/oleObject" Target="embeddings/oleObject4634.bin"/>
  <Relationship Id="rId209" Type="http://schemas.openxmlformats.org/officeDocument/2006/relationships/image" Target="media/image3537.wmf"/>
  <Relationship Id="rId21" Type="http://schemas.openxmlformats.org/officeDocument/2006/relationships/styles" Target="styles.xml"/>
  <Relationship Id="rId210" Type="http://schemas.openxmlformats.org/officeDocument/2006/relationships/oleObject" Target="embeddings/oleObject4635.bin"/>
  <Relationship Id="rId211" Type="http://schemas.openxmlformats.org/officeDocument/2006/relationships/image" Target="media/image3538.wmf"/>
  <Relationship Id="rId212" Type="http://schemas.openxmlformats.org/officeDocument/2006/relationships/oleObject" Target="embeddings/oleObject4636.bin"/>
  <Relationship Id="rId213" Type="http://schemas.openxmlformats.org/officeDocument/2006/relationships/image" Target="media/image3539.wmf"/>
  <Relationship Id="rId214" Type="http://schemas.openxmlformats.org/officeDocument/2006/relationships/oleObject" Target="embeddings/oleObject4637.bin"/>
  <Relationship Id="rId215" Type="http://schemas.openxmlformats.org/officeDocument/2006/relationships/image" Target="media/image3540.wmf"/>
  <Relationship Id="rId216" Type="http://schemas.openxmlformats.org/officeDocument/2006/relationships/oleObject" Target="embeddings/oleObject4638.bin"/>
  <Relationship Id="rId217" Type="http://schemas.openxmlformats.org/officeDocument/2006/relationships/image" Target="media/image3541.wmf"/>
  <Relationship Id="rId218" Type="http://schemas.openxmlformats.org/officeDocument/2006/relationships/oleObject" Target="embeddings/oleObject4639.bin"/>
  <Relationship Id="rId219" Type="http://schemas.openxmlformats.org/officeDocument/2006/relationships/image" Target="media/image3542.wmf"/>
  <Relationship Id="rId22" Type="http://schemas.openxmlformats.org/officeDocument/2006/relationships/theme" Target="theme/theme1.xml"/>
  <Relationship Id="rId220" Type="http://schemas.openxmlformats.org/officeDocument/2006/relationships/oleObject" Target="embeddings/oleObject4640.bin"/>
  <Relationship Id="rId221" Type="http://schemas.openxmlformats.org/officeDocument/2006/relationships/image" Target="media/image3543.wmf"/>
  <Relationship Id="rId222" Type="http://schemas.openxmlformats.org/officeDocument/2006/relationships/oleObject" Target="embeddings/oleObject4641.bin"/>
  <Relationship Id="rId223" Type="http://schemas.openxmlformats.org/officeDocument/2006/relationships/image" Target="media/image3544.wmf"/>
  <Relationship Id="rId224" Type="http://schemas.openxmlformats.org/officeDocument/2006/relationships/oleObject" Target="embeddings/oleObject4642.bin"/>
  <Relationship Id="rId225" Type="http://schemas.openxmlformats.org/officeDocument/2006/relationships/image" Target="media/image3545.wmf"/>
  <Relationship Id="rId226" Type="http://schemas.openxmlformats.org/officeDocument/2006/relationships/oleObject" Target="embeddings/oleObject4643.bin"/>
  <Relationship Id="rId227" Type="http://schemas.openxmlformats.org/officeDocument/2006/relationships/image" Target="media/image3546.wmf"/>
  <Relationship Id="rId228" Type="http://schemas.openxmlformats.org/officeDocument/2006/relationships/oleObject" Target="embeddings/oleObject4644.bin"/>
  <Relationship Id="rId229" Type="http://schemas.openxmlformats.org/officeDocument/2006/relationships/image" Target="media/image3547.wmf"/>
  <Relationship Id="rId23" Type="http://schemas.openxmlformats.org/officeDocument/2006/relationships/webSettings" Target="webSettings.xml"/>
  <Relationship Id="rId230" Type="http://schemas.openxmlformats.org/officeDocument/2006/relationships/oleObject" Target="embeddings/oleObject4645.bin"/>
  <Relationship Id="rId231" Type="http://schemas.openxmlformats.org/officeDocument/2006/relationships/image" Target="media/image3548.wmf"/>
  <Relationship Id="rId232" Type="http://schemas.openxmlformats.org/officeDocument/2006/relationships/oleObject" Target="embeddings/oleObject4646.bin"/>
  <Relationship Id="rId233" Type="http://schemas.openxmlformats.org/officeDocument/2006/relationships/image" Target="media/image3549.wmf"/>
  <Relationship Id="rId234" Type="http://schemas.openxmlformats.org/officeDocument/2006/relationships/oleObject" Target="embeddings/oleObject4647.bin"/>
  <Relationship Id="rId235" Type="http://schemas.openxmlformats.org/officeDocument/2006/relationships/image" Target="media/image3550.wmf"/>
  <Relationship Id="rId236" Type="http://schemas.openxmlformats.org/officeDocument/2006/relationships/oleObject" Target="embeddings/oleObject4648.bin"/>
  <Relationship Id="rId237" Type="http://schemas.openxmlformats.org/officeDocument/2006/relationships/image" Target="media/image3551.wmf"/>
  <Relationship Id="rId238" Type="http://schemas.openxmlformats.org/officeDocument/2006/relationships/oleObject" Target="embeddings/oleObject4649.bin"/>
  <Relationship Id="rId239" Type="http://schemas.openxmlformats.org/officeDocument/2006/relationships/image" Target="media/image3552.wmf"/>
  <Relationship Id="rId24" Type="http://schemas.openxmlformats.org/officeDocument/2006/relationships/image" Target="media/image3.png"/>
  <Relationship Id="rId240" Type="http://schemas.openxmlformats.org/officeDocument/2006/relationships/oleObject" Target="embeddings/oleObject4650.bin"/>
  <Relationship Id="rId241" Type="http://schemas.openxmlformats.org/officeDocument/2006/relationships/image" Target="media/image3553.wmf"/>
  <Relationship Id="rId242" Type="http://schemas.openxmlformats.org/officeDocument/2006/relationships/oleObject" Target="embeddings/oleObject4651.bin"/>
  <Relationship Id="rId243" Type="http://schemas.openxmlformats.org/officeDocument/2006/relationships/header" Target="header105.xml"/>
  <Relationship Id="rId244" Type="http://schemas.openxmlformats.org/officeDocument/2006/relationships/header" Target="header106.xml"/>
  <Relationship Id="rId245" Type="http://schemas.openxmlformats.org/officeDocument/2006/relationships/footer" Target="footer103.xml"/>
  <Relationship Id="rId246" Type="http://schemas.openxmlformats.org/officeDocument/2006/relationships/footer" Target="footer104.xml"/>
  <Relationship Id="rId247" Type="http://schemas.openxmlformats.org/officeDocument/2006/relationships/header" Target="header107.xml"/>
  <Relationship Id="rId248" Type="http://schemas.openxmlformats.org/officeDocument/2006/relationships/footer" Target="footer105.xml"/>
  <Relationship Id="rId249" Type="http://schemas.openxmlformats.org/officeDocument/2006/relationships/image" Target="media/image85.png"/>
  <Relationship Id="rId25" Type="http://schemas.openxmlformats.org/officeDocument/2006/relationships/header" Target="header35.xml"/>
  <Relationship Id="rId250" Type="http://schemas.openxmlformats.org/officeDocument/2006/relationships/oleObject" Target="embeddings/oleObject4662.bin"/>
  <Relationship Id="rId251" Type="http://schemas.openxmlformats.org/officeDocument/2006/relationships/image" Target="media/image3576.wmf"/>
  <Relationship Id="rId252" Type="http://schemas.openxmlformats.org/officeDocument/2006/relationships/oleObject" Target="embeddings/oleObject4685.bin"/>
  <Relationship Id="rId253" Type="http://schemas.openxmlformats.org/officeDocument/2006/relationships/image" Target="media/image3587.wmf"/>
  <Relationship Id="rId254" Type="http://schemas.openxmlformats.org/officeDocument/2006/relationships/oleObject" Target="embeddings/oleObject4696.bin"/>
  <Relationship Id="rId255" Type="http://schemas.openxmlformats.org/officeDocument/2006/relationships/image" Target="media/image3598.wmf"/>
  <Relationship Id="rId256" Type="http://schemas.openxmlformats.org/officeDocument/2006/relationships/oleObject" Target="embeddings/oleObject4707.bin"/>
  <Relationship Id="rId257" Type="http://schemas.openxmlformats.org/officeDocument/2006/relationships/image" Target="media/image3609.wmf"/>
  <Relationship Id="rId258" Type="http://schemas.openxmlformats.org/officeDocument/2006/relationships/oleObject" Target="embeddings/oleObject4718.bin"/>
  <Relationship Id="rId259" Type="http://schemas.openxmlformats.org/officeDocument/2006/relationships/image" Target="media/image3620.wmf"/>
  <Relationship Id="rId26" Type="http://schemas.openxmlformats.org/officeDocument/2006/relationships/header" Target="header36.xml"/>
  <Relationship Id="rId260" Type="http://schemas.openxmlformats.org/officeDocument/2006/relationships/oleObject" Target="embeddings/oleObject4729.bin"/>
  <Relationship Id="rId261" Type="http://schemas.openxmlformats.org/officeDocument/2006/relationships/image" Target="media/image3631.wmf"/>
  <Relationship Id="rId262" Type="http://schemas.openxmlformats.org/officeDocument/2006/relationships/oleObject" Target="embeddings/oleObject4740.bin"/>
  <Relationship Id="rId263" Type="http://schemas.openxmlformats.org/officeDocument/2006/relationships/image" Target="media/image5094.wmf"/>
  <Relationship Id="rId264" Type="http://schemas.openxmlformats.org/officeDocument/2006/relationships/oleObject" Target="embeddings/oleObject6199.bin"/>
  <Relationship Id="rId265" Type="http://schemas.openxmlformats.org/officeDocument/2006/relationships/image" Target="media/image5111.wmf"/>
  <Relationship Id="rId266" Type="http://schemas.openxmlformats.org/officeDocument/2006/relationships/oleObject" Target="embeddings/oleObject6216.bin"/>
  <Relationship Id="rId267" Type="http://schemas.openxmlformats.org/officeDocument/2006/relationships/image" Target="media/image5112.wmf"/>
  <Relationship Id="rId268" Type="http://schemas.openxmlformats.org/officeDocument/2006/relationships/oleObject" Target="embeddings/oleObject6217.bin"/>
  <Relationship Id="rId269" Type="http://schemas.openxmlformats.org/officeDocument/2006/relationships/image" Target="media/image5306.wmf"/>
  <Relationship Id="rId27" Type="http://schemas.openxmlformats.org/officeDocument/2006/relationships/footer" Target="footer34.xml"/>
  <Relationship Id="rId270" Type="http://schemas.openxmlformats.org/officeDocument/2006/relationships/oleObject" Target="embeddings/oleObject6411.bin"/>
  <Relationship Id="rId271" Type="http://schemas.openxmlformats.org/officeDocument/2006/relationships/image" Target="media/image5307.wmf"/>
  <Relationship Id="rId272" Type="http://schemas.openxmlformats.org/officeDocument/2006/relationships/oleObject" Target="embeddings/oleObject6412.bin"/>
  <Relationship Id="rId273" Type="http://schemas.openxmlformats.org/officeDocument/2006/relationships/image" Target="media/image5316.wmf"/>
  <Relationship Id="rId274" Type="http://schemas.openxmlformats.org/officeDocument/2006/relationships/oleObject" Target="embeddings/oleObject6421.bin"/>
  <Relationship Id="rId275" Type="http://schemas.openxmlformats.org/officeDocument/2006/relationships/image" Target="media/image5317.wmf"/>
  <Relationship Id="rId276" Type="http://schemas.openxmlformats.org/officeDocument/2006/relationships/oleObject" Target="embeddings/oleObject6422.bin"/>
  <Relationship Id="rId277" Type="http://schemas.openxmlformats.org/officeDocument/2006/relationships/image" Target="media/image5322.wmf"/>
  <Relationship Id="rId278" Type="http://schemas.openxmlformats.org/officeDocument/2006/relationships/oleObject" Target="embeddings/oleObject6427.bin"/>
  <Relationship Id="rId279" Type="http://schemas.openxmlformats.org/officeDocument/2006/relationships/image" Target="media/image5343.wmf"/>
  <Relationship Id="rId28" Type="http://schemas.openxmlformats.org/officeDocument/2006/relationships/footer" Target="footer35.xml"/>
  <Relationship Id="rId280" Type="http://schemas.openxmlformats.org/officeDocument/2006/relationships/oleObject" Target="embeddings/oleObject6440.bin"/>
  <Relationship Id="rId281" Type="http://schemas.openxmlformats.org/officeDocument/2006/relationships/image" Target="media/image5344.wmf"/>
  <Relationship Id="rId282" Type="http://schemas.openxmlformats.org/officeDocument/2006/relationships/oleObject" Target="embeddings/oleObject6441.bin"/>
  <Relationship Id="rId283" Type="http://schemas.openxmlformats.org/officeDocument/2006/relationships/image" Target="media/image5345.wmf"/>
  <Relationship Id="rId284" Type="http://schemas.openxmlformats.org/officeDocument/2006/relationships/image" Target="media/image5346.wmf"/>
  <Relationship Id="rId285" Type="http://schemas.openxmlformats.org/officeDocument/2006/relationships/oleObject" Target="embeddings/oleObject6442.bin"/>
  <Relationship Id="rId286" Type="http://schemas.openxmlformats.org/officeDocument/2006/relationships/image" Target="media/image5347.wmf"/>
  <Relationship Id="rId287" Type="http://schemas.openxmlformats.org/officeDocument/2006/relationships/image" Target="media/image5360.wmf"/>
  <Relationship Id="rId288" Type="http://schemas.openxmlformats.org/officeDocument/2006/relationships/oleObject" Target="embeddings/oleObject6455.bin"/>
  <Relationship Id="rId289" Type="http://schemas.openxmlformats.org/officeDocument/2006/relationships/image" Target="media/image5361.wmf"/>
  <Relationship Id="rId29" Type="http://schemas.openxmlformats.org/officeDocument/2006/relationships/header" Target="header37.xml"/>
  <Relationship Id="rId290" Type="http://schemas.openxmlformats.org/officeDocument/2006/relationships/oleObject" Target="embeddings/oleObject6456.bin"/>
  <Relationship Id="rId291" Type="http://schemas.openxmlformats.org/officeDocument/2006/relationships/image" Target="media/image5362.wmf"/>
  <Relationship Id="rId292" Type="http://schemas.openxmlformats.org/officeDocument/2006/relationships/oleObject" Target="embeddings/oleObject6457.bin"/>
  <Relationship Id="rId293" Type="http://schemas.openxmlformats.org/officeDocument/2006/relationships/hyperlink" TargetMode="External" Target="https://www.e-tar.lt/portal/legalAct.html?documentId=5d58cae015a811e9a02091a7dde47252"/>
  <Relationship Id="rId294" Type="http://schemas.openxmlformats.org/officeDocument/2006/relationships/image" Target="media/image5367.wmf"/>
  <Relationship Id="rId295" Type="http://schemas.openxmlformats.org/officeDocument/2006/relationships/oleObject" Target="embeddings/oleObject6462.bin"/>
  <Relationship Id="rId296" Type="http://schemas.openxmlformats.org/officeDocument/2006/relationships/image" Target="media/image5384.wmf"/>
  <Relationship Id="rId297" Type="http://schemas.openxmlformats.org/officeDocument/2006/relationships/oleObject" Target="embeddings/oleObject6479.bin"/>
  <Relationship Id="rId298" Type="http://schemas.openxmlformats.org/officeDocument/2006/relationships/image" Target="media/image5385.wmf"/>
  <Relationship Id="rId299" Type="http://schemas.openxmlformats.org/officeDocument/2006/relationships/oleObject" Target="embeddings/oleObject6480.bin"/>
  <Relationship Id="rId3" Type="http://schemas.openxmlformats.org/officeDocument/2006/relationships/oleObject" Target="embeddings/oleObject122.bin"/>
  <Relationship Id="rId30" Type="http://schemas.openxmlformats.org/officeDocument/2006/relationships/footer" Target="footer36.xml"/>
  <Relationship Id="rId300" Type="http://schemas.openxmlformats.org/officeDocument/2006/relationships/image" Target="media/image5386.wmf"/>
  <Relationship Id="rId301" Type="http://schemas.openxmlformats.org/officeDocument/2006/relationships/oleObject" Target="embeddings/oleObject6481.bin"/>
  <Relationship Id="rId302" Type="http://schemas.openxmlformats.org/officeDocument/2006/relationships/image" Target="media/image5387.wmf"/>
  <Relationship Id="rId303" Type="http://schemas.openxmlformats.org/officeDocument/2006/relationships/oleObject" Target="embeddings/oleObject6482.bin"/>
  <Relationship Id="rId304" Type="http://schemas.openxmlformats.org/officeDocument/2006/relationships/image" Target="media/image5392.wmf"/>
  <Relationship Id="rId305" Type="http://schemas.openxmlformats.org/officeDocument/2006/relationships/oleObject" Target="embeddings/oleObject6487.bin"/>
  <Relationship Id="rId306" Type="http://schemas.openxmlformats.org/officeDocument/2006/relationships/image" Target="media/image5405.wmf"/>
  <Relationship Id="rId307" Type="http://schemas.openxmlformats.org/officeDocument/2006/relationships/oleObject" Target="embeddings/oleObject6500.bin"/>
  <Relationship Id="rId308" Type="http://schemas.openxmlformats.org/officeDocument/2006/relationships/image" Target="media/image5406.wmf"/>
  <Relationship Id="rId309" Type="http://schemas.openxmlformats.org/officeDocument/2006/relationships/oleObject" Target="embeddings/oleObject6501.bin"/>
  <Relationship Id="rId31" Type="http://schemas.openxmlformats.org/officeDocument/2006/relationships/image" Target="media/image10.wmf"/>
  <Relationship Id="rId310" Type="http://schemas.openxmlformats.org/officeDocument/2006/relationships/image" Target="media/image5407.wmf"/>
  <Relationship Id="rId311" Type="http://schemas.openxmlformats.org/officeDocument/2006/relationships/oleObject" Target="embeddings/oleObject6502.bin"/>
  <Relationship Id="rId312" Type="http://schemas.openxmlformats.org/officeDocument/2006/relationships/image" Target="media/image5412.wmf"/>
  <Relationship Id="rId313" Type="http://schemas.openxmlformats.org/officeDocument/2006/relationships/oleObject" Target="embeddings/oleObject6507.bin"/>
  <Relationship Id="rId314" Type="http://schemas.openxmlformats.org/officeDocument/2006/relationships/image" Target="media/image5417.wmf"/>
  <Relationship Id="rId315" Type="http://schemas.openxmlformats.org/officeDocument/2006/relationships/oleObject" Target="embeddings/oleObject6512.bin"/>
  <Relationship Id="rId316" Type="http://schemas.openxmlformats.org/officeDocument/2006/relationships/image" Target="media/image5430.wmf"/>
  <Relationship Id="rId317" Type="http://schemas.openxmlformats.org/officeDocument/2006/relationships/oleObject" Target="embeddings/oleObject6525.bin"/>
  <Relationship Id="rId318" Type="http://schemas.openxmlformats.org/officeDocument/2006/relationships/image" Target="media/image5431.wmf"/>
  <Relationship Id="rId319" Type="http://schemas.openxmlformats.org/officeDocument/2006/relationships/oleObject" Target="embeddings/oleObject6526.bin"/>
  <Relationship Id="rId32" Type="http://schemas.openxmlformats.org/officeDocument/2006/relationships/oleObject" Target="embeddings/oleObject13.bin"/>
  <Relationship Id="rId320" Type="http://schemas.openxmlformats.org/officeDocument/2006/relationships/image" Target="media/image5432.wmf"/>
  <Relationship Id="rId321" Type="http://schemas.openxmlformats.org/officeDocument/2006/relationships/oleObject" Target="embeddings/oleObject6527.bin"/>
  <Relationship Id="rId322" Type="http://schemas.openxmlformats.org/officeDocument/2006/relationships/image" Target="media/image5437.wmf"/>
  <Relationship Id="rId323" Type="http://schemas.openxmlformats.org/officeDocument/2006/relationships/oleObject" Target="embeddings/oleObject6532.bin"/>
  <Relationship Id="rId324" Type="http://schemas.openxmlformats.org/officeDocument/2006/relationships/image" Target="media/image93.png"/>
  <Relationship Id="rId325" Type="http://schemas.openxmlformats.org/officeDocument/2006/relationships/image" Target="media/image5478.wmf"/>
  <Relationship Id="rId326" Type="http://schemas.openxmlformats.org/officeDocument/2006/relationships/oleObject" Target="embeddings/oleObject6569.bin"/>
  <Relationship Id="rId327" Type="http://schemas.openxmlformats.org/officeDocument/2006/relationships/image" Target="media/image5479.wmf"/>
  <Relationship Id="rId328" Type="http://schemas.openxmlformats.org/officeDocument/2006/relationships/oleObject" Target="embeddings/oleObject6570.bin"/>
  <Relationship Id="rId329" Type="http://schemas.openxmlformats.org/officeDocument/2006/relationships/image" Target="media/image5480.wmf"/>
  <Relationship Id="rId33" Type="http://schemas.openxmlformats.org/officeDocument/2006/relationships/image" Target="media/image2453.wmf"/>
  <Relationship Id="rId330" Type="http://schemas.openxmlformats.org/officeDocument/2006/relationships/image" Target="media/image5481.wmf"/>
  <Relationship Id="rId331" Type="http://schemas.openxmlformats.org/officeDocument/2006/relationships/oleObject" Target="embeddings/oleObject6571.bin"/>
  <Relationship Id="rId332" Type="http://schemas.openxmlformats.org/officeDocument/2006/relationships/image" Target="media/image5482.wmf"/>
  <Relationship Id="rId333" Type="http://schemas.openxmlformats.org/officeDocument/2006/relationships/oleObject" Target="embeddings/oleObject6572.bin"/>
  <Relationship Id="rId334" Type="http://schemas.openxmlformats.org/officeDocument/2006/relationships/image" Target="media/image5483.wmf"/>
  <Relationship Id="rId335" Type="http://schemas.openxmlformats.org/officeDocument/2006/relationships/oleObject" Target="embeddings/oleObject6573.bin"/>
  <Relationship Id="rId336" Type="http://schemas.openxmlformats.org/officeDocument/2006/relationships/image" Target="media/image5484.wmf"/>
  <Relationship Id="rId337" Type="http://schemas.openxmlformats.org/officeDocument/2006/relationships/oleObject" Target="embeddings/oleObject6574.bin"/>
  <Relationship Id="rId338" Type="http://schemas.openxmlformats.org/officeDocument/2006/relationships/image" Target="media/image5485.wmf"/>
  <Relationship Id="rId339" Type="http://schemas.openxmlformats.org/officeDocument/2006/relationships/oleObject" Target="embeddings/oleObject6575.bin"/>
  <Relationship Id="rId34" Type="http://schemas.openxmlformats.org/officeDocument/2006/relationships/oleObject" Target="embeddings/oleObject3553.bin"/>
  <Relationship Id="rId340" Type="http://schemas.openxmlformats.org/officeDocument/2006/relationships/image" Target="media/image5486.wmf"/>
  <Relationship Id="rId341" Type="http://schemas.openxmlformats.org/officeDocument/2006/relationships/oleObject" Target="embeddings/oleObject6576.bin"/>
  <Relationship Id="rId342" Type="http://schemas.openxmlformats.org/officeDocument/2006/relationships/image" Target="media/image5487.wmf"/>
  <Relationship Id="rId343" Type="http://schemas.openxmlformats.org/officeDocument/2006/relationships/oleObject" Target="embeddings/oleObject6577.bin"/>
  <Relationship Id="rId344" Type="http://schemas.openxmlformats.org/officeDocument/2006/relationships/image" Target="media/image5492.wmf"/>
  <Relationship Id="rId345" Type="http://schemas.openxmlformats.org/officeDocument/2006/relationships/oleObject" Target="embeddings/oleObject6582.bin"/>
  <Relationship Id="rId346" Type="http://schemas.openxmlformats.org/officeDocument/2006/relationships/image" Target="media/image94.png"/>
  <Relationship Id="rId347" Type="http://schemas.openxmlformats.org/officeDocument/2006/relationships/image" Target="media/image5493.wmf"/>
  <Relationship Id="rId348" Type="http://schemas.openxmlformats.org/officeDocument/2006/relationships/image" Target="media/image5494.wmf"/>
  <Relationship Id="rId349" Type="http://schemas.openxmlformats.org/officeDocument/2006/relationships/image" Target="media/image95.png"/>
  <Relationship Id="rId35" Type="http://schemas.openxmlformats.org/officeDocument/2006/relationships/image" Target="media/image2576.wmf"/>
  <Relationship Id="rId350" Type="http://schemas.openxmlformats.org/officeDocument/2006/relationships/image" Target="media/image5559.wmf"/>
  <Relationship Id="rId351" Type="http://schemas.openxmlformats.org/officeDocument/2006/relationships/oleObject" Target="embeddings/oleObject6647.bin"/>
  <Relationship Id="rId352" Type="http://schemas.openxmlformats.org/officeDocument/2006/relationships/image" Target="media/image5560.wmf"/>
  <Relationship Id="rId353" Type="http://schemas.openxmlformats.org/officeDocument/2006/relationships/oleObject" Target="embeddings/oleObject6648.bin"/>
  <Relationship Id="rId354" Type="http://schemas.openxmlformats.org/officeDocument/2006/relationships/image" Target="media/image5561.wmf"/>
  <Relationship Id="rId355" Type="http://schemas.openxmlformats.org/officeDocument/2006/relationships/oleObject" Target="embeddings/oleObject6649.bin"/>
  <Relationship Id="rId356" Type="http://schemas.openxmlformats.org/officeDocument/2006/relationships/image" Target="media/image5562.wmf"/>
  <Relationship Id="rId357" Type="http://schemas.openxmlformats.org/officeDocument/2006/relationships/oleObject" Target="embeddings/oleObject6650.bin"/>
  <Relationship Id="rId358" Type="http://schemas.openxmlformats.org/officeDocument/2006/relationships/image" Target="media/image5563.wmf"/>
  <Relationship Id="rId359" Type="http://schemas.openxmlformats.org/officeDocument/2006/relationships/oleObject" Target="embeddings/oleObject6651.bin"/>
  <Relationship Id="rId36" Type="http://schemas.openxmlformats.org/officeDocument/2006/relationships/oleObject" Target="embeddings/oleObject3676.bin"/>
  <Relationship Id="rId360" Type="http://schemas.openxmlformats.org/officeDocument/2006/relationships/image" Target="media/image5564.wmf"/>
  <Relationship Id="rId361" Type="http://schemas.openxmlformats.org/officeDocument/2006/relationships/oleObject" Target="embeddings/oleObject6652.bin"/>
  <Relationship Id="rId362" Type="http://schemas.openxmlformats.org/officeDocument/2006/relationships/image" Target="media/image5565.wmf"/>
  <Relationship Id="rId363" Type="http://schemas.openxmlformats.org/officeDocument/2006/relationships/oleObject" Target="embeddings/oleObject6653.bin"/>
  <Relationship Id="rId364" Type="http://schemas.openxmlformats.org/officeDocument/2006/relationships/image" Target="media/image5566.wmf"/>
  <Relationship Id="rId365" Type="http://schemas.openxmlformats.org/officeDocument/2006/relationships/oleObject" Target="embeddings/oleObject6654.bin"/>
  <Relationship Id="rId366" Type="http://schemas.openxmlformats.org/officeDocument/2006/relationships/image" Target="media/image5567.wmf"/>
  <Relationship Id="rId367" Type="http://schemas.openxmlformats.org/officeDocument/2006/relationships/oleObject" Target="embeddings/oleObject6655.bin"/>
  <Relationship Id="rId368" Type="http://schemas.openxmlformats.org/officeDocument/2006/relationships/image" Target="media/image5568.wmf"/>
  <Relationship Id="rId369" Type="http://schemas.openxmlformats.org/officeDocument/2006/relationships/oleObject" Target="embeddings/oleObject6656.bin"/>
  <Relationship Id="rId37" Type="http://schemas.openxmlformats.org/officeDocument/2006/relationships/image" Target="media/image2577.wmf"/>
  <Relationship Id="rId370" Type="http://schemas.openxmlformats.org/officeDocument/2006/relationships/image" Target="media/image5569.wmf"/>
  <Relationship Id="rId371" Type="http://schemas.openxmlformats.org/officeDocument/2006/relationships/oleObject" Target="embeddings/oleObject6657.bin"/>
  <Relationship Id="rId372" Type="http://schemas.openxmlformats.org/officeDocument/2006/relationships/image" Target="media/image5570.wmf"/>
  <Relationship Id="rId373" Type="http://schemas.openxmlformats.org/officeDocument/2006/relationships/oleObject" Target="embeddings/oleObject6658.bin"/>
  <Relationship Id="rId374" Type="http://schemas.openxmlformats.org/officeDocument/2006/relationships/image" Target="media/image5571.wmf"/>
  <Relationship Id="rId375" Type="http://schemas.openxmlformats.org/officeDocument/2006/relationships/oleObject" Target="embeddings/oleObject6659.bin"/>
  <Relationship Id="rId376" Type="http://schemas.openxmlformats.org/officeDocument/2006/relationships/image" Target="media/image5572.wmf"/>
  <Relationship Id="rId377" Type="http://schemas.openxmlformats.org/officeDocument/2006/relationships/oleObject" Target="embeddings/oleObject6660.bin"/>
  <Relationship Id="rId378" Type="http://schemas.openxmlformats.org/officeDocument/2006/relationships/image" Target="media/image5573.wmf"/>
  <Relationship Id="rId379" Type="http://schemas.openxmlformats.org/officeDocument/2006/relationships/oleObject" Target="embeddings/oleObject6661.bin"/>
  <Relationship Id="rId38" Type="http://schemas.openxmlformats.org/officeDocument/2006/relationships/oleObject" Target="embeddings/oleObject3677.bin"/>
  <Relationship Id="rId380" Type="http://schemas.openxmlformats.org/officeDocument/2006/relationships/image" Target="media/image5574.wmf"/>
  <Relationship Id="rId381" Type="http://schemas.openxmlformats.org/officeDocument/2006/relationships/oleObject" Target="embeddings/oleObject6662.bin"/>
  <Relationship Id="rId382" Type="http://schemas.openxmlformats.org/officeDocument/2006/relationships/image" Target="media/image5579.wmf"/>
  <Relationship Id="rId383" Type="http://schemas.openxmlformats.org/officeDocument/2006/relationships/oleObject" Target="embeddings/oleObject6667.bin"/>
  <Relationship Id="rId384" Type="http://schemas.openxmlformats.org/officeDocument/2006/relationships/image" Target="media/image96.png"/>
  <Relationship Id="rId385" Type="http://schemas.openxmlformats.org/officeDocument/2006/relationships/image" Target="media/image5624.wmf"/>
  <Relationship Id="rId386" Type="http://schemas.openxmlformats.org/officeDocument/2006/relationships/oleObject" Target="embeddings/oleObject6712.bin"/>
  <Relationship Id="rId387" Type="http://schemas.openxmlformats.org/officeDocument/2006/relationships/image" Target="media/image5625.wmf"/>
  <Relationship Id="rId388" Type="http://schemas.openxmlformats.org/officeDocument/2006/relationships/oleObject" Target="embeddings/oleObject6713.bin"/>
  <Relationship Id="rId389" Type="http://schemas.openxmlformats.org/officeDocument/2006/relationships/image" Target="media/image5626.wmf"/>
  <Relationship Id="rId39" Type="http://schemas.openxmlformats.org/officeDocument/2006/relationships/image" Target="media/image2578.wmf"/>
  <Relationship Id="rId390" Type="http://schemas.openxmlformats.org/officeDocument/2006/relationships/oleObject" Target="embeddings/oleObject6714.bin"/>
  <Relationship Id="rId391" Type="http://schemas.openxmlformats.org/officeDocument/2006/relationships/image" Target="media/image5627.wmf"/>
  <Relationship Id="rId392" Type="http://schemas.openxmlformats.org/officeDocument/2006/relationships/oleObject" Target="embeddings/oleObject6715.bin"/>
  <Relationship Id="rId393" Type="http://schemas.openxmlformats.org/officeDocument/2006/relationships/image" Target="media/image5628.wmf"/>
  <Relationship Id="rId394" Type="http://schemas.openxmlformats.org/officeDocument/2006/relationships/oleObject" Target="embeddings/oleObject6716.bin"/>
  <Relationship Id="rId395" Type="http://schemas.openxmlformats.org/officeDocument/2006/relationships/image" Target="media/image5629.wmf"/>
  <Relationship Id="rId396" Type="http://schemas.openxmlformats.org/officeDocument/2006/relationships/oleObject" Target="embeddings/oleObject6717.bin"/>
  <Relationship Id="rId397" Type="http://schemas.openxmlformats.org/officeDocument/2006/relationships/image" Target="media/image5630.wmf"/>
  <Relationship Id="rId398" Type="http://schemas.openxmlformats.org/officeDocument/2006/relationships/oleObject" Target="embeddings/oleObject6718.bin"/>
  <Relationship Id="rId399" Type="http://schemas.openxmlformats.org/officeDocument/2006/relationships/image" Target="media/image5631.wmf"/>
  <Relationship Id="rId4" Type="http://schemas.openxmlformats.org/officeDocument/2006/relationships/oleObject" Target="embeddings/oleObject123.bin"/>
  <Relationship Id="rId40" Type="http://schemas.openxmlformats.org/officeDocument/2006/relationships/oleObject" Target="embeddings/oleObject3678.bin"/>
  <Relationship Id="rId400" Type="http://schemas.openxmlformats.org/officeDocument/2006/relationships/oleObject" Target="embeddings/oleObject6719.bin"/>
  <Relationship Id="rId401" Type="http://schemas.openxmlformats.org/officeDocument/2006/relationships/image" Target="media/image5632.wmf"/>
  <Relationship Id="rId402" Type="http://schemas.openxmlformats.org/officeDocument/2006/relationships/oleObject" Target="embeddings/oleObject6720.bin"/>
  <Relationship Id="rId403" Type="http://schemas.openxmlformats.org/officeDocument/2006/relationships/image" Target="media/image5633.wmf"/>
  <Relationship Id="rId404" Type="http://schemas.openxmlformats.org/officeDocument/2006/relationships/oleObject" Target="embeddings/oleObject6721.bin"/>
  <Relationship Id="rId405" Type="http://schemas.openxmlformats.org/officeDocument/2006/relationships/image" Target="media/image5634.wmf"/>
  <Relationship Id="rId406" Type="http://schemas.openxmlformats.org/officeDocument/2006/relationships/oleObject" Target="embeddings/oleObject6722.bin"/>
  <Relationship Id="rId407" Type="http://schemas.openxmlformats.org/officeDocument/2006/relationships/hyperlink" TargetMode="External" Target="https://www.e-tar.lt/portal/legalAct.html?documentId=5d58cae015a811e9a02091a7dde47252"/>
  <Relationship Id="rId408" Type="http://schemas.openxmlformats.org/officeDocument/2006/relationships/image" Target="media/image5639.wmf"/>
  <Relationship Id="rId409" Type="http://schemas.openxmlformats.org/officeDocument/2006/relationships/oleObject" Target="embeddings/oleObject6727.bin"/>
  <Relationship Id="rId41" Type="http://schemas.openxmlformats.org/officeDocument/2006/relationships/image" Target="media/image2579.wmf"/>
  <Relationship Id="rId410" Type="http://schemas.openxmlformats.org/officeDocument/2006/relationships/image" Target="media/image97.png"/>
  <Relationship Id="rId411" Type="http://schemas.openxmlformats.org/officeDocument/2006/relationships/image" Target="media/image5690.wmf"/>
  <Relationship Id="rId412" Type="http://schemas.openxmlformats.org/officeDocument/2006/relationships/oleObject" Target="embeddings/oleObject6778.bin"/>
  <Relationship Id="rId413" Type="http://schemas.openxmlformats.org/officeDocument/2006/relationships/image" Target="media/image5691.wmf"/>
  <Relationship Id="rId414" Type="http://schemas.openxmlformats.org/officeDocument/2006/relationships/oleObject" Target="embeddings/oleObject6779.bin"/>
  <Relationship Id="rId415" Type="http://schemas.openxmlformats.org/officeDocument/2006/relationships/image" Target="media/image5692.wmf"/>
  <Relationship Id="rId416" Type="http://schemas.openxmlformats.org/officeDocument/2006/relationships/oleObject" Target="embeddings/oleObject6780.bin"/>
  <Relationship Id="rId417" Type="http://schemas.openxmlformats.org/officeDocument/2006/relationships/image" Target="media/image5693.wmf"/>
  <Relationship Id="rId418" Type="http://schemas.openxmlformats.org/officeDocument/2006/relationships/oleObject" Target="embeddings/oleObject6781.bin"/>
  <Relationship Id="rId419" Type="http://schemas.openxmlformats.org/officeDocument/2006/relationships/image" Target="media/image5694.wmf"/>
  <Relationship Id="rId42" Type="http://schemas.openxmlformats.org/officeDocument/2006/relationships/oleObject" Target="embeddings/oleObject3679.bin"/>
  <Relationship Id="rId420" Type="http://schemas.openxmlformats.org/officeDocument/2006/relationships/oleObject" Target="embeddings/oleObject6782.bin"/>
  <Relationship Id="rId421" Type="http://schemas.openxmlformats.org/officeDocument/2006/relationships/image" Target="media/image5695.wmf"/>
  <Relationship Id="rId422" Type="http://schemas.openxmlformats.org/officeDocument/2006/relationships/oleObject" Target="embeddings/oleObject6783.bin"/>
  <Relationship Id="rId423" Type="http://schemas.openxmlformats.org/officeDocument/2006/relationships/image" Target="media/image5696.wmf"/>
  <Relationship Id="rId424" Type="http://schemas.openxmlformats.org/officeDocument/2006/relationships/oleObject" Target="embeddings/oleObject6784.bin"/>
  <Relationship Id="rId425" Type="http://schemas.openxmlformats.org/officeDocument/2006/relationships/image" Target="media/image5697.wmf"/>
  <Relationship Id="rId426" Type="http://schemas.openxmlformats.org/officeDocument/2006/relationships/oleObject" Target="embeddings/oleObject6785.bin"/>
  <Relationship Id="rId427" Type="http://schemas.openxmlformats.org/officeDocument/2006/relationships/image" Target="media/image5698.wmf"/>
  <Relationship Id="rId428" Type="http://schemas.openxmlformats.org/officeDocument/2006/relationships/oleObject" Target="embeddings/oleObject6786.bin"/>
  <Relationship Id="rId429" Type="http://schemas.openxmlformats.org/officeDocument/2006/relationships/image" Target="media/image5699.wmf"/>
  <Relationship Id="rId43" Type="http://schemas.openxmlformats.org/officeDocument/2006/relationships/image" Target="media/image2580.wmf"/>
  <Relationship Id="rId430" Type="http://schemas.openxmlformats.org/officeDocument/2006/relationships/oleObject" Target="embeddings/oleObject6787.bin"/>
  <Relationship Id="rId431" Type="http://schemas.openxmlformats.org/officeDocument/2006/relationships/image" Target="media/image5704.wmf"/>
  <Relationship Id="rId432" Type="http://schemas.openxmlformats.org/officeDocument/2006/relationships/oleObject" Target="embeddings/oleObject6792.bin"/>
  <Relationship Id="rId433" Type="http://schemas.openxmlformats.org/officeDocument/2006/relationships/image" Target="media/image98.png"/>
  <Relationship Id="rId434" Type="http://schemas.openxmlformats.org/officeDocument/2006/relationships/image" Target="media/image5749.wmf"/>
  <Relationship Id="rId435" Type="http://schemas.openxmlformats.org/officeDocument/2006/relationships/oleObject" Target="embeddings/oleObject6837.bin"/>
  <Relationship Id="rId436" Type="http://schemas.openxmlformats.org/officeDocument/2006/relationships/image" Target="media/image5750.wmf"/>
  <Relationship Id="rId437" Type="http://schemas.openxmlformats.org/officeDocument/2006/relationships/oleObject" Target="embeddings/oleObject6838.bin"/>
  <Relationship Id="rId438" Type="http://schemas.openxmlformats.org/officeDocument/2006/relationships/image" Target="media/image5751.wmf"/>
  <Relationship Id="rId439" Type="http://schemas.openxmlformats.org/officeDocument/2006/relationships/oleObject" Target="embeddings/oleObject6839.bin"/>
  <Relationship Id="rId44" Type="http://schemas.openxmlformats.org/officeDocument/2006/relationships/oleObject" Target="embeddings/oleObject3680.bin"/>
  <Relationship Id="rId440" Type="http://schemas.openxmlformats.org/officeDocument/2006/relationships/image" Target="media/image5752.wmf"/>
  <Relationship Id="rId441" Type="http://schemas.openxmlformats.org/officeDocument/2006/relationships/oleObject" Target="embeddings/oleObject6840.bin"/>
  <Relationship Id="rId442" Type="http://schemas.openxmlformats.org/officeDocument/2006/relationships/image" Target="media/image5753.wmf"/>
  <Relationship Id="rId443" Type="http://schemas.openxmlformats.org/officeDocument/2006/relationships/oleObject" Target="embeddings/oleObject6841.bin"/>
  <Relationship Id="rId444" Type="http://schemas.openxmlformats.org/officeDocument/2006/relationships/image" Target="media/image5754.wmf"/>
  <Relationship Id="rId445" Type="http://schemas.openxmlformats.org/officeDocument/2006/relationships/oleObject" Target="embeddings/oleObject6842.bin"/>
  <Relationship Id="rId446" Type="http://schemas.openxmlformats.org/officeDocument/2006/relationships/image" Target="media/image5755.wmf"/>
  <Relationship Id="rId447" Type="http://schemas.openxmlformats.org/officeDocument/2006/relationships/oleObject" Target="embeddings/oleObject6843.bin"/>
  <Relationship Id="rId448" Type="http://schemas.openxmlformats.org/officeDocument/2006/relationships/image" Target="media/image5756.wmf"/>
  <Relationship Id="rId449" Type="http://schemas.openxmlformats.org/officeDocument/2006/relationships/oleObject" Target="embeddings/oleObject6844.bin"/>
  <Relationship Id="rId45" Type="http://schemas.openxmlformats.org/officeDocument/2006/relationships/image" Target="media/image2581.wmf"/>
  <Relationship Id="rId450" Type="http://schemas.openxmlformats.org/officeDocument/2006/relationships/image" Target="media/image5757.wmf"/>
  <Relationship Id="rId451" Type="http://schemas.openxmlformats.org/officeDocument/2006/relationships/oleObject" Target="embeddings/oleObject6845.bin"/>
  <Relationship Id="rId452" Type="http://schemas.openxmlformats.org/officeDocument/2006/relationships/image" Target="media/image5758.wmf"/>
  <Relationship Id="rId453" Type="http://schemas.openxmlformats.org/officeDocument/2006/relationships/oleObject" Target="embeddings/oleObject6846.bin"/>
  <Relationship Id="rId454" Type="http://schemas.openxmlformats.org/officeDocument/2006/relationships/image" Target="media/image5759.wmf"/>
  <Relationship Id="rId455" Type="http://schemas.openxmlformats.org/officeDocument/2006/relationships/oleObject" Target="embeddings/oleObject6847.bin"/>
  <Relationship Id="rId456" Type="http://schemas.openxmlformats.org/officeDocument/2006/relationships/hyperlink" TargetMode="External" Target="https://www.e-tar.lt/portal/legalAct.html?documentId=5d58cae015a811e9a02091a7dde47252"/>
  <Relationship Id="rId457" Type="http://schemas.openxmlformats.org/officeDocument/2006/relationships/image" Target="media/image5764.wmf"/>
  <Relationship Id="rId458" Type="http://schemas.openxmlformats.org/officeDocument/2006/relationships/oleObject" Target="embeddings/oleObject6852.bin"/>
  <Relationship Id="rId459" Type="http://schemas.openxmlformats.org/officeDocument/2006/relationships/image" Target="media/image5777.wmf"/>
  <Relationship Id="rId46" Type="http://schemas.openxmlformats.org/officeDocument/2006/relationships/oleObject" Target="embeddings/oleObject3681.bin"/>
  <Relationship Id="rId460" Type="http://schemas.openxmlformats.org/officeDocument/2006/relationships/oleObject" Target="embeddings/oleObject6865.bin"/>
  <Relationship Id="rId461" Type="http://schemas.openxmlformats.org/officeDocument/2006/relationships/image" Target="media/image5778.wmf"/>
  <Relationship Id="rId462" Type="http://schemas.openxmlformats.org/officeDocument/2006/relationships/oleObject" Target="embeddings/oleObject6866.bin"/>
  <Relationship Id="rId463" Type="http://schemas.openxmlformats.org/officeDocument/2006/relationships/image" Target="media/image5779.wmf"/>
  <Relationship Id="rId464" Type="http://schemas.openxmlformats.org/officeDocument/2006/relationships/oleObject" Target="embeddings/oleObject6867.bin"/>
  <Relationship Id="rId465" Type="http://schemas.openxmlformats.org/officeDocument/2006/relationships/image" Target="media/image5784.wmf"/>
  <Relationship Id="rId466" Type="http://schemas.openxmlformats.org/officeDocument/2006/relationships/oleObject" Target="embeddings/oleObject6872.bin"/>
  <Relationship Id="rId467" Type="http://schemas.openxmlformats.org/officeDocument/2006/relationships/image" Target="media/image5797.wmf"/>
  <Relationship Id="rId468" Type="http://schemas.openxmlformats.org/officeDocument/2006/relationships/oleObject" Target="embeddings/oleObject6885.bin"/>
  <Relationship Id="rId469" Type="http://schemas.openxmlformats.org/officeDocument/2006/relationships/image" Target="media/image5798.wmf"/>
  <Relationship Id="rId47" Type="http://schemas.openxmlformats.org/officeDocument/2006/relationships/image" Target="media/image2582.wmf"/>
  <Relationship Id="rId470" Type="http://schemas.openxmlformats.org/officeDocument/2006/relationships/oleObject" Target="embeddings/oleObject6886.bin"/>
  <Relationship Id="rId471" Type="http://schemas.openxmlformats.org/officeDocument/2006/relationships/image" Target="media/image5799.wmf"/>
  <Relationship Id="rId472" Type="http://schemas.openxmlformats.org/officeDocument/2006/relationships/oleObject" Target="embeddings/oleObject6887.bin"/>
  <Relationship Id="rId473" Type="http://schemas.openxmlformats.org/officeDocument/2006/relationships/image" Target="media/image5804.wmf"/>
  <Relationship Id="rId474" Type="http://schemas.openxmlformats.org/officeDocument/2006/relationships/oleObject" Target="embeddings/oleObject6892.bin"/>
  <Relationship Id="rId475" Type="http://schemas.openxmlformats.org/officeDocument/2006/relationships/image" Target="media/image5820.wmf"/>
  <Relationship Id="rId476" Type="http://schemas.openxmlformats.org/officeDocument/2006/relationships/oleObject" Target="embeddings/oleObject6908.bin"/>
  <Relationship Id="rId477" Type="http://schemas.openxmlformats.org/officeDocument/2006/relationships/image" Target="media/image5821.wmf"/>
  <Relationship Id="rId478" Type="http://schemas.openxmlformats.org/officeDocument/2006/relationships/oleObject" Target="embeddings/oleObject6909.bin"/>
  <Relationship Id="rId479" Type="http://schemas.openxmlformats.org/officeDocument/2006/relationships/image" Target="media/image5822.wmf"/>
  <Relationship Id="rId48" Type="http://schemas.openxmlformats.org/officeDocument/2006/relationships/oleObject" Target="embeddings/oleObject3682.bin"/>
  <Relationship Id="rId480" Type="http://schemas.openxmlformats.org/officeDocument/2006/relationships/oleObject" Target="embeddings/oleObject6910.bin"/>
  <Relationship Id="rId481" Type="http://schemas.openxmlformats.org/officeDocument/2006/relationships/image" Target="media/image5828.wmf"/>
  <Relationship Id="rId482" Type="http://schemas.openxmlformats.org/officeDocument/2006/relationships/oleObject" Target="embeddings/oleObject6916.bin"/>
  <Relationship Id="rId483" Type="http://schemas.openxmlformats.org/officeDocument/2006/relationships/image" Target="media/image100.png"/>
  <Relationship Id="rId484" Type="http://schemas.openxmlformats.org/officeDocument/2006/relationships/image" Target="media/image5839.wmf"/>
  <Relationship Id="rId485" Type="http://schemas.openxmlformats.org/officeDocument/2006/relationships/oleObject" Target="embeddings/oleObject6927.bin"/>
  <Relationship Id="rId486" Type="http://schemas.openxmlformats.org/officeDocument/2006/relationships/image" Target="media/image5840.wmf"/>
  <Relationship Id="rId487" Type="http://schemas.openxmlformats.org/officeDocument/2006/relationships/oleObject" Target="embeddings/oleObject6928.bin"/>
  <Relationship Id="rId488" Type="http://schemas.openxmlformats.org/officeDocument/2006/relationships/image" Target="media/image5846.wmf"/>
  <Relationship Id="rId489" Type="http://schemas.openxmlformats.org/officeDocument/2006/relationships/oleObject" Target="embeddings/oleObject6934.bin"/>
  <Relationship Id="rId49" Type="http://schemas.openxmlformats.org/officeDocument/2006/relationships/image" Target="media/image2583.wmf"/>
  <Relationship Id="rId490" Type="http://schemas.openxmlformats.org/officeDocument/2006/relationships/hyperlink" TargetMode="External" Target="https://www.e-tar.lt/portal/legalAct.html?documentId=6bef89f0016411ebb74de75171d26d52"/>
  <Relationship Id="rId491" Type="http://schemas.openxmlformats.org/officeDocument/2006/relationships/image" Target="media/image5852.wmf"/>
  <Relationship Id="rId492" Type="http://schemas.openxmlformats.org/officeDocument/2006/relationships/oleObject" Target="embeddings/oleObject6940.bin"/>
  <Relationship Id="rId493" Type="http://schemas.openxmlformats.org/officeDocument/2006/relationships/image" Target="media/image5858.wmf"/>
  <Relationship Id="rId494" Type="http://schemas.openxmlformats.org/officeDocument/2006/relationships/oleObject" Target="embeddings/oleObject6946.bin"/>
  <Relationship Id="rId495" Type="http://schemas.openxmlformats.org/officeDocument/2006/relationships/image" Target="media/image5904.wmf"/>
  <Relationship Id="rId496" Type="http://schemas.openxmlformats.org/officeDocument/2006/relationships/oleObject" Target="embeddings/oleObject6992.bin"/>
  <Relationship Id="rId497" Type="http://schemas.openxmlformats.org/officeDocument/2006/relationships/image" Target="media/image5905.wmf"/>
  <Relationship Id="rId498" Type="http://schemas.openxmlformats.org/officeDocument/2006/relationships/oleObject" Target="embeddings/oleObject6993.bin"/>
  <Relationship Id="rId499" Type="http://schemas.openxmlformats.org/officeDocument/2006/relationships/image" Target="media/image5906.wmf"/>
  <Relationship Id="rId5" Type="http://schemas.openxmlformats.org/officeDocument/2006/relationships/oleObject" Target="embeddings/oleObject168.bin"/>
  <Relationship Id="rId50" Type="http://schemas.openxmlformats.org/officeDocument/2006/relationships/oleObject" Target="embeddings/oleObject3683.bin"/>
  <Relationship Id="rId500" Type="http://schemas.openxmlformats.org/officeDocument/2006/relationships/oleObject" Target="embeddings/oleObject6994.bin"/>
  <Relationship Id="rId501" Type="http://schemas.openxmlformats.org/officeDocument/2006/relationships/image" Target="media/image5907.wmf"/>
  <Relationship Id="rId502" Type="http://schemas.openxmlformats.org/officeDocument/2006/relationships/oleObject" Target="embeddings/oleObject6995.bin"/>
  <Relationship Id="rId503" Type="http://schemas.openxmlformats.org/officeDocument/2006/relationships/image" Target="media/image5908.wmf"/>
  <Relationship Id="rId504" Type="http://schemas.openxmlformats.org/officeDocument/2006/relationships/oleObject" Target="embeddings/oleObject6996.bin"/>
  <Relationship Id="rId505" Type="http://schemas.openxmlformats.org/officeDocument/2006/relationships/image" Target="media/image5909.wmf"/>
  <Relationship Id="rId506" Type="http://schemas.openxmlformats.org/officeDocument/2006/relationships/oleObject" Target="embeddings/oleObject6997.bin"/>
  <Relationship Id="rId507" Type="http://schemas.openxmlformats.org/officeDocument/2006/relationships/image" Target="media/image5910.wmf"/>
  <Relationship Id="rId508" Type="http://schemas.openxmlformats.org/officeDocument/2006/relationships/oleObject" Target="embeddings/oleObject6998.bin"/>
  <Relationship Id="rId509" Type="http://schemas.openxmlformats.org/officeDocument/2006/relationships/image" Target="media/image5911.wmf"/>
  <Relationship Id="rId51" Type="http://schemas.openxmlformats.org/officeDocument/2006/relationships/image" Target="media/image2584.wmf"/>
  <Relationship Id="rId510" Type="http://schemas.openxmlformats.org/officeDocument/2006/relationships/oleObject" Target="embeddings/oleObject6999.bin"/>
  <Relationship Id="rId511" Type="http://schemas.openxmlformats.org/officeDocument/2006/relationships/image" Target="media/image5912.wmf"/>
  <Relationship Id="rId512" Type="http://schemas.openxmlformats.org/officeDocument/2006/relationships/oleObject" Target="embeddings/oleObject7000.bin"/>
  <Relationship Id="rId513" Type="http://schemas.openxmlformats.org/officeDocument/2006/relationships/hyperlink" TargetMode="External" Target="https://www.e-tar.lt/portal/legalAct.html?documentId=6bef89f0016411ebb74de75171d26d52"/>
  <Relationship Id="rId514" Type="http://schemas.openxmlformats.org/officeDocument/2006/relationships/image" Target="media/image5918.wmf"/>
  <Relationship Id="rId515" Type="http://schemas.openxmlformats.org/officeDocument/2006/relationships/oleObject" Target="embeddings/oleObject7006.bin"/>
  <Relationship Id="rId516" Type="http://schemas.openxmlformats.org/officeDocument/2006/relationships/image" Target="media/image5929.wmf"/>
  <Relationship Id="rId517" Type="http://schemas.openxmlformats.org/officeDocument/2006/relationships/oleObject" Target="embeddings/oleObject7017.bin"/>
  <Relationship Id="rId518" Type="http://schemas.openxmlformats.org/officeDocument/2006/relationships/image" Target="media/image5930.wmf"/>
  <Relationship Id="rId519" Type="http://schemas.openxmlformats.org/officeDocument/2006/relationships/oleObject" Target="embeddings/oleObject7018.bin"/>
  <Relationship Id="rId52" Type="http://schemas.openxmlformats.org/officeDocument/2006/relationships/oleObject" Target="embeddings/oleObject3684.bin"/>
  <Relationship Id="rId520" Type="http://schemas.openxmlformats.org/officeDocument/2006/relationships/image" Target="media/image5941.wmf"/>
  <Relationship Id="rId521" Type="http://schemas.openxmlformats.org/officeDocument/2006/relationships/oleObject" Target="embeddings/oleObject7029.bin"/>
  <Relationship Id="rId522" Type="http://schemas.openxmlformats.org/officeDocument/2006/relationships/image" Target="media/image5942.wmf"/>
  <Relationship Id="rId523" Type="http://schemas.openxmlformats.org/officeDocument/2006/relationships/oleObject" Target="embeddings/oleObject7030.bin"/>
  <Relationship Id="rId524" Type="http://schemas.openxmlformats.org/officeDocument/2006/relationships/hyperlink" TargetMode="External" Target="https://www.e-tar.lt/portal/legalAct.html?documentId=5d58cae015a811e9a02091a7dde47252"/>
  <Relationship Id="rId525" Type="http://schemas.openxmlformats.org/officeDocument/2006/relationships/image" Target="media/image5953.wmf"/>
  <Relationship Id="rId526" Type="http://schemas.openxmlformats.org/officeDocument/2006/relationships/oleObject" Target="embeddings/oleObject7041.bin"/>
  <Relationship Id="rId527" Type="http://schemas.openxmlformats.org/officeDocument/2006/relationships/image" Target="media/image5954.wmf"/>
  <Relationship Id="rId528" Type="http://schemas.openxmlformats.org/officeDocument/2006/relationships/oleObject" Target="embeddings/oleObject7042.bin"/>
  <Relationship Id="rId529" Type="http://schemas.openxmlformats.org/officeDocument/2006/relationships/hyperlink" TargetMode="External" Target="https://www.e-tar.lt/portal/legalAct.html?documentId=6bef89f0016411ebb74de75171d26d52"/>
  <Relationship Id="rId53" Type="http://schemas.openxmlformats.org/officeDocument/2006/relationships/image" Target="media/image2585.wmf"/>
  <Relationship Id="rId530" Type="http://schemas.openxmlformats.org/officeDocument/2006/relationships/image" Target="media/image5985.wmf"/>
  <Relationship Id="rId531" Type="http://schemas.openxmlformats.org/officeDocument/2006/relationships/oleObject" Target="embeddings/oleObject7073.bin"/>
  <Relationship Id="rId532" Type="http://schemas.openxmlformats.org/officeDocument/2006/relationships/image" Target="media/image5986.wmf"/>
  <Relationship Id="rId533" Type="http://schemas.openxmlformats.org/officeDocument/2006/relationships/oleObject" Target="embeddings/oleObject7074.bin"/>
  <Relationship Id="rId534" Type="http://schemas.openxmlformats.org/officeDocument/2006/relationships/image" Target="media/image5987.wmf"/>
  <Relationship Id="rId535" Type="http://schemas.openxmlformats.org/officeDocument/2006/relationships/oleObject" Target="embeddings/oleObject7075.bin"/>
  <Relationship Id="rId536" Type="http://schemas.openxmlformats.org/officeDocument/2006/relationships/image" Target="media/image5988.wmf"/>
  <Relationship Id="rId537" Type="http://schemas.openxmlformats.org/officeDocument/2006/relationships/oleObject" Target="embeddings/oleObject7076.bin"/>
  <Relationship Id="rId538" Type="http://schemas.openxmlformats.org/officeDocument/2006/relationships/image" Target="media/image5989.wmf"/>
  <Relationship Id="rId539" Type="http://schemas.openxmlformats.org/officeDocument/2006/relationships/oleObject" Target="embeddings/oleObject7077.bin"/>
  <Relationship Id="rId54" Type="http://schemas.openxmlformats.org/officeDocument/2006/relationships/oleObject" Target="embeddings/oleObject3685.bin"/>
  <Relationship Id="rId540" Type="http://schemas.openxmlformats.org/officeDocument/2006/relationships/image" Target="media/image5990.wmf"/>
  <Relationship Id="rId541" Type="http://schemas.openxmlformats.org/officeDocument/2006/relationships/oleObject" Target="embeddings/oleObject7078.bin"/>
  <Relationship Id="rId542" Type="http://schemas.openxmlformats.org/officeDocument/2006/relationships/image" Target="media/image6001.wmf"/>
  <Relationship Id="rId543" Type="http://schemas.openxmlformats.org/officeDocument/2006/relationships/oleObject" Target="embeddings/oleObject7089.bin"/>
  <Relationship Id="rId544" Type="http://schemas.openxmlformats.org/officeDocument/2006/relationships/image" Target="media/image6002.wmf"/>
  <Relationship Id="rId545" Type="http://schemas.openxmlformats.org/officeDocument/2006/relationships/oleObject" Target="embeddings/oleObject7090.bin"/>
  <Relationship Id="rId546" Type="http://schemas.openxmlformats.org/officeDocument/2006/relationships/image" Target="media/image6008.wmf"/>
  <Relationship Id="rId547" Type="http://schemas.openxmlformats.org/officeDocument/2006/relationships/oleObject" Target="embeddings/oleObject7096.bin"/>
  <Relationship Id="rId548" Type="http://schemas.openxmlformats.org/officeDocument/2006/relationships/image" Target="media/image6014.wmf"/>
  <Relationship Id="rId549" Type="http://schemas.openxmlformats.org/officeDocument/2006/relationships/oleObject" Target="embeddings/oleObject7102.bin"/>
  <Relationship Id="rId55" Type="http://schemas.openxmlformats.org/officeDocument/2006/relationships/image" Target="media/image2586.wmf"/>
  <Relationship Id="rId550" Type="http://schemas.openxmlformats.org/officeDocument/2006/relationships/hyperlink" TargetMode="External" Target="https://www.e-tar.lt/portal/legalAct.html?documentId=5d58cae015a811e9a02091a7dde47252"/>
  <Relationship Id="rId551" Type="http://schemas.openxmlformats.org/officeDocument/2006/relationships/image" Target="media/image6033.wmf"/>
  <Relationship Id="rId552" Type="http://schemas.openxmlformats.org/officeDocument/2006/relationships/oleObject" Target="embeddings/oleObject7121.bin"/>
  <Relationship Id="rId553" Type="http://schemas.openxmlformats.org/officeDocument/2006/relationships/image" Target="media/image6034.wmf"/>
  <Relationship Id="rId554" Type="http://schemas.openxmlformats.org/officeDocument/2006/relationships/oleObject" Target="embeddings/oleObject7122.bin"/>
  <Relationship Id="rId555" Type="http://schemas.openxmlformats.org/officeDocument/2006/relationships/image" Target="media/image6035.wmf"/>
  <Relationship Id="rId556" Type="http://schemas.openxmlformats.org/officeDocument/2006/relationships/oleObject" Target="embeddings/oleObject7123.bin"/>
  <Relationship Id="rId557" Type="http://schemas.openxmlformats.org/officeDocument/2006/relationships/image" Target="media/image6036.wmf"/>
  <Relationship Id="rId558" Type="http://schemas.openxmlformats.org/officeDocument/2006/relationships/oleObject" Target="embeddings/oleObject7124.bin"/>
  <Relationship Id="rId559" Type="http://schemas.openxmlformats.org/officeDocument/2006/relationships/hyperlink" TargetMode="External" Target="https://www.e-tar.lt/portal/legalAct.html?documentId=5d58cae015a811e9a02091a7dde47252"/>
  <Relationship Id="rId56" Type="http://schemas.openxmlformats.org/officeDocument/2006/relationships/oleObject" Target="embeddings/oleObject3686.bin"/>
  <Relationship Id="rId560" Type="http://schemas.openxmlformats.org/officeDocument/2006/relationships/image" Target="media/image6042.wmf"/>
  <Relationship Id="rId561" Type="http://schemas.openxmlformats.org/officeDocument/2006/relationships/oleObject" Target="embeddings/oleObject7130.bin"/>
  <Relationship Id="rId562" Type="http://schemas.openxmlformats.org/officeDocument/2006/relationships/image" Target="media/image6048.wmf"/>
  <Relationship Id="rId563" Type="http://schemas.openxmlformats.org/officeDocument/2006/relationships/oleObject" Target="embeddings/oleObject7136.bin"/>
  <Relationship Id="rId564" Type="http://schemas.openxmlformats.org/officeDocument/2006/relationships/image" Target="media/image6054.wmf"/>
  <Relationship Id="rId565" Type="http://schemas.openxmlformats.org/officeDocument/2006/relationships/oleObject" Target="embeddings/oleObject7142.bin"/>
  <Relationship Id="rId566" Type="http://schemas.openxmlformats.org/officeDocument/2006/relationships/image" Target="media/image6060.wmf"/>
  <Relationship Id="rId567" Type="http://schemas.openxmlformats.org/officeDocument/2006/relationships/oleObject" Target="embeddings/oleObject7148.bin"/>
  <Relationship Id="rId568" Type="http://schemas.openxmlformats.org/officeDocument/2006/relationships/image" Target="media/image6071.wmf"/>
  <Relationship Id="rId569" Type="http://schemas.openxmlformats.org/officeDocument/2006/relationships/oleObject" Target="embeddings/oleObject7159.bin"/>
  <Relationship Id="rId57" Type="http://schemas.openxmlformats.org/officeDocument/2006/relationships/image" Target="media/image2587.wmf"/>
  <Relationship Id="rId570" Type="http://schemas.openxmlformats.org/officeDocument/2006/relationships/image" Target="media/image6072.wmf"/>
  <Relationship Id="rId571" Type="http://schemas.openxmlformats.org/officeDocument/2006/relationships/oleObject" Target="embeddings/oleObject7160.bin"/>
  <Relationship Id="rId572" Type="http://schemas.openxmlformats.org/officeDocument/2006/relationships/hyperlink" TargetMode="External" Target="https://www.e-tar.lt/portal/legalAct.html?documentId=5d58cae015a811e9a02091a7dde47252"/>
  <Relationship Id="rId573" Type="http://schemas.openxmlformats.org/officeDocument/2006/relationships/image" Target="media/image6080.wmf"/>
  <Relationship Id="rId574" Type="http://schemas.openxmlformats.org/officeDocument/2006/relationships/oleObject" Target="embeddings/oleObject7168.bin"/>
  <Relationship Id="rId575" Type="http://schemas.openxmlformats.org/officeDocument/2006/relationships/image" Target="media/image6086.wmf"/>
  <Relationship Id="rId576" Type="http://schemas.openxmlformats.org/officeDocument/2006/relationships/oleObject" Target="embeddings/oleObject7174.bin"/>
  <Relationship Id="rId577" Type="http://schemas.openxmlformats.org/officeDocument/2006/relationships/image" Target="media/image6092.wmf"/>
  <Relationship Id="rId578" Type="http://schemas.openxmlformats.org/officeDocument/2006/relationships/oleObject" Target="embeddings/oleObject7180.bin"/>
  <Relationship Id="rId579" Type="http://schemas.openxmlformats.org/officeDocument/2006/relationships/image" Target="media/image6098.wmf"/>
  <Relationship Id="rId58" Type="http://schemas.openxmlformats.org/officeDocument/2006/relationships/oleObject" Target="embeddings/oleObject3687.bin"/>
  <Relationship Id="rId580" Type="http://schemas.openxmlformats.org/officeDocument/2006/relationships/oleObject" Target="embeddings/oleObject7186.bin"/>
  <Relationship Id="rId581" Type="http://schemas.openxmlformats.org/officeDocument/2006/relationships/image" Target="media/image6134.wmf"/>
  <Relationship Id="rId582" Type="http://schemas.openxmlformats.org/officeDocument/2006/relationships/oleObject" Target="embeddings/oleObject7222.bin"/>
  <Relationship Id="rId583" Type="http://schemas.openxmlformats.org/officeDocument/2006/relationships/image" Target="media/image6135.wmf"/>
  <Relationship Id="rId584" Type="http://schemas.openxmlformats.org/officeDocument/2006/relationships/oleObject" Target="embeddings/oleObject7223.bin"/>
  <Relationship Id="rId585" Type="http://schemas.openxmlformats.org/officeDocument/2006/relationships/image" Target="media/image6136.wmf"/>
  <Relationship Id="rId586" Type="http://schemas.openxmlformats.org/officeDocument/2006/relationships/oleObject" Target="embeddings/oleObject7224.bin"/>
  <Relationship Id="rId587" Type="http://schemas.openxmlformats.org/officeDocument/2006/relationships/image" Target="media/image6137.wmf"/>
  <Relationship Id="rId588" Type="http://schemas.openxmlformats.org/officeDocument/2006/relationships/oleObject" Target="embeddings/oleObject7225.bin"/>
  <Relationship Id="rId589" Type="http://schemas.openxmlformats.org/officeDocument/2006/relationships/image" Target="media/image6138.wmf"/>
  <Relationship Id="rId59" Type="http://schemas.openxmlformats.org/officeDocument/2006/relationships/image" Target="media/image2598.wmf"/>
  <Relationship Id="rId590" Type="http://schemas.openxmlformats.org/officeDocument/2006/relationships/oleObject" Target="embeddings/oleObject7226.bin"/>
  <Relationship Id="rId591" Type="http://schemas.openxmlformats.org/officeDocument/2006/relationships/image" Target="media/image6139.wmf"/>
  <Relationship Id="rId592" Type="http://schemas.openxmlformats.org/officeDocument/2006/relationships/oleObject" Target="embeddings/oleObject7227.bin"/>
  <Relationship Id="rId593" Type="http://schemas.openxmlformats.org/officeDocument/2006/relationships/image" Target="media/image6140.wmf"/>
  <Relationship Id="rId594" Type="http://schemas.openxmlformats.org/officeDocument/2006/relationships/oleObject" Target="embeddings/oleObject7228.bin"/>
  <Relationship Id="rId595" Type="http://schemas.openxmlformats.org/officeDocument/2006/relationships/image" Target="media/image6151.wmf"/>
  <Relationship Id="rId596" Type="http://schemas.openxmlformats.org/officeDocument/2006/relationships/oleObject" Target="embeddings/oleObject7239.bin"/>
  <Relationship Id="rId597" Type="http://schemas.openxmlformats.org/officeDocument/2006/relationships/image" Target="media/image6152.wmf"/>
  <Relationship Id="rId598" Type="http://schemas.openxmlformats.org/officeDocument/2006/relationships/oleObject" Target="embeddings/oleObject7240.bin"/>
  <Relationship Id="rId599" Type="http://schemas.openxmlformats.org/officeDocument/2006/relationships/image" Target="media/image6168.wmf"/>
  <Relationship Id="rId6" Type="http://schemas.openxmlformats.org/officeDocument/2006/relationships/oleObject" Target="embeddings/oleObject169.bin"/>
  <Relationship Id="rId60" Type="http://schemas.openxmlformats.org/officeDocument/2006/relationships/oleObject" Target="embeddings/oleObject3698.bin"/>
  <Relationship Id="rId600" Type="http://schemas.openxmlformats.org/officeDocument/2006/relationships/oleObject" Target="embeddings/oleObject7256.bin"/>
  <Relationship Id="rId601" Type="http://schemas.openxmlformats.org/officeDocument/2006/relationships/image" Target="media/image6169.wmf"/>
  <Relationship Id="rId602" Type="http://schemas.openxmlformats.org/officeDocument/2006/relationships/oleObject" Target="embeddings/oleObject7257.bin"/>
  <Relationship Id="rId603" Type="http://schemas.openxmlformats.org/officeDocument/2006/relationships/image" Target="media/image6170.wmf"/>
  <Relationship Id="rId604" Type="http://schemas.openxmlformats.org/officeDocument/2006/relationships/oleObject" Target="embeddings/oleObject7258.bin"/>
  <Relationship Id="rId605" Type="http://schemas.openxmlformats.org/officeDocument/2006/relationships/hyperlink" TargetMode="External" Target="https://www.e-tar.lt/portal/legalAct.html?documentId=5d58cae015a811e9a02091a7dde47252"/>
  <Relationship Id="rId606" Type="http://schemas.openxmlformats.org/officeDocument/2006/relationships/hyperlink" TargetMode="External" Target="https://www.e-tar.lt/portal/legalAct.html?documentId=6bef89f0016411ebb74de75171d26d52"/>
  <Relationship Id="rId607" Type="http://schemas.openxmlformats.org/officeDocument/2006/relationships/image" Target="media/image6176.wmf"/>
  <Relationship Id="rId608" Type="http://schemas.openxmlformats.org/officeDocument/2006/relationships/oleObject" Target="embeddings/oleObject7264.bin"/>
  <Relationship Id="rId609" Type="http://schemas.openxmlformats.org/officeDocument/2006/relationships/image" Target="media/image6187.wmf"/>
  <Relationship Id="rId61" Type="http://schemas.openxmlformats.org/officeDocument/2006/relationships/image" Target="media/image2629.wmf"/>
  <Relationship Id="rId610" Type="http://schemas.openxmlformats.org/officeDocument/2006/relationships/oleObject" Target="embeddings/oleObject7275.bin"/>
  <Relationship Id="rId611" Type="http://schemas.openxmlformats.org/officeDocument/2006/relationships/image" Target="media/image6188.wmf"/>
  <Relationship Id="rId612" Type="http://schemas.openxmlformats.org/officeDocument/2006/relationships/oleObject" Target="embeddings/oleObject7276.bin"/>
  <Relationship Id="rId613" Type="http://schemas.openxmlformats.org/officeDocument/2006/relationships/image" Target="media/image6194.wmf"/>
  <Relationship Id="rId614" Type="http://schemas.openxmlformats.org/officeDocument/2006/relationships/oleObject" Target="embeddings/oleObject7282.bin"/>
  <Relationship Id="rId615" Type="http://schemas.openxmlformats.org/officeDocument/2006/relationships/image" Target="media/image6205.wmf"/>
  <Relationship Id="rId616" Type="http://schemas.openxmlformats.org/officeDocument/2006/relationships/oleObject" Target="embeddings/oleObject7293.bin"/>
  <Relationship Id="rId617" Type="http://schemas.openxmlformats.org/officeDocument/2006/relationships/image" Target="media/image6206.wmf"/>
  <Relationship Id="rId618" Type="http://schemas.openxmlformats.org/officeDocument/2006/relationships/oleObject" Target="embeddings/oleObject7294.bin"/>
  <Relationship Id="rId619" Type="http://schemas.openxmlformats.org/officeDocument/2006/relationships/image" Target="media/image6217.wmf"/>
  <Relationship Id="rId62" Type="http://schemas.openxmlformats.org/officeDocument/2006/relationships/oleObject" Target="embeddings/oleObject3729.bin"/>
  <Relationship Id="rId620" Type="http://schemas.openxmlformats.org/officeDocument/2006/relationships/oleObject" Target="embeddings/oleObject7305.bin"/>
  <Relationship Id="rId621" Type="http://schemas.openxmlformats.org/officeDocument/2006/relationships/image" Target="media/image6218.wmf"/>
  <Relationship Id="rId622" Type="http://schemas.openxmlformats.org/officeDocument/2006/relationships/oleObject" Target="embeddings/oleObject7306.bin"/>
  <Relationship Id="rId623" Type="http://schemas.openxmlformats.org/officeDocument/2006/relationships/image" Target="media/image6229.wmf"/>
  <Relationship Id="rId624" Type="http://schemas.openxmlformats.org/officeDocument/2006/relationships/oleObject" Target="embeddings/oleObject7317.bin"/>
  <Relationship Id="rId625" Type="http://schemas.openxmlformats.org/officeDocument/2006/relationships/image" Target="media/image6230.wmf"/>
  <Relationship Id="rId626" Type="http://schemas.openxmlformats.org/officeDocument/2006/relationships/oleObject" Target="embeddings/oleObject7318.bin"/>
  <Relationship Id="rId627" Type="http://schemas.openxmlformats.org/officeDocument/2006/relationships/image" Target="media/image6236.wmf"/>
  <Relationship Id="rId628" Type="http://schemas.openxmlformats.org/officeDocument/2006/relationships/oleObject" Target="embeddings/oleObject7324.bin"/>
  <Relationship Id="rId629" Type="http://schemas.openxmlformats.org/officeDocument/2006/relationships/image" Target="media/image6242.wmf"/>
  <Relationship Id="rId63" Type="http://schemas.openxmlformats.org/officeDocument/2006/relationships/image" Target="media/image2630.wmf"/>
  <Relationship Id="rId630" Type="http://schemas.openxmlformats.org/officeDocument/2006/relationships/oleObject" Target="embeddings/oleObject7330.bin"/>
  <Relationship Id="rId631" Type="http://schemas.openxmlformats.org/officeDocument/2006/relationships/image" Target="media/image6248.wmf"/>
  <Relationship Id="rId632" Type="http://schemas.openxmlformats.org/officeDocument/2006/relationships/oleObject" Target="embeddings/oleObject7336.bin"/>
  <Relationship Id="rId633" Type="http://schemas.openxmlformats.org/officeDocument/2006/relationships/image" Target="media/image6253.wmf"/>
  <Relationship Id="rId634" Type="http://schemas.openxmlformats.org/officeDocument/2006/relationships/oleObject" Target="embeddings/oleObject7341.bin"/>
  <Relationship Id="rId635" Type="http://schemas.openxmlformats.org/officeDocument/2006/relationships/hyperlink" TargetMode="External" Target="https://www.e-tar.lt/portal/legalAct.html?documentId=6bef89f0016411ebb74de75171d26d52"/>
  <Relationship Id="rId636" Type="http://schemas.openxmlformats.org/officeDocument/2006/relationships/image" Target="media/image6259.wmf"/>
  <Relationship Id="rId637" Type="http://schemas.openxmlformats.org/officeDocument/2006/relationships/oleObject" Target="embeddings/oleObject7347.bin"/>
  <Relationship Id="rId638" Type="http://schemas.openxmlformats.org/officeDocument/2006/relationships/image" Target="media/image6270.wmf"/>
  <Relationship Id="rId639" Type="http://schemas.openxmlformats.org/officeDocument/2006/relationships/oleObject" Target="embeddings/oleObject7358.bin"/>
  <Relationship Id="rId64" Type="http://schemas.openxmlformats.org/officeDocument/2006/relationships/oleObject" Target="embeddings/oleObject3730.bin"/>
  <Relationship Id="rId640" Type="http://schemas.openxmlformats.org/officeDocument/2006/relationships/image" Target="media/image6271.wmf"/>
  <Relationship Id="rId641" Type="http://schemas.openxmlformats.org/officeDocument/2006/relationships/oleObject" Target="embeddings/oleObject7359.bin"/>
  <Relationship Id="rId642" Type="http://schemas.openxmlformats.org/officeDocument/2006/relationships/image" Target="media/image6277.wmf"/>
  <Relationship Id="rId643" Type="http://schemas.openxmlformats.org/officeDocument/2006/relationships/oleObject" Target="embeddings/oleObject7365.bin"/>
  <Relationship Id="rId644" Type="http://schemas.openxmlformats.org/officeDocument/2006/relationships/image" Target="media/image6298.wmf"/>
  <Relationship Id="rId645" Type="http://schemas.openxmlformats.org/officeDocument/2006/relationships/oleObject" Target="embeddings/oleObject7376.bin"/>
  <Relationship Id="rId646" Type="http://schemas.openxmlformats.org/officeDocument/2006/relationships/image" Target="media/image6299.wmf"/>
  <Relationship Id="rId647" Type="http://schemas.openxmlformats.org/officeDocument/2006/relationships/oleObject" Target="embeddings/oleObject7377.bin"/>
  <Relationship Id="rId648" Type="http://schemas.openxmlformats.org/officeDocument/2006/relationships/image" Target="media/image6300.wmf"/>
  <Relationship Id="rId649" Type="http://schemas.openxmlformats.org/officeDocument/2006/relationships/image" Target="media/image111.png"/>
  <Relationship Id="rId65" Type="http://schemas.openxmlformats.org/officeDocument/2006/relationships/image" Target="media/image2631.wmf"/>
  <Relationship Id="rId650" Type="http://schemas.openxmlformats.org/officeDocument/2006/relationships/image" Target="media/image6301.wmf"/>
  <Relationship Id="rId651" Type="http://schemas.openxmlformats.org/officeDocument/2006/relationships/image" Target="media/image112.png"/>
  <Relationship Id="rId652" Type="http://schemas.openxmlformats.org/officeDocument/2006/relationships/image" Target="media/image6307.wmf"/>
  <Relationship Id="rId653" Type="http://schemas.openxmlformats.org/officeDocument/2006/relationships/oleObject" Target="embeddings/oleObject7383.bin"/>
  <Relationship Id="rId654" Type="http://schemas.openxmlformats.org/officeDocument/2006/relationships/image" Target="media/image6313.wmf"/>
  <Relationship Id="rId655" Type="http://schemas.openxmlformats.org/officeDocument/2006/relationships/oleObject" Target="embeddings/oleObject7389.bin"/>
  <Relationship Id="rId656" Type="http://schemas.openxmlformats.org/officeDocument/2006/relationships/image" Target="media/image6344.wmf"/>
  <Relationship Id="rId657" Type="http://schemas.openxmlformats.org/officeDocument/2006/relationships/oleObject" Target="embeddings/oleObject7420.bin"/>
  <Relationship Id="rId658" Type="http://schemas.openxmlformats.org/officeDocument/2006/relationships/image" Target="media/image6345.wmf"/>
  <Relationship Id="rId659" Type="http://schemas.openxmlformats.org/officeDocument/2006/relationships/oleObject" Target="embeddings/oleObject7421.bin"/>
  <Relationship Id="rId66" Type="http://schemas.openxmlformats.org/officeDocument/2006/relationships/oleObject" Target="embeddings/oleObject3731.bin"/>
  <Relationship Id="rId660" Type="http://schemas.openxmlformats.org/officeDocument/2006/relationships/image" Target="media/image6346.wmf"/>
  <Relationship Id="rId661" Type="http://schemas.openxmlformats.org/officeDocument/2006/relationships/oleObject" Target="embeddings/oleObject7422.bin"/>
  <Relationship Id="rId662" Type="http://schemas.openxmlformats.org/officeDocument/2006/relationships/image" Target="media/image6347.wmf"/>
  <Relationship Id="rId663" Type="http://schemas.openxmlformats.org/officeDocument/2006/relationships/oleObject" Target="embeddings/oleObject7423.bin"/>
  <Relationship Id="rId664" Type="http://schemas.openxmlformats.org/officeDocument/2006/relationships/image" Target="media/image6348.wmf"/>
  <Relationship Id="rId665" Type="http://schemas.openxmlformats.org/officeDocument/2006/relationships/oleObject" Target="embeddings/oleObject7424.bin"/>
  <Relationship Id="rId666" Type="http://schemas.openxmlformats.org/officeDocument/2006/relationships/image" Target="media/image6349.wmf"/>
  <Relationship Id="rId667" Type="http://schemas.openxmlformats.org/officeDocument/2006/relationships/oleObject" Target="embeddings/oleObject7425.bin"/>
  <Relationship Id="rId668" Type="http://schemas.openxmlformats.org/officeDocument/2006/relationships/image" Target="media/image6365.wmf"/>
  <Relationship Id="rId669" Type="http://schemas.openxmlformats.org/officeDocument/2006/relationships/oleObject" Target="embeddings/oleObject7441.bin"/>
  <Relationship Id="rId67" Type="http://schemas.openxmlformats.org/officeDocument/2006/relationships/image" Target="media/image2642.wmf"/>
  <Relationship Id="rId670" Type="http://schemas.openxmlformats.org/officeDocument/2006/relationships/image" Target="media/image6366.wmf"/>
  <Relationship Id="rId671" Type="http://schemas.openxmlformats.org/officeDocument/2006/relationships/oleObject" Target="embeddings/oleObject7442.bin"/>
  <Relationship Id="rId672" Type="http://schemas.openxmlformats.org/officeDocument/2006/relationships/image" Target="media/image6367.wmf"/>
  <Relationship Id="rId673" Type="http://schemas.openxmlformats.org/officeDocument/2006/relationships/oleObject" Target="embeddings/oleObject7443.bin"/>
  <Relationship Id="rId674" Type="http://schemas.openxmlformats.org/officeDocument/2006/relationships/image" Target="media/image6408.wmf"/>
  <Relationship Id="rId675" Type="http://schemas.openxmlformats.org/officeDocument/2006/relationships/oleObject" Target="embeddings/oleObject7484.bin"/>
  <Relationship Id="rId676" Type="http://schemas.openxmlformats.org/officeDocument/2006/relationships/image" Target="media/image6409.wmf"/>
  <Relationship Id="rId677" Type="http://schemas.openxmlformats.org/officeDocument/2006/relationships/oleObject" Target="embeddings/oleObject7485.bin"/>
  <Relationship Id="rId678" Type="http://schemas.openxmlformats.org/officeDocument/2006/relationships/image" Target="media/image6410.wmf"/>
  <Relationship Id="rId679" Type="http://schemas.openxmlformats.org/officeDocument/2006/relationships/oleObject" Target="embeddings/oleObject7486.bin"/>
  <Relationship Id="rId68" Type="http://schemas.openxmlformats.org/officeDocument/2006/relationships/oleObject" Target="embeddings/oleObject3742.bin"/>
  <Relationship Id="rId680" Type="http://schemas.openxmlformats.org/officeDocument/2006/relationships/image" Target="media/image6411.wmf"/>
  <Relationship Id="rId681" Type="http://schemas.openxmlformats.org/officeDocument/2006/relationships/oleObject" Target="embeddings/oleObject7487.bin"/>
  <Relationship Id="rId682" Type="http://schemas.openxmlformats.org/officeDocument/2006/relationships/image" Target="media/image6412.wmf"/>
  <Relationship Id="rId683" Type="http://schemas.openxmlformats.org/officeDocument/2006/relationships/oleObject" Target="embeddings/oleObject7488.bin"/>
  <Relationship Id="rId684" Type="http://schemas.openxmlformats.org/officeDocument/2006/relationships/image" Target="media/image6413.wmf"/>
  <Relationship Id="rId685" Type="http://schemas.openxmlformats.org/officeDocument/2006/relationships/oleObject" Target="embeddings/oleObject7489.bin"/>
  <Relationship Id="rId686" Type="http://schemas.openxmlformats.org/officeDocument/2006/relationships/image" Target="media/image6414.wmf"/>
  <Relationship Id="rId687" Type="http://schemas.openxmlformats.org/officeDocument/2006/relationships/oleObject" Target="embeddings/oleObject7490.bin"/>
  <Relationship Id="rId688" Type="http://schemas.openxmlformats.org/officeDocument/2006/relationships/image" Target="media/image6415.wmf"/>
  <Relationship Id="rId689" Type="http://schemas.openxmlformats.org/officeDocument/2006/relationships/oleObject" Target="embeddings/oleObject7491.bin"/>
  <Relationship Id="rId69" Type="http://schemas.openxmlformats.org/officeDocument/2006/relationships/image" Target="media/image2673.wmf"/>
  <Relationship Id="rId690" Type="http://schemas.openxmlformats.org/officeDocument/2006/relationships/header" Target="header124.xml"/>
  <Relationship Id="rId691" Type="http://schemas.openxmlformats.org/officeDocument/2006/relationships/header" Target="header125.xml"/>
  <Relationship Id="rId692" Type="http://schemas.openxmlformats.org/officeDocument/2006/relationships/footer" Target="footer118.xml"/>
  <Relationship Id="rId693" Type="http://schemas.openxmlformats.org/officeDocument/2006/relationships/footer" Target="footer119.xml"/>
  <Relationship Id="rId694" Type="http://schemas.openxmlformats.org/officeDocument/2006/relationships/header" Target="header126.xml"/>
  <Relationship Id="rId695" Type="http://schemas.openxmlformats.org/officeDocument/2006/relationships/footer" Target="footer120.xml"/>
  <Relationship Id="rId696" Type="http://schemas.openxmlformats.org/officeDocument/2006/relationships/header" Target="header127.xml"/>
  <Relationship Id="rId697" Type="http://schemas.openxmlformats.org/officeDocument/2006/relationships/image" Target="media/image6451.wmf"/>
  <Relationship Id="rId698" Type="http://schemas.openxmlformats.org/officeDocument/2006/relationships/oleObject" Target="embeddings/oleObject7527.bin"/>
  <Relationship Id="rId699" Type="http://schemas.openxmlformats.org/officeDocument/2006/relationships/image" Target="media/image6452.wmf"/>
  <Relationship Id="rId7" Type="http://schemas.openxmlformats.org/officeDocument/2006/relationships/oleObject" Target="embeddings/oleObject172.bin"/>
  <Relationship Id="rId70" Type="http://schemas.openxmlformats.org/officeDocument/2006/relationships/oleObject" Target="embeddings/oleObject3773.bin"/>
  <Relationship Id="rId700" Type="http://schemas.openxmlformats.org/officeDocument/2006/relationships/oleObject" Target="embeddings/oleObject7528.bin"/>
  <Relationship Id="rId701" Type="http://schemas.openxmlformats.org/officeDocument/2006/relationships/image" Target="media/image6453.wmf"/>
  <Relationship Id="rId702" Type="http://schemas.openxmlformats.org/officeDocument/2006/relationships/oleObject" Target="embeddings/oleObject7529.bin"/>
  <Relationship Id="rId703" Type="http://schemas.openxmlformats.org/officeDocument/2006/relationships/image" Target="media/image6454.wmf"/>
  <Relationship Id="rId704" Type="http://schemas.openxmlformats.org/officeDocument/2006/relationships/oleObject" Target="embeddings/oleObject7530.bin"/>
  <Relationship Id="rId705" Type="http://schemas.openxmlformats.org/officeDocument/2006/relationships/image" Target="media/image6455.wmf"/>
  <Relationship Id="rId706" Type="http://schemas.openxmlformats.org/officeDocument/2006/relationships/oleObject" Target="embeddings/oleObject7531.bin"/>
  <Relationship Id="rId707" Type="http://schemas.openxmlformats.org/officeDocument/2006/relationships/image" Target="media/image6456.wmf"/>
  <Relationship Id="rId708" Type="http://schemas.openxmlformats.org/officeDocument/2006/relationships/oleObject" Target="embeddings/oleObject7532.bin"/>
  <Relationship Id="rId709" Type="http://schemas.openxmlformats.org/officeDocument/2006/relationships/image" Target="media/image6457.wmf"/>
  <Relationship Id="rId71" Type="http://schemas.openxmlformats.org/officeDocument/2006/relationships/image" Target="media/image2674.wmf"/>
  <Relationship Id="rId710" Type="http://schemas.openxmlformats.org/officeDocument/2006/relationships/oleObject" Target="embeddings/oleObject7533.bin"/>
  <Relationship Id="rId711" Type="http://schemas.openxmlformats.org/officeDocument/2006/relationships/image" Target="media/image6463.wmf"/>
  <Relationship Id="rId712" Type="http://schemas.openxmlformats.org/officeDocument/2006/relationships/oleObject" Target="embeddings/oleObject7539.bin"/>
  <Relationship Id="rId713" Type="http://schemas.openxmlformats.org/officeDocument/2006/relationships/image" Target="media/image6479.wmf"/>
  <Relationship Id="rId714" Type="http://schemas.openxmlformats.org/officeDocument/2006/relationships/oleObject" Target="embeddings/oleObject7555.bin"/>
  <Relationship Id="rId715" Type="http://schemas.openxmlformats.org/officeDocument/2006/relationships/image" Target="media/image6480.wmf"/>
  <Relationship Id="rId716" Type="http://schemas.openxmlformats.org/officeDocument/2006/relationships/oleObject" Target="embeddings/oleObject7556.bin"/>
  <Relationship Id="rId717" Type="http://schemas.openxmlformats.org/officeDocument/2006/relationships/image" Target="media/image6481.wmf"/>
  <Relationship Id="rId718" Type="http://schemas.openxmlformats.org/officeDocument/2006/relationships/oleObject" Target="embeddings/oleObject7557.bin"/>
  <Relationship Id="rId719" Type="http://schemas.openxmlformats.org/officeDocument/2006/relationships/image" Target="media/image6487.wmf"/>
  <Relationship Id="rId72" Type="http://schemas.openxmlformats.org/officeDocument/2006/relationships/oleObject" Target="embeddings/oleObject3774.bin"/>
  <Relationship Id="rId720" Type="http://schemas.openxmlformats.org/officeDocument/2006/relationships/oleObject" Target="embeddings/oleObject7563.bin"/>
  <Relationship Id="rId721" Type="http://schemas.openxmlformats.org/officeDocument/2006/relationships/image" Target="media/image6493.wmf"/>
  <Relationship Id="rId722" Type="http://schemas.openxmlformats.org/officeDocument/2006/relationships/oleObject" Target="embeddings/oleObject7569.bin"/>
  <Relationship Id="rId723" Type="http://schemas.openxmlformats.org/officeDocument/2006/relationships/image" Target="media/image6499.wmf"/>
  <Relationship Id="rId724" Type="http://schemas.openxmlformats.org/officeDocument/2006/relationships/oleObject" Target="embeddings/oleObject7575.bin"/>
  <Relationship Id="rId725" Type="http://schemas.openxmlformats.org/officeDocument/2006/relationships/image" Target="media/image6505.wmf"/>
  <Relationship Id="rId726" Type="http://schemas.openxmlformats.org/officeDocument/2006/relationships/oleObject" Target="embeddings/oleObject7581.bin"/>
  <Relationship Id="rId727" Type="http://schemas.openxmlformats.org/officeDocument/2006/relationships/image" Target="media/image6516.wmf"/>
  <Relationship Id="rId728" Type="http://schemas.openxmlformats.org/officeDocument/2006/relationships/oleObject" Target="embeddings/oleObject7592.bin"/>
  <Relationship Id="rId729" Type="http://schemas.openxmlformats.org/officeDocument/2006/relationships/image" Target="media/image6517.wmf"/>
  <Relationship Id="rId73" Type="http://schemas.openxmlformats.org/officeDocument/2006/relationships/image" Target="media/image2675.wmf"/>
  <Relationship Id="rId730" Type="http://schemas.openxmlformats.org/officeDocument/2006/relationships/oleObject" Target="embeddings/oleObject7593.bin"/>
  <Relationship Id="rId731" Type="http://schemas.openxmlformats.org/officeDocument/2006/relationships/image" Target="media/image6522.wmf"/>
  <Relationship Id="rId732" Type="http://schemas.openxmlformats.org/officeDocument/2006/relationships/oleObject" Target="embeddings/oleObject7598.bin"/>
  <Relationship Id="rId733" Type="http://schemas.openxmlformats.org/officeDocument/2006/relationships/image" Target="media/image6528.wmf"/>
  <Relationship Id="rId734" Type="http://schemas.openxmlformats.org/officeDocument/2006/relationships/oleObject" Target="embeddings/oleObject7604.bin"/>
  <Relationship Id="rId735" Type="http://schemas.openxmlformats.org/officeDocument/2006/relationships/image" Target="media/image6534.wmf"/>
  <Relationship Id="rId736" Type="http://schemas.openxmlformats.org/officeDocument/2006/relationships/oleObject" Target="embeddings/oleObject7610.bin"/>
  <Relationship Id="rId737" Type="http://schemas.openxmlformats.org/officeDocument/2006/relationships/image" Target="media/image6539.wmf"/>
  <Relationship Id="rId738" Type="http://schemas.openxmlformats.org/officeDocument/2006/relationships/oleObject" Target="embeddings/oleObject7615.bin"/>
  <Relationship Id="rId739" Type="http://schemas.openxmlformats.org/officeDocument/2006/relationships/image" Target="media/image6545.wmf"/>
  <Relationship Id="rId74" Type="http://schemas.openxmlformats.org/officeDocument/2006/relationships/oleObject" Target="embeddings/oleObject3775.bin"/>
  <Relationship Id="rId740" Type="http://schemas.openxmlformats.org/officeDocument/2006/relationships/oleObject" Target="embeddings/oleObject7621.bin"/>
  <Relationship Id="rId741" Type="http://schemas.openxmlformats.org/officeDocument/2006/relationships/image" Target="media/image6551.wmf"/>
  <Relationship Id="rId742" Type="http://schemas.openxmlformats.org/officeDocument/2006/relationships/oleObject" Target="embeddings/oleObject7627.bin"/>
  <Relationship Id="rId743" Type="http://schemas.openxmlformats.org/officeDocument/2006/relationships/image" Target="media/image6562.wmf"/>
  <Relationship Id="rId744" Type="http://schemas.openxmlformats.org/officeDocument/2006/relationships/oleObject" Target="embeddings/oleObject7638.bin"/>
  <Relationship Id="rId745" Type="http://schemas.openxmlformats.org/officeDocument/2006/relationships/image" Target="media/image6563.wmf"/>
  <Relationship Id="rId746" Type="http://schemas.openxmlformats.org/officeDocument/2006/relationships/oleObject" Target="embeddings/oleObject7639.bin"/>
  <Relationship Id="rId747" Type="http://schemas.openxmlformats.org/officeDocument/2006/relationships/image" Target="media/image6569.wmf"/>
  <Relationship Id="rId748" Type="http://schemas.openxmlformats.org/officeDocument/2006/relationships/oleObject" Target="embeddings/oleObject7645.bin"/>
  <Relationship Id="rId749" Type="http://schemas.openxmlformats.org/officeDocument/2006/relationships/image" Target="media/image6580.wmf"/>
  <Relationship Id="rId75" Type="http://schemas.openxmlformats.org/officeDocument/2006/relationships/image" Target="media/image2696.wmf"/>
  <Relationship Id="rId750" Type="http://schemas.openxmlformats.org/officeDocument/2006/relationships/oleObject" Target="embeddings/oleObject7656.bin"/>
  <Relationship Id="rId751" Type="http://schemas.openxmlformats.org/officeDocument/2006/relationships/image" Target="media/image6581.wmf"/>
  <Relationship Id="rId752" Type="http://schemas.openxmlformats.org/officeDocument/2006/relationships/oleObject" Target="embeddings/oleObject7657.bin"/>
  <Relationship Id="rId753" Type="http://schemas.openxmlformats.org/officeDocument/2006/relationships/image" Target="media/image6587.wmf"/>
  <Relationship Id="rId754" Type="http://schemas.openxmlformats.org/officeDocument/2006/relationships/oleObject" Target="embeddings/oleObject7663.bin"/>
  <Relationship Id="rId755" Type="http://schemas.openxmlformats.org/officeDocument/2006/relationships/image" Target="media/image6603.wmf"/>
  <Relationship Id="rId756" Type="http://schemas.openxmlformats.org/officeDocument/2006/relationships/oleObject" Target="embeddings/oleObject7679.bin"/>
  <Relationship Id="rId757" Type="http://schemas.openxmlformats.org/officeDocument/2006/relationships/image" Target="media/image6604.wmf"/>
  <Relationship Id="rId758" Type="http://schemas.openxmlformats.org/officeDocument/2006/relationships/oleObject" Target="embeddings/oleObject7680.bin"/>
  <Relationship Id="rId759" Type="http://schemas.openxmlformats.org/officeDocument/2006/relationships/image" Target="media/image6605.wmf"/>
  <Relationship Id="rId76" Type="http://schemas.openxmlformats.org/officeDocument/2006/relationships/oleObject" Target="embeddings/oleObject3796.bin"/>
  <Relationship Id="rId760" Type="http://schemas.openxmlformats.org/officeDocument/2006/relationships/oleObject" Target="embeddings/oleObject7681.bin"/>
  <Relationship Id="rId761" Type="http://schemas.openxmlformats.org/officeDocument/2006/relationships/image" Target="media/image6621.wmf"/>
  <Relationship Id="rId762" Type="http://schemas.openxmlformats.org/officeDocument/2006/relationships/oleObject" Target="embeddings/oleObject7697.bin"/>
  <Relationship Id="rId763" Type="http://schemas.openxmlformats.org/officeDocument/2006/relationships/image" Target="media/image6622.wmf"/>
  <Relationship Id="rId764" Type="http://schemas.openxmlformats.org/officeDocument/2006/relationships/oleObject" Target="embeddings/oleObject7698.bin"/>
  <Relationship Id="rId765" Type="http://schemas.openxmlformats.org/officeDocument/2006/relationships/image" Target="media/image6623.wmf"/>
  <Relationship Id="rId766" Type="http://schemas.openxmlformats.org/officeDocument/2006/relationships/oleObject" Target="embeddings/oleObject7699.bin"/>
  <Relationship Id="rId767" Type="http://schemas.openxmlformats.org/officeDocument/2006/relationships/image" Target="media/image6629.wmf"/>
  <Relationship Id="rId768" Type="http://schemas.openxmlformats.org/officeDocument/2006/relationships/oleObject" Target="embeddings/oleObject7705.bin"/>
  <Relationship Id="rId769" Type="http://schemas.openxmlformats.org/officeDocument/2006/relationships/image" Target="media/image6635.wmf"/>
  <Relationship Id="rId77" Type="http://schemas.openxmlformats.org/officeDocument/2006/relationships/image" Target="media/image2697.wmf"/>
  <Relationship Id="rId770" Type="http://schemas.openxmlformats.org/officeDocument/2006/relationships/oleObject" Target="embeddings/oleObject7711.bin"/>
  <Relationship Id="rId771" Type="http://schemas.openxmlformats.org/officeDocument/2006/relationships/image" Target="media/image6641.wmf"/>
  <Relationship Id="rId772" Type="http://schemas.openxmlformats.org/officeDocument/2006/relationships/oleObject" Target="embeddings/oleObject7717.bin"/>
  <Relationship Id="rId773" Type="http://schemas.openxmlformats.org/officeDocument/2006/relationships/image" Target="media/image6647.wmf"/>
  <Relationship Id="rId774" Type="http://schemas.openxmlformats.org/officeDocument/2006/relationships/oleObject" Target="embeddings/oleObject7723.bin"/>
  <Relationship Id="rId775" Type="http://schemas.openxmlformats.org/officeDocument/2006/relationships/image" Target="media/image6653.wmf"/>
  <Relationship Id="rId776" Type="http://schemas.openxmlformats.org/officeDocument/2006/relationships/oleObject" Target="embeddings/oleObject7729.bin"/>
  <Relationship Id="rId777" Type="http://schemas.openxmlformats.org/officeDocument/2006/relationships/image" Target="media/image6659.wmf"/>
  <Relationship Id="rId778" Type="http://schemas.openxmlformats.org/officeDocument/2006/relationships/oleObject" Target="embeddings/oleObject7735.bin"/>
  <Relationship Id="rId779" Type="http://schemas.openxmlformats.org/officeDocument/2006/relationships/image" Target="media/image6665.wmf"/>
  <Relationship Id="rId78" Type="http://schemas.openxmlformats.org/officeDocument/2006/relationships/oleObject" Target="embeddings/oleObject3797.bin"/>
  <Relationship Id="rId780" Type="http://schemas.openxmlformats.org/officeDocument/2006/relationships/oleObject" Target="embeddings/oleObject7741.bin"/>
  <Relationship Id="rId781" Type="http://schemas.openxmlformats.org/officeDocument/2006/relationships/image" Target="media/image6671.wmf"/>
  <Relationship Id="rId782" Type="http://schemas.openxmlformats.org/officeDocument/2006/relationships/oleObject" Target="embeddings/oleObject7747.bin"/>
  <Relationship Id="rId783" Type="http://schemas.openxmlformats.org/officeDocument/2006/relationships/image" Target="media/image6682.wmf"/>
  <Relationship Id="rId784" Type="http://schemas.openxmlformats.org/officeDocument/2006/relationships/oleObject" Target="embeddings/oleObject7758.bin"/>
  <Relationship Id="rId785" Type="http://schemas.openxmlformats.org/officeDocument/2006/relationships/image" Target="media/image6683.wmf"/>
  <Relationship Id="rId786" Type="http://schemas.openxmlformats.org/officeDocument/2006/relationships/oleObject" Target="embeddings/oleObject7759.bin"/>
  <Relationship Id="rId787" Type="http://schemas.openxmlformats.org/officeDocument/2006/relationships/image" Target="media/image6734.wmf"/>
  <Relationship Id="rId788" Type="http://schemas.openxmlformats.org/officeDocument/2006/relationships/oleObject" Target="embeddings/oleObject7810.bin"/>
  <Relationship Id="rId789" Type="http://schemas.openxmlformats.org/officeDocument/2006/relationships/image" Target="media/image6735.wmf"/>
  <Relationship Id="rId79" Type="http://schemas.openxmlformats.org/officeDocument/2006/relationships/image" Target="media/image2718.wmf"/>
  <Relationship Id="rId790" Type="http://schemas.openxmlformats.org/officeDocument/2006/relationships/oleObject" Target="embeddings/oleObject7811.bin"/>
  <Relationship Id="rId791" Type="http://schemas.openxmlformats.org/officeDocument/2006/relationships/image" Target="media/image6736.wmf"/>
  <Relationship Id="rId792" Type="http://schemas.openxmlformats.org/officeDocument/2006/relationships/oleObject" Target="embeddings/oleObject7812.bin"/>
  <Relationship Id="rId793" Type="http://schemas.openxmlformats.org/officeDocument/2006/relationships/image" Target="media/image6737.wmf"/>
  <Relationship Id="rId794" Type="http://schemas.openxmlformats.org/officeDocument/2006/relationships/oleObject" Target="embeddings/oleObject7813.bin"/>
  <Relationship Id="rId795" Type="http://schemas.openxmlformats.org/officeDocument/2006/relationships/image" Target="media/image6738.wmf"/>
  <Relationship Id="rId796" Type="http://schemas.openxmlformats.org/officeDocument/2006/relationships/oleObject" Target="embeddings/oleObject7814.bin"/>
  <Relationship Id="rId797" Type="http://schemas.openxmlformats.org/officeDocument/2006/relationships/image" Target="media/image6739.wmf"/>
  <Relationship Id="rId798" Type="http://schemas.openxmlformats.org/officeDocument/2006/relationships/oleObject" Target="embeddings/oleObject7815.bin"/>
  <Relationship Id="rId799" Type="http://schemas.openxmlformats.org/officeDocument/2006/relationships/image" Target="media/image6740.wmf"/>
  <Relationship Id="rId8" Type="http://schemas.openxmlformats.org/officeDocument/2006/relationships/oleObject" Target="embeddings/oleObject173.bin"/>
  <Relationship Id="rId80" Type="http://schemas.openxmlformats.org/officeDocument/2006/relationships/oleObject" Target="embeddings/oleObject3808.bin"/>
  <Relationship Id="rId800" Type="http://schemas.openxmlformats.org/officeDocument/2006/relationships/oleObject" Target="embeddings/oleObject7816.bin"/>
  <Relationship Id="rId801" Type="http://schemas.openxmlformats.org/officeDocument/2006/relationships/image" Target="media/image6741.wmf"/>
  <Relationship Id="rId802" Type="http://schemas.openxmlformats.org/officeDocument/2006/relationships/oleObject" Target="embeddings/oleObject7817.bin"/>
  <Relationship Id="rId803" Type="http://schemas.openxmlformats.org/officeDocument/2006/relationships/image" Target="media/image6742.wmf"/>
  <Relationship Id="rId804" Type="http://schemas.openxmlformats.org/officeDocument/2006/relationships/oleObject" Target="embeddings/oleObject7818.bin"/>
  <Relationship Id="rId805" Type="http://schemas.openxmlformats.org/officeDocument/2006/relationships/image" Target="media/image6743.wmf"/>
  <Relationship Id="rId806" Type="http://schemas.openxmlformats.org/officeDocument/2006/relationships/oleObject" Target="embeddings/oleObject7819.bin"/>
  <Relationship Id="rId807" Type="http://schemas.openxmlformats.org/officeDocument/2006/relationships/image" Target="media/image6754.wmf"/>
  <Relationship Id="rId808" Type="http://schemas.openxmlformats.org/officeDocument/2006/relationships/oleObject" Target="embeddings/oleObject7830.bin"/>
  <Relationship Id="rId809" Type="http://schemas.openxmlformats.org/officeDocument/2006/relationships/image" Target="media/image6755.wmf"/>
  <Relationship Id="rId81" Type="http://schemas.openxmlformats.org/officeDocument/2006/relationships/image" Target="media/image2719.wmf"/>
  <Relationship Id="rId810" Type="http://schemas.openxmlformats.org/officeDocument/2006/relationships/oleObject" Target="embeddings/oleObject7831.bin"/>
  <Relationship Id="rId811" Type="http://schemas.openxmlformats.org/officeDocument/2006/relationships/hyperlink" TargetMode="External" Target="https://www.e-tar.lt/portal/legalAct.html?documentId=6bef89f0016411ebb74de75171d26d52"/>
  <Relationship Id="rId812" Type="http://schemas.openxmlformats.org/officeDocument/2006/relationships/image" Target="media/image6786.wmf"/>
  <Relationship Id="rId813" Type="http://schemas.openxmlformats.org/officeDocument/2006/relationships/oleObject" Target="embeddings/oleObject7862.bin"/>
  <Relationship Id="rId814" Type="http://schemas.openxmlformats.org/officeDocument/2006/relationships/image" Target="media/image6797.wmf"/>
  <Relationship Id="rId815" Type="http://schemas.openxmlformats.org/officeDocument/2006/relationships/oleObject" Target="embeddings/oleObject7873.bin"/>
  <Relationship Id="rId816" Type="http://schemas.openxmlformats.org/officeDocument/2006/relationships/image" Target="media/image6798.wmf"/>
  <Relationship Id="rId817" Type="http://schemas.openxmlformats.org/officeDocument/2006/relationships/oleObject" Target="embeddings/oleObject7874.bin"/>
  <Relationship Id="rId818" Type="http://schemas.openxmlformats.org/officeDocument/2006/relationships/image" Target="media/image6844.wmf"/>
  <Relationship Id="rId819" Type="http://schemas.openxmlformats.org/officeDocument/2006/relationships/oleObject" Target="embeddings/oleObject7920.bin"/>
  <Relationship Id="rId82" Type="http://schemas.openxmlformats.org/officeDocument/2006/relationships/image" Target="media/image2726.wmf"/>
  <Relationship Id="rId820" Type="http://schemas.openxmlformats.org/officeDocument/2006/relationships/image" Target="media/image6845.wmf"/>
  <Relationship Id="rId821" Type="http://schemas.openxmlformats.org/officeDocument/2006/relationships/oleObject" Target="embeddings/oleObject7921.bin"/>
  <Relationship Id="rId822" Type="http://schemas.openxmlformats.org/officeDocument/2006/relationships/image" Target="media/image6846.wmf"/>
  <Relationship Id="rId823" Type="http://schemas.openxmlformats.org/officeDocument/2006/relationships/oleObject" Target="embeddings/oleObject7922.bin"/>
  <Relationship Id="rId824" Type="http://schemas.openxmlformats.org/officeDocument/2006/relationships/image" Target="media/image6847.wmf"/>
  <Relationship Id="rId825" Type="http://schemas.openxmlformats.org/officeDocument/2006/relationships/oleObject" Target="embeddings/oleObject7923.bin"/>
  <Relationship Id="rId826" Type="http://schemas.openxmlformats.org/officeDocument/2006/relationships/image" Target="media/image6848.wmf"/>
  <Relationship Id="rId827" Type="http://schemas.openxmlformats.org/officeDocument/2006/relationships/oleObject" Target="embeddings/oleObject7924.bin"/>
  <Relationship Id="rId828" Type="http://schemas.openxmlformats.org/officeDocument/2006/relationships/image" Target="media/image6849.wmf"/>
  <Relationship Id="rId829" Type="http://schemas.openxmlformats.org/officeDocument/2006/relationships/oleObject" Target="embeddings/oleObject7925.bin"/>
  <Relationship Id="rId83" Type="http://schemas.openxmlformats.org/officeDocument/2006/relationships/image" Target="media/image56.png"/>
  <Relationship Id="rId830" Type="http://schemas.openxmlformats.org/officeDocument/2006/relationships/image" Target="media/image6850.wmf"/>
  <Relationship Id="rId831" Type="http://schemas.openxmlformats.org/officeDocument/2006/relationships/oleObject" Target="embeddings/oleObject7926.bin"/>
  <Relationship Id="rId832" Type="http://schemas.openxmlformats.org/officeDocument/2006/relationships/image" Target="media/image6851.wmf"/>
  <Relationship Id="rId833" Type="http://schemas.openxmlformats.org/officeDocument/2006/relationships/oleObject" Target="embeddings/oleObject7927.bin"/>
  <Relationship Id="rId834" Type="http://schemas.openxmlformats.org/officeDocument/2006/relationships/image" Target="media/image6852.wmf"/>
  <Relationship Id="rId835" Type="http://schemas.openxmlformats.org/officeDocument/2006/relationships/oleObject" Target="embeddings/oleObject7928.bin"/>
  <Relationship Id="rId836" Type="http://schemas.openxmlformats.org/officeDocument/2006/relationships/image" Target="media/image6898.wmf"/>
  <Relationship Id="rId837" Type="http://schemas.openxmlformats.org/officeDocument/2006/relationships/oleObject" Target="embeddings/oleObject7974.bin"/>
  <Relationship Id="rId838" Type="http://schemas.openxmlformats.org/officeDocument/2006/relationships/image" Target="media/image6899.wmf"/>
  <Relationship Id="rId839" Type="http://schemas.openxmlformats.org/officeDocument/2006/relationships/oleObject" Target="embeddings/oleObject7975.bin"/>
  <Relationship Id="rId84" Type="http://schemas.openxmlformats.org/officeDocument/2006/relationships/image" Target="media/image2737.wmf"/>
  <Relationship Id="rId840" Type="http://schemas.openxmlformats.org/officeDocument/2006/relationships/image" Target="media/image6900.wmf"/>
  <Relationship Id="rId841" Type="http://schemas.openxmlformats.org/officeDocument/2006/relationships/oleObject" Target="embeddings/oleObject7976.bin"/>
  <Relationship Id="rId842" Type="http://schemas.openxmlformats.org/officeDocument/2006/relationships/image" Target="media/image6901.wmf"/>
  <Relationship Id="rId843" Type="http://schemas.openxmlformats.org/officeDocument/2006/relationships/oleObject" Target="embeddings/oleObject7977.bin"/>
  <Relationship Id="rId844" Type="http://schemas.openxmlformats.org/officeDocument/2006/relationships/image" Target="media/image6902.wmf"/>
  <Relationship Id="rId845" Type="http://schemas.openxmlformats.org/officeDocument/2006/relationships/oleObject" Target="embeddings/oleObject7978.bin"/>
  <Relationship Id="rId846" Type="http://schemas.openxmlformats.org/officeDocument/2006/relationships/image" Target="media/image6903.wmf"/>
  <Relationship Id="rId847" Type="http://schemas.openxmlformats.org/officeDocument/2006/relationships/oleObject" Target="embeddings/oleObject7979.bin"/>
  <Relationship Id="rId848" Type="http://schemas.openxmlformats.org/officeDocument/2006/relationships/image" Target="media/image6904.wmf"/>
  <Relationship Id="rId849" Type="http://schemas.openxmlformats.org/officeDocument/2006/relationships/oleObject" Target="embeddings/oleObject7980.bin"/>
  <Relationship Id="rId85" Type="http://schemas.openxmlformats.org/officeDocument/2006/relationships/oleObject" Target="embeddings/oleObject3819.bin"/>
  <Relationship Id="rId850" Type="http://schemas.openxmlformats.org/officeDocument/2006/relationships/image" Target="media/image6905.wmf"/>
  <Relationship Id="rId851" Type="http://schemas.openxmlformats.org/officeDocument/2006/relationships/oleObject" Target="embeddings/oleObject7981.bin"/>
  <Relationship Id="rId852" Type="http://schemas.openxmlformats.org/officeDocument/2006/relationships/image" Target="media/image6906.wmf"/>
  <Relationship Id="rId853" Type="http://schemas.openxmlformats.org/officeDocument/2006/relationships/oleObject" Target="embeddings/oleObject7982.bin"/>
  <Relationship Id="rId854" Type="http://schemas.openxmlformats.org/officeDocument/2006/relationships/image" Target="media/image6912.wmf"/>
  <Relationship Id="rId855" Type="http://schemas.openxmlformats.org/officeDocument/2006/relationships/oleObject" Target="embeddings/oleObject7988.bin"/>
  <Relationship Id="rId856" Type="http://schemas.openxmlformats.org/officeDocument/2006/relationships/image" Target="media/image6919.wmf"/>
  <Relationship Id="rId857" Type="http://schemas.openxmlformats.org/officeDocument/2006/relationships/oleObject" Target="embeddings/oleObject7995.bin"/>
  <Relationship Id="rId858" Type="http://schemas.openxmlformats.org/officeDocument/2006/relationships/image" Target="media/image6930.wmf"/>
  <Relationship Id="rId859" Type="http://schemas.openxmlformats.org/officeDocument/2006/relationships/oleObject" Target="embeddings/oleObject8006.bin"/>
  <Relationship Id="rId86" Type="http://schemas.openxmlformats.org/officeDocument/2006/relationships/image" Target="media/image2739.wmf"/>
  <Relationship Id="rId860" Type="http://schemas.openxmlformats.org/officeDocument/2006/relationships/image" Target="media/image6931.wmf"/>
  <Relationship Id="rId861" Type="http://schemas.openxmlformats.org/officeDocument/2006/relationships/oleObject" Target="embeddings/oleObject8007.bin"/>
  <Relationship Id="rId862" Type="http://schemas.openxmlformats.org/officeDocument/2006/relationships/image" Target="media/image6977.wmf"/>
  <Relationship Id="rId863" Type="http://schemas.openxmlformats.org/officeDocument/2006/relationships/oleObject" Target="embeddings/oleObject8053.bin"/>
  <Relationship Id="rId864" Type="http://schemas.openxmlformats.org/officeDocument/2006/relationships/image" Target="media/image6978.wmf"/>
  <Relationship Id="rId865" Type="http://schemas.openxmlformats.org/officeDocument/2006/relationships/oleObject" Target="embeddings/oleObject8054.bin"/>
  <Relationship Id="rId866" Type="http://schemas.openxmlformats.org/officeDocument/2006/relationships/image" Target="media/image6979.wmf"/>
  <Relationship Id="rId867" Type="http://schemas.openxmlformats.org/officeDocument/2006/relationships/oleObject" Target="embeddings/oleObject8055.bin"/>
  <Relationship Id="rId868" Type="http://schemas.openxmlformats.org/officeDocument/2006/relationships/image" Target="media/image6980.wmf"/>
  <Relationship Id="rId869" Type="http://schemas.openxmlformats.org/officeDocument/2006/relationships/oleObject" Target="embeddings/oleObject8056.bin"/>
  <Relationship Id="rId87" Type="http://schemas.openxmlformats.org/officeDocument/2006/relationships/image" Target="media/image2750.wmf"/>
  <Relationship Id="rId870" Type="http://schemas.openxmlformats.org/officeDocument/2006/relationships/image" Target="media/image6981.wmf"/>
  <Relationship Id="rId871" Type="http://schemas.openxmlformats.org/officeDocument/2006/relationships/oleObject" Target="embeddings/oleObject8057.bin"/>
  <Relationship Id="rId872" Type="http://schemas.openxmlformats.org/officeDocument/2006/relationships/image" Target="media/image6982.wmf"/>
  <Relationship Id="rId873" Type="http://schemas.openxmlformats.org/officeDocument/2006/relationships/oleObject" Target="embeddings/oleObject8058.bin"/>
  <Relationship Id="rId874" Type="http://schemas.openxmlformats.org/officeDocument/2006/relationships/image" Target="media/image6983.wmf"/>
  <Relationship Id="rId875" Type="http://schemas.openxmlformats.org/officeDocument/2006/relationships/oleObject" Target="embeddings/oleObject8059.bin"/>
  <Relationship Id="rId876" Type="http://schemas.openxmlformats.org/officeDocument/2006/relationships/image" Target="media/image6984.wmf"/>
  <Relationship Id="rId877" Type="http://schemas.openxmlformats.org/officeDocument/2006/relationships/oleObject" Target="embeddings/oleObject8060.bin"/>
  <Relationship Id="rId878" Type="http://schemas.openxmlformats.org/officeDocument/2006/relationships/image" Target="media/image6985.wmf"/>
  <Relationship Id="rId879" Type="http://schemas.openxmlformats.org/officeDocument/2006/relationships/oleObject" Target="embeddings/oleObject8061.bin"/>
  <Relationship Id="rId88" Type="http://schemas.openxmlformats.org/officeDocument/2006/relationships/oleObject" Target="embeddings/oleObject3830.bin"/>
  <Relationship Id="rId880" Type="http://schemas.openxmlformats.org/officeDocument/2006/relationships/image" Target="media/image7031.wmf"/>
  <Relationship Id="rId881" Type="http://schemas.openxmlformats.org/officeDocument/2006/relationships/oleObject" Target="embeddings/oleObject8107.bin"/>
  <Relationship Id="rId882" Type="http://schemas.openxmlformats.org/officeDocument/2006/relationships/image" Target="media/image7032.wmf"/>
  <Relationship Id="rId883" Type="http://schemas.openxmlformats.org/officeDocument/2006/relationships/oleObject" Target="embeddings/oleObject8108.bin"/>
  <Relationship Id="rId884" Type="http://schemas.openxmlformats.org/officeDocument/2006/relationships/image" Target="media/image7033.wmf"/>
  <Relationship Id="rId885" Type="http://schemas.openxmlformats.org/officeDocument/2006/relationships/oleObject" Target="embeddings/oleObject8109.bin"/>
  <Relationship Id="rId886" Type="http://schemas.openxmlformats.org/officeDocument/2006/relationships/image" Target="media/image7034.wmf"/>
  <Relationship Id="rId887" Type="http://schemas.openxmlformats.org/officeDocument/2006/relationships/oleObject" Target="embeddings/oleObject8110.bin"/>
  <Relationship Id="rId888" Type="http://schemas.openxmlformats.org/officeDocument/2006/relationships/image" Target="media/image7035.wmf"/>
  <Relationship Id="rId889" Type="http://schemas.openxmlformats.org/officeDocument/2006/relationships/oleObject" Target="embeddings/oleObject8111.bin"/>
  <Relationship Id="rId89" Type="http://schemas.openxmlformats.org/officeDocument/2006/relationships/image" Target="media/image2761.wmf"/>
  <Relationship Id="rId890" Type="http://schemas.openxmlformats.org/officeDocument/2006/relationships/image" Target="media/image7036.wmf"/>
  <Relationship Id="rId891" Type="http://schemas.openxmlformats.org/officeDocument/2006/relationships/oleObject" Target="embeddings/oleObject8112.bin"/>
  <Relationship Id="rId892" Type="http://schemas.openxmlformats.org/officeDocument/2006/relationships/image" Target="media/image7037.wmf"/>
  <Relationship Id="rId893" Type="http://schemas.openxmlformats.org/officeDocument/2006/relationships/oleObject" Target="embeddings/oleObject8113.bin"/>
  <Relationship Id="rId894" Type="http://schemas.openxmlformats.org/officeDocument/2006/relationships/image" Target="media/image7038.wmf"/>
  <Relationship Id="rId895" Type="http://schemas.openxmlformats.org/officeDocument/2006/relationships/oleObject" Target="embeddings/oleObject8114.bin"/>
  <Relationship Id="rId896" Type="http://schemas.openxmlformats.org/officeDocument/2006/relationships/image" Target="media/image7039.wmf"/>
  <Relationship Id="rId897" Type="http://schemas.openxmlformats.org/officeDocument/2006/relationships/oleObject" Target="embeddings/oleObject8115.bin"/>
  <Relationship Id="rId898" Type="http://schemas.openxmlformats.org/officeDocument/2006/relationships/image" Target="media/image7045.wmf"/>
  <Relationship Id="rId899" Type="http://schemas.openxmlformats.org/officeDocument/2006/relationships/oleObject" Target="embeddings/oleObject8121.bin"/>
  <Relationship Id="rId9" Type="http://schemas.openxmlformats.org/officeDocument/2006/relationships/oleObject" Target="embeddings/oleObject181.bin"/>
  <Relationship Id="rId90" Type="http://schemas.openxmlformats.org/officeDocument/2006/relationships/oleObject" Target="embeddings/oleObject3841.bin"/>
  <Relationship Id="rId900" Type="http://schemas.openxmlformats.org/officeDocument/2006/relationships/image" Target="media/image7051.wmf"/>
  <Relationship Id="rId901" Type="http://schemas.openxmlformats.org/officeDocument/2006/relationships/oleObject" Target="embeddings/oleObject8127.bin"/>
  <Relationship Id="rId902" Type="http://schemas.openxmlformats.org/officeDocument/2006/relationships/image" Target="media/image7062.wmf"/>
  <Relationship Id="rId903" Type="http://schemas.openxmlformats.org/officeDocument/2006/relationships/oleObject" Target="embeddings/oleObject8138.bin"/>
  <Relationship Id="rId904" Type="http://schemas.openxmlformats.org/officeDocument/2006/relationships/image" Target="media/image7063.wmf"/>
  <Relationship Id="rId905" Type="http://schemas.openxmlformats.org/officeDocument/2006/relationships/oleObject" Target="embeddings/oleObject8139.bin"/>
  <Relationship Id="rId906" Type="http://schemas.openxmlformats.org/officeDocument/2006/relationships/image" Target="media/image7109.wmf"/>
  <Relationship Id="rId907" Type="http://schemas.openxmlformats.org/officeDocument/2006/relationships/oleObject" Target="embeddings/oleObject8185.bin"/>
  <Relationship Id="rId908" Type="http://schemas.openxmlformats.org/officeDocument/2006/relationships/image" Target="media/image7110.wmf"/>
  <Relationship Id="rId909" Type="http://schemas.openxmlformats.org/officeDocument/2006/relationships/oleObject" Target="embeddings/oleObject8186.bin"/>
  <Relationship Id="rId91" Type="http://schemas.openxmlformats.org/officeDocument/2006/relationships/header" Target="header72.xml"/>
  <Relationship Id="rId910" Type="http://schemas.openxmlformats.org/officeDocument/2006/relationships/image" Target="media/image7111.wmf"/>
  <Relationship Id="rId911" Type="http://schemas.openxmlformats.org/officeDocument/2006/relationships/oleObject" Target="embeddings/oleObject8187.bin"/>
  <Relationship Id="rId912" Type="http://schemas.openxmlformats.org/officeDocument/2006/relationships/image" Target="media/image7112.wmf"/>
  <Relationship Id="rId913" Type="http://schemas.openxmlformats.org/officeDocument/2006/relationships/oleObject" Target="embeddings/oleObject8188.bin"/>
  <Relationship Id="rId914" Type="http://schemas.openxmlformats.org/officeDocument/2006/relationships/image" Target="media/image7113.wmf"/>
  <Relationship Id="rId915" Type="http://schemas.openxmlformats.org/officeDocument/2006/relationships/oleObject" Target="embeddings/oleObject8189.bin"/>
  <Relationship Id="rId916" Type="http://schemas.openxmlformats.org/officeDocument/2006/relationships/image" Target="media/image7114.wmf"/>
  <Relationship Id="rId917" Type="http://schemas.openxmlformats.org/officeDocument/2006/relationships/oleObject" Target="embeddings/oleObject8190.bin"/>
  <Relationship Id="rId918" Type="http://schemas.openxmlformats.org/officeDocument/2006/relationships/image" Target="media/image7115.wmf"/>
  <Relationship Id="rId919" Type="http://schemas.openxmlformats.org/officeDocument/2006/relationships/oleObject" Target="embeddings/oleObject8191.bin"/>
  <Relationship Id="rId92" Type="http://schemas.openxmlformats.org/officeDocument/2006/relationships/header" Target="header73.xml"/>
  <Relationship Id="rId920" Type="http://schemas.openxmlformats.org/officeDocument/2006/relationships/image" Target="media/image7116.wmf"/>
  <Relationship Id="rId921" Type="http://schemas.openxmlformats.org/officeDocument/2006/relationships/oleObject" Target="embeddings/oleObject8192.bin"/>
  <Relationship Id="rId922" Type="http://schemas.openxmlformats.org/officeDocument/2006/relationships/image" Target="media/image7117.wmf"/>
  <Relationship Id="rId923" Type="http://schemas.openxmlformats.org/officeDocument/2006/relationships/oleObject" Target="embeddings/oleObject8193.bin"/>
  <Relationship Id="rId924" Type="http://schemas.openxmlformats.org/officeDocument/2006/relationships/image" Target="media/image7123.wmf"/>
  <Relationship Id="rId925" Type="http://schemas.openxmlformats.org/officeDocument/2006/relationships/oleObject" Target="embeddings/oleObject8199.bin"/>
  <Relationship Id="rId926" Type="http://schemas.openxmlformats.org/officeDocument/2006/relationships/image" Target="media/image7170.wmf"/>
  <Relationship Id="rId927" Type="http://schemas.openxmlformats.org/officeDocument/2006/relationships/oleObject" Target="embeddings/oleObject8246.bin"/>
  <Relationship Id="rId928" Type="http://schemas.openxmlformats.org/officeDocument/2006/relationships/image" Target="media/image7171.wmf"/>
  <Relationship Id="rId929" Type="http://schemas.openxmlformats.org/officeDocument/2006/relationships/oleObject" Target="embeddings/oleObject8247.bin"/>
  <Relationship Id="rId93" Type="http://schemas.openxmlformats.org/officeDocument/2006/relationships/footer" Target="footer70.xml"/>
  <Relationship Id="rId930" Type="http://schemas.openxmlformats.org/officeDocument/2006/relationships/image" Target="media/image7172.wmf"/>
  <Relationship Id="rId931" Type="http://schemas.openxmlformats.org/officeDocument/2006/relationships/oleObject" Target="embeddings/oleObject8248.bin"/>
  <Relationship Id="rId932" Type="http://schemas.openxmlformats.org/officeDocument/2006/relationships/image" Target="media/image7173.wmf"/>
  <Relationship Id="rId933" Type="http://schemas.openxmlformats.org/officeDocument/2006/relationships/oleObject" Target="embeddings/oleObject8249.bin"/>
  <Relationship Id="rId934" Type="http://schemas.openxmlformats.org/officeDocument/2006/relationships/image" Target="media/image7174.wmf"/>
  <Relationship Id="rId935" Type="http://schemas.openxmlformats.org/officeDocument/2006/relationships/oleObject" Target="embeddings/oleObject8250.bin"/>
  <Relationship Id="rId936" Type="http://schemas.openxmlformats.org/officeDocument/2006/relationships/image" Target="media/image7175.wmf"/>
  <Relationship Id="rId937" Type="http://schemas.openxmlformats.org/officeDocument/2006/relationships/oleObject" Target="embeddings/oleObject8251.bin"/>
  <Relationship Id="rId938" Type="http://schemas.openxmlformats.org/officeDocument/2006/relationships/image" Target="media/image7176.wmf"/>
  <Relationship Id="rId939" Type="http://schemas.openxmlformats.org/officeDocument/2006/relationships/oleObject" Target="embeddings/oleObject8252.bin"/>
  <Relationship Id="rId94" Type="http://schemas.openxmlformats.org/officeDocument/2006/relationships/footer" Target="footer71.xml"/>
  <Relationship Id="rId940" Type="http://schemas.openxmlformats.org/officeDocument/2006/relationships/image" Target="media/image7177.wmf"/>
  <Relationship Id="rId941" Type="http://schemas.openxmlformats.org/officeDocument/2006/relationships/oleObject" Target="embeddings/oleObject8253.bin"/>
  <Relationship Id="rId942" Type="http://schemas.openxmlformats.org/officeDocument/2006/relationships/image" Target="media/image7178.wmf"/>
  <Relationship Id="rId943" Type="http://schemas.openxmlformats.org/officeDocument/2006/relationships/oleObject" Target="embeddings/oleObject8254.bin"/>
  <Relationship Id="rId944" Type="http://schemas.openxmlformats.org/officeDocument/2006/relationships/image" Target="media/image7184.wmf"/>
  <Relationship Id="rId945" Type="http://schemas.openxmlformats.org/officeDocument/2006/relationships/oleObject" Target="embeddings/oleObject8260.bin"/>
  <Relationship Id="rId946" Type="http://schemas.openxmlformats.org/officeDocument/2006/relationships/image" Target="media/image7190.wmf"/>
  <Relationship Id="rId947" Type="http://schemas.openxmlformats.org/officeDocument/2006/relationships/oleObject" Target="embeddings/oleObject8266.bin"/>
  <Relationship Id="rId948" Type="http://schemas.openxmlformats.org/officeDocument/2006/relationships/image" Target="media/image7206.wmf"/>
  <Relationship Id="rId949" Type="http://schemas.openxmlformats.org/officeDocument/2006/relationships/oleObject" Target="embeddings/oleObject8282.bin"/>
  <Relationship Id="rId95" Type="http://schemas.openxmlformats.org/officeDocument/2006/relationships/header" Target="header74.xml"/>
  <Relationship Id="rId950" Type="http://schemas.openxmlformats.org/officeDocument/2006/relationships/image" Target="media/image7207.wmf"/>
  <Relationship Id="rId951" Type="http://schemas.openxmlformats.org/officeDocument/2006/relationships/oleObject" Target="embeddings/oleObject8283.bin"/>
  <Relationship Id="rId952" Type="http://schemas.openxmlformats.org/officeDocument/2006/relationships/image" Target="media/image7208.wmf"/>
  <Relationship Id="rId953" Type="http://schemas.openxmlformats.org/officeDocument/2006/relationships/oleObject" Target="embeddings/oleObject8284.bin"/>
  <Relationship Id="rId954" Type="http://schemas.openxmlformats.org/officeDocument/2006/relationships/image" Target="media/image7254.wmf"/>
  <Relationship Id="rId955" Type="http://schemas.openxmlformats.org/officeDocument/2006/relationships/oleObject" Target="embeddings/oleObject8330.bin"/>
  <Relationship Id="rId956" Type="http://schemas.openxmlformats.org/officeDocument/2006/relationships/image" Target="media/image7255.wmf"/>
  <Relationship Id="rId957" Type="http://schemas.openxmlformats.org/officeDocument/2006/relationships/oleObject" Target="embeddings/oleObject8331.bin"/>
  <Relationship Id="rId958" Type="http://schemas.openxmlformats.org/officeDocument/2006/relationships/image" Target="media/image7256.wmf"/>
  <Relationship Id="rId959" Type="http://schemas.openxmlformats.org/officeDocument/2006/relationships/oleObject" Target="embeddings/oleObject8332.bin"/>
  <Relationship Id="rId96" Type="http://schemas.openxmlformats.org/officeDocument/2006/relationships/footer" Target="footer72.xml"/>
  <Relationship Id="rId960" Type="http://schemas.openxmlformats.org/officeDocument/2006/relationships/image" Target="media/image7257.wmf"/>
  <Relationship Id="rId961" Type="http://schemas.openxmlformats.org/officeDocument/2006/relationships/oleObject" Target="embeddings/oleObject8333.bin"/>
  <Relationship Id="rId962" Type="http://schemas.openxmlformats.org/officeDocument/2006/relationships/image" Target="media/image7258.wmf"/>
  <Relationship Id="rId963" Type="http://schemas.openxmlformats.org/officeDocument/2006/relationships/oleObject" Target="embeddings/oleObject8334.bin"/>
  <Relationship Id="rId964" Type="http://schemas.openxmlformats.org/officeDocument/2006/relationships/image" Target="media/image7259.wmf"/>
  <Relationship Id="rId965" Type="http://schemas.openxmlformats.org/officeDocument/2006/relationships/oleObject" Target="embeddings/oleObject8335.bin"/>
  <Relationship Id="rId966" Type="http://schemas.openxmlformats.org/officeDocument/2006/relationships/image" Target="media/image7260.wmf"/>
  <Relationship Id="rId967" Type="http://schemas.openxmlformats.org/officeDocument/2006/relationships/oleObject" Target="embeddings/oleObject8336.bin"/>
  <Relationship Id="rId968" Type="http://schemas.openxmlformats.org/officeDocument/2006/relationships/image" Target="media/image7261.wmf"/>
  <Relationship Id="rId969" Type="http://schemas.openxmlformats.org/officeDocument/2006/relationships/oleObject" Target="embeddings/oleObject8337.bin"/>
  <Relationship Id="rId97" Type="http://schemas.openxmlformats.org/officeDocument/2006/relationships/image" Target="media/image74.png"/>
  <Relationship Id="rId970" Type="http://schemas.openxmlformats.org/officeDocument/2006/relationships/image" Target="media/image7262.wmf"/>
  <Relationship Id="rId971" Type="http://schemas.openxmlformats.org/officeDocument/2006/relationships/oleObject" Target="embeddings/oleObject8338.bin"/>
  <Relationship Id="rId972" Type="http://schemas.openxmlformats.org/officeDocument/2006/relationships/image" Target="media/image7308.wmf"/>
  <Relationship Id="rId973" Type="http://schemas.openxmlformats.org/officeDocument/2006/relationships/oleObject" Target="embeddings/oleObject8384.bin"/>
  <Relationship Id="rId974" Type="http://schemas.openxmlformats.org/officeDocument/2006/relationships/image" Target="media/image7309.wmf"/>
  <Relationship Id="rId975" Type="http://schemas.openxmlformats.org/officeDocument/2006/relationships/oleObject" Target="embeddings/oleObject8385.bin"/>
  <Relationship Id="rId976" Type="http://schemas.openxmlformats.org/officeDocument/2006/relationships/image" Target="media/image7310.wmf"/>
  <Relationship Id="rId977" Type="http://schemas.openxmlformats.org/officeDocument/2006/relationships/oleObject" Target="embeddings/oleObject8386.bin"/>
  <Relationship Id="rId978" Type="http://schemas.openxmlformats.org/officeDocument/2006/relationships/image" Target="media/image7311.wmf"/>
  <Relationship Id="rId979" Type="http://schemas.openxmlformats.org/officeDocument/2006/relationships/oleObject" Target="embeddings/oleObject8387.bin"/>
  <Relationship Id="rId98" Type="http://schemas.openxmlformats.org/officeDocument/2006/relationships/oleObject" Target="embeddings/oleObject3859.bin"/>
  <Relationship Id="rId980" Type="http://schemas.openxmlformats.org/officeDocument/2006/relationships/image" Target="media/image7312.wmf"/>
  <Relationship Id="rId981" Type="http://schemas.openxmlformats.org/officeDocument/2006/relationships/oleObject" Target="embeddings/oleObject8388.bin"/>
  <Relationship Id="rId982" Type="http://schemas.openxmlformats.org/officeDocument/2006/relationships/image" Target="media/image7313.wmf"/>
  <Relationship Id="rId983" Type="http://schemas.openxmlformats.org/officeDocument/2006/relationships/oleObject" Target="embeddings/oleObject8389.bin"/>
  <Relationship Id="rId984" Type="http://schemas.openxmlformats.org/officeDocument/2006/relationships/image" Target="media/image7314.wmf"/>
  <Relationship Id="rId985" Type="http://schemas.openxmlformats.org/officeDocument/2006/relationships/oleObject" Target="embeddings/oleObject8390.bin"/>
  <Relationship Id="rId986" Type="http://schemas.openxmlformats.org/officeDocument/2006/relationships/image" Target="media/image7315.wmf"/>
  <Relationship Id="rId987" Type="http://schemas.openxmlformats.org/officeDocument/2006/relationships/oleObject" Target="embeddings/oleObject8391.bin"/>
  <Relationship Id="rId988" Type="http://schemas.openxmlformats.org/officeDocument/2006/relationships/image" Target="media/image7316.wmf"/>
  <Relationship Id="rId989" Type="http://schemas.openxmlformats.org/officeDocument/2006/relationships/oleObject" Target="embeddings/oleObject8392.bin"/>
  <Relationship Id="rId99" Type="http://schemas.openxmlformats.org/officeDocument/2006/relationships/image" Target="media/image3052.wmf"/>
  <Relationship Id="rId990" Type="http://schemas.openxmlformats.org/officeDocument/2006/relationships/image" Target="media/image7322.wmf"/>
  <Relationship Id="rId991" Type="http://schemas.openxmlformats.org/officeDocument/2006/relationships/oleObject" Target="embeddings/oleObject8398.bin"/>
  <Relationship Id="rId992" Type="http://schemas.openxmlformats.org/officeDocument/2006/relationships/image" Target="media/image7365.wmf"/>
  <Relationship Id="rId993" Type="http://schemas.openxmlformats.org/officeDocument/2006/relationships/oleObject" Target="embeddings/oleObject8441.bin"/>
  <Relationship Id="rId994" Type="http://schemas.openxmlformats.org/officeDocument/2006/relationships/image" Target="media/image7366.wmf"/>
  <Relationship Id="rId995" Type="http://schemas.openxmlformats.org/officeDocument/2006/relationships/oleObject" Target="embeddings/oleObject8442.bin"/>
  <Relationship Id="rId996" Type="http://schemas.openxmlformats.org/officeDocument/2006/relationships/image" Target="media/image7367.wmf"/>
  <Relationship Id="rId997" Type="http://schemas.openxmlformats.org/officeDocument/2006/relationships/oleObject" Target="embeddings/oleObject8443.bin"/>
  <Relationship Id="rId998" Type="http://schemas.openxmlformats.org/officeDocument/2006/relationships/image" Target="media/image7368.wmf"/>
  <Relationship Id="rId999" Type="http://schemas.openxmlformats.org/officeDocument/2006/relationships/oleObject" Target="embeddings/oleObject8444.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28603FE-5538-4AA0-8464-C97A1E4C1ED0}"/>
      </w:docPartPr>
      <w:docPartBody>
        <w:p>
          <w:r>
            <w:rPr>
              <w:rStyle w:val="Vietosrezervavimoenklotekstas"/>
            </w:rPr>
            <w:t>Norėdami įvesti tekstą, spustelėkite arba bakstelėkite čia.</w:t>
          </w:r>
        </w:p>
      </w:docPartBody>
    </w:docPart>
    <w:docPart>
      <w:docPartPr>
        <w:name w:val="2E2FC6298AB74E4F843E65EDA0037ED2"/>
        <w:category>
          <w:name w:val="Bendrosios nuostatos"/>
          <w:gallery w:val="placeholder"/>
        </w:category>
        <w:types>
          <w:type w:val="bbPlcHdr"/>
        </w:types>
        <w:behaviors>
          <w:behavior w:val="content"/>
        </w:behaviors>
        <w:guid w:val="{51B3AD8E-DAFB-4B45-A78E-5A441E26A471}"/>
      </w:docPartPr>
      <w:docPartBody>
        <w:p>
          <w:pPr>
            <w:pStyle w:val="2E2FC6298AB74E4F843E65EDA0037ED2"/>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roman"/>
    <w:notTrueType/>
    <w:pitch w:val="default"/>
  </w:font>
  <w:font w:name="SymbolPS">
    <w:panose1 w:val="00000000000000000000"/>
    <w:charset w:val="02"/>
    <w:family w:val="decorative"/>
    <w:notTrueType/>
    <w:pitch w:val="variable"/>
    <w:sig w:usb0="00000003" w:usb1="10000000" w:usb2="00000000" w:usb3="00000000" w:csb0="80000001"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BA"/>
    <w:family w:val="roman"/>
    <w:pitch w:val="variable"/>
    <w:sig w:usb0="E00006FF" w:usb1="420024FF" w:usb2="02000000" w:usb3="00000000" w:csb0="0000019F" w:csb1="00000000"/>
  </w:font>
  <w:font w:name="UniversalMath1 BT">
    <w:altName w:val="Symbol"/>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D60"/>
    <w:rsid w:val="009D2D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2D60"/>
    <w:rPr>
      <w:color w:val="808080"/>
    </w:rPr>
  </w:style>
  <w:style w:type="paragraph" w:customStyle="1" w:styleId="2E2FC6298AB74E4F843E65EDA0037ED2">
    <w:name w:val="2E2FC6298AB74E4F843E65EDA0037ED2"/>
    <w:rsid w:val="009D2D60"/>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f4fc52113334ed28c864a8d404e9bd8" PartId="538d93a66b1d4e928257b63ba5a95b04">
    <Part Type="preambule" DocPartId="36e6fcdbd09d4cf7b3d4a0fcf4e879db" PartId="4f7f4baae7bc46588436f3d8eadd8ed9"/>
    <Part Type="punktas" Nr="1" Abbr="1 p." DocPartId="aca8bb9bb373440e879e0bd0259d2a01" PartId="39f95fd836044cfd864dc0cd4d404bf5"/>
    <Part Type="punktas" Nr="2" Abbr="2 p." DocPartId="5802f757a8dd4e1cb024bc5b390e90ee" PartId="7b5fbdebc512463e9353ac6ef584311e">
      <Part Type="papunktis" Nr="2.1" Abbr="2.1 pp." DocPartId="077ee7c659f04f0cae3e1929c1299b83" PartId="29479027da254b2f949ba09e5cd8c479"/>
      <Part Type="papunktis" Nr="2.2" Abbr="2.2 pp." DocPartId="52e05d12961040b686b211f0580ce907" PartId="b5fd0059df2d4fe987fad3f4c0328b34"/>
      <Part Type="papunktis" Nr="2.3" Abbr="2.3 pp." DocPartId="8675d1d0b0394f13aaa19d15fbf557fa" PartId="1ec5f32e18344d6c95d5f1f677d43a26"/>
      <Part Type="papunktis" Nr="2.4" Abbr="2.4 pp." DocPartId="89b2ba470ede4d8e86ac2910901dda7c" PartId="8e55166c5f3247d6b0977c6735d4ad9a"/>
    </Part>
    <Part Type="punktas" Nr="3" Abbr="3 p." DocPartId="dd3ab076476f4cab83980a5f00f48828" PartId="ef1094e86c52479fb002b89e43077345"/>
    <Part Type="signatura" DocPartId="5ffbcd5aafcc4233a4a419f3dd222418" PartId="8127847f01394c4a9eacf47f6f6c4137"/>
  </Part>
  <Part Type="patvirtinta" Title="STATYBOS TECHNINIS REGLAMENTAS" DocPartId="7159ed3e355b42f5a52f1adad578e4dc" PartId="7351fdd0de3446cdb2e7e0470fd76ea0">
    <Part Type="skyrius" Nr="1" Title="BENDROSIOS NUOSTATOS" DocPartId="dea0790a2ddc4199ab4522f6c4b14dba" PartId="3a394846469e482b83e7a9d9dd94f8d1">
      <Part Type="punktas" Nr="1" Abbr="1 p." DocPartId="669af59383164c6ab5c5deda42ad117b" PartId="2fff5264db3842d9995e19b76540e4ee">
        <Part Type="papunktis" Nr="1.1" Abbr="1.1 pp." DocPartId="8471bff7f00c4f9387904f2272b5ee1e" PartId="d19b74ed7dec4fb4bafbc2c6a912651e"/>
        <Part Type="papunktis" Nr="1.2" Abbr="1.2 pp." DocPartId="599c221172a24c568e477679fcfab251" PartId="89fcc95b31ac40fdae51e8dde4479591"/>
        <Part Type="papunktis" Nr="1.3" Abbr="1.3 pp." DocPartId="0ae873672c014608b92ba4e57c3526a4" PartId="f42d1c8d48ff4f47b6d5e6e26a4b9bd6"/>
        <Part Type="papunktis" Nr="1.4" Abbr="1.4 pp." DocPartId="784bf261a3a240049c034513536955e2" PartId="13bbcc256cdf441591184263d42e4e90">
          <Part Type="papunktis" Nr="1.4.1" Abbr="1.4.1 pp." DocPartId="4ed5eed526714c9d90063a2bcae7e98d" PartId="8ce326f96b7542cda575edf878b39951"/>
          <Part Type="papunktis" Nr="1.4.2" Abbr="1.4.2 pp." DocPartId="48eb693fff9f4061a2b9a94435c6eb72" PartId="79ec705a22ea4804851efe051d78ac3a"/>
          <Part Type="papunktis" Nr="1.4.3" Abbr="1.4.3 pp." DocPartId="5f59142d0d5b42469b1b8235b431ae12" PartId="eadb3e1e19274ca08dca798d6424b9e6"/>
        </Part>
        <Part Type="papunktis" Nr="1.5" Abbr="1.5 pp." DocPartId="122e8fc01da14834b5a25057cfce5607" PartId="5433b4c56f0f4426a639587e5559d712"/>
        <Part Type="papunktis" Nr="1.6" Abbr="1.6 pp." DocPartId="fba4b304ef0647c483ca2fd75aabce9b" PartId="47f556b5d4f649d29698b71e3f0f66e4"/>
        <Part Type="papunktis" Nr="1.7" Abbr="1.7 pp." DocPartId="bb8816eab51948daade53eb5ce7aa86b" PartId="e0c4862b0a924639a2be598d8bef230d"/>
      </Part>
      <Part Type="punktas" Nr="2" Abbr="2 p." DocPartId="afc86321079544daa3a3182922ad8016" PartId="7a58fc8752104dc1995a75912c0ddc97"/>
    </Part>
    <Part Type="skyrius" Nr="2" Title="NUORODOS" DocPartId="77a76a987e44438da48a1a501ddb7b59" PartId="7f7cd8f3ff304de6812c052cc4b36d48">
      <Part Type="punktas" Nr="3" Abbr="3 p." DocPartId="bf125bffe84e486195ecd755a2c23d65" PartId="36d4c0ffc281497f889f2c5eb4c95389">
        <Part Type="papunktis" Nr="3.1" Abbr="3.1 pp." DocPartId="901ed632ff0e49ef969c10ffc21f190e" PartId="f221e5c0ebe349f09b4e027e6c1d8df9"/>
        <Part Type="papunktis" Nr="3.2" Abbr="3.2 pp." DocPartId="993bb76007d14b8a97c2a6fa055b32c7" PartId="2046eac505b74cfcbeabebb0df4013d0"/>
        <Part Type="papunktis" Nr="3.3" Abbr="3.3 pp." DocPartId="9ad32bd1c39045ad9fd0708b84b8e909" PartId="cdfae96f3cc54ed8a0426970e14fb9cd"/>
        <Part Type="papunktis" Nr="3.4" Abbr="3.4 pp." DocPartId="8be0513b9a674daca76a5d3fb4f6bd4c" PartId="847a5423004c44de8362ad69a5629e4c"/>
        <Part Type="papunktis" Nr="3.5" Abbr="3.5 pp." DocPartId="58012618f1684f8c99dcfcc08227e80f" PartId="27d76a61c41a4f0da9b42571a2bf0b31"/>
        <Part Type="papunktis" Nr="3.6" Abbr="3.6 pp." DocPartId="f99ebc120b3449868908521a050e1e36" PartId="60095ff048c944cd855f35a10e19db8f"/>
        <Part Type="papunktis" Nr="3.7" Abbr="3.7 pp." DocPartId="6fedad5026a746d9bfcf7773575ef3e2" PartId="72492ac3d5a54a268114b6bbe4752b4b"/>
        <Part Type="papunktis" Nr="3.8" Abbr="3.8 pp." DocPartId="fea9a4fb2d84438ea4dcbe30316bd5ff" PartId="c2677bea9d7649bbbfc14bfc5c377d80"/>
        <Part Type="papunktis" Nr="3.9" Abbr="3.9 pp." DocPartId="b95b8673e97f4dcb9195b3efa03c3106" PartId="1c31c54f19864c2886158f0bf34638af"/>
        <Part Type="papunktis" Nr="3.10" Abbr="3.10 pp." DocPartId="31c6807613574cb69a7b402135a71109" PartId="4436637284c44ada8a8967ef159e63f3"/>
        <Part Type="papunktis" Nr="3.11" Abbr="3.11 pp." DocPartId="b4d73634224b4fa1963810b1f94c6e49" PartId="f9c5665f78fb4770b4805cca205a2b4a"/>
        <Part Type="papunktis" Nr="3.12" Abbr="3.12 pp." DocPartId="72c0516fd0df476592ef6bcf45240493" PartId="2f8d6215cf564fd9a20289419734a2b8"/>
        <Part Type="papunktis" Nr="3.13" Abbr="3.13 pp." DocPartId="8bb4c52946ed44078bc8b7f0117b457e" PartId="894ff7dd1da24e7ba7231f43f5a56f57"/>
        <Part Type="papunktis" Nr="3.14" Abbr="3.14 pp." DocPartId="5658dd2bf6fe4f2a8b63b924e3b15766" PartId="0a4bf1fe349b43bf94993f5e34429f70"/>
        <Part Type="papunktis" Nr="3.15" Abbr="3.15 pp." DocPartId="fef116f927174224a0745afcba86f7be" PartId="a8b573fe3dd0448ebf426aa6ce51ea5e"/>
        <Part Type="papunktis" Nr="3.16" Abbr="3.16 pp." DocPartId="8b38eb690e8e4e70a17df76518fe40d7" PartId="4152a1c82dd24d55a2f81db0dddae87e"/>
        <Part Type="papunktis" Nr="3.17" Abbr="3.17 pp." DocPartId="c096de5a40b147e48705834aee87b28b" PartId="4f6455476e4c400991c7a3173afa688f"/>
        <Part Type="papunktis" Nr="3.18" Abbr="3.18 pp." DocPartId="c46292c89085424992a231c75e9a47f4" PartId="de89af975e7e4154be50ea12d9ba437c"/>
        <Part Type="papunktis" Nr="3.19" Abbr="3.19 pp." DocPartId="15ca8deb38304aaa81514be7a1be6655" PartId="7639a9ae55284f86863560a9bb7be5ef"/>
        <Part Type="papunktis" Nr="3.20" Abbr="3.20 pp." DocPartId="2bde6cab62a6483484046e8b74b96e4b" PartId="07fbf012720e45bcaf29f4d85f717830"/>
        <Part Type="papunktis" Nr="3.21" Abbr="3.21 pp." DocPartId="5e4d17777bcb4ec59a78f44dc47fd4c7" PartId="fa1116b903e0415290374031ae441d94"/>
        <Part Type="papunktis" Nr="3.22" Abbr="3.22 pp." DocPartId="f8a41a8e8e38450a96f8dd82e6e4ef1d" PartId="0fa05c39aba749d88bda928875db44ac"/>
        <Part Type="papunktis" Nr="3.23" Abbr="3.23 pp." DocPartId="abd26afb30c74f0095243daa411aa219" PartId="d02afe6f1880417c96d46168e0fa69ba"/>
        <Part Type="papunktis" Nr="3.24" Abbr="3.24 pp." DocPartId="faefb9ee58854431a7089cc5cd67e288" PartId="57f420cb99bc479ba072625d8cc3d3f7"/>
        <Part Type="papunktis" Nr="3.25" Abbr="3.25 pp." DocPartId="3a028727d09c4d25bef36ea65775a74f" PartId="06655e73812b4fdcb513a07122acde30"/>
        <Part Type="papunktis" Nr="3.26" Abbr="3.26 pp." DocPartId="17c2eab017824706922ce8ee2915ba58" PartId="cb35ec0317584b6a84b4e91c083d4ae0"/>
        <Part Type="papunktis" Nr="3.27" Abbr="3.27 pp." DocPartId="f8087e6e086c4d278013b14388cd5ef8" PartId="b0f0bc6a89e94376b862cc385bd3a9de"/>
        <Part Type="papunktis" Nr="3.28" Abbr="3.28 pp." DocPartId="002313e21bc64ba2a6767689fe99078c" PartId="85818e11fa5649b68b5b64938ffdfa72"/>
        <Part Type="papunktis" Nr="3.29" Abbr="3.29 pp." DocPartId="5fc819068f92406f8811c8a17c48bf8e" PartId="d16a0dc945b540be9b0f7aff39cdb15a"/>
        <Part Type="papunktis" Nr="3.30" Abbr="3.30 pp." DocPartId="17638b92f8654adc8aa7cb6e8032a904" PartId="6d453c83ce234f449e3e6424ddd76682"/>
        <Part Type="papunktis" Nr="3.31" Abbr="3.31 pp." DocPartId="a1e962cdb40a45b98640cc87219fdc59" PartId="2605392d89f04df8ac992b424c0982de"/>
        <Part Type="papunktis" Nr="3.32" Abbr="3.32 pp." DocPartId="a3f1e0ee711e47e8bb2adcadb87e5c18" PartId="652d0614a2a947ecab1a1e0a9890825d"/>
        <Part Type="papunktis" Nr="3.33" Abbr="3.33 pp." DocPartId="4c25360184a648d08b3203f96b035bb3" PartId="646195c8443a408eb990b0158dafc868"/>
        <Part Type="papunktis" Nr="3.34" Abbr="3.34 pp." DocPartId="11a888c80f584024a9b300ce11805ef0" PartId="c413738904ab4366a739a8bff4750ecc"/>
        <Part Type="papunktis" Nr="3.35" Abbr="3.35 pp." DocPartId="867fe0153676440ebd1206481029f00b" PartId="952312eaed044f0487361943c7839f75"/>
        <Part Type="papunktis" Nr="3.36" Abbr="3.36 pp." DocPartId="fec8d27c0df745568b1d9f4d5e387275" PartId="7a867d738e7f4c3796410a972b9c788e"/>
        <Part Type="papunktis" Nr="3.37" Abbr="3.37 pp." DocPartId="1a583f5ab1884490abf9e447d88d66d6" PartId="e390dd6f29ad48779113789f6489d9af"/>
        <Part Type="papunktis" Nr="3.38" Abbr="3.38 pp." DocPartId="4002bcba4c744ad9a4943a530622091c" PartId="cb112a661ab64d29904a424888db3e95"/>
        <Part Type="papunktis" Nr="3.39" Abbr="3.39 pp." DocPartId="7a8efe6687664dfeb7fa2770f227a675" PartId="8833262a356f4e8fb522fcf4a9be0301"/>
        <Part Type="papunktis" Nr="3.40" Abbr="3.40 pp." DocPartId="4e35e8378a174952a474680a79228a04" PartId="3e059d20fb4c4a4295ba523d141a8604"/>
        <Part Type="papunktis" Nr="3.41" Abbr="3.41 pp." DocPartId="e18f2235ef264d0082f2ba4da76cefa8" PartId="d8caacd2d8f24e2b94c7a1aeae6ed93d"/>
        <Part Type="papunktis" Nr="3.42" Abbr="3.42 pp." DocPartId="4f17b31eab2b4f49a069a242a3dae0f4" PartId="24112a4475f84c86839d5207fcc28843"/>
        <Part Type="papunktis" Nr="3.43" Abbr="3.43 pp." DocPartId="c180bbfc6e8d478d8c8a9b92d242477d" PartId="e88054f7f2ed4c28a53581f24455343e"/>
        <Part Type="papunktis" Nr="3.44" Abbr="3.44 pp." DocPartId="1f40d221ddec403daef820cce3e97c86" PartId="ef113b8e2be24442840eac3572434f5c"/>
        <Part Type="papunktis" Nr="3.45" Abbr="3.45 pp." DocPartId="5c61bc91687e40e5abd5ac550ffeb88d" PartId="443ebe0a79134dda82d341b76094d880"/>
        <Part Type="papunktis" Nr="3.46" Abbr="3.46 pp." DocPartId="b29b6426dfc245119b0f5014b94a961e" PartId="a12a696deda94130b91df15fe5dbebeb"/>
        <Part Type="papunktis" Nr="3.47" Abbr="3.47 pp." DocPartId="79afa98e67a44c15bfa61d62d359c235" PartId="1a3acfb4089a4f9d95d8a4dbc45e4418"/>
        <Part Type="papunktis" Nr="3.48" Abbr="3.48 pp." DocPartId="010c298282ab4603878b8c5d0cbcfa74" PartId="49349af93d7f415dbeb54fa456422c3e"/>
      </Part>
    </Part>
    <Part Type="skyrius" Nr="3" Title="PAGRINDINĖS SĄVOKOS" DocPartId="44e324b9562c47aa955fa27502bc921c" PartId="1508b51647ec4d4fac7f6227ca4cc385">
      <Part Type="punktas" Nr="4" Abbr="4 p." DocPartId="aedf8e85bf0f41e8862dcb27d023f064" PartId="319351ab37c14b89b1151b094352b591">
        <Part Type="papunktis" Nr="4.1" Abbr="4.1 pp." DocPartId="b9c7a09162504ad4b441b9758d74253b" PartId="8741117d41a34817ab96239cc9db4b14"/>
        <Part Type="papunktis" Nr="4.2" Abbr="4.2 pp." DocPartId="5401785665f14b7894ca9d555033aa7a" PartId="3562a6c62670413d8e8c14a9a49765d1"/>
        <Part Type="papunktis" Nr="4.3" Abbr="4.3 pp." DocPartId="3d88a495ab954aaab72cfddcba7d4686" PartId="427658f316b44b79900a65b030e2df40"/>
        <Part Type="papunktis" Nr="4.4" Abbr="4.4 pp." DocPartId="3c1e42b2095f4a89b1689217d70da035" PartId="57576ef0617843fbaa63834d62a3db46"/>
        <Part Type="papunktis" Nr="4.5" Abbr="4.5 pp." DocPartId="5f3577ed7f15462ba87f60f66aae17fb" PartId="b78a72e695554abe93b2ec32f075ad77"/>
        <Part Type="papunktis" Nr="4.6" Abbr="4.6 pp." DocPartId="734663d2a7bf44df9edc9e6a963b9895" PartId="89cd731fab414c0ca1d145550ca67f36"/>
        <Part Type="papunktis" Nr="4.7" Abbr="4.7 pp." DocPartId="10426b20b6ea49b08417b00db98579f9" PartId="7bbd5ebae60e4d25b09814a7aaa6f9d8"/>
        <Part Type="papunktis" Nr="4.8" Abbr="4.8 pp." DocPartId="7896b74a7d9e4f96b11f71b10d063186" PartId="2c5ad29466d64fbe9ce41038bca183d5"/>
        <Part Type="papunktis" Nr="4.9" Abbr="4.9 pp." DocPartId="7614a2b040f14725a807c90beb6c3646" PartId="ac93019394cf462b8df5f809d2ce7709"/>
        <Part Type="papunktis" Nr="4.10" Abbr="4.10 pp." DocPartId="717ef6e45b3f407d85912e91cafdeddd" PartId="862aded414524e599fc575161830cb4b"/>
        <Part Type="papunktis" Nr="4.11" Abbr="4.11 pp." DocPartId="4fb5b857063643c7a54737062c15c2c6" PartId="efce75d08fb244fbac09b703fd947c96"/>
        <Part Type="papunktis" Nr="4.12" Abbr="4.12 pp." DocPartId="7e5791f1e90f4a7e980d15d59707216f" PartId="d97c73dbae5141c6a1f702685e9afe03"/>
        <Part Type="papunktis" Nr="4.13" Abbr="4.13 pp." DocPartId="1904f30bc9d046a096078a5ea138df76" PartId="1e4fac8d6496450f9f5bf47010901a5a"/>
        <Part Type="papunktis" Nr="4.14" Abbr="4.14 pp." DocPartId="d7c35077fa5143a880556f33bafa0be1" PartId="ea0b67b725d24f31b963fbd17c1bf924"/>
        <Part Type="papunktis" Nr="4.15" Abbr="4.15 pp." DocPartId="213b00e087de4ce6ab34f4be9a9b5c1e" PartId="276f23f7ccb845bd81c6f07539362859"/>
        <Part Type="papunktis" Nr="4.16" Abbr="4.16 pp." DocPartId="f81e1b3ea07049709e872b86e33197a9" PartId="3a13682b743247e9883d0db38bbf3024"/>
        <Part Type="papunktis" Nr="4.17" Abbr="4.17 pp." DocPartId="c9440f53306b4ef1ba57f28d95c10c5b" PartId="8c9566ce4da441b8ac01d17df86a2a41"/>
        <Part Type="papunktis" Nr="4.18" Abbr="4.18 pp." DocPartId="943800f503404d5bb9a9bd27988f1007" PartId="6069e3fd5e0443b7a4c12fcee19c3061"/>
        <Part Type="papunktis" Nr="4.19" Abbr="4.19 pp." DocPartId="80935e519e064750a196d47feff06607" PartId="9d52f8deb423486494282853da0517e5"/>
        <Part Type="papunktis" Nr="4.20" Abbr="4.20 pp." DocPartId="2d6b3f589af94cc8a62546e48ccf045a" PartId="2f3911ca9ac94bc2a4e44742b4b5a06a"/>
        <Part Type="papunktis" Nr="4.21" Abbr="4.21 pp." DocPartId="38856d4171ea4d2b887a329ec1d73e78" PartId="e53208bb74ac44cb8eeca010d827667a"/>
        <Part Type="papunktis" Nr="4.22" Abbr="4.22 pp." DocPartId="de2e94a3f00046959185620c3c31c3b9" PartId="c5879e4ef9ed4a9285bbebe5183e8902"/>
        <Part Type="papunktis" Nr="4.23" Abbr="4.23 pp." DocPartId="ee875b634a70444f8aa78ece009711b5" PartId="86b4ae84eaf44e32849a91078fcace66"/>
        <Part Type="papunktis" Nr="4.24" Abbr="4.24 pp." DocPartId="e755fba34db74305929c8a28d9570113" PartId="7b93d7c930ea4d1f904de10f34c88cc5"/>
        <Part Type="papunktis" Nr="4.25" Abbr="4.25 pp." DocPartId="cb426d36958e48899a446da8829a5f5e" PartId="77427846a20c4a3db053719e42025a3a"/>
        <Part Type="papunktis" Nr="4.26" Abbr="4.26 pp." DocPartId="3e8f4f85db164a0b8ccb87632ba19cb8" PartId="474af9746cd94fd0b87253fb5811199d"/>
        <Part Type="papunktis" Nr="4.27" Abbr="4.27 pp." DocPartId="a4dcf9b4814e43bcab37c89d96772f96" PartId="cfe854a630a14bf1b7d517e37b669b2b"/>
        <Part Type="papunktis" Nr="4.28" Abbr="4.28 pp." DocPartId="b5b85042b9d44d0e8757f3c06186a3d3" PartId="c4383fcec7d8431b82169f36d7fe267e"/>
        <Part Type="papunktis" Nr="4.29" Abbr="4.29 pp." DocPartId="b5503d2adfd74dafa9941c16a14f87e8" PartId="ceebc78997a340f49107aedccf116882"/>
        <Part Type="papunktis" Nr="4.30" Abbr="4.30 pp." DocPartId="8d2cecbb6a404f448114f1bf9ee11d6e" PartId="d0760f346b1d4a449e839f58aa49b234"/>
      </Part>
    </Part>
    <Part Type="skyrius" Nr="4" Title="ŽYMENYS IR SUTRUMPINIMAI" DocPartId="35c7b48137fb4dacabe3342816e10886" PartId="0bf2513632e54e30b3eeb488546a69ca">
      <Part Type="punktas" Nr="5" Abbr="5 p." DocPartId="01c141066eeb404ebb389c5af5ef597b" PartId="8f69ce50b3214efd8b8a92c5a9503965">
        <Part Type="papunktis" Nr="5.1" Abbr="5.1 pp." DocPartId="d87045a333494b55abae830f979773c7" PartId="fd5f98897b8d4a638aa7c236a7f0ba66"/>
        <Part Type="papunktis" Nr="5.2" Abbr="5.2 pp." DocPartId="444f23c6320b42f7bbdd97c6b3c941c4" PartId="3ae549705b35455c9e75ae0a5e3eab50"/>
        <Part Type="papunktis" Nr="5.3" Abbr="5.3 pp." DocPartId="17a93f034d9e4a8e90e75655bd5c8eaa" PartId="142057ce7ce7436eacead2eaba382f47"/>
        <Part Type="papunktis" Nr="5.4" Abbr="5.4 pp." DocPartId="2444bd895c4044f29e4c7eaeaccd7c2d" PartId="e0b9bcdbbd9245699b71afa52cf8c88f"/>
        <Part Type="papunktis" Nr="5.5" Abbr="5.5 pp." DocPartId="aab957ed97934b8b898f1c81dacb11df" PartId="2f6fab6ab02c46379e2ab96412555500"/>
      </Part>
      <Part Type="punktas" Nr="6" Abbr="6 p." DocPartId="fcfc012d170845ea9a72840095d14454" PartId="6fe4f049677449789e321f5db1f32332">
        <Part Type="lentele" DocPartId="961a9bd094a34d77a412865b00d0766d" PartId="c6fca0198a154e31b30fd292d89d4067"/>
      </Part>
      <Part Type="punktas" Nr="7" Abbr="7 p." DocPartId="6c455bb9b87f4fe5b8fa5df45aaa45d8" PartId="bcfcfc6cd76b46c19a6e86f0ae6d8f1e"/>
    </Part>
    <Part Type="skyrius" Nr="5" Title="PASTATO (JO DALIES) ENERGINIO NAUDINGUMO IR PASTATO (JO DALIES) SERTIFIKAVIMO REIKALAVIMŲ PRIVALOMUMAS" DocPartId="609346afb73144a99dfa1fbb0286f4a0" PartId="ec7f0d21327a4202b8ac4962cc1429c7">
      <Part Type="punktas" Nr="8" Abbr="8 p." DocPartId="e11ccf86e61e465b83bc387031e67945" PartId="9d0998d4691a4ca2970e85f66ab18957"/>
      <Part Type="punktas" Nr="9" Abbr="9 p." DocPartId="d74806548fc2497db1b9b4d8549a270d" PartId="771ee968b7544ca39019c58766be0aed"/>
      <Part Type="punktas" Nr="10" Abbr="10 p." DocPartId="100e42447de247d0b5a6489324bb3267" PartId="15ef3a3d69cd4613b179bbd5a6b1715b"/>
    </Part>
    <Part Type="skyrius" Nr="6" Title="PASTATŲ ENERGINIO NAUDINGUMO VERTINIMO IR PROJEKTAVIMO PAGRINDINIAI PRINCIPAI" DocPartId="f68d8ffa8376493fb549f283ecbeb1df" PartId="aa18703f0cd84127ae641e75b8435067">
      <Part Type="punktas" Nr="11" Abbr="11 p." DocPartId="079d4b4c0ede4b3b83a8b395b9606e87" PartId="4216fce283eb4d2faabfb252d52d2988"/>
      <Part Type="punktas" Nr="12" Abbr="12 p." DocPartId="352ceca57c1c4867a44165b9c644068b" PartId="60be3e0004444026b79146ee71dfba5c"/>
      <Part Type="punktas" Nr="13" Abbr="13 p." DocPartId="49511bb5cdc747ebbcdac1fbfc3e298e" PartId="d565bf3dd4bd457c9037bc031dc6058d"/>
      <Part Type="punktas" Nr="14" Abbr="14 p." DocPartId="70fca6fb938b4e49b4174118d648082b" PartId="d76e1e0ca10a4fb7a1eeb9c75505dfce"/>
      <Part Type="punktas" Nr="15" Abbr="15 p." DocPartId="8d35dd1aa3dc4b649170ea9bb17432f9" PartId="bd429330887c4189ad04fd551c77bd78">
        <Part Type="papunktis" Nr="15.1" Abbr="15.1 pp." DocPartId="e9ee8b1bd50f40de81990eaf01a0a15e" PartId="6be0feb49be04feeb7d81ae769fd736e"/>
        <Part Type="papunktis" Nr="15.2" Abbr="15.2 pp." DocPartId="ba59c5ce1071477d948206716a706247" PartId="2e2d9df364294d3c8263306bb0d6cc27"/>
        <Part Type="papunktis" Nr="15.3" Abbr="15.3 pp." DocPartId="7274840ff9fc4ad8b4fb4c4198d7cb88" PartId="b938ed7e80214277838a79534c4945bf"/>
        <Part Type="papunktis" Nr="15.4" Abbr="15.4 pp." DocPartId="abb46ff29c514029a47dfd4f42e3cf27" PartId="a1df9a549b2a4bc4bc920f89c754f4ee"/>
        <Part Type="papunktis" Nr="15.5" Abbr="15.5 pp." DocPartId="3ee4622d5fe243658164130fdfa4fb63" PartId="64b737db4bfa4524a30b0f51bd2d23ce"/>
        <Part Type="papunktis" Nr="15.6" Abbr="15.6 pp." DocPartId="5a21d621f3434f86adaffaa58b28f7ca" PartId="6d6c6302419f474398650f49ff4b91c5"/>
        <Part Type="papunktis" Nr="15.7" Abbr="15.7 pp." DocPartId="66351520f95d4639936302f69574cbaf" PartId="471b70aa94fe4a07b712341da2062106"/>
        <Part Type="papunktis" Nr="15.8" Abbr="15.8 pp." DocPartId="f492424196934e15be0dbc4058b0dd6a" PartId="481ce231db524d83bec851328919ff8f"/>
        <Part Type="papunktis" Nr="15.9" Abbr="15.9 pp." DocPartId="b323a5702438494f8525089e83b6b9e4" PartId="ac5d304cfaa244b5ad2f582bfbb3ed55"/>
      </Part>
      <Part Type="punktas" Nr="16" Abbr="16 p." DocPartId="d10617b9aa4d4a8b8870f272514148ce" PartId="1b49eeb7d3f746f2831fdda369b6ed98"/>
    </Part>
    <Part Type="skyrius" Nr="7" Title="PASTATŲ ENERGINIO NAUDINGUMO REIKALAVIMAI" DocPartId="ad7ed66546cd4a2397706ef8b9627dcd" PartId="20112dfbcbf0446a90465b54067c3b91">
      <Part Type="punktas" Nr="17" Abbr="17 p." DocPartId="e81c92c987bd420ea1bbac53bb2dafba" PartId="6bae5b2925d24dc191f70e26d8d38065"/>
      <Part Type="punktas" Nr="18" Abbr="18 p." DocPartId="b4651fc842d2453581d0d00a4f412f42" PartId="5c1d5ac84ebb457fba2d78cd78e50430"/>
      <Part Type="punktas" Nr="19" Abbr="19 p." DocPartId="f2daf3992010423db5b89db6848f1f13" PartId="13c11422031e4e02a283703d8a43ee8c"/>
      <Part Type="punktas" Nr="20" Abbr="20 p." DocPartId="6577bb0c47d140f7848c79aa6a8740c2" PartId="d619a9bab17c46a9a33723de6169764a"/>
      <Part Type="punktas" Nr="21" Abbr="21 p." DocPartId="134c1a74be9449579220ebddd7cdb40e" PartId="264be958d30242e38c1999831d307590"/>
      <Part Type="punktas" Nr="22" Abbr="22 p." DocPartId="3a229053c0bd44ca9480be5419d54a2d" PartId="0ffb57e112a946da9b3511989f7d5514">
        <Part Type="papunktis" Nr="22.1" Abbr="22.1 pp." DocPartId="ce6a9fd480fb42088e13a0e5ea776846" PartId="a8d979f907e24a18a4679ed629f9ae63"/>
        <Part Type="papunktis" Nr="22.2" Abbr="22.2 pp." DocPartId="b66f6dfb7dea45bcb5d9a935e733cb1b" PartId="1b05b0cec4cf4e5e9463e66c6666a452"/>
        <Part Type="papunktis" Nr="22.3" Abbr="22.3 pp." DocPartId="ddf867a286c14631a7a12c89beab3b62" PartId="e623f979d513479e95013cc24f2bdb70"/>
        <Part Type="papunktis" Nr="22.4" Abbr="22.4 pp." DocPartId="2af66c5274514d97bfd35ecbfc0e763d" PartId="42840356dc4c4ad6b512566e128a690a"/>
      </Part>
      <Part Type="punktas" Nr="23" Abbr="23 p." DocPartId="7cce8c5af4754752a9bcbe2fc8dfa959" PartId="ac1935eae2414c458e8a74f7189e853f"/>
      <Part Type="punktas" Nr="24" Abbr="24 p." DocPartId="a63fe8da69964b4c991d4b4a2ee802be" PartId="a875d49bbaa24c90b5f29e7da2848a91"/>
      <Part Type="punktas" Nr="24-1" Abbr="24-1 p." DocPartId="afd73a487ffb439e8900a2dc0e95b965" PartId="d0fd7ef5193a4b5f8c1851e3bea6d4a3"/>
    </Part>
    <Part Type="skyrius" Nr="8" Title="PASTATO ATITVARŲ PROJEKTAVIMO REIKALAVIMAI" DocPartId="ede6b800de0c4a3bb2e53f1695b48786" PartId="f6cdc09cb7254b658ccc8364fcaa3f79">
      <Part Type="punktas" Nr="25" Abbr="25 p." DocPartId="a561f7484cdf4297853832469e6bde69" PartId="6b02860a0dcc4c6daba5a929adb502ce"/>
      <Part Type="punktas" Nr="26" Abbr="26 p." DocPartId="e9f252240992409a844c4e31ce44f041" PartId="790ab966eabc4a3a8937efdcb569b764"/>
      <Part Type="punktas" Nr="27" Abbr="27 p." DocPartId="1203db2f8e6d43a18489c11d8e8bcc9b" PartId="735927b040034ee8a63828f5e6eee7ad"/>
      <Part Type="punktas" Nr="28" Abbr="28 p." DocPartId="6b5a29403c4246d982546ff665d46503" PartId="b46b4fe9e4ee431b9142cdb43650bdc6"/>
      <Part Type="punktas" Nr="29" Abbr="29 p." DocPartId="bb1ff346b4964e64a6f0c53353d95c9e" PartId="c1bb9bbbceec40208f2a584a7cafaf58"/>
      <Part Type="punktas" Nr="30" Abbr="30 p." DocPartId="fe39ba3c0b8d47ada2dff6bb60892ac1" PartId="a53d43d51de04a2a9ccfb77441815cad">
        <Part Type="papunktis" Nr="30.1" Abbr="30.1 pp." DocPartId="442d3eb06b8e4eed9b36a0988d0953c6" PartId="2b5dca36e4344188aa7ef3e10f27e522"/>
        <Part Type="papunktis" Nr="30.2" Abbr="30.2 pp." DocPartId="a40a7654cc974601a555e01b44a7e160" PartId="eea2078d2c454b3b80c061ba8e34ff0f"/>
        <Part Type="papunktis" Nr="30.3" Abbr="30.3 pp." DocPartId="47a383b260ea4a10a77c98239934cc2d" PartId="d2b473f47a1843af8fb76b482cabdb7e"/>
        <Part Type="papunktis" Nr="30.4" Abbr="30.4 pp." DocPartId="93933aaa991e44e8a07e44f90fb8239e" PartId="fea18631e98241e6ad0c81eff156fb58"/>
        <Part Type="papunktis" Nr="30.5" Abbr="30.5 pp." DocPartId="d88d515120254457aeab99120fb95725" PartId="5a5ec2112adb42959a7bebae090ff6c2"/>
        <Part Type="papunktis" Nr="30.6" Abbr="30.6 pp." DocPartId="f0660475b8494fa6b0f6f0a448fff4d8" PartId="64f7fb49fa8b4b2791678460df0cdab1"/>
        <Part Type="papunktis" Nr="30.7" Abbr="30.7 pp." DocPartId="5ac4d1d03fc74e4e94b43cb0eaf7c360" PartId="8a0571fc868346ed94e6dfd6be3799cf"/>
      </Part>
      <Part Type="punktas" Nr="31" Abbr="31 p." DocPartId="fc9fc983fa8a4c1f83de506e93a8a53d" PartId="9fb615e2fdaa427c8a712ab4dd5b6b41">
        <Part Type="papunktis" Nr="31.1" Abbr="31.1 pp." DocPartId="08ece4fc623d4999a7e4bfba79614b56" PartId="b4a924043d2e4183b443de3b3b915041"/>
        <Part Type="papunktis" Nr="31.2" Abbr="31.2 pp." DocPartId="6fdd4f6f82e44f8f8a700541c771c067" PartId="2045afd536fa470987d8f1254f577a05"/>
        <Part Type="papunktis" Nr="31.3" Abbr="31.3 pp." DocPartId="d3add906f76b4fe3a44b83f5079af21d" PartId="a50b1d2f50834a94beb81e0ece6bed8d"/>
        <Part Type="papunktis" Nr="31.4" Abbr="31.4 pp." DocPartId="9b41f3e3fa524eba96412f95979a8692" PartId="ff4d310eff594d28932938b1750badaf"/>
      </Part>
      <Part Type="punktas" Nr="32" Abbr="32 p." DocPartId="20d7632edc1948a3b8a9b5101ae2bfc4" PartId="a7b95cf85469468298f42d03e4eae878">
        <Part Type="lentele" Nr="2" Title="Įvairios paskirties pastatų atitvarų šilumos perdavimo koeficientų UR (W/(m2·K)) ir ilginių šiluminių tiltelių šilumos perdavimo koeficientų Ψ R (W/(m·K)) vertės D ir E energinio naudingumo klasės pastatų (jų dalių) atitvarų norminių savitųjų šilumos nuostolių ir energinio naudingumo rodiklių skaičiavimui" DocPartId="b67d42da40424d779e16a9d95adfbd82" PartId="58bc119c03264c3691c4feaec2a0633b"/>
        <Part Type="lentele" Nr="3" DocPartId="2debb1820fb14e5d941e09e8a83876c4" PartId="740ad790d8c34705aab509cd853f962e"/>
        <Part Type="lentele" Nr="4" DocPartId="b6814cbbdb684f94977b5505361b252c" PartId="d62cffe58ef1456f8f0be1c5012606fa"/>
        <Part Type="lentele" Nr="5" DocPartId="c5f95a7777414e08995d6b9ba91ffd3c" PartId="a4d667f9c1384ccc87cc32feb0ba2e73"/>
        <Part Type="lentele" Nr="6" DocPartId="41be804d27b842048a6f38ea8450018f" PartId="8135de0534af458abb3ceaa97caa6a39"/>
        <Part Type="lentele" Nr="7" Title="Ilginių šilumos tiltelių šilumos perdavimo koeficientų vertės pastatų (jų dalių) atitvarų norminių savitųjų šilumos nuostolių ir energinio naudingumo rodiklių skaičiavimui" DocPartId="4fccb0289e414829bafbf1b8834a3b85" PartId="b983266bf2a84457a2edcd6fee511aee"/>
      </Part>
      <Part Type="punktas" Nr="33" Abbr="33 p." DocPartId="4e2a10b52f6946478314a56336d7a96a" PartId="fa9774e657e141288a72a83dbd237344"/>
    </Part>
    <Part Type="skyrius" Nr="9" Title="PASTATŲ (JO DALIŲ) SU ATSKIROMIS (AUTONOMINĖMIS) ŠILDYMO SISTEMOMIS ARBA ATSKIROMIS (AUTONOMINĖMIS) ENERGIJOS VARTOJIMO PASTATUI (JO DALIAI) ŠILDYTI APSKAITOMIS PROJEKTAVIMO REIKALAVIMAI" DocPartId="b56e16bcdd7441c08da44bc29d5b87ec" PartId="e41db9ed0f004ff5a80431e72417e291">
      <Part Type="punktas" Nr="34" Abbr="34 p." DocPartId="4d6378fbc9134977b60145dcfb11222a" PartId="dff28a0733c9421ab8b3f7a61983a176">
        <Part Type="lentele" Nr="9" DocPartId="afba30407a864041ad456367b9eea400" PartId="7cde6e40583147a9a30a4f52ac222b65"/>
      </Part>
      <Part Type="punktas" Nr="35" Abbr="35 p." DocPartId="f7956ddc7af649c5a40c2cfe42b850f1" PartId="0a5f36f8f32b42b1ac1bf30ecd638fb8"/>
      <Part Type="punktas" Nr="36" Abbr="36 p." DocPartId="c1f5855b2f3046f78eeb70f61926d805" PartId="d0303431296d430c976d1151df0fb6ad"/>
      <Part Type="punktas" Nr="37" Abbr="37 p." DocPartId="dff75391448d4844b6b3bff82417d29d" PartId="5727dafa706845a0b3f1774405da4a0d"/>
    </Part>
    <Part Type="skyrius" Nr="10" Title="PASTATŲ SANDARUMO REIKALAVIMAI" DocPartId="ff64bd5d89644440a63b7c5bc1a33478" PartId="5a6c05752e894002baa7b9a69b2492bb">
      <Part Type="punktas" Nr="38" Abbr="38 p." DocPartId="faca0d8cc8b242ba9dfdea2f6906a1d0" PartId="9c98ae594cfd4f988b4da9e03099dbe2"/>
      <Part Type="punktas" Nr="39" Abbr="39 p." DocPartId="6116d3c9124a46659a3a516a6735f0b7" PartId="fe603eb526ab47858f50d16505420f9b"/>
      <Part Type="punktas" Nr="40" Abbr="40 p." DocPartId="a96481d4f3b84cabada02d913e03264a" PartId="b92de7e5057a4caca342021bb6f01e9a"/>
      <Part Type="punktas" Nr="41" Abbr="41 p." DocPartId="815072cb04a848b0ba1d9ede5b1fbc21" PartId="52d00f2786b54718ac39771f6c133c4e"/>
      <Part Type="punktas" Nr="42" Abbr="42 p." DocPartId="9448d7f7ef5a41c0b70618987c5673d6" PartId="68a391d4c8434df5bfcdbc2b87c26ba9"/>
    </Part>
    <Part Type="skyrius" Nr="11" Title="SU PASTATO ENERGINIU NAUDINGUMU SUSIJĘ PASTATO INŽINERINIŲ SISTEMŲ PROJEKTAVIMO REIKALAVIMAI" DocPartId="8e715d7cb71d49a2ae45c0df46f90e32" PartId="54604cd870274fb2a4f33075c8f75662">
      <Part Type="punktas" Nr="43" Abbr="43 p." DocPartId="cfba2184971a4ebe921d3d3ea611ef7a" PartId="c1c71fcbb7884659b7e9f72a5b91056a"/>
      <Part Type="punktas" Nr="44" Abbr="44 p." DocPartId="0a1f8e65ab6446cbb70cb706685265bf" PartId="27a43b80704f4d94bdcbab5423d09375"/>
      <Part Type="punktas" Nr="45" Abbr="45 p." DocPartId="54c27adc5b244c31bc607329ba722d8b" PartId="99d4eaf0b8b1435fa58a1b17b4136f36">
        <Part Type="papunktis" Nr="45.1" Abbr="45.1 pp." DocPartId="9f59ee4c4b6a409ba992f526c0854b3e" PartId="cf2715fc277646e89368d1fadf92162c"/>
        <Part Type="papunktis" Nr="45.2" Abbr="45.2 pp." DocPartId="72265a72479543c1b99c0fa3af7f828f" PartId="c73a1b7b836a4178a2f84dd440cc93e3"/>
        <Part Type="lentele" Nr="11" Title="Apšvietimo įrangos efektyvumo rodiklio ηE (Lm/W) vertės" DocPartId="42f461c4242c430682ff23b5a2039019" PartId="c41e3f75f7c54cf28b44ed741b996fcb"/>
      </Part>
      <Part Type="punktas" Nr="46" Abbr="46 p." DocPartId="c3e0d0261af14c4f8fbbcac4494dc9f4" PartId="cfc5a3e91b1445f6a4562f8b198d5105">
        <Part Type="papunktis" Nr="46.1" Abbr="46.1 pp." DocPartId="89ca4f345af5486eaa64fa3ba4c6acea" PartId="22d87da58b4d48878807ce8e5a93dfac"/>
        <Part Type="papunktis" Nr="46.2" Abbr="46.2 pp." DocPartId="7afd1d0fb87c4674a0c3a7c76c98ba15" PartId="fa313c0ac8634fdba4a6e5e45493df9b"/>
        <Part Type="papunktis" Nr="46.3" Abbr="46.3 pp." DocPartId="d112216fea6846969c3f4782daefc042" PartId="f7fa905251064394b6ec95e73ff79767"/>
      </Part>
      <Part Type="punktas" Nr="47" Abbr="47 p." DocPartId="34f5b9c6df3f4308baf853b9c82feab0" PartId="0556d6311dfb44ab80ed7716cb832f3f">
        <Part Type="papunktis" Nr="47.1" Abbr="47.1 pp." DocPartId="0137caad8ee44951a69d85fe03d546a9" PartId="ea511b6ad52740b781efe71000314cd3"/>
        <Part Type="papunktis" Nr="47.2" Abbr="47.2 pp." DocPartId="1a712b2bd42f412bb96791ea46488272" PartId="89b68fed4e934de6802f0b51ddb6c513"/>
        <Part Type="papunktis" Nr="47.3" Abbr="47.3 pp." DocPartId="5ad5d1137d2c4801a6f454742a244b9b" PartId="73c2ea34e0c94515a97d7dfa643247b0"/>
        <Part Type="punktas" Nr="48" Abbr="48 p." DocPartId="6791e57f7de24c70a920572e99cc47da" PartId="991a1de0780e4b2aaf751605ed8e8d01">
          <Part Type="papunktis" Nr="48.1" Abbr="48.1 pp." DocPartId="513acf492bc340c1ba0d24eeac5c767e" PartId="4a980d17f2ad46bbb96ee7371c46e12d"/>
          <Part Type="papunktis" Nr="48.2" Abbr="48.2 pp." DocPartId="1675709cebd649e99917104a4d1d396a" PartId="5af4237af01d4b6bb44a3b19b64d2e59"/>
        </Part>
        <Part Type="punktas" Nr="49" Abbr="49 p." DocPartId="17272b26cbce48308904763aa73ba4a3" PartId="ca75e14f297640c9b15ddb72ec38d15f"/>
        <Part Type="punktas" Nr="50" Abbr="50 p." DocPartId="981e54496068428b8a98ce96364d9ad4" PartId="172f9a0872944fe39251e84baa228798"/>
      </Part>
    </Part>
    <Part Type="skyrius" Nr="12" Title="ATITVARŲ DRĖGMINĖS BŪKLĖS PROJEKTAVIMO REIKALAVIMAI" DocPartId="5f8d60722ea94cce9f04471d96562018" PartId="425765db30c740dbbbf406a4aec2fa4c">
      <Part Type="punktas" Nr="51" Abbr="51 p." DocPartId="5910120a60c648a5b659a2e320ae6c1b" PartId="156a4debec154be2993765356c2cf216"/>
      <Part Type="punktas" Nr="52" Abbr="52 p." DocPartId="09fe9b88900049038f9ceee29631aa70" PartId="94929c71cefd42b788fbcd4771690184"/>
      <Part Type="punktas" Nr="53" Abbr="53 p." DocPartId="8382913020b74bb68c86064b02f64b1b" PartId="12bdb673ca6e4d4ba7aeda3b485bf7fc"/>
      <Part Type="punktas" Nr="54" Abbr="54 p." DocPartId="93ad1b3544ce4eb4a4186bdec5b67d6b" PartId="bf78c147c3e6485f804ebb690309ede4"/>
      <Part Type="punktas" Nr="55" Abbr="55 p." DocPartId="b9d14f3149cb4700a4ff4d2450cbdce3" PartId="aa1a0005ab8747798eb4ea17099b9012">
        <Part Type="lentele" Nr="12" Title="Didžiausios leistinosios langų, stoglangių ir švieslangių rėmų šilumos perdavimo koeficientų U3 (W/(m² K)) vertės" DocPartId="3b316541dcd44861a85daebf4fe4405b" PartId="2392e9d26d38424082ba42b2665b9d76"/>
      </Part>
      <Part Type="punktas" Nr="56" Abbr="56 p." DocPartId="2fcca2176e3f4c6a986204ad7a39fb3f" PartId="8be46df7d83d4a158b965c4eb2a6d7ad">
        <Part Type="lentele" Nr="13" Title="Atitvarų vidinėje pusėje įrengto papildomo termoizoliacinio sluoksnio didžiausia leistina suminė šiluminė varža Ri.sum (m² K/W)" DocPartId="3489389f112948bfb8f5b63f6cec5f3e" PartId="db04a9c1a3b440cfaced2a72acf7a5a7"/>
      </Part>
    </Part>
    <Part Type="skyrius" Nr="13" Title="PASTATŲ (JŲ DALIŲ) ŠILDYMO SISTEMOS ŠILUMOS ŠALTINIO PROJEKTINĖ GALIA" DocPartId="45dbac9b7dea4ef49dc0d70f44d4cf41" PartId="e8c5cc3cfe9345229d8cadecb98d3fa7">
      <Part Type="punktas" Nr="57" Abbr="57 p." DocPartId="a34024cf5c9849e3adba61ff301a1ca0" PartId="1a9b82dc752440afb64ab5a1f9daa6ce"/>
    </Part>
    <Part Type="skyrius" Nr="14" Title="PASTATŲ (JŲ DALIŲ) ENERGINIO NAUDINGUMO SERTIFIKAVIMO DALYVIAI" DocPartId="db14b6498f824ff0ba2ca9d06bea52c3" PartId="5414e72520774089b90e676897ec2605">
      <Part Type="punktas" Nr="58" Abbr="58 p." DocPartId="60f11e2b8cd748eabab2d0ae87161388" PartId="9875368f03df4d20a36079eb3749c25c">
        <Part Type="papunktis" Nr="58.1" Abbr="58.1 pp." DocPartId="1aeb66a8aa674fc79ff9331b1fb0d34d" PartId="b71f4fc89c5b41e0b073dc1dafbce7a4"/>
        <Part Type="papunktis" Nr="58.2" Abbr="58.2 pp." DocPartId="646cb07a33ef4211a86db8199a7819b7" PartId="b00c616919024b7c9fd7cd0d3233efb7"/>
        <Part Type="papunktis" Nr="58.3" Abbr="58.3 pp." DocPartId="f1773c0983d346b28c0e0eeff3ad424d" PartId="df8f983bc77142eeaea44cfae6b5c925"/>
      </Part>
      <Part Type="punktas" Nr="59" Abbr="59 p." DocPartId="d7d5176289454c0eb0a701255f66d9aa" PartId="fc4b045cedcb43639cda86fcb4ecfd3e"/>
      <Part Type="punktas" Nr="60" Abbr="60 p." DocPartId="6babac0b219f4ac4bf77348b71884c17" PartId="ef3f5eac808d43c0977a4699cfeaeb5f"/>
      <Part Type="punktas" Nr="61" Abbr="61 p." DocPartId="724025441193474ebf36237bb32e264e" PartId="0151b1e8af844e5c827bacf2f193fb28"/>
      <Part Type="punktas" Nr="62" Abbr="62 p." DocPartId="7ca844e5084c46d4bbfe9f93fca51c20" PartId="f38dc7069c5f42d78fa2386e99e67d28"/>
      <Part Type="punktas" Nr="63" Abbr="63 p." DocPartId="d7f98dc1102f4d459a1537a73a2e1c8d" PartId="0a4f63e318294d0a98ff17db3afce38a"/>
    </Part>
    <Part Type="skyrius" Nr="15" Title="PASTATO (JO DALIES) ENERGINIO NAUDINGUMO SERTIFIKAVIMAS IR PASTATO (JO DALIES) BŪKLĘ APIBŪDINANTYS RODIKLIAI" DocPartId="d332a42ae3c14e35867d1c55c6a61c47" PartId="7ca80192609e4d0e92dc53fb2dd34efd">
      <Part Type="punktas" Nr="64" Abbr="64 p." DocPartId="cca34c1953124e229e5d5360a31ccc2e" PartId="84354e471c9d438fb53b6caeac0c6d90">
        <Part Type="papunktis" Nr="64.1" Abbr="64.1 pp." DocPartId="4cea3402d1c84677a60df2c6c92ad4f0" PartId="abfcb7dd85f34f69b8a4a55815a27eef"/>
        <Part Type="papunktis" Nr="64.2" Abbr="64.2 pp." DocPartId="67662d245af04b3d80311832d424f8ea" PartId="6511b2092f444971b2d42e8305e0acba"/>
      </Part>
      <Part Type="punktas" Nr="65" Abbr="65 p." DocPartId="15a0d1ac557347d7acc34327a9e414ea" PartId="883213a8b31e41448f4c4629360f410d">
        <Part Type="papunktis" Nr="65.1" Abbr="65.1 pp." DocPartId="c25cc8f082a0435ea1852394d32114fb" PartId="f6d27cfb2a3f4cb6bcfaded8d541067d">
          <Part Type="papunktis" Nr="65.1.1" Abbr="65.1.1 pp." DocPartId="ed566c6b27014bf4b54321c4c1323c1b" PartId="32da526e83cd4802b53b2fdcd5629e2c"/>
          <Part Type="papunktis" Nr="65.1.2" Abbr="65.1.2 pp." DocPartId="70dc579601244981898645673333f739" PartId="d8f32d655eaf4f599cc044874a8706ce"/>
          <Part Type="papunktis" Nr="65.1.3" Abbr="65.1.3 pp." DocPartId="e7419b9ed166401ba7e457f904917fa0" PartId="279fb07daad149ca83163d7ed36b51e6"/>
          <Part Type="papunktis" Nr="65.1.4" Abbr="65.1.4 pp." DocPartId="93ea1471d0054f4aac65484a15b87554" PartId="d6ab22a456b347e68f133708e8cce2b3"/>
        </Part>
        <Part Type="papunktis" Nr="65.2" Abbr="65.2 pp." DocPartId="b42b5e51a3b644908387df098231d883" PartId="fa19d69292e8453a91d7dc1a85b3d4cf">
          <Part Type="papunktis" Nr="65.2.1" Abbr="65.2.1 pp." DocPartId="ab32f976504c4b7684ce4322798ac794" PartId="778bcd95b0fe4b5596fee76645aa278a"/>
          <Part Type="papunktis" Nr="65.2.2" Abbr="65.2.2 pp." DocPartId="22f7441ef7ef4f059b062973dab3f97f" PartId="fc2e55fd686743abb3f13d94bc375abb"/>
          <Part Type="papunktis" Nr="65.2.3" Abbr="65.2.3 pp." DocPartId="28991dd4c3644ec4be4f409cfa2e13ac" PartId="449b471b04fe4594877755c59705a6d1"/>
          <Part Type="papunktis" Nr="65.2.4" Abbr="65.2.4 pp." DocPartId="a6bb8dfffb664da5a60e718311873042" PartId="7a1f640f9754446c9fefb346ad2e04ea"/>
          <Part Type="papunktis" Nr="65.2.5" Abbr="65.2.5 pp." DocPartId="2fe2ee0d9c104767a218de774c512aad" PartId="c859ac2624d040b3a1fd546e41f76393"/>
          <Part Type="papunktis" Nr="65.2.6" Abbr="65.2.6 pp." DocPartId="28f0d8ac08034b06b4155355ccf30bae" PartId="0adb215bb4e440a9969b6d596099e907"/>
        </Part>
        <Part Type="papunktis" Nr="65.3" Abbr="65.3 pp." DocPartId="f934834c86b14244b6bfbed3a7e11d99" PartId="65cb1f7b5bd54151998fa616b3b4d690">
          <Part Type="papunktis" Nr="65.3.1" Abbr="65.3.1 pp." DocPartId="655857a7b9de4a20a66639c4ca6cf859" PartId="fc1ec75bf38a4fdf8ab84598815d13f2"/>
          <Part Type="papunktis" Nr="65.3.2" Abbr="65.3.2 pp." DocPartId="c9c55ea903564cd4844605224f597f72" PartId="b9618f25c6f64ae5bf0628ffd0e43726"/>
          <Part Type="papunktis" Nr="65.3.3" Abbr="65.3.3 pp." DocPartId="7c0e10dd2c484e27b5453f480e7f03a6" PartId="608f5885a53940118a7c9a1c1374a34f"/>
        </Part>
        <Part Type="papunktis" Nr="65.4" Abbr="65.4 pp." DocPartId="7ce3f9d438ea4a84880adb11b6189fe7" PartId="62f0a873a80645c68698f0f14e45d788">
          <Part Type="papunktis" Nr="65.4.1" Abbr="65.4.1 pp." DocPartId="55f01e9d06414bb1a5da881959481348" PartId="6a7691d6714e488ebec4ab28c5df76dc"/>
          <Part Type="papunktis" Nr="65.4.2" Abbr="65.4.2 pp." DocPartId="ff0d4bea8cf74a60ae0e8e95d715e5d7" PartId="3077526ff097407c800a674574faae21"/>
          <Part Type="papunktis" Nr="65.4.3" Abbr="65.4.3 pp." DocPartId="90f8b3c1c1af46368580c7fe8d528536" PartId="c18188767948410f98410d08b0cb2487"/>
          <Part Type="papunktis" Nr="65.4.4" Abbr="65.4.4 pp." DocPartId="00acfc88a01f485c8dbd4be23e8f440c" PartId="1949e60adc5c4eda972a68cc9bee8370"/>
        </Part>
        <Part Type="papunktis" Nr="65.5" Abbr="65.5 pp." DocPartId="409a368d29104886a9bbc7a76fada99b" PartId="d83e64231a464b7887511f5d2a0aa1c7">
          <Part Type="papunktis" Nr="65.5.1" Abbr="65.5.1 pp." DocPartId="75c2583afe164d7099dcd6acefdc98eb" PartId="1bd152c140314845928567f3d4122e61"/>
          <Part Type="papunktis" Nr="65.5.2" Abbr="65.5.2 pp." DocPartId="3a99d95c1e104897950d5e0ae55b76ce" PartId="cc8d7f97fbac44f682f9b7be4ef63edf"/>
          <Part Type="papunktis" Nr="65.5.3" Abbr="65.5.3 pp." DocPartId="0f89896bd2ea4ebfa194ebfc9efb9d2a" PartId="2d0c342d6ba945ce83ae92d8c6926302"/>
          <Part Type="papunktis" Nr="65.5.4" Abbr="65.5.4 pp." DocPartId="30cb2428d5fc4b1497d068a5cab8d264" PartId="29b1e773996c4028a5b05231d882e491"/>
        </Part>
        <Part Type="papunktis" Nr="65.5-1" Abbr="65.5-1 pp." DocPartId="c8b2da4479e34a5a9d56998cb5280156" PartId="0bcb5d48324f4f67a4ee04b5dd30169e">
          <Part Type="papunktis" Nr="65.5-1.1" Abbr="65.5-1.1 pp." DocPartId="a365a7ce86a04b5fa0a6e254c4dfd6cd" PartId="100a7c1f5cf243bc9b71edd87d0f90ff"/>
          <Part Type="papunktis" Nr="65.5-1.2" Abbr="65.5-1.2 pp." DocPartId="f0d6d895697a4a31bd7b214687b5fb68" PartId="9168bdaa706b466fae6f9cf7d4063f7b"/>
          <Part Type="papunktis" Nr="65.5-1.3" Abbr="65.5-1.3 pp." DocPartId="d4c3209bbf5f4711a5295a0a3fe8c1c6" PartId="22808766b2d8415591d26427e49a2588"/>
        </Part>
        <Part Type="papunktis" Nr="65.5-2" Abbr="65.5-2 pp." DocPartId="a3a8cde3ebce45c2b76923ad7ae7ed9f" PartId="bc183c3d8bb74ca894c19b0b7dd37399"/>
        <Part Type="papunktis" Nr="65.6" Abbr="65.6 pp." DocPartId="ba95055fb6ca4aac9733e252f4b09894" PartId="d98d27e3644a4a26b9d1db31cb69571a"/>
      </Part>
      <Part Type="punktas" Nr="66" Abbr="66 p." DocPartId="4f1ecdafa5f54266a4e20ea6c61f7384" PartId="38757c0bf2e346748eeaef6d7a180dd0"/>
      <Part Type="punktas" Nr="67" Abbr="67 p." DocPartId="fc7add29662345a39fe567bfda961c00" PartId="2ecd54468a0c42778d70c54619d8c144"/>
      <Part Type="punktas" Nr="68" Abbr="68 p." DocPartId="142b1056bbbb44f9aee9b268f8ef57f3" PartId="cc085a3434774866bd6cdb78fbed81c9"/>
    </Part>
    <Part Type="skyrius" Nr="16" Title="SERTIFIKATAS" DocPartId="f2e40f2547c74edcbfbe783544658708" PartId="5629d36f44134b85a2735e06808048f7">
      <Part Type="punktas" Nr="69" Abbr="69 p." DocPartId="5bd720b4aeea4d1dbe9b046131554ce0" PartId="edaa1cbc92554a54aec03fc82ddff671">
        <Part Type="papunktis" Nr="69.1" Abbr="69.1 pp." DocPartId="8bac9d3fac6741b3bd5a8702cf06545f" PartId="31cfaeb90607475da80ab06771dd0ecf">
          <Part Type="papunktis" Nr="69.1.1" Abbr="69.1.1 pp." DocPartId="b40f373cf2ae48c19fc0d6c71e9fc322" PartId="a839487916ed470eb5331d93dce66f05"/>
          <Part Type="papunktis" Nr="69.1.2" Abbr="69.1.2 pp." DocPartId="e861c10c4cd5405bb6e0fceb022bd680" PartId="d42cfda9b4054b309c469ba032cd0d86"/>
          <Part Type="papunktis" Nr="69.1.3" Abbr="69.1.3 pp." DocPartId="9442033cd84e4e9ab7aed4f145038f5b" PartId="aee9b3a7d15b4f2ebbf2caa27341e17e"/>
          <Part Type="papunktis" Nr="69.1.4" Abbr="69.1.4 pp." DocPartId="93750269a350444e8bb52d80e9e81958" PartId="b048b71231c34e77aa3025881cd804e2"/>
          <Part Type="papunktis" Nr="69.1.5" Abbr="69.1.5 pp." DocPartId="38909399b8654a41aa1519cfb20e35c2" PartId="442541abcb794820bc1f6913c68ffc6f"/>
          <Part Type="papunktis" Nr="69.1.6" Abbr="69.1.6 pp." DocPartId="09fe0547b88347d1afe75de212d37059" PartId="ed8430f6e5a74adc8761e4ebf6d635f1"/>
          <Part Type="papunktis" Nr="69.1.7" Abbr="69.1.7 pp." DocPartId="c45510d00f9d4450bc98db9afa96b342" PartId="572a9d0a29a1410398ce325b90292513"/>
          <Part Type="papunktis" Nr="69.1.8" Abbr="69.1.8 pp." DocPartId="dce264adbadf468592b23aec73e7ee5e" PartId="00d638b801534eb9b857a9b4fef46c14"/>
          <Part Type="papunktis" Nr="69.1.9" Abbr="69.1.9 pp." DocPartId="45678333452a490d89b3f792c893371d" PartId="9eb73094511c46ba9eb2050ccc33bc8b"/>
          <Part Type="papunktis" Nr="69.1.10" Abbr="69.1.10 pp." DocPartId="a9440c08e27c442489986e5e9b43efea" PartId="9676aec471a84bb4960239f375398727"/>
          <Part Type="papunktis" Nr="69.1.11" Abbr="69.1.11 pp." DocPartId="9c130bc67e6749faac6709231008b47e" PartId="714818c6f6184c099312d6155af3b7f6"/>
          <Part Type="papunktis" Nr="69.1.12" Abbr="69.1.12 pp." DocPartId="95aca917918b4b06ba6fa6bbab6848ec" PartId="5399b72fef8b42ebbed21503278a285f"/>
          <Part Type="papunktis" Nr="69.1.13" Abbr="69.1.13 pp." DocPartId="223e7740b2b943089ce2b03c84a0e76b" PartId="511d17b5778946dab43a83077158ca11"/>
          <Part Type="papunktis" Nr="69.1.14" Abbr="69.1.14 pp." DocPartId="e332c4cd1b4749fd96dfe5a637fd2c0e" PartId="489d782e1c844c7aa5a1b3c8536a9ef4"/>
          <Part Type="papunktis" Nr="69.1.15" Abbr="69.1.15 pp." DocPartId="3e0b07f90b1a48658dcadb62afc05542" PartId="4ac7652a7cad4ddd98987950cf746dfe"/>
          <Part Type="papunktis" Nr="69.1.16" Abbr="69.1.16 pp." DocPartId="b440494c7fb84024afb3e391c797c742" PartId="ca5c753246074984ac147b820983cb1a"/>
          <Part Type="papunktis" Nr="69.1.17" Abbr="69.1.17 pp." DocPartId="7e9214652f094f1fa59dc73034d3062f" PartId="1160690c020344649d00da4a66bb6538"/>
          <Part Type="papunktis" Nr="69.1.18" Abbr="69.1.18 pp." DocPartId="24edb526f6764421a624b06b8ee66948" PartId="a2986a30715249228b36edb6112ad71e"/>
          <Part Type="papunktis" Nr="69.1.19" Abbr="69.1.19 pp." DocPartId="396acbd8b19147bb95e6124f304698fa" PartId="d91773adf4dc4b348c5456b45f72661f"/>
          <Part Type="papunktis" Nr="69.1.20" Abbr="69.1.20 pp." DocPartId="2f6968c4f58a4ff3acaee64081587321" PartId="ff802ffb40a1444c900d423398d7b5ea"/>
          <Part Type="papunktis" Nr="69.1.21" Abbr="69.1.21 pp." DocPartId="fffd102050944743b54b41ba4c2c39f1" PartId="411e6d81f3774a7eaa276585a62061f9"/>
          <Part Type="papunktis" Nr="69.1.22" Abbr="69.1.22 pp." DocPartId="0e37663206ea4658a38b7674a8733ebc" PartId="3a94e3d6927a4ca5a3190dd7955ace66"/>
          <Part Type="papunktis" Nr="69.1.23" Abbr="69.1.23 pp." DocPartId="46cff3397fdf40f386ab244cbd7eccf9" PartId="2e4b91bcc2814351b83e0892677e5be0"/>
        </Part>
        <Part Type="papunktis" Nr="69.2" Abbr="69.2 pp." DocPartId="fd584b22e5364d80b9c8204d054e99bd" PartId="a56d31afa0bb43dca429f6d75e2e5bd9">
          <Part Type="papunktis" Nr="69.2.1" Abbr="69.2.1 pp." DocPartId="75ed29d8ef6b41c1bad894e8b13be6d8" PartId="1de6c0547fcd43f2b57b260d7388f695"/>
          <Part Type="papunktis" Nr="69.2.2" Abbr="69.2.2 pp." DocPartId="391d54d596c043b6a43c13bfd9363b1c" PartId="e20ec615b7954ee3aa32ed3d278c3b66"/>
          <Part Type="papunktis" Nr="69.2.3" Abbr="69.2.3 pp." DocPartId="9e2ffa02992b417ea16e363181117e84" PartId="717a64ed2a874312bab0fce0714f309c"/>
          <Part Type="papunktis" Nr="69.2.4" Abbr="69.2.4 pp." DocPartId="faab0179bb174064bf7d71dbd8d98cec" PartId="c75834f25016491babfd604a3abbda35"/>
          <Part Type="papunktis" Nr="69.2.5" Abbr="69.2.5 pp." DocPartId="d58ae0248f6948b7a3c6a02b4c1e9e11" PartId="cf4d239d62b14f56be898d4fac2c15af"/>
          <Part Type="papunktis" Nr="69.2.6" Abbr="69.2.6 pp." DocPartId="a6f70262896446419da031bd034d1976" PartId="d16a4857baab4b72a50cd40a62b32a86"/>
          <Part Type="papunktis" Nr="69.2.7" Abbr="69.2.7 pp." DocPartId="3c4735ee5f84471389e5d158fb4b0310" PartId="682679719ea746c5a81cfb5480409060"/>
          <Part Type="papunktis" Nr="69.2.8" Abbr="69.2.8 pp." DocPartId="33a838c2fa85466a9a4e8815c92144d6" PartId="3b6ad587d70b4501b72db94e5a650223"/>
          <Part Type="papunktis" Nr="69.2.9" Abbr="69.2.9 pp." DocPartId="af16b01f7cd34b398f872a74cbc92f35" PartId="bea08a68c8ad4df0a72386a0a557a452"/>
          <Part Type="papunktis" Nr="69.2.10" Abbr="69.2.10 pp." DocPartId="4d7502444140427b94e116b1579e5825" PartId="590aa81ce7de43d6b459a9a935ca9467"/>
          <Part Type="papunktis" Nr="69.2.11" Abbr="69.2.11 pp." DocPartId="9b856649d0e949c18297ab577f22fd94" PartId="83db953ba3fb4a5fa402aab9942db834"/>
          <Part Type="papunktis" Nr="69.2.12" Abbr="69.2.12 pp." DocPartId="fa368fba41ec465d8eb22119ee92f500" PartId="58a3becffb1e48b884e09774af338ecc"/>
          <Part Type="papunktis" Nr="69.2.13" Abbr="69.2.13 pp." DocPartId="814ca7b9a5b946319336b25f7bc51b44" PartId="b3bce7ecc2374c488c28bfeb4be3615c"/>
          <Part Type="papunktis" Nr="69.2.14" Abbr="69.2.14 pp." DocPartId="5974778f121a4419b8b7ca82055f797c" PartId="f27808ab09f8443cb4dc4d6cbd057b01"/>
          <Part Type="papunktis" Nr="69.2.15" Abbr="69.2.15 pp." DocPartId="f2d71bf11c064eb6924bd3eac7fd8b6f" PartId="2b946cd38db6477b9c3901a5325ec765"/>
          <Part Type="papunktis" Nr="69.2.16" Abbr="69.2.16 pp." DocPartId="1e5bb8d972ee4e0ca52e3ca39a8e9ad5" PartId="d2d55755cb304db0a588976570e5beb4"/>
          <Part Type="papunktis" Nr="69.2.17" Abbr="69.2.17 pp." DocPartId="aa6ca5c46ecb473d82963a7b60fed7e5" PartId="724cdf0b8d964300895c9e21a055a3b2"/>
          <Part Type="papunktis" Nr="69.2.18" Abbr="69.2.18 pp." DocPartId="c2d6560208c84ebb826f900f43dfdbca" PartId="ff6536662c95439d9263257516404fae"/>
          <Part Type="papunktis" Nr="69.2.19" Abbr="69.2.19 pp." DocPartId="d2bf084b6fb34d35969acb7e08d1d739" PartId="fcf94675811843ffa51277972b333687"/>
          <Part Type="papunktis" Nr="69.2.20" Abbr="69.2.20 pp." DocPartId="655b906e3f9147e1bfb22b1cfc8c11c9" PartId="85e8b72243de41cb83f3f88f4826090d"/>
          <Part Type="papunktis" Nr="69.2.21" Abbr="69.2.21 pp." DocPartId="5463fd08cb3d4725b1a5bd5b294f68f2" PartId="ae580f6f5c3f4e2c97f9905b0ca43f81"/>
          <Part Type="papunktis" Nr="69.2.22" Abbr="69.2.22 pp." DocPartId="232dbed833c8415dab6646652ea2df3f" PartId="91725357ee10441299ae4f5dfaf1da47"/>
          <Part Type="papunktis" Nr="69.2.23" Abbr="69.2.23 pp." DocPartId="1e0bbc65787e43858c6980e3cee9f5de" PartId="e5c034c745294030935c1e0d3a1daf83"/>
          <Part Type="papunktis" Nr="69.2.24" Abbr="69.2.24 pp." DocPartId="eae295e3cd124cee88bd1e2e754084e4" PartId="2a12fb3f5986421585d202facbd244b4"/>
          <Part Type="papunktis" Nr="69.2.25" Abbr="69.2.25 pp." DocPartId="4a5733c91f964427a7cf51572544a1f0" PartId="d35b9b9b0bb84790bd0aacd080783c18"/>
          <Part Type="papunktis" Nr="69.2.26" Abbr="69.2.26 pp." DocPartId="b07f51b64c4b4edf91de5af6038d019b" PartId="32108622544848579981fd9e6c8eab54"/>
          <Part Type="papunktis" Nr="69.2.27" Abbr="69.2.27 pp." DocPartId="f8f6b38142524711979cce9c572048f3" PartId="b6f7f08c2e37449f94ca8b87d9566e4e"/>
          <Part Type="papunktis" Nr="69.2.28" Abbr="69.2.28 pp." DocPartId="cb1a83ececf140e680adbc072b117db7" PartId="681725f5b4be482fb4f706dfee93a4df"/>
          <Part Type="papunktis" Nr="69.2.29" Abbr="69.2.29 pp." DocPartId="f07223e20ada448d9475f652661afed2" PartId="519755944d004c60b88b1b335928aef4"/>
          <Part Type="papunktis" Nr="69.2.30" Abbr="69.2.30 pp." DocPartId="e5c82c2f087d4c379f055338ec60d0d4" PartId="8fa9e48ac3f14b458a344457de63729f"/>
          <Part Type="papunktis" Nr="69.2.31" Abbr="69.2.31 pp." DocPartId="2502430d58094e6fb7b92c12e06103c2" PartId="f57690e070e14856bc68c87f5c55e262"/>
          <Part Type="papunktis" Nr="69.2.32" Abbr="69.2.32 pp." DocPartId="e1cfcfc1bd0e447189ba680453b31205" PartId="15fffad22a1244faae8c247a71dd7c8f"/>
          <Part Type="papunktis" Nr="69.2.33" Abbr="69.2.33 pp." DocPartId="2370ec239b3948dda2dfa4cb3df2531a" PartId="c8b3a8e0c27e415fbb03ffa777f441e5"/>
        </Part>
      </Part>
      <Part Type="punktas" Nr="70" Abbr="70 p." DocPartId="f63cd0d51006447baa1dd05f098cb8bc" PartId="af465436f7fb4f818e7afe978dd7cea4"/>
      <Part Type="punktas" Nr="71" Abbr="71 p." DocPartId="b1f50ce3b79a4f93959158d2fe9c71d0" PartId="85927213ae18433fb94e366e851f60f2"/>
      <Part Type="punktas" Nr="72" Abbr="72 p." DocPartId="db4c9dff63404966953abb4bc17e7bc0" PartId="763e28ed334945b0a897bbd96795a8d1">
        <Part Type="papunktis" Nr="72.1" Abbr="72.1 pp." DocPartId="d47e30d216ab461db128a937a35250aa" PartId="2763b1aea3aa4fadb3e15e264e6930c6"/>
        <Part Type="papunktis" Nr="72.2" Abbr="72.2 pp." DocPartId="2d2efc5ecccc4b6b92de7c6ae39cc814" PartId="9b35aa81cb684d3686ddc0bdb6c97248"/>
        <Part Type="papunktis" Nr="72.3" Abbr="72.3 pp." DocPartId="0f4ee5d034be47f282fa8ad80d975699" PartId="5a99026df3f441ca80be25a87e95690f"/>
      </Part>
      <Part Type="punktas" Nr="73" Abbr="73 p." DocPartId="7f36f8459aa44797bb97b7c71d77589a" PartId="22501d300367405f9ed68f046d878196"/>
    </Part>
    <Part Type="skyrius" Nr="17" Title="BAIGIAMOSIOS NUOSTATOS" DocPartId="b363263bb7c7461db036f407dcf7ff92" PartId="7c5432f4580d4e21bac3b9a2b91b3ec8">
      <Part Type="punktas" Nr="74" Abbr="74 p." DocPartId="77ade7ae2c714a2abc937f4f18c9a376" PartId="e8bd403c8b0b4b94b4531f8dff903f44"/>
      <Part Type="punktas" Nr="75" Abbr="75 p." DocPartId="acda475c8a5e4ff39ee34310d32fc2c7" PartId="1900ec3db3874db6b74f1ab7a9404902"/>
      <Part Type="punktas" Nr="76" Abbr="76 p." DocPartId="e1f214f0a3894627a197ec555e71a367" PartId="617b15c7e478472ea87d157867bcb075"/>
    </Part>
    <Part Type="pabaiga" DocPartId="e03fae9cb7b94a7d9e70ffb21b2a84ca" PartId="2ca4ff8bd17445ee9fe246b6f3a7c5cd"/>
  </Part>
  <Part Type="priedas" Nr="1" Abbr="1 pr." Title="PASTATO BŪKLĖS DUOMENYS" DocPartId="8e3f74e916194830bdb37c321ffdca5d" PartId="6eef8715321d4101b88a734836db38e3">
    <Part Type="punktas" Nr="1" Abbr="1 pr. 1 p." DocPartId="14e289f1d4d74805b0d2e353d03d8519" PartId="562fc12b07644d48ba4eb90c6e4a2a82"/>
    <Part Type="punktas" Nr="2" Abbr="1 pr. 2 p." DocPartId="18cbe68073ae4037b3bcd6e9d1385185" PartId="e753d5a4590d4a42ac596380542cdbf7"/>
    <Part Type="punktas" Nr="3" Abbr="1 pr. 3 p." DocPartId="8b68efa54f4f4f38a06e2cb698d0e02e" PartId="8f3b0b3e8a0a49649e2b61153d8c9cf4"/>
    <Part Type="punktas" Nr="4" Abbr="1 pr. 4 p." DocPartId="4e55cf0b264f41f8b0f56aa8b3c9fa5d" PartId="04136cfcc45b4cb79f2260c914ba5147"/>
    <Part Type="punktas" Nr="5" Abbr="1 pr. 5 p." DocPartId="40fddafaf62741c686dd15aeef02924a" PartId="192f45dcce0f4bebbd8368689ea08b98"/>
    <Part Type="punktas" Nr="6" Abbr="1 pr. 6 p." DocPartId="6d0d37af02214926ad6cc79d9d37e4b1" PartId="a8171700c3124e518f73606ffabc307e">
      <Part Type="papunktis" Nr="6.1" Abbr="1 pr. 6.1 pp." DocPartId="0d230ad611aa45d58ca0592c6414705d" PartId="37e70340dd7c4766819b50d44e4e2a8f">
        <Part Type="papunktis" Nr="6.1.1" Abbr="1 pr. 6.1.1 pp." DocPartId="b1c2d8cab1df438a9299534400768f95" PartId="1bf5ed8e28204c069c524ad37640f416"/>
        <Part Type="papunktis" Nr="6.1.2" Abbr="1 pr. 6.1.2 pp." DocPartId="ec8cbc882e244dcf9092d95c84789a09" PartId="dfff31f6664143288e6180bf8ad0063f"/>
        <Part Type="papunktis" Nr="6.1.3" Abbr="1 pr. 6.1.3 pp." DocPartId="9d4ed6a4e3194b9189ff5e2c43ac330c" PartId="0db3ae4b596b4f66a1584ef6f400c9b1"/>
      </Part>
      <Part Type="papunktis" Nr="6.2" Abbr="1 pr. 6.2 pp." DocPartId="9602f5ee00334863bad2d8759a004e58" PartId="2d985203c62b449f98eba50b4bb28531">
        <Part Type="papunktis" Nr="6.2.1" Abbr="1 pr. 6.2.1 pp." DocPartId="bcfbaebf2c724ab7af068a741a8c2945" PartId="056a7af7531b41569b31b8dabc1b5515"/>
        <Part Type="papunktis" Nr="6.2.2" Abbr="1 pr. 6.2.2 pp." DocPartId="4ed2cb1486214b00b135030b5a011265" PartId="9dcdc1866b0744e2a03a2486df781be0"/>
        <Part Type="papunktis" Nr="6.2.3" Abbr="1 pr. 6.2.3 pp." DocPartId="a582403e3dba49d9baec2b9160bbb92a" PartId="636c16b37048420eb7b457adcd6cd247"/>
        <Part Type="papunktis" Nr="6.2.4" Abbr="1 pr. 6.2.4 pp." DocPartId="c8f2ebf5b3374d6f8a513501f24f13a2" PartId="9085fe706d984ce4abc8867b3564e335"/>
        <Part Type="papunktis" Nr="6.2.5" Abbr="1 pr. 6.2.5 pp." DocPartId="6c8ba4c11a004ff7aff56e3cb3fc9e00" PartId="54ae00df8b814d12ab3037556e3bb2ec"/>
        <Part Type="papunktis" Nr="6.2.6" Abbr="1 pr. 6.2.6 pp." DocPartId="f1060fe41a414d8cb943c67c56686e3e" PartId="f1383285ad384475a1f37e26c28e0098"/>
        <Part Type="papunktis" Nr="6.2.7" Abbr="1 pr. 6.2.7 pp." DocPartId="89b5613f75ae4c5fb20b035da26e60ad" PartId="44a4fe57fd5345389a153d3e32b3c8b1"/>
        <Part Type="papunktis" Nr="6.2.8" Abbr="1 pr. 6.2.8 pp." DocPartId="a61fd17307cb416bb89cd9eb5a8a3ae0" PartId="88043a0e6c884258a372b2680a41a91a"/>
      </Part>
      <Part Type="papunktis" Nr="6.3" Abbr="1 pr. 6.3 pp." DocPartId="acb3b489f2454bba820ba68a11bd05cd" PartId="00680640ee6042c2b3266b776c1d6abd">
        <Part Type="papunktis" Nr="6.3.1" Abbr="1 pr. 6.3.1 pp." DocPartId="c436a80e7b0448c39866b708167984a5" PartId="483be27f784447d7acc02fce8f6a7e31"/>
        <Part Type="papunktis" Nr="6.3.2" Abbr="1 pr. 6.3.2 pp." DocPartId="6e978880b6ae41da94c7dd40b8ce7553" PartId="ca178dc5789e47efb6f705f04d2ac747"/>
        <Part Type="papunktis" Nr="6.3.3" Abbr="1 pr. 6.3.3 pp." DocPartId="4f064efce01c4275ad6a4e62d53f68a7" PartId="60aec655890648b8b617fc9c0bafa8e1"/>
        <Part Type="papunktis" Nr="6.3.4" Abbr="1 pr. 6.3.4 pp." DocPartId="f06ec1ad63944e9c829479d6f6ab9813" PartId="605083e7197943468ab7b86565b2992d"/>
        <Part Type="papunktis" Nr="6.3.5" Abbr="1 pr. 6.3.5 pp." DocPartId="44909256c82f4d55b93483c090d59ef4" PartId="4d7205bd808d45fd8499dd76220a467f"/>
        <Part Type="papunktis" Nr="6.3.6" Abbr="1 pr. 6.3.6 pp." DocPartId="47448b86353d420bbf8ac0a76a4fc0f2" PartId="56a0f75b8a964cafb79fcb9d505dc560"/>
      </Part>
      <Part Type="papunktis" Nr="6.4" Abbr="1 pr. 6.4 pp." DocPartId="d88e3af18ee8427c97e7815f64839dff" PartId="09d22c5e3aa84f639d745c4d5709f02a">
        <Part Type="papunktis" Nr="6.4.1" Abbr="1 pr. 6.4.1 pp." DocPartId="f31eae4e94e2400fa564f9936a246e50" PartId="ea32b67f495a44d0b6c10c51a6c589bb"/>
        <Part Type="papunktis" Nr="6.4.2" Abbr="1 pr. 6.4.2 pp." DocPartId="8c9b4314aab34b39bdca81489eafafcd" PartId="c0d85f007f0a4a6c98165093da68286b"/>
        <Part Type="papunktis" Nr="6.4.3" Abbr="1 pr. 6.4.3 pp." DocPartId="8ceff576f8da4e57a9114cd0f1e31d29" PartId="50b422f9c2d54d2ab9b7b7cd60cfc668"/>
        <Part Type="papunktis" Nr="6.4.4" Abbr="1 pr. 6.4.4 pp." DocPartId="6469e354406448ef848c2d573a8b5b8d" PartId="a84051dbaa9146c38dd365c8213cd4ce"/>
        <Part Type="papunktis" Nr="6.4.5" Abbr="1 pr. 6.4.5 pp." DocPartId="42af71e65c244acfb00d1b15ff518aa4" PartId="7d2369696e2544c991b1b22f94e2c7d4"/>
      </Part>
      <Part Type="papunktis" Nr="6.5" Abbr="1 pr. 6.5 pp." DocPartId="4e26c26ced974dbf8f6deafb117a957c" PartId="7314ea24bb9e413c90d3cf1b100d5bb7">
        <Part Type="papunktis" Nr="6.5.1" Abbr="1 pr. 6.5.1 pp." DocPartId="5eebd612d69a49e99b1fc77164c2ee6c" PartId="c2d54bb1b9a347099f989e74e5faa2f5"/>
        <Part Type="papunktis" Nr="6.5.2" Abbr="1 pr. 6.5.2 pp." DocPartId="aad14e88e44d4c8895a2a3603500adaa" PartId="3d1610eb875f41409b73bab1de17bfce"/>
        <Part Type="papunktis" Nr="6.5.3" Abbr="1 pr. 6.5.3 pp." DocPartId="711b3b06bdbd4770a0ba72be02812212" PartId="d18c69814e8c4d9f8dc9274011f3f588"/>
        <Part Type="papunktis" Nr="6.5.4" Abbr="1 pr. 6.5.4 pp." DocPartId="179fff5b20b84213a9af5f0bede472e9" PartId="1a337a5ab95246aa80746e67d521251e"/>
        <Part Type="papunktis" Nr="6.5.6" Abbr="1 pr. 6.5.6 pp." DocPartId="bbee99719c774492afb8da946b984dfe" PartId="df91423ef1bf4b3faf581eb6e3a351a4"/>
        <Part Type="papunktis" Nr="6.5.7" Abbr="1 pr. 6.5.7 pp." DocPartId="1e0d60d5889f452fbc0c02336cf6d1ac" PartId="cbb174b811144c5ab859f821a6b471dd"/>
        <Part Type="papunktis" Nr="6.5.8" Abbr="1 pr. 6.5.8 pp." DocPartId="6d0527ca9ef64c6e85b0321b3b4a98ea" PartId="4f4d51bc5ee246dba5743328bf6665b3"/>
        <Part Type="papunktis" Nr="6.5.9" Abbr="1 pr. 6.5.9 pp." DocPartId="adb59ec094fa4603b8003a2e22958926" PartId="108549c2b08f4a6fa1358590eadeff8a"/>
      </Part>
      <Part Type="papunktis" Nr="6.6" Abbr="1 pr. 6.6 pp." DocPartId="151e9f4d6d2a4f088967d2bdae5ed5f0" PartId="f5614847464344749065ef122e9415df">
        <Part Type="papunktis" Nr="6.6.1" Abbr="1 pr. 6.6.1 pp." DocPartId="e07dc8c5ce6a4e25bae99ccc55f09ab7" PartId="744915a2f4314ec88476f08ff32e3f41"/>
        <Part Type="papunktis" Nr="6.6.2" Abbr="1 pr. 6.6.2 pp." DocPartId="0edae4a00467486f88a0e14d285e9df1" PartId="f0c111e90807431d97f7ae4a3390382d"/>
        <Part Type="papunktis" Nr="6.6.3" Abbr="1 pr. 6.6.3 pp." DocPartId="029587d1cae74f3b8f2ddbb25065e899" PartId="2cf4e5c8dbff4e95b89dd847612a3e48"/>
        <Part Type="papunktis" Nr="6.6.4" Abbr="1 pr. 6.6.4 pp." DocPartId="715171c1fc8340ff9ea3eb6467ff72c3" PartId="02e19f0263b4494e8dea7c227401347c"/>
        <Part Type="papunktis" Nr="6.6.5" Abbr="1 pr. 6.6.5 pp." DocPartId="6a6879c411c64a398e976dcc7a86b82f" PartId="8fa260426f034aeca0f4cf0829e08de3"/>
        <Part Type="papunktis" Nr="6.6.6" Abbr="1 pr. 6.6.6 pp." DocPartId="002e580870ec436e83d998e571d4053f" PartId="bf1439c87291405ca4fa16066da5690f"/>
        <Part Type="papunktis" Nr="6.6.7" Abbr="1 pr. 6.6.7 pp." DocPartId="aafab3e25d3e45708943a0ab3a13462a" PartId="d17fd196f22d47689b70dbbe89ecceec"/>
        <Part Type="papunktis" Nr="6.6.8" Abbr="1 pr. 6.6.8 pp." DocPartId="9e8433aa4ae14ff9899312837256a835" PartId="f72e7d38e89c4ef88179178c147730a7"/>
      </Part>
      <Part Type="papunktis" Nr="6.7" Abbr="1 pr. 6.7 pp." DocPartId="634f5aabd08d4dd780db9469a28a218d" PartId="82ceed3af0e14ef6b0a9ade0a5cb0b5a">
        <Part Type="papunktis" Nr="6.7.1" Abbr="1 pr. 6.7.1 pp." DocPartId="354bc5ba058c4d23b0ff52ef08dd842b" PartId="cad498ce708843afa67af8dd38eabd8a"/>
        <Part Type="papunktis" Nr="6.7.2" Abbr="1 pr. 6.7.2 pp." DocPartId="d35f2626d3cf484092608b8ecc073b93" PartId="6e6e90799eb249b4b7ae8b08ac9ff47a"/>
        <Part Type="papunktis" Nr="6.7.3" Abbr="1 pr. 6.7.3 pp." DocPartId="1ccc8d238faa4b89bf3fc781bd44fbee" PartId="eafd4b1aef6d4ee887c867f0d3e894ea"/>
        <Part Type="papunktis" Nr="6.7.4" Abbr="1 pr. 6.7.4 pp." DocPartId="c5e066baed6e47bea2c6f43ac00d0c1d" PartId="5cee94990c914c67be238750eb6c4aef"/>
        <Part Type="papunktis" Nr="6.7.5" Abbr="1 pr. 6.7.5 pp." DocPartId="f9253b0fa49c4f31bcf03c26e77932d1" PartId="d144217c62d14b5e9129e6a772e9f411"/>
        <Part Type="papunktis" Nr="6.7.6" Abbr="1 pr. 6.7.6 pp." DocPartId="4cbb69eb45c34cd2b368b27631b9b242" PartId="0df71b0a77f845f5a0d50411a9372309"/>
        <Part Type="papunktis" Nr="6.7.7" Abbr="1 pr. 6.7.7 pp." DocPartId="e08e9761a3f74ddfa774a845c509059f" PartId="4001a77f8eaa4956b4320a030e92e6e2"/>
        <Part Type="papunktis" Nr="6.7.8" Abbr="1 pr. 6.7.8 pp." DocPartId="7e9749e57f844062951004766178ff24" PartId="89c742c86e084bf8950dc84f3c13b9ad"/>
      </Part>
      <Part Type="papunktis" Nr="6.8" Abbr="1 pr. 6.8 pp." DocPartId="041237505e684796a1a6e6058572c188" PartId="7317706196c14fe3854b25e78a708a5c">
        <Part Type="papunktis" Nr="6.8.1" Abbr="1 pr. 6.8.1 pp." DocPartId="50ed8e4a3bd44e83a92fa74fa14ba2f5" PartId="908c6d95b7c24e6c82af2c5092926ddf"/>
        <Part Type="papunktis" Nr="6.8.2" Abbr="1 pr. 6.8.2 pp." DocPartId="f584e36a3f094dfeb2e19c431fa2944a" PartId="6a2b1565af9b47ddb662b3f42136a56e"/>
        <Part Type="papunktis" Nr="6.8.3" Abbr="1 pr. 6.8.3 pp." DocPartId="a880ed988eee4b1b898054972f83f66c" PartId="ac7cbf75e2ea45279d7d9ed21e3963eb"/>
      </Part>
      <Part Type="papunktis" Nr="6.9" Abbr="1 pr. 6.9 pp." DocPartId="8b48c41d714e453e8b85ce9dcae69f66" PartId="a68796d7db744d6fa873c14f7570e591">
        <Part Type="papunktis" Nr="6.9.1" Abbr="1 pr. 6.9.1 pp." DocPartId="a7d3c53105ce4c74a30a8bc7182a1c5f" PartId="6133080c797f4978b79133c9351534dc"/>
        <Part Type="papunktis" Nr="6.9.2" Abbr="1 pr. 6.9.2 pp." DocPartId="c52a87e737c04a02bbb7cc47754a4160" PartId="73fa86832ecb4fcfb5fed664d3f1a575"/>
        <Part Type="papunktis" Nr="6.9.3" Abbr="1 pr. 6.9.3 pp." DocPartId="ecf2fab9c2bd47909b3c2bcd15b7404a" PartId="2c50362b39bb4734ac0044c10c066655"/>
      </Part>
      <Part Type="papunktis" Nr="6.10" Abbr="1 pr. 6.10 pp." DocPartId="77a9e60847b344229178382918746e17" PartId="902c99929ed74c2488fd5fc89730739d">
        <Part Type="papunktis" Nr="6.10.1" Abbr="1 pr. 6.10.1 pp." DocPartId="30efc98e132d420980915584bf75478c" PartId="e241e91d8c2b4f858d1014152b406920"/>
        <Part Type="papunktis" Nr="6.10.2" Abbr="1 pr. 6.10.2 pp." DocPartId="8140cbc9fd0f4ffcb5a1e0058e2f9f47" PartId="48580d760bdf4520b34621d36ea955ea"/>
        <Part Type="papunktis" Nr="6.10.3" Abbr="1 pr. 6.10.3 pp." DocPartId="a736876cf154428b9360df13b60f0fc5" PartId="5e095a4747104512bebd963cf4f9822d"/>
        <Part Type="papunktis" Nr="6.10.4" Abbr="1 pr. 6.10.4 pp." DocPartId="725495d270ae46f8b4b0eee67283ae89" PartId="042699eec5b241d190796cb77f4c8f62"/>
        <Part Type="papunktis" Nr="6.10.5" Abbr="1 pr. 6.10.5 pp." DocPartId="44faaaaa0b6d4eecb8e46a2e0f794fc0" PartId="bc2ef485a92d42f9907e017fe1a61c91"/>
        <Part Type="papunktis" Nr="6.10.6" Abbr="1 pr. 6.10.6 pp." DocPartId="dafc99e73f7d49e98564d8b4431ca211" PartId="478fbd48cd024c07a1d7a5c19af03f67"/>
        <Part Type="papunktis" Nr="6.10.7" Abbr="1 pr. 6.10.7 pp." DocPartId="be0e7916f1e84a738329557016a392e1" PartId="03b921b6c8fc47b8a12ffbc8b2f96e71"/>
        <Part Type="papunktis" Nr="6.10.8" Abbr="1 pr. 6.10.8 pp." DocPartId="32167ffae8704073a70eff0fada2988c" PartId="d54c1f5e51aa4b399361d2ca97e9f27a"/>
      </Part>
      <Part Type="papunktis" Nr="6.11" Abbr="1 pr. 6.11 pp." DocPartId="168d8a3db6fc4d449e621f7d039dfc40" PartId="464630fd9377440da6a4ce27519ac093">
        <Part Type="papunktis" Nr="6.11.1" Abbr="1 pr. 6.11.1 pp." DocPartId="ac5eea4de7134fe7bef77a4984e50aff" PartId="6bae1017137646bf9fb19bd48af2d042"/>
        <Part Type="papunktis" Nr="6.11.2" Abbr="1 pr. 6.11.2 pp." DocPartId="44a3c820d72f4fc9952755b72cbab44f" PartId="99db18c33bca4096966ae1db03891a7d"/>
        <Part Type="papunktis" Nr="6.11.3" Abbr="1 pr. 6.11.3 pp." DocPartId="01f44840d2904fc1a2a3e1d2fb98cbf3" PartId="82d663afc4ec465ba0ec24a29322acf4"/>
        <Part Type="papunktis" Nr="6.11.4" Abbr="1 pr. 6.11.4 pp." DocPartId="afc968bdbae64e6cba133926a3d3260e" PartId="fc9822e88c7f487ca457ef9db21c3e26"/>
      </Part>
      <Part Type="papunktis" Nr="6.12" Abbr="1 pr. 6.12 pp." DocPartId="bc6f616f9aa34757b40f6714f609e9d4" PartId="257aa8bd409f4f3ebe6150adf929e842">
        <Part Type="papunktis" Nr="6.12.1" Abbr="1 pr. 6.12.1 pp." DocPartId="33a47582740d460da669107dec3cbcf5" PartId="5f66c8f9d44f4566a0be7fca520a5c23"/>
        <Part Type="papunktis" Nr="6.12.2" Abbr="1 pr. 6.12.2 pp." DocPartId="65abed1ab04a4a7db1af6f22a1d632f1" PartId="43353772f291463c9a2f51fb65c7277b"/>
        <Part Type="papunktis" Nr="6.12.3" Abbr="1 pr. 6.12.3 pp." DocPartId="bc67dfc888d34cf7b627cbdb5f807865" PartId="67c68b4b81af46b088f7f6e84466d10e"/>
        <Part Type="papunktis" Nr="6.12.4" Abbr="1 pr. 6.12.4 pp." DocPartId="ec30677ad43b4ed88de9554d4a4cdf1c" PartId="5148c5a8e0e34012935f037031f118d4"/>
        <Part Type="papunktis" Nr="6.12.5" Abbr="1 pr. 6.12.5 pp." DocPartId="a61f501aa5f34284ad8f0688ba54d320" PartId="3fa073e8cfbc46fbbc455a3740b37d70"/>
        <Part Type="papunktis" Nr="6.12.6" Abbr="1 pr. 6.12.6 pp." DocPartId="f8b928f4f047462eaf0af01f59a7b449" PartId="89ca6e7ac05b41ea82203f2e5701257f"/>
        <Part Type="papunktis" Nr="6.12.7" Abbr="1 pr. 6.12.7 pp." DocPartId="9fd225ac56de4f0393929ab36d3a64d0" PartId="e4b26a8328264d6d8407e4f86040e77a"/>
      </Part>
      <Part Type="papunktis" Nr="6.13" Abbr="1 pr. 6.13 pp." DocPartId="7a0f91f70e4e464cbdfa9534e54a28e7" PartId="639811df4b3849ee9d55ca55fbb947ba">
        <Part Type="papunktis" Nr="6.13.1" Abbr="1 pr. 6.13.1 pp." DocPartId="0c71dd7e99a4405d96f17b9677b99cde" PartId="a35ab5949e1f49bda65932a24462c85f"/>
        <Part Type="papunktis" Nr="6.13.2" Abbr="1 pr. 6.13.2 pp." DocPartId="baa2c09211424c7dacc779b26f0f8487" PartId="333f345fe8b24a3987a42e965abab55e"/>
        <Part Type="papunktis" Nr="6.13.3" Abbr="1 pr. 6.13.3 pp." DocPartId="9af27acc5fa143389fd5326531e63cbc" PartId="5a8adf474b5d4833825cdd812bdb9dd1"/>
        <Part Type="papunktis" Nr="6.13.4" Abbr="1 pr. 6.13.4 pp." DocPartId="759475ef784c42788ca6045d42ceebf5" PartId="166f85dda3d04aa89d3e94836add87c0"/>
        <Part Type="papunktis" Nr="6.13.5" Abbr="1 pr. 6.13.5 pp." DocPartId="0377e9deb4a8489aa4ce55eee099e81a" PartId="937b11b4b8c94fdead3c2dcc0f4efd7a"/>
        <Part Type="papunktis" Nr="6.13.6" Abbr="1 pr. 6.13.6 pp." DocPartId="a221f4ddc7ef430198c8d55bc7b17a63" PartId="bbc4f34120224b548f0f0d64ff634dca"/>
        <Part Type="papunktis" Nr="6.13.7" Abbr="1 pr. 6.13.7 pp." DocPartId="f6c447c9548144469db90f4ae0b9980b" PartId="be5fdabc57244d3ba4feca20a4688464"/>
      </Part>
      <Part Type="papunktis" Nr="6.14" Abbr="1 pr. 6.14 pp." DocPartId="75c584e7c8414a40867314cffc97f0bf" PartId="9bc2505bd54c4358944f4551be030c0d">
        <Part Type="papunktis" Nr="6.14.1" Abbr="1 pr. 6.14.1 pp." DocPartId="94a1f6ea179b4e509f20118763861c53" PartId="64b1c8e0ba9840f49bd144c6ba7a130b"/>
        <Part Type="papunktis" Nr="6.14.2" Abbr="1 pr. 6.14.2 pp." DocPartId="61365f2222a443a3b9da7e8fe2efc1be" PartId="604b08499316436394b85291afcd8133"/>
        <Part Type="papunktis" Nr="6.14.3" Abbr="1 pr. 6.14.3 pp." DocPartId="47f010c950c2454d952841415f5d780e" PartId="1348749c38c64cef9baedfec41c2dc11"/>
        <Part Type="papunktis" Nr="6.14.4" Abbr="1 pr. 6.14.4 pp." DocPartId="2c3b6a0a8a0344bfb433748d907b03a6" PartId="7b3571ba96ed44a3929f7d13bf53af78"/>
        <Part Type="papunktis" Nr="6.14.5" Abbr="1 pr. 6.14.5 pp." DocPartId="93d9f56ec20b4fcdbc6f3195ca653bec" PartId="5880e133c9a64c1680fb35b8a47ab8df"/>
        <Part Type="papunktis" Nr="6.14.6" Abbr="1 pr. 6.14.6 pp." DocPartId="619614240d50450585fe6aa2f170447c" PartId="9656ae674bcf4c5f92f6b9690165888c"/>
        <Part Type="papunktis" Nr="6.14.7" Abbr="1 pr. 6.14.7 pp." DocPartId="991e62d4bc2a4da7b0505f841310a1c1" PartId="1df58a440b764f849ec4b6d29a8ac11b"/>
        <Part Type="papunktis" Nr="6.14.8" Abbr="1 pr. 6.14.8 pp." DocPartId="372d8ce096aa41c08ed04d44a644e7d7" PartId="f5e087fce1684aeda6190bd034b06279"/>
        <Part Type="papunktis" Nr="6.14.9" Abbr="1 pr. 6.14.9 pp." DocPartId="7d015e14465947918121ad59fa3042be" PartId="b238da3e82634d4eb2ac5fc5f1f3dfde"/>
        <Part Type="papunktis" Nr="6.14.10" Abbr="1 pr. 6.14.10 pp." DocPartId="15167ef4f68b432fb3f86dece09974dd" PartId="fe7ce033c7ef453a9b90a5fbcae4c01e"/>
      </Part>
      <Part Type="papunktis" Nr="6.15" Abbr="1 pr. 6.15 pp." DocPartId="ec1c9344f2b249a7bd06ea9ac840cbb5" PartId="3b60c102dd3744bdb8f4837612ae6e89">
        <Part Type="papunktis" Nr="6.15.1" Abbr="1 pr. 6.15.1 pp." DocPartId="d4e8d12cd23d446dacd506166e3318ce" PartId="be16b6a142f04e0bb23ff56d7b6c775c"/>
        <Part Type="papunktis" Nr="6.15.2" Abbr="1 pr. 6.15.2 pp." DocPartId="019411d8caca434885f83b229f666fc1" PartId="1bceac7d54354166ac4ed041219d0db9"/>
        <Part Type="papunktis" Nr="6.15.3" Abbr="1 pr. 6.15.3 pp." DocPartId="9e17d845be30403b98a6071bc0ee7d32" PartId="857b29b1613e49ce8c90af5d053b257a"/>
        <Part Type="papunktis" Nr="6.15.4" Abbr="1 pr. 6.15.4 pp." DocPartId="86dbb18cdbc84601abbe46f6304aea7d" PartId="53446a9a10c84b6b9385959ddd83374b"/>
        <Part Type="papunktis" Nr="6.15.5" Abbr="1 pr. 6.15.5 pp." DocPartId="bb978be0997f4d1ba8157297fb6f8d33" PartId="627b1e46063c4b81ba252651f544640a"/>
        <Part Type="papunktis" Nr="6.15.6" Abbr="1 pr. 6.15.6 pp." DocPartId="3cc9214c3cbd4102865964f4a4f1e7e2" PartId="0f8f83bb68754c55b7f0a876a21c8a23"/>
      </Part>
      <Part Type="papunktis" Nr="6.16" Abbr="1 pr. 6.16 pp." DocPartId="bcd8eb7f299f46c2af97f6fcd2e20bae" PartId="be0c362c157d456e841d4d5e436ca99f">
        <Part Type="papunktis" Nr="6.16.1" Abbr="1 pr. 6.16.1 pp." DocPartId="fab03a1fd9e3489a84e30522df7a0420" PartId="db84a190cc8b4733883fc25bd6dd75f5"/>
        <Part Type="papunktis" Nr="6.16.2" Abbr="1 pr. 6.16.2 pp." DocPartId="64f33ce52e494280a5cebeaef01045d3" PartId="5ba7e5989bed4b94867c87d8914b15c3"/>
        <Part Type="papunktis" Nr="6.16.3" Abbr="1 pr. 6.16.3 pp." DocPartId="89442abd087840eaac68204e459e37da" PartId="0895885f3ffa4a1b8b13f86c7732dfa6"/>
      </Part>
    </Part>
    <Part Type="punktas" Nr="7" Abbr="1 pr. 7 p." DocPartId="9160c50d6af848e19af520512ad81082" PartId="4d8b8692d7614e619545ce06254f35b8">
      <Part Type="papunktis" Nr="7.1" Abbr="1 pr. 7.1 pp." DocPartId="a59eb10791ab4d23beca3f4b51fc7f95" PartId="bd17787b7b7c41f3aca8e10fcb8807b6"/>
      <Part Type="papunktis" Nr="7.2" Abbr="1 pr. 7.2 pp." DocPartId="cd11ccc4ab8d44e7b46e66e9f5866433" PartId="b1817344d66e4fcf88fb27cd78b84b45"/>
      <Part Type="papunktis" Nr="7.3" Abbr="1 pr. 7.3 pp." DocPartId="c5674fe7aa184947a773e93ed7834821" PartId="9388f14392124071909f878dd23dc6db"/>
      <Part Type="papunktis" Nr="7.4" Abbr="1 pr. 7.4 pp." DocPartId="cd068751f36e4249a1fe5166c8f8cf97" PartId="437ddc70a3e54af288169ab89031c5eb"/>
      <Part Type="papunktis" Nr="7.5" Abbr="1 pr. 7.5 pp." DocPartId="b6af2b55136f4e088e05cbafc6d6e64e" PartId="3cceb06aca85499db1ac50c7180f6d70"/>
      <Part Type="papunktis" Nr="7.6" Abbr="1 pr. 7.6 pp." DocPartId="6413d2fc35004f95b030b8b6b53341c5" PartId="ac4d7cff01c9486890c17e6340737719"/>
      <Part Type="papunktis" Nr="7.7" Abbr="1 pr. 7.7 pp." DocPartId="8b79d4c0639141dcb3feb4793a3d5426" PartId="14d4c3b2e9d649fd804c6e7c9834f437"/>
      <Part Type="papunktis" Nr="7.8" Abbr="1 pr. 7.8 pp." DocPartId="c905fe33f69e46dba82b788e3e77d54c" PartId="e2fb17ec81844f7d9511e2962ee1528b"/>
      <Part Type="papunktis" Nr="7.9" Abbr="1 pr. 7.9 pp." DocPartId="cbe7cbf569954e60bc34ae87b6ba5345" PartId="15ede00ac28e4d82b105ba20d0b51e15"/>
      <Part Type="papunktis" Nr="7.10" Abbr="1 pr. 7.10 pp." DocPartId="5c09f7332b9e49ab88b319fd62f3c11d" PartId="c58b508eaabb4ae9b2124ad9dbeca169"/>
      <Part Type="papunktis" Nr="7.11" Abbr="1 pr. 7.11 pp." DocPartId="49260823f8154350a449ad51d52a4fe8" PartId="64a67fbd636146fe9a31b7afc1e4041c"/>
      <Part Type="papunktis" Nr="7.12" Abbr="1 pr. 7.12 pp." DocPartId="bd655f7610584b9981572a4aa595c329" PartId="aa78bbc984164aa08f77b19352407e80"/>
    </Part>
    <Part Type="punktas" Nr="8" Abbr="1 pr. 8 p." DocPartId="da63a6dc605541c1ac48e38de32869b5" PartId="d98d04b2fc2e4baaa24601e31fb8f28b">
      <Part Type="papunktis" Nr="8.1" Abbr="1 pr. 8.1 pp." DocPartId="09569de85ec74a0e8f16d73c3a89dae9" PartId="a85cab1ef2634fa1bda83c2f2ad092f2"/>
      <Part Type="papunktis" Nr="8.2" Abbr="1 pr. 8.2 pp." DocPartId="f3eb378b29c24ee2a4a760903436dc05" PartId="24f3713732d04e72bcb7860327d3bb10"/>
      <Part Type="papunktis" Nr="8.3" Abbr="1 pr. 8.3 pp." DocPartId="e38eb321de5a4a52b6e16053d7ffa6f4" PartId="f30293ffefa240d697d9e044fd9fcaea"/>
      <Part Type="papunktis" Nr="8.4" Abbr="1 pr. 8.4 pp." DocPartId="bc6b0de084ec499ab86551d6feceab37" PartId="18c5420654a64b3b8ed8c89d6dfbc57d"/>
      <Part Type="papunktis" Nr="8.5" Abbr="1 pr. 8.5 pp." DocPartId="59ea3ad3cd054c20b726f40f34f7b0ad" PartId="3e0b6f5d74274748ba92408d181154ac"/>
      <Part Type="papunktis" Nr="8.6" Abbr="1 pr. 8.6 pp." DocPartId="413a52abd0914df5b63e3e80cf794bed" PartId="efe6279da17d401cad86f7528f246ccc"/>
      <Part Type="papunktis" Nr="8.7" Abbr="1 pr. 8.7 pp." DocPartId="ef79d31f29ca4495b50e9152da094437" PartId="6da84a290c89452caf995ef1c9ea16d4"/>
      <Part Type="papunktis" Nr="8.8" Abbr="1 pr. 8.8 pp." DocPartId="391c77c8b7344bc3a546a18b5b4a41c5" PartId="6fc5ff6a790c42e885b996c490aebe9f"/>
      <Part Type="papunktis" Nr="8.9" Abbr="1 pr. 8.9 pp." DocPartId="a89a78563fdf4bfb9caa8782389de54b" PartId="509c0fd101f34ed78839da7fb151729c"/>
    </Part>
    <Part Type="punktas" Nr="9" Abbr="1 pr. 9 p." DocPartId="06bd086210254e23884b5fb9df37540d" PartId="29b31725d1d8484f9c8521ae5cf2c682">
      <Part Type="papunktis" Nr="9.1" Abbr="1 pr. 9.1 pp." DocPartId="a9d56df66ec84f208ef883fcc0e5349f" PartId="9ec59f1ca348462391e6a50150a4723e"/>
      <Part Type="papunktis" Nr="9.2" Abbr="1 pr. 9.2 pp." DocPartId="b7c139e48cfe4d049982a4492050427e" PartId="7ddff127c5df46749dd16868044319d0"/>
      <Part Type="papunktis" Nr="9.3" Abbr="1 pr. 9.3 pp." DocPartId="6fbe7c6f62cb484cbf367082a60ccd61" PartId="b030e33b8935407b8a439e9c3e9a22ad"/>
    </Part>
    <Part Type="punktas" Nr="10" Abbr="1 pr. 10 p." DocPartId="80e7b118e9e848cc9b10fb0752f4c984" PartId="32551c0d4574440f88847ee3b698a44b">
      <Part Type="papunktis" Nr="10.1" Abbr="1 pr. 10.1 pp." DocPartId="dc699e69853d4006b360349409bb44a8" PartId="c6f9053fb3084defa6cef1efda879944"/>
      <Part Type="papunktis" Nr="10.2" Abbr="1 pr. 10.2 pp." DocPartId="651d32ffbc03444487e9e9028f65c4fe" PartId="4bbfcd4ef666462ab0d664dc7e306611"/>
      <Part Type="papunktis" Nr="10.3" Abbr="1 pr. 10.3 pp." DocPartId="ca3822139627488191703a45d7c48b50" PartId="2cdb22198bc84587960493273a01b3c3"/>
      <Part Type="papunktis" Nr="10.4" Abbr="1 pr. 10.4 pp." DocPartId="feedac6ee423492a9f28c14a04e1a13d" PartId="b136a843c1d344de9e83579188c7c8cf"/>
      <Part Type="papunktis" Nr="10.5" Abbr="1 pr. 10.5 pp." DocPartId="2d242cd2f673474592f3a24478e683b6" PartId="6c542cc32a754d3cbe4f7612b62b3e7e"/>
      <Part Type="papunktis" Nr="10.6" Abbr="1 pr. 10.6 pp." DocPartId="c44699bb2d734a398f756711f4d7439f" PartId="ab23f3f1b8ef460095dc180041f7b753"/>
      <Part Type="papunktis" Nr="10.7" Abbr="1 pr. 10.7 pp." DocPartId="046ed1add2bf483789798bcc94f5b3c8" PartId="26ff0b5641c740a792b1f51f434bf112"/>
      <Part Type="papunktis" Nr="10.8" Abbr="1 pr. 10.8 pp." DocPartId="fe39e9da7cd1489a97db7d021a988ff6" PartId="c6c410b6b4ca42718e1458778c988416"/>
      <Part Type="papunktis" Nr="10.9" Abbr="1 pr. 10.9 pp." DocPartId="e692ad04f1b245d2bb05f0ca532b57b2" PartId="bff8f779cedc46368c43251e3a8e938c"/>
      <Part Type="papunktis" Nr="10.10" Abbr="1 pr. 10.10 pp." DocPartId="2540ec9f598d40fb9556325203344b34" PartId="153b108500a640bf989b0c91369864a2"/>
      <Part Type="papunktis" Nr="10.11" Abbr="1 pr. 10.11 pp." DocPartId="c81863b27ebe49a38e7b1a46cb291c69" PartId="7eba75ab746f4dc598d18c286ecdcf92"/>
      <Part Type="papunktis" Nr="10.12" Abbr="1 pr. 10.12 pp." DocPartId="bdaa1dbd64be4c25bd25cf205bf2d98f" PartId="5766b8e296704a898a8ee4b27f85b376"/>
      <Part Type="papunktis" Nr="10.13" Abbr="1 pr. 10.13 pp." DocPartId="dc2ab9ac741e4b63a1cde226087e416e" PartId="f6d80e604bad499888e0c1ec5232647d"/>
    </Part>
    <Part Type="punktas" Nr="11" Abbr="1 pr. 11 p." DocPartId="6f1bd582b3c4413f822b11f27a2a1982" PartId="eb6769d28e364d03ab839c4b2c159ff5">
      <Part Type="papunktis" Nr="11.1" Abbr="1 pr. 11.1 pp." DocPartId="8e8c44e7a7ef4747b386399c1a3295a8" PartId="3efc29e9078d4e17bb36d51a3bc322e2"/>
      <Part Type="papunktis" Nr="11.2" Abbr="1 pr. 11.2 pp." DocPartId="5dd92570e03c4f71908d080027bfb64e" PartId="9974f182f8264e2b8b6a8f7197e32463"/>
      <Part Type="papunktis" Nr="11.3" Abbr="1 pr. 11.3 pp." DocPartId="12867ff799ae4c87a46029b325393b3c" PartId="d32209af73c54fed84d351f3d73844dd"/>
      <Part Type="papunktis" Nr="11.4" Abbr="1 pr. 11.4 pp." DocPartId="c8ab0127d3b24b19a8858a49679654a8" PartId="4c20cfabd1cd4539912aa5ba606a8699"/>
      <Part Type="papunktis" Nr="11.5" Abbr="1 pr. 11.5 pp." DocPartId="97185690a4be4f14a93563cd0ea2d92f" PartId="276510243d3b4adba3099ceb58ae29ab"/>
      <Part Type="papunktis" Nr="11.6" Abbr="1 pr. 11.6 pp." DocPartId="c3dc1203b8ba4af5b22c59d1c7324677" PartId="bfda2ce0f5c84875af1dbc473b8e6450"/>
      <Part Type="papunktis" Nr="11.7" Abbr="1 pr. 11.7 pp." DocPartId="1a2e7abab0d34d3c9d5a34d16b0df9a4" PartId="807a8946d9874d20829c233b4147f154"/>
      <Part Type="papunktis" Nr="11.8" Abbr="1 pr. 11.8 pp." DocPartId="a6757bca39384b83a1bef0ff9c758f10" PartId="3a0ec081824c4c479379a415219c9d60"/>
      <Part Type="papunktis" Nr="11.9" Abbr="1 pr. 11.9 pp." DocPartId="0e5372e0307845c49e4c1b18e499bd74" PartId="1d50c1a89bfa4a48a414f78672a6cd55"/>
      <Part Type="papunktis" Nr="11.10" Abbr="1 pr. 11.10 pp." DocPartId="470d3f64f5734fe7a639d82c5c687dce" PartId="26c8f9b375994e7aa8e2a394b62f90a2"/>
      <Part Type="papunktis" Nr="11.11" Abbr="1 pr. 11.11 pp." DocPartId="0aabf3ca52ea437fa2f31773c39a9708" PartId="30b7c9af49984d8c88f22505da249501"/>
      <Part Type="papunktis" Nr="11.12" Abbr="1 pr. 11.12 pp." DocPartId="25333f848c2f402f95dca2838409434e" PartId="a7fd7b6d30144bfc9be2b2b9e5f1281a"/>
      <Part Type="papunktis" Nr="11.13" Abbr="1 pr. 11.13 pp." DocPartId="3962d8911686428e850c055a61f8c510" PartId="67228f6d9f7141d1b01e488c40eef3e4"/>
    </Part>
    <Part Type="punktas" Nr="12" Abbr="1 pr. 12 p." DocPartId="3e7071c19d4c42f88d85d209b4cbca0b" PartId="83470f68fedd443b8d0f5d6870a164e8">
      <Part Type="papunktis" Nr="12.1" Abbr="1 pr. 12.1 pp." DocPartId="aac73e636c45492da95111254a7196b7" PartId="5d77d74decac4128b6d247c33e178566"/>
      <Part Type="papunktis" Nr="12.2" Abbr="1 pr. 12.2 pp." DocPartId="b4e9cc4a4589446a86a88ad2f5039567" PartId="e4bf962b7d574cf4b53c15523a06f421"/>
      <Part Type="papunktis" Nr="12.3" Abbr="1 pr. 12.3 pp." DocPartId="feb8bd496d184e4baae978bdbc0b8aa5" PartId="6460b972a8ce47acb66b8379cd930fcc"/>
      <Part Type="papunktis" Nr="12.4" Abbr="1 pr. 12.4 pp." DocPartId="9277d7c652a24757aa99f4e5271db448" PartId="324bcd202c85449bb4b782d4470eacf4"/>
      <Part Type="papunktis" Nr="12.5" Abbr="1 pr. 12.5 pp." DocPartId="dd8175cb0d3d4b4d9e5d31eee09d0ae2" PartId="f15061920dd24afd9f928726fbd80863"/>
      <Part Type="papunktis" Nr="12.6" Abbr="1 pr. 12.6 pp." DocPartId="fb6dfc250eec4869a70330e8df2842aa" PartId="cae6454284054814bc8d288b5bfcd7d7"/>
      <Part Type="papunktis" Nr="12.7" Abbr="1 pr. 12.7 pp." DocPartId="f4076d6f5ace4ed8afd31c398eb54c2a" PartId="1c2c844560ae49e0a94778059672c4ba"/>
      <Part Type="papunktis" Nr="12.8" Abbr="1 pr. 12.8 pp." DocPartId="450574767dfd4eb288029297ee33cf7c" PartId="54aec907c64f484f8c6ce073447d0697"/>
      <Part Type="papunktis" Nr="12.9" Abbr="1 pr. 12.9 pp." DocPartId="980f2f3524cc43f29df77dcd193be553" PartId="04cc0d2a0f42489c98e946f74773434d"/>
      <Part Type="papunktis" Nr="12.10" Abbr="1 pr. 12.10 pp." DocPartId="f845b3d301004357a5c57a9c0f25230c" PartId="cc71fab94c5a40f2ba7728ce92173250"/>
      <Part Type="papunktis" Nr="12.11" Abbr="1 pr. 12.11 pp." DocPartId="a42aec9d1cfb4e7586cba305040189b5" PartId="f5a6df79717044b0aef5d0a3eadd8c5d"/>
      <Part Type="papunktis" Nr="12.12" Abbr="1 pr. 12.12 pp." DocPartId="800ddc255c7344ef88f4c79c22ce52dd" PartId="578089a3947049efad70716377c40025"/>
      <Part Type="papunktis" Nr="12.13" Abbr="1 pr. 12.13 pp." DocPartId="3a1cd477674144b48ceb74544eb7105b" PartId="ed6a0701cc5c4e458f260792e5caa20d"/>
      <Part Type="papunktis" Nr="12.14" Abbr="1 pr. 12.14 pp." DocPartId="7bea7a04acb34114aca58332bf857650" PartId="d727329b6a4d434d9676d191f9487e55"/>
      <Part Type="papunktis" Nr="12.15" Abbr="1 pr. 12.15 pp." DocPartId="60240a4cb6184cb2837d9e31ee0e172d" PartId="fb4f35decf2c46db904f8686d4e201a4"/>
      <Part Type="papunktis" Nr="12.16" Abbr="1 pr. 12.16 pp." DocPartId="12c9c752e1374ce39be78b3f0660c47b" PartId="c6546715436649d78d582932879d0494"/>
    </Part>
    <Part Type="punktas" Nr="13" Abbr="1 pr. 13 p." DocPartId="a058f40774954235b1a9f722c7b9acc1" PartId="91da213728c44b8bbbc8c7de240f35a7"/>
    <Part Type="punktas" Nr="14" Abbr="1 pr. 14 p." DocPartId="cdd3c23c6f4140bba7fe88fb9eb47cf4" PartId="75ac532d18844058a71fce5bdf0a3a27">
      <Part Type="papunktis" Nr="14.1" Abbr="1 pr. 14.1 pp." DocPartId="abd49054b80c4d9ead97b8e4c9109aac" PartId="5baefca35b7649b88b0247bbb41cfe92"/>
      <Part Type="papunktis" Nr="14.2" Abbr="1 pr. 14.2 pp." DocPartId="7ed32544d48a472a98c4e1fc7e097cb4" PartId="434ccc1930fd49a8ac965aec9c84d4c9"/>
      <Part Type="papunktis" Nr="14.3" Abbr="1 pr. 14.3 pp." DocPartId="62d27c1952c146a68bca3a58f89001cc" PartId="1eba73668a4843ec8df5f93da8627c66"/>
      <Part Type="papunktis" Nr="14.4" Abbr="1 pr. 14.4 pp." DocPartId="20b4a78b8c03444cb344fcd86c55a7e9" PartId="447b883b4aaf491c8031b0af9239085d"/>
      <Part Type="papunktis" Nr="14.5" Abbr="14.5 pp." DocPartId="9611f7987d5c40a48911edbfafbd7919" PartId="8602e09530594c3aac5036e2379ab043"/>
    </Part>
    <Part Type="punktas" Nr="15" Abbr="1 pr. 15 p." DocPartId="58dd7f1413c74807a09a5a19aa65fe29" PartId="f03bbd39738048da8e68e13280e791df">
      <Part Type="papunktis" Nr="15.1" Abbr="1 pr. 15.1 pp." DocPartId="3f3805368ad547f4884cbffd9c188d1b" PartId="6a7bd34340f1499494ccbbcc639dde8d"/>
      <Part Type="papunktis" Nr="15.2" Abbr="1 pr. 15.2 pp." DocPartId="90ff25ad24a543d9bed3e7d8d28041bd" PartId="12b4699c87b94a31bc745044c21e4fd8"/>
      <Part Type="papunktis" Nr="15.3" Abbr="1 pr. 15.3 pp." DocPartId="bc4292519813454cbdcbb9e519a2547b" PartId="8e292a3c71ae48069a90be264475b9d3"/>
    </Part>
    <Part Type="punktas" Nr="16" Abbr="1 pr. 16 p." DocPartId="63676032549344ca9861e7acc6a1f846" PartId="094da8ad7ac34172bcb3cc67591f7ab5">
      <Part Type="papunktis" Nr="16.1" Abbr="1 pr. 16.1 pp." DocPartId="dcd068c0571549719d73689bfbdaf6c7" PartId="f6aa583bf242404ab951632bde5669ec"/>
      <Part Type="papunktis" Nr="16.2" Abbr="1 pr. 16.2 pp." DocPartId="b4934263c2ea42589f78a539fff1c002" PartId="b15cbedc8be3498fb9cccd2445e01cfc"/>
    </Part>
    <Part Type="punktas" Nr="17" Abbr="17 p." DocPartId="9bc78625b36a48469b1942270153e4c3" PartId="bc7071f15f044816b2f6f172fca4c753"/>
    <Part Type="pabaiga" DocPartId="b62591eea386496aac1bb6b45d6d8d22" PartId="eec6053662354883a5c03cba959c229d"/>
  </Part>
  <Part Type="priedas" Nr="2" Abbr="2 pr." Title="PASTATO ENERGINIO NAUDINGUMO ĮVERTINIMO METODIKA" DocPartId="4bf4b7f575ee492089b8db7f62a87ed9" PartId="42e6f84024404a3e9e4b75e911f67e93">
    <Part Type="skyrius" Nr="1" Title="Bendrosios nuostatos" DocPartId="92afe6ad679046e1ad3a90e286a363ae" PartId="b9c6ccbdc96a40d897f9d5aa1bc9c3b6">
      <Part Type="punktas" Nr="1" Abbr="2 pr. 1 p." DocPartId="357dacd456af4dc8a5990b3b427e2007" PartId="9409ec80dd3649cd936abd393e675233"/>
    </Part>
    <Part Type="skyrius" Nr="2" Title="Atitvaros šiluminės varžos ir šilumos perdavimo koeficiento skaičiavimas" DocPartId="44357d2dab6f4864bcbfd7940858cdbc" PartId="ef4e0c8616a748729674513c19fe14f5">
      <Part Type="punktas" Nr="2" Abbr="2 pr. 2 p." DocPartId="1e898a29dc5148e7b0e56d19f0ca9c91" PartId="026b111bc5ac4f5680817ae2a13881c0"/>
      <Part Type="punktas" Nr="3" Abbr="2 pr. 3 p." DocPartId="6586db99a2074c319e834e951bc36bd9" PartId="ae5863d9f092435d815fc627e4b82bd5"/>
      <Part Type="punktas" Nr="4" Abbr="2 pr. 4 p." DocPartId="2d1e5d54a2ed4184a0cc7101c6679599" PartId="656b62cd3ea24075ab58107e987c52bd"/>
    </Part>
    <Part Type="skyrius" Nr="3" Title="Pastato parametrų nustatymas pagal pastato paskirtį" DocPartId="89339be7fdc549fb8ad6e6283af9411e" PartId="3300a3d47c6e4a479cc5ffa089aefae7">
      <Part Type="punktas" Nr="5" Abbr="2 pr. 5 p." DocPartId="8f721281580a46f2a599f297afcf3c7c" PartId="994669c30de544d19985af7cc5fb51d5"/>
    </Part>
    <Part Type="skyrius" Nr="4" Title="Mėnesinių šilumos nuostolių per pastato sienas skaičiavimas" DocPartId="04f0daca381a43498acb853c94719773" PartId="67063243ed464f24951cab0eafd9106c">
      <Part Type="punktas" Nr="6" Abbr="2 pr. 6 p." DocPartId="0199efbcdfd046769862f9f57d137716" PartId="32099860f34e40699c561d87e390e752"/>
      <Part Type="punktas" Nr="7" Abbr="2 pr. 7 p." DocPartId="e58c2f95c7444b9983370f6c83a2a067" PartId="2de34208b5ce403fb0bbc528f5b3529a"/>
    </Part>
    <Part Type="skyrius" Nr="5" Title="Mėnesinių šilumos nuostolių per pastato stogus skaičiavimas" DocPartId="f64e9c8332d145caa723303c1db7f603" PartId="523c7ad1a84847438524f34c97cdd592">
      <Part Type="punktas" Nr="8" Abbr="2 pr. 8 p." DocPartId="ba278aafc7054ed785f4b2ef46ca4288" PartId="295f925d63634b3c944c4fb8639a0022"/>
      <Part Type="punktas" Nr="9" Abbr="2 pr. 9 p." DocPartId="c08aa055a2c542d4a236fe0c809eebda" PartId="e71f515672374c29b6bc47e77a772518"/>
    </Part>
    <Part Type="skyrius" Nr="6" Title="Mėnesinių šilumos nuostolių per pastato perdangas, kurios ribojasi su išore, skaičiavimas" DocPartId="c1c0a863f99d4e05b55eb7cf95e11a7a" PartId="4f38e21d33874f08be3ea17b0aa32f7e">
      <Part Type="punktas" Nr="10" Abbr="2 pr. 10 p." DocPartId="8163cf972c054344933b96af34b8d692" PartId="44752737cfbc4a1f8902e5fee1c9c752"/>
      <Part Type="punktas" Nr="11" Abbr="2 pr. 11 p." DocPartId="68c6d33668354545b06e3a2b0a95e47c" PartId="f0c5faf0205d44038c08083e4fb1e385"/>
    </Part>
    <Part Type="skyrius" Nr="7" Title="Mėnesinių šilumos nuostolių per pastato atitvaras, kurios ribojasi su gruntu, skaičiavimas" DocPartId="d8d5bd772346451191c975f3fd99372d" PartId="3deeb24504434a0d84b3fe720c5d74e7">
      <Part Type="punktas" Nr="12" Abbr="2 pr. 12 p." DocPartId="996da0a0d68c4b2697bed894ac11e864" PartId="924a35c8b55649e18a439e12e3c5165f"/>
      <Part Type="punktas" Nr="13" Abbr="2 pr. 13 p." DocPartId="3270b2bbc5a548eb9aef968a446f7351" PartId="9fc95a1ac8704a4096d619e4fd6df5bc"/>
      <Part Type="punktas" Nr="14" Abbr="2 pr. 14 p." DocPartId="5c73f1a0d08d447484209ef31e4c3692" PartId="5d4dc3e7990d46a0bccabfdff0dc340e"/>
      <Part Type="punktas" Nr="15" Abbr="2 pr. 15 p." DocPartId="01554554a3fd494c946cc4b64311b126" PartId="876f456c49ef484ea0fda8144f47be08">
        <Part Type="papunktis" Nr="15.1" Abbr="2 pr. 15.1 pp." DocPartId="cd652bca335348cb8594846a4671e664" PartId="07388fdbf2b444c59b4e84e24cdcef74"/>
        <Part Type="papunktis" Nr="15.2" Abbr="2 pr. 15.2 pp." DocPartId="76cb6f85d26941b4bc9d5000bf8f13cf" PartId="c39e88d2dc6c46abb8e47bc3f6ccb828"/>
      </Part>
      <Part Type="punktas" Nr="16" Abbr="2 pr. 16 p." DocPartId="bb847e39b530499abcc454be138c75f4" PartId="f11abcfbf9fb4bc68687809f0ec51db9">
        <Part Type="papunktis" Nr="16.1" Abbr="2 pr. 16.1 pp." DocPartId="ef8e5d9428c749e1adcaa27ae81e7102" PartId="026154ad922b426782b078dab4b5c88f"/>
        <Part Type="papunktis" Nr="16.2" Abbr="2 pr. 16.2 pp." DocPartId="7d0f8078ceed4bacb7ce3b9617266a0b" PartId="887994dda9f54d10ad9f750112c5e169"/>
      </Part>
      <Part Type="punktas" Nr="17" Abbr="2 pr. 17 p." DocPartId="5fd7097ee17d4710a6356f4c669b2086" PartId="bacd817d0e4a48fea8fba5d2a73a8b79">
        <Part Type="papunktis" Nr="17.1" Abbr="2 pr. 17.1 pp." DocPartId="fc3535a73bd242539c2600d9955119d7" PartId="cc98234a39ff4be0ad5e163eabe076e1"/>
        <Part Type="papunktis" Nr="17.2" Abbr="2 pr. 17.2 pp." DocPartId="3733887e11554e17a6e571da2907ae6c" PartId="63f92763ae474cf287a0c735fee062ad"/>
      </Part>
      <Part Type="punktas" Nr="18" Abbr="2 pr. 18 p." DocPartId="93a6afcb05f1413b8ccff0a817c55e83" PartId="d714d32e3f314a45b4713212f12564bb">
        <Part Type="papunktis" Nr="18.1" Abbr="2 pr. 18.1 pp." DocPartId="1ed8352f67e94651b592e9cfb3b1223b" PartId="37978ba9d40f409f84ea8ee0afc64f3c"/>
        <Part Type="papunktis" Nr="18.2" Abbr="2 pr. 18.2 pp." DocPartId="3e5d1e4bd68e466ba969804aea24a3b8" PartId="ea8872b615c34b58948889fc73647fb6"/>
      </Part>
      <Part Type="punktas" Nr="19" Abbr="2 pr. 19 p." DocPartId="f5fabb4442574108a4e02ef4a486dc1d" PartId="d7937f9119fb46999a4357a9503e566a">
        <Part Type="papunktis" Nr="19.1" Abbr="2 pr. 19.1 pp." DocPartId="281e53e1f4804a22ae0ce02ca7585aa8" PartId="1a89a2d9566944c38219b1348ddb992a"/>
        <Part Type="papunktis" Nr="19.2" Abbr="2 pr. 19.2 pp." DocPartId="0718dab54f4742e8ae164792ea6e7897" PartId="20e1bcb83a7048feaee926550e574ef6"/>
      </Part>
    </Part>
    <Part Type="skyrius" Nr="8" Title="Mėnesinių šilumos nuostolių per pastato langus, stoglangius, švieslangius ir kitas skaidrias atitvaras skaičiavimas" DocPartId="435676b12be54739addef09504d32c80" PartId="b6f972cf45b943e1bf568f1e10cef676">
      <Part Type="punktas" Nr="20" Abbr="2 pr. 20 p." DocPartId="fcf5cfab1b344799bdddbbbb900eecec" PartId="3a78d84167d048c2b7eef37b8a8a6b86"/>
      <Part Type="punktas" Nr="21" Abbr="2 pr. 21 p." DocPartId="fe127a49816e415ba7e6e8012d623f59" PartId="b58f9bdc16eb4d748ac4b7a7ae34d458"/>
    </Part>
    <Part Type="skyrius" Nr="9" Title="Mėnesinių šilumos nuostolių per pastato išorines duris ir vartus skaičiavimas" DocPartId="f0a3bdaa109c4e01845c26e6571daa61" PartId="a3a42da937dc4bd8a5f2d0ce794f7efe">
      <Part Type="punktas" Nr="22" Abbr="2 pr. 22 p." DocPartId="c29d5cea55e04e6b82013971ff53eefe" PartId="19e28c636c744a58b364c672d610e367"/>
      <Part Type="punktas" Nr="23" Abbr="2 pr. 23 p." DocPartId="da92d687e3a048788df773fab57245f2" PartId="0bf0b939490446618afd9fbcbfc62697"/>
    </Part>
    <Part Type="skyrius" Nr="10" Title="Mėnesinių šilumos nuostolių per pastato ilginius šiluminius tiltelius skaičiavimas" DocPartId="ef7523fa6f414e5f8630a5cd896483bb" PartId="1f2c3f9877b348c6a71a7fa97b4a433e">
      <Part Type="punktas" Nr="24" Abbr="2 pr. 24 p." DocPartId="89d99718630d4715907d1c59bdb702cd" PartId="6fb3a1f79c9c42b6915873eaae708411"/>
      <Part Type="punktas" Nr="25" Abbr="2 pr. 25 p." DocPartId="df0919953c384136bb2d5f4b8c70fb47" PartId="af4ac2f86e0747f5be03a61a5a68aee9">
        <Part Type="papunktis" Nr="25.1" Abbr="2 pr. 25.1 pp." DocPartId="8c3b6aac34f0458298583484d5688a0e" PartId="7c96354a60e04f048aeb940aab2c55a3"/>
        <Part Type="papunktis" Nr="25.2" Abbr="2 pr. 25.2 pp." DocPartId="20632c9173564303bf983b45561d87a1" PartId="d43874981acc4d32bfa29707cab1720a"/>
      </Part>
    </Part>
    <Part Type="skyrius" Nr="11" Title="Mėnesinių šilumos nuostolių dėl pastato vėdinimo skaičiavimas" DocPartId="bf06d34e923642f6b9ae5f6c68531bca" PartId="510661d5aa6641ec962db217d95a5af6">
      <Part Type="punktas" Nr="26" Abbr="2 pr. 26 p." DocPartId="4cb741d95aac4d59b0b5a065ad89ac98" PartId="9341ed7cf44f46cc960fdefa1e6d2075">
        <Part Type="papunktis" Nr="26.1" Abbr="2 pr. 26.1 pp." DocPartId="5ce9812f1b624cd9bb3ceaa16d511ce4" PartId="2e921fc7f2b94f6d94db8c7bdcbac636"/>
        <Part Type="papunktis" Nr="26.2" Abbr="2 pr. 26.2 pp." DocPartId="378ed6d8a6bc44d9b73e82e280ef77e7" PartId="079e31fa1cd14723ae49e2d310b80bb4"/>
        <Part Type="papunktis" Nr="26.3" Abbr="2 pr. 26.3 pp." DocPartId="6e425328ef444f53af3c978789b6dbd1" PartId="8d57d2ecc2fb458b87864bace42cd236"/>
      </Part>
      <Part Type="punktas" Nr="27" Abbr="2 pr. 27 p." DocPartId="416e07a0744d4d2ca232bb1917bf8244" PartId="568a62cb33c14b8cb54c9bea17475360"/>
      <Part Type="punktas" Nr="28" Abbr="2 pr. 28 p." DocPartId="08b810392e9447cebb3ffa3e3f7b4b84" PartId="53fa58d9968649a7a92b834d31240ded">
        <Part Type="papunktis" Nr="28.1" Abbr="2 pr. 28.1 pp." DocPartId="dd802660b1044b949a808f795a6d124b" PartId="5bcb7aa5dfda4e1aa87af9f917705150"/>
        <Part Type="papunktis" Nr="28.2" Abbr="2 pr. 28.2 pp." DocPartId="affdc05dab6b4ab6acf8707135d93266" PartId="3dd4d89fb1164e56af0d0597bd409ada"/>
        <Part Type="papunktis" Nr="28.3" Abbr="2 pr. 28.3 pp." DocPartId="6fcc0aa33a2b4e08862dc3234ef8f510" PartId="2b3232b903b7471b9e76e335693bd190"/>
      </Part>
      <Part Type="punktas" Nr="29" Abbr="2 pr. 29 p." DocPartId="fbcd19d31b3247d7bb66ae545006530e" PartId="467b3a7c4fb244f090477221eebbec9d"/>
    </Part>
    <Part Type="skyrius" Nr="12" Title="Vėdinimo sistemų su oro pašildymu mėnesinių šiluminės energijos sąnaudų pastatui šildyti skaičiavimas" DocPartId="f72188694d2a4f869122cd24e2fbf3d3" PartId="114f378068f54b02bbd1798d1d64bb24">
      <Part Type="punktas" Nr="30" Abbr="2 pr. 30 p." DocPartId="7c0a3183dcb3495293ef9bbd70f639a0" PartId="4b84196053b8425f8da87a72fef82b92"/>
      <Part Type="punktas" Nr="31" Abbr="2 pr. 31 p." DocPartId="fb9811386fde476eb674abc26ae65db4" PartId="f7173c7402164a1d874033f800b8fef4"/>
    </Part>
    <Part Type="skyrius" Nr="13" Title="Pastato savitųjų šilumos nuostolių skaičiavimas" DocPartId="f811076b4a3f4e65b9d70cf2085b296a" PartId="3596243690b1453faaa50ac5c84a410a">
      <Part Type="punktas" Nr="32" Abbr="2 pr. 32 p." DocPartId="ced176975951401f9baeadb4d97e0638" PartId="966f6be9e5b84fa3aa382a611543b601"/>
      <Part Type="punktas" Nr="33" Abbr="2 pr. 33 p." DocPartId="e144a15a18ca47b29596a77c801701ac" PartId="86163cb067624b4b81913b32a2114815"/>
    </Part>
    <Part Type="skyrius" Nr="14" Title="Mėnesinių elektros energijos sąnaudų skaičiavimas" DocPartId="21928b5057cd4472a19f82dae1a97c36" PartId="cfd29a29b5d44f66aef6c325606f5162">
      <Part Type="punktas" Nr="34" Abbr="2 pr. 34 p." DocPartId="482e2ca209744c7b8d5d6fe8069a616e" PartId="27b7e4a420484923a61d43cdfe74228b">
        <Part Type="papunktis" Nr="34.1" Abbr="2 pr. 34.1 pp." DocPartId="41f4dfdbff004061a4705e15530a638d" PartId="13e0668b215a4df4a0d9a92cdbf5dab8"/>
        <Part Type="papunktis" Nr="34.2" Abbr="2 pr. 34.2 pp." DocPartId="193841f6e85740bc85505311ce9b6bd4" PartId="7f867309b0384fd6a163e6c128c17c81"/>
        <Part Type="papunktis" Nr="34.3" Abbr="2 pr. 34.3 pp." DocPartId="072ffdb49db646388349a4db8fb14b69" PartId="d02e97c3c85b4fd3b86c25af35dcfe2e"/>
        <Part Type="papunktis" Nr="34.4" Abbr="2 pr. 34.4 pp." DocPartId="8e9441da1b094e5d9d833b03e4be1424" PartId="94801e8af15b426b83b40a4478001690"/>
      </Part>
      <Part Type="punktas" Nr="35" Abbr="2 pr. 35 p." DocPartId="95f944b22fd74e3d9f9761f84feb931c" PartId="e421960e1d0940dfb423052c57c2c356"/>
      <Part Type="punktas" Nr="36" Abbr="2 pr. 36 p." DocPartId="a951502f4f944409a5982822cb0e8cb7" PartId="44bdd88dec8f437fb799bbee0c98fdfb"/>
      <Part Type="punktas" Nr="37" Abbr="2 pr. 37 p." DocPartId="7cbb1ffb0c9f487ba9419e1653700256" PartId="b7e91d61ca7b493796b36b8e4234a724"/>
      <Part Type="punktas" Nr="38" Abbr="2 pr. 38 p." DocPartId="2357f6fd526c494f80094175d8ff995d" PartId="42ae43fe89ca43f99c6006a611b835ce"/>
    </Part>
    <Part Type="skyrius" Nr="15" Title="Mėnesinių energijos sąnaudų karštam vandeniui ruošti skaičiavimas" DocPartId="988f0451bee642d7a056a658b49467c0" PartId="bbc06d4cd4474d7f8f83de168e1b8d11">
      <Part Type="punktas" Nr="39" Abbr="2 pr. 39 p." DocPartId="1ec6fd19c23d41b68de2ed85af76907b" PartId="9fd64f0ec9d84c6a85ce658ad92a7b0c">
        <Part Type="papunktis" Nr="39.1" Abbr="2 pr. 39.1 pp." DocPartId="fa676ee47edd4adbbba13ec9164d5ee1" PartId="3b9dc86e0b594993ac31371bffe66ae8"/>
        <Part Type="papunktis" Nr="39.2" Abbr="2 pr. 39.2 pp." DocPartId="eb2074d13d30494ebd5cd5c57fcf5778" PartId="afaae4c4f788485bb58886b2a1083fee"/>
        <Part Type="papunktis" Nr="39.3" Abbr="2 pr. 39.3 pp." DocPartId="15a57b2f33e344819340addcdc7dd54a" PartId="6263b315385c4a8bbc5f7e7c6b45e37d">
          <Part Type="papunktis" Nr="39.3.1" Abbr="2 pr. 39.3.1 pp." DocPartId="7fe7669e1cfe4361a5f0e78c5bcdbb2a" PartId="3e2fa7e5e9844635810605ff255c778f"/>
          <Part Type="papunktis" Nr="39.3.2" Abbr="2 pr. 39.3.2 pp." DocPartId="67fe4e353ee6404d9798da9466c61b12" PartId="58cae6ba18be4d92b24e55b24ca6ee62"/>
          <Part Type="papunktis" Nr="39.3.3" Abbr="2 pr. 39.3.3 pp." DocPartId="d3e32d004ea840d8add8b9f3130c1b74" PartId="b653b967e59a4d11ab7bc4bc6500b80d"/>
          <Part Type="papunktis" Nr="39.3.4" Abbr="2 pr. 39.3.4 pp." DocPartId="c04f27647dc046bba66f5ec970e33591" PartId="31f45b86659c412a9c6a4920e032f952"/>
          <Part Type="papunktis" Nr="39.3.5" Abbr="2 pr. 39.3.5 pp." DocPartId="e7f040d03bc34108868f1e320c67ca6b" PartId="f90b4d6beefe4daf9201ddd178abc74a"/>
          <Part Type="papunktis" Nr="39.3.6" Abbr="2 pr. 39.3.6 pp." DocPartId="65972d2856274527b5b1df50131b03a1" PartId="70b17db5075942229c304242f26601d4"/>
          <Part Type="papunktis" Nr="39.3.7" Abbr="2 pr. 39.3.7 pp." DocPartId="fd0020e7a84045d1bdd2d521b0fda209" PartId="b038ba8e0d1c407b897501f438ed822a"/>
          <Part Type="papunktis" Nr="39.3.8" Abbr="2 pr. 39.3.8 pp." DocPartId="07fbf31370054b09a58bc0f75461b2d4" PartId="de41c9209e8d4e218ac5a17feaee0911"/>
        </Part>
        <Part Type="papunktis" Nr="39.4" Abbr="2 pr. 39.4 pp." DocPartId="b8ce320ef63841c3a5289b93bc35992a" PartId="98628ce67d2b47e9b7d1d5be3c8a0e40"/>
      </Part>
      <Part Type="punktas" Nr="40" Abbr="2 pr. 40 p." DocPartId="2e0905a35b29418da89608006f59c13b" PartId="1991a0986f604201a21f753532de5b01"/>
      <Part Type="punktas" Nr="41" Abbr="2 pr. 41 p." DocPartId="af6c5d5c5ed84a559a04616779b25024" PartId="97194ac3d12546ad83ed3cd74b410ae0">
        <Part Type="papunktis" Nr="41.1" Abbr="2 pr. 41.1 pp." DocPartId="17c0d6460c214c9c9006da5ef18455ad" PartId="bd51b467ca1d49329ecea2b4875d11a3"/>
        <Part Type="papunktis" Nr="41.2" Abbr="2 pr. 41.2 pp." DocPartId="734ec949617643b79bf47b9400993df5" PartId="3dc7eeae64654471a33fc11f6b9757fc"/>
        <Part Type="papunktis" Nr="41.3" Abbr="2 pr. 41.3 pp." DocPartId="308036d3440544468ebf06c0d566d8ca" PartId="7aa7beaa59e846fdb29a8e6cfba9d6ad"/>
        <Part Type="papunktis" Nr="41.4" Abbr="2 pr. 41.4 pp." DocPartId="452cb2a0021d4abd9848d26834351058" PartId="79d8ea86f81e4ba5a72673346107bb1a"/>
      </Part>
      <Part Type="punktas" Nr="42" Abbr="2 pr. 42 p." DocPartId="b237782ee3504c91a71771773a1ddbdc" PartId="7eb6e450f37e4296aa97b2dfcbbbfcb4">
        <Part Type="papunktis" Nr="42.1" Abbr="2 pr. 42.1 pp." DocPartId="283590afdd3848f6a21576bbe8c5c063" PartId="5d5dc1c933ac4253b48ef01c3c59fac8"/>
        <Part Type="papunktis" Nr="42.2" Abbr="2 pr. 42.2 pp." DocPartId="1316dde8716043e1ad18025d95ca07de" PartId="e2f8ebcf840b4f04ba6f4b32759a75f2"/>
        <Part Type="papunktis" Nr="42.3" Abbr="2 pr. 42.3 pp." DocPartId="9eb9cc2a48bb459d97d4e87444849b6e" PartId="e4ec22aef600479c9dbf61ffc3e20bf9"/>
        <Part Type="papunktis" Nr="42.4" Abbr="2 pr. 42.4 pp." DocPartId="00cd6cf4c06d4a38bbfc4dad6dba23fa" PartId="0850511f64814d5ca32ac6de0997dd8b"/>
      </Part>
      <Part Type="punktas" Nr="43" Abbr="2 pr. 43 p." DocPartId="32d7a384add64c06a4b08d704aa6da9e" PartId="bf1559a0abea4277bc6782c48036d628"/>
    </Part>
    <Part Type="skyrius" Nr="16" Title="Mėnesinių šilumos pritekėjimų iš išorės skaičiavimas" DocPartId="ce26466d9cfe4a38bd6a3807a051f74e" PartId="1879314f570c4e18ac9b19eab77f7ccf">
      <Part Type="punktas" Nr="44" Abbr="2 pr. 44 p." DocPartId="2e1b38ab246643c896cfce9d3b052449" PartId="00821330589e4b829036c02e69fb5465"/>
      <Part Type="punktas" Nr="45" Abbr="2 pr. 45 p." DocPartId="1cfa63c05418400d941650b7ea139312" PartId="ef6cb889156d44ef9566b6184c7a9780"/>
      <Part Type="punktas" Nr="46" Abbr="2 pr. 46 p." DocPartId="42d9349b7f7245e395da343f7102a62e" PartId="12c05f23eff44fd789f6dd2d2b524088">
        <Part Type="papunktis" Nr="46.1" Abbr="2 pr. 46.1 pp." DocPartId="69b03208aca841278f11eb008b3f2fe5" PartId="6cbc5f0703ed40869b8bde96514a8273"/>
        <Part Type="papunktis" Nr="46.2" Abbr="2 pr. 46.2 pp." DocPartId="18d7a44c5ebb4995b921d88e2d662866" PartId="1d35fe5dc15542c48a28eae51a901886"/>
      </Part>
      <Part Type="punktas" Nr="47" Abbr="2 pr. 47 p." DocPartId="8661c0eb92b64cbc85247c704d08ea01" PartId="3ae914bb2d8b43ae933748c0b603b893">
        <Part Type="papunktis" Nr="47.1" Abbr="2 pr. 47.1 pp." DocPartId="560fda744fc8416f89a9502ca5d7a826" PartId="3c9832cab0a34d48921ef4b24bfdf3ef"/>
      </Part>
    </Part>
    <Part Type="skyrius" Nr="17" Title="Vidinių šilumos išsiskyrimų skaičiavimas" DocPartId="8a47c7ec965f4738aef0db6caa868cb4" PartId="cc8688ea1a474d32b6db582ba70e7a37">
      <Part Type="punktas" Nr="48" Abbr="2 pr. 48 p." DocPartId="49717704b7c647f497317d0689f66c82" PartId="8d5bfa3c426c420a8cc00dde7c41cbc9"/>
    </Part>
    <Part Type="skyrius" Nr="18" Title="Mėnesinių šilumos poreikių pastatui šildyti skaičiavimas" DocPartId="377937c9cebc41afb93614a866a392c7" PartId="d19d8293f77a4657af485802c78850f2">
      <Part Type="punktas" Nr="49" Abbr="2 pr. 49 p." DocPartId="a66466bdb6204256a426ded356d554f0" PartId="c7fb616458794122a35ee857db0df349"/>
    </Part>
    <Part Type="skyrius" Nr="19" Title="Mėnesinių šiluminės energijos poreikių pastatui vėsinti skaičiavimas" DocPartId="b34ffdd15e4344b09834fdc2252e74a6" PartId="8de4e0412307488a8443a2290cd09d20">
      <Part Type="punktas" Nr="50" Abbr="2 pr. 50 p." DocPartId="070ba45e277648ab83ade0347893319a" PartId="dfbac3330b16456aa6ba46fedf8883db"/>
    </Part>
    <Part Type="skyrius" Nr="20" Title="NEATSINAUJINANČIOS PIRMINĖS ENERGIJOS SĄNAUDŲ PASTATE, SUSIJUSIŲ SU ENERGIJOS GAMYBA SAULĖS KOLEKTORIUOSE IR VĖJO ELEKTRINĖSE, SKAIČIAVIMAS" DocPartId="36fe39bb01c649b7aafca576c338075a" PartId="5557ce73ce6f4a2ebb88b23798ffab42">
      <Part Type="punktas" Nr="51" Abbr="2 pr. 51 p." DocPartId="610f830cb19944778332e817d329db4c" PartId="2e70d030de81423883191e8d5fa13292">
        <Part Type="papunktis" Nr="51.1" Abbr="2 pr. 51.1 pp." DocPartId="1e10b27e8e864b00bf7e2278ef57dd04" PartId="e97a4ed85c194909be188c31a33f26fe"/>
        <Part Type="papunktis" Nr="51.2" Abbr="2 pr. 51.2 pp." DocPartId="9c7f35347ad2405db91b286f52de0a4d" PartId="6078c4f987244b668126dbda665e1ef7"/>
        <Part Type="papunktis" Nr="51.3" Abbr="2 pr. 51.3 pp." DocPartId="e47cf19e11624471ac009a5221e7bfd1" PartId="e5000ce7f45748baa755805d3a7265d9"/>
        <Part Type="papunktis" Nr="51.4" Abbr="2 pr. 51.4 pp." DocPartId="411b490a91ee424191bf5fd12d6f5669" PartId="69576d2dc1354fa88415fd683a62c281"/>
        <Part Type="papunktis" Nr="51.5" Abbr="2 pr. 51.5 pp." DocPartId="fbc54685bf6a47c59d9a6c19e8c97c81" PartId="2682897b4c6946b8a07650148c9ec837"/>
        <Part Type="papunktis" Nr="51.6" Abbr="2 pr. 51.6 pp." DocPartId="e1d700751c4a4a72b0280d4cfd499203" PartId="4dd2b5c2b5434075b9ccec495c5c724f"/>
        <Part Type="papunktis" Nr="51.7" Abbr="2 pr. 51.7 pp." DocPartId="f9e0f24765e347f7be442e36c5858bc9" PartId="2b87c2388ebc40ddbb3c3b7239a2c750"/>
      </Part>
      <Part Type="punktas" Nr="52" Abbr="2 pr. 52 p." DocPartId="c303c315d41847f6b0d8195d9adb4c50" PartId="abfce0aa08c24ec384bca2b12972ba40">
        <Part Type="papunktis" Nr="52.1" Abbr="2 pr. 52.1 pp." DocPartId="62c56d6c5afc4bcaa6d0f357491ba2aa" PartId="f08eb87c811149bfb172c76525bc1824"/>
        <Part Type="papunktis" Nr="52.2" Abbr="2 pr. 52.2 pp." DocPartId="574edb63475d43bda94025a7e65cdef6" PartId="78c616419560478ba7e04932117212df"/>
        <Part Type="papunktis" Nr="52.3" Abbr="2 pr. 52.3 pp." DocPartId="dd28117ec9cc43139d8466e759725969" PartId="875eed4cdcff459fb7acea619e0bdd3d"/>
        <Part Type="papunktis" Nr="52.4" Abbr="2 pr. 52.4 pp." DocPartId="4db1c0dc58db4c7dae6343f8d281c27d" PartId="f695a98e4ded4cbc9ad48ca552728973"/>
        <Part Type="papunktis" Nr="52.5" Abbr="2 pr. 52.5 pp." DocPartId="a0b590e5afaf4efe9cc1e4d8e1aea5bb" PartId="3775422a2a8143c88ccbd2d5d5540044"/>
        <Part Type="papunktis" Nr="52.6" Abbr="2 pr. 52.6 pp." DocPartId="1794bbbd29ce44c2b38a4c9be0b3b2fd" PartId="addb8295000d461697b666cf443e975e"/>
        <Part Type="papunktis" Nr="52.7" Abbr="2 pr. 52.7 pp." DocPartId="6bdc36e80f384706895b5055fdfd42ed" PartId="b2ed941419d04e589f86eb1b47e87b16"/>
      </Part>
      <Part Type="punktas" Nr="53" Abbr="2 pr. 53 p." DocPartId="aa6448c68be44757a6fc95efcf7e3c8f" PartId="f615497f9da843ebbfcc0aebb37381ad">
        <Part Type="papunktis" Nr="53.1" Abbr="2 pr. 53.1 pp." DocPartId="19c35ed9443c4daea2d56f27fe39f91f" PartId="bd9f872246d3454ca906049afbeb38da"/>
        <Part Type="papunktis" Nr="53.2" Abbr="2 pr. 53.2 pp." DocPartId="57a007d013d2412fbd61f4f41b2369df" PartId="7a42308a69064ef1bf3ad44c8cda7177"/>
        <Part Type="papunktis" Nr="53.3" Abbr="2 pr. 53.3 pp." DocPartId="259cc13fc6594e8fb7f6be7e72b12473" PartId="e9487d8743df4140b7ecd4f0c1e993af"/>
        <Part Type="papunktis" Nr="53.4" Abbr="2 pr. 53.4 pp." DocPartId="4af790a67e6e468ca887590e4d2c99e2" PartId="5465cdae4ccd44329e3ebdf9668099b0"/>
        <Part Type="papunktis" Nr="53.5" Abbr="2 pr. 53.5 pp." DocPartId="763a80901ac64cfebd5728ab3c237344" PartId="a5a4e62591a9445b8bd8fb65bef0e0ee"/>
        <Part Type="papunktis" Nr="53.6" Abbr="2 pr. 53.6 pp." DocPartId="11d7e283afbb4d128962d0a259920d18" PartId="f1fd7305f6c24d5b850c4585f2e282eb"/>
        <Part Type="papunktis" Nr="53.7" Abbr="2 pr. 53.7 pp." DocPartId="d59fd2b49af643f981494627c5408016" PartId="42764c4ec34647dd96c88dd288cd446b"/>
        <Part Type="papunktis" Nr="53.8" Abbr="2 pr. 53.8 pp." DocPartId="3d21eb2a764545f7842048c02cc6eb73" PartId="b5f6fe472f924a39a7dfa491000ff6f3"/>
        <Part Type="papunktis" Nr="53.9" Abbr="2 pr. 53.9 pp." DocPartId="9b5fefec37804e0ab17a998715e93897" PartId="fc407ae93afc41a784665b69ac1aae68"/>
        <Part Type="papunktis" Nr="53.10" Abbr="2 pr. 53.10 pp." DocPartId="c72de3298182445c8fefa6809ebb307d" PartId="b644845c31b24ff99aa34e161b23806c"/>
        <Part Type="papunktis" Nr="53.11" Abbr="2 pr. 53.11 pp." DocPartId="c6acaa263445475bbfcfb97f2fc5d282" PartId="168c356a8bfb492eac777981bc751326"/>
        <Part Type="papunktis" Nr="53.12" Abbr="2 pr. 53.12 pp." DocPartId="65f6c379216041dfbdd0da1964be5bee" PartId="c6adb7b5d5b84bde9b5a928195d74acf"/>
        <Part Type="papunktis" Nr="53.13" Abbr="2 pr. 53.13 pp." DocPartId="0117c6fadeb04323a81640a31628c91a" PartId="e3f63db8e31b40019e5b5223947db806"/>
        <Part Type="papunktis" Nr="53.14" Abbr="2 pr. 53.14 pp." DocPartId="eb9275d8dc96476bb53e015bf88f0f3a" PartId="cecde970f5a74314ba5910f3d0b91333"/>
      </Part>
      <Part Type="punktas" Nr="54" Abbr="2 pr. 54 p." DocPartId="ae413a81689d4285a92dd7f87ce1d42b" PartId="c6a39b490ee34c67a397bcb2547583e8">
        <Part Type="papunktis" Nr="54.1" Abbr="2 pr. 54.1 pp." DocPartId="4a9689faad714089a2307a408865b8a1" PartId="ad61e62021a14895a59650c93c77cfa6"/>
        <Part Type="papunktis" Nr="54.2" Abbr="2 pr. 54.2 pp." DocPartId="363544f6fc9243d684a23d5925d90c21" PartId="cee4ac09f8234fe1bc87a026514bab16"/>
      </Part>
      <Part Type="punktas" Nr="55" Abbr="2 pr. 55 p." DocPartId="5e79279d7e6643d3b8b93b65c3a4c5c1" PartId="871d4e51d82146008524b2fc8fd21580">
        <Part Type="papunktis" Nr="55.1" Abbr="55.1 pp." DocPartId="adae7d55a1be4ec8a3e60aa732d955b0" PartId="12fdafa68cbd438fb967fe741399e8b0"/>
      </Part>
      <Part Type="punktas" Nr="56" Abbr="2 pr. 56 p." DocPartId="e4d0884db14743f8b6d7e9a1f23ef043" PartId="60dc692551384acd80ee8e6156c2073c">
        <Part Type="papunktis" Nr="56.1" Abbr="56.1 pp." DocPartId="5e11fe29563648d2b94c9b68bdff9c70" PartId="d3678afcf99b434a80f3822e63defc49"/>
      </Part>
      <Part Type="punktas" Nr="57" Abbr="2 pr. 57 p." DocPartId="d413cda84cd045aa8fb5f1c216f1d2b1" PartId="99a4c5d863214ca7b3afe8e23d972cbd">
        <Part Type="papunktis" Nr="57.1" Abbr="2 pr. 57.1 pp." DocPartId="f518cac770ea47ba8de581581778db2f" PartId="fc5adf6cc04c427eb378e563ca04c135"/>
        <Part Type="papunktis" Nr="57.2" Abbr="2 pr. 57.2 pp." DocPartId="cae767113dd742f7aa33b0254ea9c4b3" PartId="d98e2f446ca445a28899655bc5e51dd8"/>
        <Part Type="papunktis" Nr="57.3" Abbr="2 pr. 57.3 pp." DocPartId="850f04f6fac748e496d005234bf22ad5" PartId="335db32710d147a69634f0d787dec9a1"/>
        <Part Type="papunktis" Nr="57.4" Abbr="2 pr. 57.4 pp." DocPartId="2c285f32406347f7831ffcaafd9a747a" PartId="cfb3ffe499474225ba366c37d529e379"/>
        <Part Type="papunktis" Nr="57.5" Abbr="2 pr. 57.5 pp." DocPartId="0297f9497a0841548dc1fe876a3cf2de" PartId="5550965d8749403b8e6309f78f8a8843"/>
      </Part>
      <Part Type="punktas" Nr="58" Abbr="2 pr. 58 p." DocPartId="9138dab9130142048adc384dceef9db1" PartId="2fa2491e73b0497894eb49182a262a36">
        <Part Type="papunktis" Nr="58.1" Abbr="2 pr. 58.1 pp." DocPartId="f2bb5e910dd0451dba19f6b127dc3117" PartId="d591ffc5fcd9486f9ff9b376d22030a2"/>
        <Part Type="papunktis" Nr="58.2" Abbr="2 pr. 58.2 pp." DocPartId="7e2b047ca1ae4645810a4bb560c73337" PartId="a05e4797b1854e8c919be3a68337c497"/>
        <Part Type="papunktis" Nr="58.3" Abbr="2 pr. 58.3 pp." DocPartId="9907296fcc4845949853efb667c1464e" PartId="570e868574c44a509a0e0d0abb1a91d8"/>
        <Part Type="papunktis" Nr="58.4" Abbr="2 pr. 58.4 pp." DocPartId="aad4e881b3ae43389efbe8acb7753d36" PartId="933e14f8266d49248e17b789f637e4c9"/>
        <Part Type="papunktis" Nr="58.5" Abbr="2 pr. 58.5 pp." DocPartId="72495af9b06e488e914a2b9c378332e6" PartId="efccd6bd1eeb45ebb9c727df2229fe89"/>
      </Part>
      <Part Type="punktas" Nr="59" Abbr="2 pr. 59 p." DocPartId="fa9fdad709214acdbd98ede0decafe50" PartId="c0156c35273c4e0599a85bd9f0d2f22e">
        <Part Type="papunktis" Nr="59.1" Abbr="2 pr. 59.1 pp." DocPartId="fddedd5155544a338b8fce62b90b992c" PartId="de1fd9bd346a499a9a20cf4c799b3184"/>
        <Part Type="papunktis" Nr="59.2" Abbr="2 pr. 59.2 pp." DocPartId="3645a2731c4048d9b47a571ec17a653a" PartId="f9945835324c47d08cb4185e8456191f"/>
        <Part Type="papunktis" Nr="59.3" Abbr="2 pr. 59.3 pp." DocPartId="8fcac1eba9594b028a5e1d08d5a31f02" PartId="e62a129ce62f415fb19c4f13d141775d"/>
        <Part Type="papunktis" Nr="59.4" Abbr="2 pr. 59.4 pp." DocPartId="ffac368e04f843e78e76e9ce5eec0ee9" PartId="6ca585c786df42ae9e520bb85905084e"/>
        <Part Type="papunktis" Nr="59.5" Abbr="2 pr. 59.5 pp." DocPartId="82fbef705ce5483f859be1a0b8858813" PartId="7b68eff5cdba41fea7bb389706e16aa9"/>
        <Part Type="papunktis" Nr="59.6" Abbr="2 pr. 59.6 pp." DocPartId="3f06ce8c11614fcc96843fe1d52f8995" PartId="d3a6bfddd6804bba8cfafba0b3129049"/>
        <Part Type="papunktis" Nr="59.7" Abbr="2 pr. 59.7 pp." DocPartId="d67b28db9787448db4304a093c807c35" PartId="d7bf60ab76ff425598d9c82bdf2a146d"/>
      </Part>
      <Part Type="punktas" Nr="60" Abbr="2 pr. 60 p." DocPartId="c6b275feb5b2400cbba1252d8a9e68bc" PartId="be26ad4f62ce4f69a53dada7c2acd1d7">
        <Part Type="papunktis" Nr="60.1" Abbr="2 pr. 60.1 pp." DocPartId="44c0eaa9c4b64e5db52e3cf17debcc2e" PartId="f258fa49bccb4862b40efbc50289cad4"/>
        <Part Type="papunktis" Nr="60.2" Abbr="2 pr. 60.2 pp." DocPartId="247b2a19415449aa92a73a7518684908" PartId="111a3db0e35243ddaa5dc5b6cebcd213"/>
        <Part Type="papunktis" Nr="60.3" Abbr="2 pr. 60.3 pp." DocPartId="1da335f3444c46aaa661032af997d550" PartId="76894fcd5a61461fa9489230696b981e"/>
        <Part Type="papunktis" Nr="60.4" Abbr="2 pr. 60.4 pp." DocPartId="07d146c226b348a28083956d3ec74c13" PartId="78c32764ff844686ac317014ce7358ad"/>
        <Part Type="papunktis" Nr="60.5" Abbr="2 pr. 60.5 pp." DocPartId="b9ce089212c148118dc0bea4e8c10315" PartId="cb228d85b79243a9aab6ed22995fcf1c"/>
        <Part Type="papunktis" Nr="60.6" Abbr="2 pr. 60.6 pp." DocPartId="3c40690c94584e4a986070aa36fdc349" PartId="cf9cde769d76425e9e353559b02bc0b4"/>
        <Part Type="papunktis" Nr="60.7" Abbr="2 pr. 60.7 pp." DocPartId="bd19f4f6ce464923869d20ee0a9bf333" PartId="c62a63193b1942b5b59a72b267db0761"/>
        <Part Type="papunktis" Nr="60.8" Abbr="2 pr. 60.8 pp." DocPartId="477a2089c121438caad42aee8dd9bb29" PartId="90ae0dfe53ff4819941ac730799e8a01"/>
      </Part>
      <Part Type="punktas" Nr="61" Abbr="2 pr. 61 p." DocPartId="e1f809cc47204662bddcfd0b7e378710" PartId="287e6dcb3bf440f9b357b24d76d78944">
        <Part Type="papunktis" Nr="61.1" Abbr="2 pr. 61.1 pp." DocPartId="4a6a707e88d5427985e833d748641c40" PartId="8d4d2a49e24b49148c1fb4f61747bda6"/>
        <Part Type="papunktis" Nr="61.2" Abbr="2 pr. 61.2 pp." DocPartId="feb111ecf4b94a04b00cb3456715331f" PartId="913f752ea7494a56bcdfd1480facff3c"/>
        <Part Type="papunktis" Nr="61.3" Abbr="2 pr. 61.3 pp." DocPartId="d0a8d758a8fa4b90868c591816caed79" PartId="d833bc2bd91340b2abd87efe20255bd1"/>
        <Part Type="papunktis" Nr="61.4" Abbr="2 pr. 61.4 pp." DocPartId="3554f2bea1314f7da4e2b5da027b4417" PartId="42eb6472e85a44cfa16dc39fe553b24e"/>
        <Part Type="papunktis" Nr="61.5" Abbr="2 pr. 61.5 pp." DocPartId="a3685231124c49938dd7ede78addd4c9" PartId="d07a5f03641e4d4586b3772aa290ea8a"/>
        <Part Type="papunktis" Nr="61.6" Abbr="2 pr. 61.6 pp." DocPartId="79ccdbd3b3584e58aa4b8bec9c694d60" PartId="2cf588c1a27f44c882eb82b4d57848a3"/>
      </Part>
      <Part Type="punktas" Nr="62" Abbr="2 pr. 62 p." DocPartId="ec162d7313ae46a68c60b8ed31389732" PartId="97aa58a1f97c48f6a58790f2f1dccaa7">
        <Part Type="papunktis" Nr="62.1" Abbr="2 pr. 62.1 pp." DocPartId="2de6f8b8fe3245018cf701f173859b29" PartId="1bdf25106bf046f695fca4b96f41621f"/>
        <Part Type="papunktis" Nr="62.2" Abbr="2 pr. 62.2 pp." DocPartId="2e73418720bc4a778d2f03fa9fbc847a" PartId="4a8e3b86153d4b8e8558a24e67395a34"/>
      </Part>
      <Part Type="punktas" Nr="63" Abbr="2 pr. 63 p." DocPartId="e0f7ee96555e49a6980cf195dd993043" PartId="51b1baef286b4cff9c7223712e30bab2"/>
      <Part Type="punktas" Nr="64" Abbr="2 pr. 64 p." DocPartId="04b41541e6b74a68a6def77ae89f2b80" PartId="3615fb28b5bc43878d9bab41daab019c"/>
      <Part Type="punktas" Nr="65" Abbr="2 pr. 65 p." DocPartId="218998329802474a8821de7a854547e9" PartId="9e92060be6a84c48b647e47acdd526b1">
        <Part Type="papunktis" Nr="65.1" Abbr="2 pr. 65.1 pp." DocPartId="9f47f666467e4d999ce5cd47a34813d6" PartId="704e8fcd3473427384e15408ca89493b"/>
        <Part Type="papunktis" Nr="65.2" Abbr="2 pr. 65.2 pp." DocPartId="abc76bf88b6c43fa9639d1cc8587d837" PartId="74a4b227844c453fbc3899f7021f21f4"/>
        <Part Type="papunktis" Nr="65.3" Abbr="2 pr. 65.3 pp." DocPartId="88c2965968dd442286d256632337afbe" PartId="96ec0084031d4b189203980d27cffb31"/>
      </Part>
      <Part Type="punktas" Nr="66" Abbr="2 pr. 66 p." DocPartId="8226bf604eab4b418182664fc38b6dbd" PartId="c985d3b9a69a404f8cee180b96b400b4">
        <Part Type="papunktis" Nr="66.1" Abbr="2 pr. 66.1 pp." DocPartId="4fb99e4fbe8f45f4a7159348bfb4e3a3" PartId="fd0b41aa30fc416b9aa0c096af3205fa"/>
        <Part Type="papunktis" Nr="66.2" Abbr="2 pr. 66.2 pp." DocPartId="9f85a906b7ad415a9840dffdb623a2f8" PartId="f206d7f9e914458fbc7425a113a97670"/>
      </Part>
      <Part Type="punktas" Nr="67" Abbr="2 pr. 67 p." DocPartId="03f3d9754344429f8555c72f77d9ceb4" PartId="3df2a6e2690f4201a792ec40b7a21f9a">
        <Part Type="papunktis" Nr="67.1" Abbr="2 pr. 67.1 pp." DocPartId="7677ee9fa34748228838e01c9a8b5be8" PartId="7b8d65854dde4c2d87f9630b4c5500c0"/>
        <Part Type="papunktis" Nr="67.2" Abbr="2 pr. 67.2 pp." DocPartId="2e11459720ac45dca40104b6688bdd89" PartId="aca40f5b717849e19ba0f2de646c255b"/>
      </Part>
      <Part Type="punktas" Nr="68" Abbr="2 pr. 68 p." DocPartId="adfc8dc8eae146e893950c46fb023aee" PartId="a4df6d426cc842269e48b62c779e1ab4">
        <Part Type="papunktis" Nr="68.1" Abbr="2 pr. 68.1 pp." DocPartId="5ac8c923b86445a8829cda77c4e98859" PartId="1d2391aed4d74aa6a612244dde065a01"/>
        <Part Type="papunktis" Nr="68.2" Abbr="2 pr. 68.2 pp." DocPartId="264826d8c22e42c5b392846631252f0a" PartId="5a604504d804480f8fe5b372c31aa398"/>
        <Part Type="papunktis" Nr="68.3" Abbr="2 pr. 68.3 pp." DocPartId="e6f30b3a42be499ab0e4baa0ab757ae3" PartId="2e2d1e3e2777433984fb8470ff4696e8"/>
        <Part Type="papunktis" Nr="68.4" Abbr="2 pr. 68.4 pp." DocPartId="2902fc087bdd429ab754a82aacd8202b" PartId="09b60a7569b4450a85abcc3355c556b8"/>
      </Part>
      <Part Type="punktas" Nr="69" Abbr="2 pr. 69 p." DocPartId="968eb0ce273141feb56a99a27427097f" PartId="951d843364a7444a8ec23410f0522c2c">
        <Part Type="papunktis" Nr="69.1" Abbr="2 pr. 69.1 pp." DocPartId="61992569aa484938b38c3ab895ce7520" PartId="8eaa8ff072ea49cebd917506ec710433"/>
        <Part Type="papunktis" Nr="69.2" Abbr="2 pr. 69.2 pp." DocPartId="f0717c36eb1d41df934601a09fc94d3d" PartId="8db656989f3445049c217b77d7db1789"/>
        <Part Type="papunktis" Nr="69.3" Abbr="2 pr. 69.3 pp." DocPartId="1968e242ff5d4d88bcdf656a1d557263" PartId="996b9229ab8444c3b766964dd50e849d"/>
        <Part Type="papunktis" Nr="69.4" Abbr="2 pr. 69.4 pp." DocPartId="4f145abd66544a67a3a34195e1c7285c" PartId="a9849bfc1972434e8891a4b04a6c910a"/>
        <Part Type="papunktis" Nr="69.5" Abbr="2 pr. 69.5 pp." DocPartId="f82c9b0e32b64df3a9c8b12450ca0b77" PartId="8a22bb55207d405d882aa80ab2f21286"/>
        <Part Type="papunktis" Nr="69.6" Abbr="2 pr. 69.6 pp." DocPartId="41a61e42703a4795b6d46f18040a265f" PartId="e04876ef16dd417c9c19bcee986ddce2"/>
        <Part Type="papunktis" Nr="69.7" Abbr="69.7 pp." DocPartId="995a31a0598148d7932d0fe34d9d4b19" PartId="5ad688ce891f401e8b808340ec9663c3">
          <Part Type="papunktis" Nr="69.7.1" Abbr="69.7.1 pp." DocPartId="163b80fe1aac42bea504a5bba2601bd6" PartId="53a0f4c2731b43f1ab8497b7c0f6a752"/>
          <Part Type="papunktis" Nr="69.7.2" Abbr="69.7.2 pp." DocPartId="9063ceffb15f414f9e4c6a9b978a31bf" PartId="6df88b8eb4064728a749400997e054d5"/>
          <Part Type="papunktis" Nr="69.7.3" Abbr="69.7.3 pp." DocPartId="9e744620f46542eb8abc3ee7015d4390" PartId="be1a45437c8444c88f48b79d78996402"/>
        </Part>
      </Part>
    </Part>
    <Part Type="skyrius" Nr="21" Title="Neatsinaujinančios pirminės energijos ir elektros energijos sąnaudų pastatui vėsinti skaičiavimas" DocPartId="016f9f4b667349b79b79c98641ac5e94" PartId="8da7646fd9364690b3f3e536dafba303">
      <Part Type="punktas" Nr="70" Abbr="2 pr. 70 p." DocPartId="ef5337385a3947eb9ba71d6dde68515a" PartId="49d7ab6e3ecd42cfa414eabc51bb6560">
        <Part Type="papunktis" Nr="70.1" Abbr="70.1 pp." DocPartId="2dfff60904ec456cb5ea44c510bdab4e" PartId="8c39c22204a44f049d29ee8578b4de2b"/>
        <Part Type="papunktis" Nr="70.2" Abbr="70.2 pp." DocPartId="ac5b5389fc8a4c4a89017ff2476cb206" PartId="0ae6d5491d8049188b5d3debaba0bfe2"/>
        <Part Type="papunktis" Nr="70.3" Abbr="70.3 pp." DocPartId="bdceb8919f454bb78f0cf294755157bd" PartId="4022073bd4e845f69736f4dca0e7e43e"/>
        <Part Type="papunktis" Nr="70.4" Abbr="70.4 pp." DocPartId="b1fb1d4c21224fa4b938d3a74691d534" PartId="58cfbe99261944d2a86c251068ed2f28"/>
        <Part Type="papunktis" Nr="70.5" Abbr="70.5 pp." DocPartId="65aad2390426448ca4ffeea39978fbd5" PartId="aaa8cc8846384847a2eea9b1727f5447"/>
        <Part Type="papunktis" Nr="70.6" Abbr="70.6 pp." DocPartId="91831e6d1dde4047bd3740fc240f5957" PartId="d676e4cd49134997ad20c78f2df684f0"/>
        <Part Type="papunktis" Nr="70.7" Abbr="70.7 pp." DocPartId="5aa1321b3c7b4ee1b9141e70990ffee5" PartId="3498ee8c7fba47e0b1888b1091e8bb0b"/>
        <Part Type="papunktis" Nr="70.8" Abbr="70.8 pp." DocPartId="4b993b0d86404137bac187ba84d48f97" PartId="5a9c37c851044bcfa87b0f4b5fffb62a"/>
      </Part>
    </Part>
    <Part Type="skyrius" Nr="22" Title="NEATSINAUJINANČIOS PIRMINĖS ENERGIJOS SĄNAUDŲ PASTATUI ŠILDYTI SKAIČIAVIMAS" DocPartId="b6d4ee05a38c40a1a3fb29238fbdd6a8" PartId="799ea8d1f8ea4ec0ad414dd286a317da">
      <Part Type="punktas" Nr="71" Abbr="2 pr. 71 p." DocPartId="1b3e9dd045f84044abd92d8103fd8762" PartId="e0a81e5961aa45b19a7de78e9731f894">
        <Part Type="papunktis" Nr="71.1" Abbr="71.1 pp." DocPartId="1d2f2466784144afa0a98c401c251258" PartId="36f22cee3d554bccbb8db6e57939071d"/>
        <Part Type="papunktis" Nr="71.2" Abbr="71.2 pp." DocPartId="0e9ceb9a0479483f96000b00d967ae32" PartId="b11b0d751ebe4fdbb0ab44218f7614e7"/>
        <Part Type="papunktis" Nr="71.3" Abbr="71.3 pp." DocPartId="d78c10e71df14cb6942441a315fe1ced" PartId="7c5475a88e9a494cb5429008ff38167f"/>
        <Part Type="papunktis" Nr="71.4" Abbr="71.4 pp." DocPartId="bb66a1e7e328493c867a5c1358104d65" PartId="2170bbd11a7e43a69dd41b0555712682"/>
        <Part Type="papunktis" Nr="71.5" Abbr="71.5 pp." DocPartId="e7200147f3974729832b752587cb17d6" PartId="facad0c6ed3c480b8fd9c7cd3c404fd9"/>
      </Part>
    </Part>
    <Part Type="skyrius" Nr="23" Title="PASTATO METINIŲ ŠILUMINĖS ENERGIJOS IR ELEKTROS ENERGIJOS SĄNAUDŲ SKAIČIAVIMAS" DocPartId="2efbf07959cd4295ba2926183f587b00" PartId="8347177b9b844780bf11073a4f53d03f">
      <Part Type="punktas" Nr="72" Abbr="2 pr. 72 p." DocPartId="0ee5fb54372641f28a3d65390b16289e" PartId="5b5d0e9c2eee44fabc0348683a7e8b23"/>
      <Part Type="punktas" Nr="73" Abbr="2 pr. 73 p." DocPartId="5e2a45d58b424ea6b3908ffab4db9a9f" PartId="c9d1e92597e84f2c8a90c622e771533b"/>
      <Part Type="punktas" Nr="74" Abbr="2 pr. 74 p." DocPartId="2038471f15214d08b6d6af107f764a5a" PartId="8d776bc2cdb046fcaa28b4015e9355d3"/>
      <Part Type="punktas" Nr="75" Abbr="2 pr. 75 p." DocPartId="d32f3eb7a21a466995444032ce59f3e4" PartId="4fe8cd98aaec4e83a3d7ee9ff049d580">
        <Part Type="papunktis" Nr="75.1" Abbr="75.1 pp." DocPartId="1995e776f50f4fa6b15aeda91d8493f5" PartId="163d9bc501cd4f5cb680d5b047adaedc"/>
        <Part Type="papunktis" Nr="75.2" Abbr="75.2 pp." DocPartId="78dc2917cdaa4aca810c7296282b8147" PartId="86475efa7f924c228a9e06bbc0b10270"/>
        <Part Type="papunktis" Nr="75.3" Abbr="75.3 pp." DocPartId="13820d5bd0f641eab4164e597a0bc191" PartId="d2772f82907f413793fa57494bd483bc"/>
        <Part Type="papunktis" Nr="75.4" Abbr="75.4 pp." DocPartId="576443a06a124ae7af980b8d9f33281e" PartId="5563263b514541b383cc55e15c7a1a79"/>
        <Part Type="papunktis" Nr="75.5" Abbr="75.5 pp." DocPartId="7aee885c2ea546dba790660293b1f5fd" PartId="c7d3b68d11f0499ab00ca66b5b5460d1">
          <Part Type="papunktis" Nr="75.5.1" Abbr="75.5.1 pp." DocPartId="fdc417732dd34c5e8bcdccce4a04ff4b" PartId="af18ac4885844460bacf28cc714c44a4"/>
          <Part Type="papunktis" Nr="75.5.2" Abbr="75.5.2 pp." DocPartId="d1f2ec33370e4b21b2c95f414223e73e" PartId="b30fa7e2045147aeacaeb415016b3fc6"/>
          <Part Type="papunktis" Nr="75.5.3" Abbr="75.5.3 pp." DocPartId="4624a21436724026b46ac09062a22fde" PartId="f5f2a1f013b842cf98d5fabdbf0ec0b7"/>
          <Part Type="papunktis" Nr="75.5.4" Abbr="75.5.4 pp." DocPartId="9e8e8e2505e04d82b9396396fa9beb51" PartId="24f1e3c1637f4d1096108bd8d2eb747e"/>
          <Part Type="papunktis" Nr="75.5.5" Abbr="75.5.5 pp." DocPartId="3456c5ca9e9d4216ac73189d71448206" PartId="3d8b94945da1466bbd083e0b66f50026"/>
          <Part Type="papunktis" Nr="75.5.6" Abbr="75.5.6 pp." DocPartId="07f442514bea4b5cb78b832b351601b1" PartId="18e67eaf31e94c1fa62b27f701740e53"/>
        </Part>
      </Part>
    </Part>
    <Part Type="skyrius" Nr="24" Title="PASTATO SUMINIŲ METINIŲ PIRMINĖS ENERGIJOS SĄNAUDŲ SKAIČIAVIMAS" DocPartId="ce38a607c0134cf486b181b9c46f7799" PartId="f69164bc2def4453b417f2dd3002b94b">
      <Part Type="punktas" Nr="76" Abbr="2 pr. 76 p." DocPartId="8b164321ec5e49358899b3d53a99190a" PartId="0c0a11c405c04feab3cc4f25a9540d4e"/>
      <Part Type="punktas" Nr="77" Abbr="2 pr. 77 p." DocPartId="da8e9705c9b9488989a64a40f99f5de3" PartId="9d81fb3cc3f14853acf89dbd021fdd1e">
        <Part Type="papunktis" Nr="77.1" Abbr="77.1 pp." DocPartId="a7694e476d8b42548475d4486c498008" PartId="689f5e653e49449eae282116a18f6917">
          <Part Type="papunktis" Nr="77.1.1" Abbr="77.1.1 pp." DocPartId="3a2e61c4fa0243839e6d215b59036f9f" PartId="e7373ffbe96f465fb221141bb081d67b"/>
          <Part Type="papunktis" Nr="77.1.2" Abbr="77.1.2 pp." DocPartId="dcf6110341244e3ca91304848e4e32e4" PartId="7947fee614914afeb0b87429e98a3103"/>
          <Part Type="papunktis" Nr="77.1.3" Abbr="77.1.3 pp." DocPartId="b3b7fe8ce91f48f4a7374f58eac595b1" PartId="7ae8b1a4c5e143428c2efd4befa1d403"/>
          <Part Type="papunktis" Nr="77.1.4" Abbr="77.1.4 pp." DocPartId="503a587edbad4d5b8ca80999b8d9fb1b" PartId="49266ac1f50345ea8ad6acfd6d9dbdfb"/>
          <Part Type="papunktis" Nr="77.1.5" Abbr="77.1.5 pp." DocPartId="6c03d80cf15947d6a5d325750567589b" PartId="be2a2adfc7c3492eb9d26065dc88a6f5"/>
        </Part>
        <Part Type="papunktis" Nr="77.2" Abbr="77.2 pp." DocPartId="13d2f3b528644de996c93f56ebe07991" PartId="671e51aa04d94dfa81675aa51d49fa45">
          <Part Type="papunktis" Nr="77.2.1" Abbr="77.2.1 pp." DocPartId="ee6625daf5d2408b8b9683124311c524" PartId="12de115b4c644380a95aea100219e995"/>
          <Part Type="papunktis" Nr="77.2.2" Abbr="77.2.2 pp." DocPartId="94c403c768de4f94af90a6866dac014d" PartId="9d7f7afdf27c4a5c8e7564366d90f323"/>
        </Part>
        <Part Type="papunktis" Nr="77.3" Abbr="77.3 pp." DocPartId="54692c97bc55466695e6617af32315a7" PartId="5fe0c84c29f8451c83d84a80a518c051"/>
        <Part Type="papunktis" Nr="77.4" Abbr="77.4 pp." DocPartId="8507045ac9aa49fdb627529d41617cc6" PartId="e036c003b893464b85043e18b5296b1c"/>
        <Part Type="papunktis" Nr="77.5" Abbr="77.5 pp." DocPartId="b7ab0bc6a6ab4265b9e5173b1181175e" PartId="a96748807d154ed992fdda13c2a4e80a"/>
      </Part>
    </Part>
    <Part Type="skyrius" Nr="25" Title="Pastato metinio į aplinką išmetamo CO2 kiekio skaičiavimas" DocPartId="1ab3e96a0321458fbb274ff6adb26eea" PartId="7821d5262192457eba2368862b6112a3">
      <Part Type="punktas" Nr="78" Abbr="2 pr. 78 p." DocPartId="d009a3f8b09a491ebd553fc3cfbb3b42" PartId="8255728d60ef4f9fb58e5085056be130"/>
    </Part>
    <Part Type="skyrius" Nr="26" Title="Pastato energinio naudingumo įvertinimas" DocPartId="88b4a5c4050e4060a6b0b06d38bc336a" PartId="4c26841f0bf34230b014d6f9e0e10832">
      <Part Type="punktas" Nr="79" Abbr="2 pr. 79 p." DocPartId="4e9fb59cd97c405ab19f09abaa1e7bcf" PartId="7d774a0f0b7e4bf0928c08d590b3fd07"/>
      <Part Type="punktas" Nr="80" Abbr="2 pr. 80 p." DocPartId="bae3a548cb9244d4bc6cd885476b0cba" PartId="d294580017f84428b9e4cc48170b17b9"/>
      <Part Type="punktas" Nr="81" Abbr="2 pr. 81 p." DocPartId="90dee86692854a87b0b5d7d5dd60b135" PartId="02c2cfe5f9804398b5d64d74de5a32d1"/>
      <Part Type="punktas" Nr="82" Abbr="2 pr. 82 p." DocPartId="dc1bd1045cf445b88eea35f4d8977ccd" PartId="135f4f21115340719ddc95fd2e231aad"/>
      <Part Type="punktas" Nr="83" Abbr="2 pr. 83 p." DocPartId="260c1f0af71647a7b8eea0461ffdd8e1" PartId="4320c5b9163f4885be36259d47ae8a63"/>
      <Part Type="punktas" Nr="84" Abbr="2 pr. 84 p." DocPartId="76bc726a551f4db1b01743ce6283e204" PartId="cfb5faccdf844d568ba74dfe7154e7bc"/>
      <Part Type="punktas" Nr="85" Abbr="2 pr. 85 p." DocPartId="47c8114f2bc24838923fc1f2ada0a544" PartId="fcf45439ce564b24bf2363887a24923d"/>
      <Part Type="punktas" Nr="86" Abbr="2 pr. 86 p." DocPartId="f24ba9c697414447a1633f7260c8a794" PartId="2a62ef9223204f679f8ff2db17ff0ae5"/>
      <Part Type="punktas" Nr="87" Abbr="2 pr. 87 p." DocPartId="a70fed8838eb4fd19ad0a49cdacf249a" PartId="ba8eb42d148742e58aadb9b1e2df0c3f"/>
      <Part Type="punktas" Nr="88" Abbr="2 pr. 88 p." DocPartId="3819c65145ef4ef183ae8a97c87c709b" PartId="e4d0bb8ea6b04e48aeb6ec6b9b56879a"/>
      <Part Type="punktas" Nr="89" Abbr="2 pr. 89 p." DocPartId="691bfd20dc644a7eb54867e16cadc50b" PartId="4aedf5cccc314f56a7714837ba5b85d4"/>
    </Part>
    <Part Type="skyrius" Nr="27" Title="Pastatų sandarumo matavimo reikalavimai" DocPartId="1b6d00ca7204428c99c4e12e7e95c3ba" PartId="460f1ac7eee84a308b4369d21be53d5b">
      <Part Type="punktas" Nr="90" Abbr="2 pr. 90 p." DocPartId="884c6c2bdc2b4f45adcadacd5d95e27b" PartId="31601007dbaf42fdae78367737d60f1a">
        <Part Type="papunktis" Nr="90.1" Abbr="2 pr. 90.1 pp." DocPartId="63c5514ad6ff4904af6e67e1b1ceaf72" PartId="e6dee899de964ef1a584084372e157bb"/>
        <Part Type="papunktis" Nr="90.2" Abbr="2 pr. 90.2 pp." DocPartId="1382e53225a04d8b858008299048c1e8" PartId="a027409696f2406198783612c7b282ba"/>
        <Part Type="papunktis" Nr="90.3" Abbr="90.3 pp." DocPartId="a57ef10ba27c44f5af2840dfc05bd61a" PartId="cc77448c4c78499484010fbc1705ef11"/>
        <Part Type="papunktis" Nr="90.4" Abbr="90.4 pp." DocPartId="e4227d13543a44f99b54dd0e2e18a6a1" PartId="b9edf6378fc24168a91940426980afc6"/>
        <Part Type="papunktis" Nr="90.5" Abbr="90.5 pp." DocPartId="108e8684d78f433ebd4b78063b7d9903" PartId="dc710d7298ff45b493c804989891b1ce"/>
        <Part Type="papunktis" Nr="90.6" Abbr="90.6 pp." DocPartId="6817803837fb4ed39022a688e74b3bc2" PartId="6cc0ea9cde68417aaef49f1c906cd450"/>
        <Part Type="papunktis" Nr="90.7" Abbr="90.7 pp." DocPartId="8c8a98d37cc34d26801e6276718d1ac6" PartId="c7e938b438ce47baa72105aa228c3e0d"/>
      </Part>
    </Part>
    <Part Type="skyrius" Nr="28" Title="Pastato dalies energinio naudingumo įvertinimas" DocPartId="c5367530d5c44d378b840b2e2bcd2413" PartId="84fd469baafd40af8e714b7c57f9e0c7">
      <Part Type="punktas" Nr="91" Abbr="2 pr. 91 p." DocPartId="31d4eb54bc9b4c7a96dbe773871eba7e" PartId="663a2118d16a4c0eaf13479a7aa3c126"/>
      <Part Type="punktas" Nr="92" Abbr="2 pr. 92 p." DocPartId="670b178a45954db78591a7b6ef23c74f" PartId="8af873ce915d4c0eb967b00f90a25fda"/>
    </Part>
    <Part Type="skyrius" Nr="29" Title="Norminės šiluminės energijos sąnaudos pastatui šildyti ir pastato norminės pirminės energijos sąnaudos" DocPartId="80a89fe57ba54eebaa5e636cfc697a3a" PartId="0e9087b1c1f240bda2035369eae93588">
      <Part Type="punktas" Nr="93" Abbr="2 pr. 93 p." DocPartId="d33c83965b534c888d2b9010740f9a95" PartId="95ed58da8bb34173820c193bf78a1f6b">
        <Part Type="papunktis" Nr="93.1" Abbr="2 pr. 93.1 pp." DocPartId="7160e124699549639f9f80389b5f411d" PartId="70bede52a4a74361a2f75c645aa45dbb"/>
        <Part Type="papunktis" Nr="93.2" Abbr="2 pr. 93.2 pp." DocPartId="9bab3a1f624846d38e935567b8ef5d71" PartId="e166bed0359f49998e9608bb50cb6470"/>
      </Part>
    </Part>
    <Part Type="skyrius" Nr="30" Title="Pastato rodiklių verčių nustatymas, kai skaičiavimas atliekamas atskirose pastato dalyse ar zonose" DocPartId="4363e83cd3a34cf59b7851b3eb3204f7" PartId="362ba358668148d4ad15a99842f8301b">
      <Part Type="punktas" Nr="94" Abbr="2 pr. 94 p." DocPartId="87e0e24c4df54f5c802e9835d1114a51" PartId="b81c212b1cde4c54aa7051f05778c242"/>
      <Part Type="punktas" Nr="95" Abbr="2 pr. 95 p." DocPartId="e17fa3f65a754717b7e209866fc624e5" PartId="e1e36080df4b4c6abace473e88a561ee"/>
      <Part Type="punktas" Nr="96" Abbr="2 pr. 96 p." DocPartId="7b011545f93a483ba0923cd84ed8e23b" PartId="a24738af895f4413a19e09b4c5b04dad"/>
      <Part Type="punktas" Nr="97" Abbr="2 pr. 97 p." DocPartId="0178d06b177b4bd698fe90689c7aea3a" PartId="d7154048cd1344eea0927cdbe16eb50d"/>
    </Part>
  </Part>
  <Part Type="priedas" Nr="3" Abbr="3 pr." Title="STATYBOS PRODUKTŲ ŠILUMINIŲ TECHNINIŲ RODIKLIŲ VERTĖS PASTATŲ ENERGINIO NAUDINGUMO SKAIČIAVIMAMS" DocPartId="1e41cc73c32c46c8a0183e4ba342c816" PartId="665d715fb5dc4b468d597492b75ecf2e">
    <Part Type="punktas" Nr="1" Abbr="3 pr. 1 p." DocPartId="8e49e39b93a048a099120746203c3c41" PartId="c6c7cea0e06e42e49c0b24689b0ef8f5">
      <Part Type="lentele" Nr="3.1" Title="Pataisa ((( dėl papildomo medžiagos įdrėkimo vėdinamose ir nevėdinamose atitvarose" DocPartId="8396b4a1f82146d5a1be606fd9fb25d4" PartId="f287100815204bf18932e74ca3b1bff0"/>
      <Part Type="lentele" Nr="3.2" Title="Pataisa ((( dėl termoizoliacinio statybos produkto papildomo įdrėkimo grunte arba po grindimis ant grunto" DocPartId="2272c0f68e1c441bb61bb9ed07999e7b" PartId="dbeb7fff0211400e8fb09dc9275d35d9"/>
      <Part Type="lentele" Nr="3.3" Title="Pataisa ((( dėl termoizoliacinio statybos produkto papildomo įdrėkimo atvirkštiniuose stoguose, t. y. stoguose, kuriuose termoizoliacinis sluoksnis įrengtas virš hidroizoliacijos" DocPartId="d56fb5c6575e4512b3f29a14af2720cf" PartId="e4d92a23f94f4eb89898b88612facaa5"/>
    </Part>
    <Part Type="punktas" Nr="2" Abbr="3 pr. 2 p." DocPartId="c3f1a278aadc45dd81ce0bc4e17fefdc" PartId="d584ae983d294bdabc430a71d9432dd0"/>
    <Part Type="punktas" Nr="3" Abbr="3 pr. 3 p." DocPartId="f3c63b07e02f4a29b564a72c6540bcfe" PartId="8bae6f702f11425d88948e30d8b36650">
      <Part Type="skirsnis" Title="Statybos produktų, naudojamų konstrukciniams ir apdailos atitvarų sluoksniams, projektinės šilumos laidumo koeficientų vertės" DocPartId="2f9c4f2841a34adeb4241a73fd62b982" PartId="c1dedf3a5c8a4a429b9ecbe71a471370">
        <Part Type="lentele" Nr="3.6" DocPartId="55fbc22d5c01400bafc2a8cc52205b36" PartId="6b80cd230ab54a68921d9891291600fa"/>
      </Part>
    </Part>
    <Part Type="punktas" Nr="4" Abbr="3 pr. 4 p." DocPartId="94f2ee52a93548b0b650e08b35e61885" PartId="d91aff8f132a48b692aa8c5055e2fc60">
      <Part Type="skirsnis" Title="Statybos produktų, naudojamų termoizoliaciniams atitvarų sluoksniams, projektinės šilumos laidumo koeficientų vertės" DocPartId="9068b8cf47c543a095e6681d1c213627" PartId="d4351c4baade428eb4add04bd5270573">
        <Part Type="lentele" Nr="3.7" Title="Statybos produktų, naudojamų termoizoliaciniams atitvarų sluoksniams, projektinės šilumos laidumo koeficientų vertės" DocPartId="3d038cffb4094068b4912a371014414b" PartId="588d44178c344c5fa1c1fd818f4e4b31"/>
      </Part>
    </Part>
    <Part Type="punktas" Nr="5" Abbr="3 pr. 5 p." DocPartId="ebfddae8c12943979fcd8469e527b2cc" PartId="aca5fb3fb01a44bfb6e0b13d0ba1b6ff">
      <Part Type="skirsnis" Title="Statybos produktų, projektinės šilumos laidumo koeficientų vertės, kai žinoma šių produktų tankio (kg/m³) vertė" DocPartId="46ce7b22e15744c3aaeaf71ee99dde5c" PartId="88e3deea0aa445d0ad18b94b16c0b35b">
        <Part Type="lentele" Nr="3.8" DocPartId="d44660c8f2f443cbab08cf040f9dd346" PartId="69bab6d97e7f42e5a54445222d03dedb"/>
      </Part>
    </Part>
    <Part Type="punktas" Nr="6" Abbr="3 pr. 6 p." DocPartId="5eefa5febf304ea6987a1b144795dbe9" PartId="e1f62ba5b91840e5952b38ba4c5373df">
      <Part Type="papunktis" Nr="6.1" Abbr="3 pr. 6.1 pp." DocPartId="21550f81aeb94ef38d6c1661691b8f2a" PartId="1c611f14c9574f05a4cedf06778fdc6a">
        <Part Type="skirsnis" Title="Formulės nevienalyčio sluoksnio projektinio šilumos laidumo koeficiento λ‘ds, W/(m∙K) skaičiavimui, kai medžiaga patalpinta tarp plieninių „Z“ arba „C“ formos plieninių arba plieninių cinkuotų profilių ir profilių žingsnis 600 mm" DocPartId="a55c85915b1446799554eb8a7d94abc0" PartId="8ecfb90cefbc4c9ba09ad22c8bc9cdaf">
          <Part Type="lentele" Nr="3.9" DocPartId="8aa7f1c395f24ce19c229f22623e5f39" PartId="2e8b129611b0401893789cdd250e078e"/>
        </Part>
      </Part>
      <Part Type="papunktis" Nr="6.2" Abbr="3 pr. 6.2 pp." DocPartId="03c3b5c8e2054ce688207a7d132af230" PartId="84342005e09f452ebdbe1c6585fe102d">
        <Part Type="skirsnis" Title="Formulės iki 250 mm storio nevienalyčio sluoksnio projektinio šilumos laidumo koeficiento (W/(m∙K)) skaičiavimui, kai medžiaga patalpinta tarp 50 mm storio medinių karkaso elementų" DocPartId="3f2251c5fcd8439caf2c257bd153087d" PartId="acd84618e620490eb6596ad86dbd027e">
          <Part Type="lentele" Nr="3.10" DocPartId="45ebd690a74d4b1cbce62d832eb99622" PartId="1523f15e94b642758d899d76f8fdb085"/>
        </Part>
      </Part>
      <Part Type="papunktis" Nr="6.3" Abbr="3 pr. 6.3 pp." DocPartId="b8e8dc75049542caba6c0e9479c8774f" PartId="2897dd3f2103495cbf10a5224ad03256">
        <Part Type="skirsnis" Title="Formulės nevienalyčio sluoksnio projektinio šilumos laidumo koeficiento (W/(m∙K)), skaičiavimui, kai medžiaga patalpinta tarp 0,6 mm storio „C“ formos plieninių cinkuotų profilių ir profilių žingsnis 600 mm" DocPartId="7d2d1998ab864265b989db2f98f68125" PartId="e78beee9af3b47d8be239e41b24613b1">
          <Part Type="lentele" Nr="3.11" DocPartId="a02d88b9df104beabe3aa73ddc54949f" PartId="952fbf988291429c8bae7dbe4420e0e1"/>
        </Part>
      </Part>
    </Part>
    <Part Type="punktas" Nr="7" Abbr="3 pr. 7 p." DocPartId="15264bd305094a078a40149d95acd995" PartId="0eea8c7b689e4f8eb9026806ba0f8a36">
      <Part Type="skirsnis" Title="Statybos produktų, naudojamų termoizoliaciniams atitvarų sluoksniams grunte, rūsio grindyse arba po grindimis ant grunto projektinės šilumos laidumo koeficientų vertės" DocPartId="cd29032e725543768d8585a848c789b1" PartId="a19bd38cb57c4168803cdf498f4fa920">
        <Part Type="lentele" Nr="3.12" DocPartId="89eb0fdb70284212ba09dc81e29c7408" PartId="060df7d8432a414790ae5a9fdd2b2b49"/>
      </Part>
    </Part>
    <Part Type="punktas" Nr="8" Abbr="3 pr. 8 p." DocPartId="8cb5dc35dc7d4f488fa583fcbcf26751" PartId="ddf9b2f6b7d54c689ec7d65080dd170a"/>
    <Part Type="punktas" Nr="9" Abbr="3 pr. 9 p." DocPartId="e22fed3674f74e129e41ab33a86fda9f" PartId="1b4be9c77f634d279927f10b50e26f08">
      <Part Type="papunktis" Nr="3.1" Abbr="3 pr. 3.1 pp." DocPartId="4baa19aa77ab4af8b89fe54eace264fa" PartId="49fcd4c63ffc4b75862f12e671f7cca3"/>
    </Part>
    <Part Type="punktas" Nr="10" Abbr="3 pr. 10 p." DocPartId="d9ec0ac0489545b4b4aab56d856b653b" PartId="ad5c36711bdd48eea1a4e0928e1a8826"/>
    <Part Type="punktas" Nr="11" Abbr="11 p." DocPartId="33a247188c174083ab9b5d1779ccfa59" PartId="9f9e71781a784ae08155f4953bbfd60a">
      <Part Type="papunktis" Nr="11.1" Abbr="11.1 pp." DocPartId="6923fef2e333454eb7cda68f3503daab" PartId="9db9afcd2dbf451a80965bb53cad44be"/>
      <Part Type="papunktis" Nr="11.2" Abbr="11.2 pp." DocPartId="723f62356bbb472ba4556e7972f238a8" PartId="e91293bd86134aa2bfa7fa7ec2ef9d92"/>
      <Part Type="papunktis" Nr="11.3" Abbr="11.3 pp." DocPartId="ca5a0332d4414437820cf67d1e9b7a16" PartId="0050a6740977492782315fe5fe040a6c"/>
    </Part>
    <Part Type="pabaiga" DocPartId="3283ae8f3df64e079de7b04b4b1c4242" PartId="e78e7dcd64d541d1a1604434313255af"/>
  </Part>
  <Part Type="priedas" Nr="4" Abbr="4 pr." Title="4 PRIEDAS. LANGŲ, STOGLANGIŲ, ŠVIESLANGIŲ, KITŲ SKAIDRIŲ ATITVARŲ, DURŲ IR VARTŲ ŠILUMINIŲ TECHNINIŲ RODIKLIŲ VERTĖS PASTATŲ ENERGINIO NAUDINGUMO SKAIČIAVIMAMS" DocPartId="da63341bdefc4db686bb500884ba2b35" PartId="af3dabd59b3c44c48d0b8c25609c4915">
    <Part Type="punktas" Nr="1" Abbr="4 pr. 1 p." DocPartId="64da706893d346c28442c1d0bc0fc818" PartId="c3899f98919149169602da3cbf06e275">
      <Part Type="skirsnis" Title="Langų ir stoglangių šiluminių techninių rodiklių vertės pastatų energinio naudingumo skaičiavimams" DocPartId="4e1818b619e941af844bb58b6722ad4f" PartId="92f2ac067777480cb94ad58054a476a2">
        <Part Type="lentele" Nr="4.1" DocPartId="db42d6cb933f4c5eae106be03f86a34a" PartId="987fd3b38cf4476a823976807a1d3239"/>
      </Part>
    </Part>
    <Part Type="punktas" Nr="2" Abbr="4 pr. 2 p." DocPartId="4d3ecfa0b6a34c73ac2630014b49d300" PartId="88c29c3fbe0d49c4a7fcb9fadd66c8d9">
      <Part Type="skirsnis" Title="Išorinių įėjimo durų šiluminių techninių rodiklių vertės pastatų energinio naudingumo skaičiavimams" DocPartId="0944caedc1ad47408779662e534052e4" PartId="7efb7f6cf2464f7fb5f2b65ed9f230a5">
        <Part Type="lentele" Nr="4.2" DocPartId="2732d9bcbac84a4692714be7807ea544" PartId="fca7eefc654541dba2c40e13e52d6ec8"/>
      </Part>
    </Part>
    <Part Type="punktas" Nr="3" Abbr="4 pr. 3 p." DocPartId="5ed2561ab69d42a991ee167b5e602211" PartId="1e5b676aa91b480fbff102d9dd5ef882">
      <Part Type="skirsnis" Title="Vartų šiluminių techninių rodiklių vertės pastatų energinio naudingumo skaičiavimams" DocPartId="ae6dd808dd07413197a413d2256350fc" PartId="ed74ba1353f542d1bf8da5f7a4894db7">
        <Part Type="lentele" Nr="4.3" DocPartId="8968c1348f8a4b7dbb1f459c9c6a6455" PartId="d962735b640442679c1e62ff8ff0791e"/>
      </Part>
    </Part>
    <Part Type="punktas" Nr="4" Abbr="4 pr. 4 p." DocPartId="cc2cd7585c334ef58a29ac2566746faa" PartId="ebd1d35bf0ca4e1bbf0b8d025941be8d">
      <Part Type="skirsnis" Title="Švieslangių šiluminių techninių rodiklių vertės pastatų energinio naudingumo skaičiavimams" DocPartId="da2b7176592c4754be5edb06a66d8a80" PartId="628496e07b1549058d4d2c20251d8eb2">
        <Part Type="lentele" Nr="4.4" DocPartId="c9c0f848945a4ba1bf43c46eeec50af4" PartId="6fc9cddcce7d47d7affb8e5c487feda1"/>
      </Part>
    </Part>
    <Part Type="punktas" Nr="5" Abbr="4 pr. 5 p." DocPartId="122690d5ee7e475fa7fccd0603f05b9d" PartId="004691a3cb994c569ba4b8b54713d45d">
      <Part Type="skirsnis" Title="Kitų skaidrių atitvarų šiluminių techninių rodiklių vertės pastatų energinio naudingumo skaičiavimams" DocPartId="a6d223e36bae47adafd6f1ddae02b0a1" PartId="071041a662c043449e64ed8733e632b1">
        <Part Type="lentele" Nr="4.5" DocPartId="a223c95f63fa481bb2f39d348b10e3f5" PartId="e45c9025ab854c1f89122ccf3be34dab"/>
        <Part Type="pabaiga" DocPartId="9897c341eb814e33aec400707f4b1198" PartId="a1325b81d0a242088c01d17b063d034c"/>
      </Part>
    </Part>
  </Part>
  <Part Type="priedas" Nr="5" Abbr="5 pr." Title="5 PRIEDAS.LABIAUSIAI PAPLITUSIŲ ATITVARŲ TIPŲ ŠILUMINIAI TECHNINIAI PARAMETRAI PASTATŲ ENERGINIO NAUDINGUMO SKAIČIAVIMAMS" DocPartId="10a95d194ca9489892d8bee111e2a5a2" PartId="841b74dab9484b659efaf564fac89b38">
    <Part Type="punktas" Nr="1" Abbr="5 pr. 1 p." DocPartId="8780fecce1f94837b60d786a4ae1d01d" PartId="7f3ad40e35aa43bfa0ec4952ca89c0ba">
      <Part Type="skirsnis" Title="Labiausiai paplitusių atitvarų šilumos perdavimo koeficientų U (W/(m² K)) vertės" DocPartId="915eef31b1e7438ca7046eea15776b80" PartId="b4ba4429bc7749768dadcd83fad97aa4">
        <Part Type="lentele" Nr="5.1" DocPartId="4b45abbc16d3492ea0db71de261653cd" PartId="df6aa7999f0347088ca87d7c0b0e9c73"/>
      </Part>
    </Part>
    <Part Type="punktas" Nr="2" Abbr="2 p." DocPartId="c59bad8e980241f0a04e26834524343f" PartId="19ac70d10bf14bd7960d6f9b547b541d"/>
  </Part>
  <Part Type="priedas" Nr="6" Abbr="6 pr." Title="6 PRIEDAS.ATITVARŲ ILGINIŲ ŠILUMINIŲ TILTELIŲ SKAIČIUOJAMŲJŲ ŠILUMOS PERDAVIMO KOEFICIENTŲ VERTĖS" DocPartId="4d2544ecb8d84ab48b3e70b2725bae27" PartId="6a41ccfa1f974895beac62ce607aea93">
    <Part Type="punktas" Nr="1" Abbr="6 pr. 1 p." DocPartId="75db3ba411154453acc3f121084dd794" PartId="454c68868e7343388efa1f6a2ec2df27">
      <Part Type="lentele" Nr="6.1" Title="Ilginių šiluminių tiltelių skaičiuojamosios šilumos perdavimo koeficiento Ψ vertės (W/(m·K))" DocPartId="e948fafa4de842a8ad1d2c3baeea9f77" PartId="1d7dc320f3424ba19eb6b2274eaf8d09"/>
    </Part>
    <Part Type="punktas" Nr="2" Abbr="6 pr. 2 p." DocPartId="db7a10b250ca45e98b4636fd7768b9ab" PartId="4337b76ccbd64692b95769ee5494fc75"/>
    <Part Type="pabaiga" DocPartId="ce3a65f3e8a846df9c677b3e2623d79e" PartId="8a2577cc1db642ffa4067d939556abcb"/>
  </Part>
  <Part Type="priedas" Nr="7" Abbr="7 pr." Title="7 PRIEDAS.PASTATO MATMENYS" DocPartId="3afd84129cd549bb8f4a98d375b9bc16" PartId="17d12e2c6a4643da8ea798ad08b9314d">
    <Part Type="punktas" Nr="1" Abbr="7 pr. 1 p." DocPartId="dce471428e8740fb934afa5569698284" PartId="f7f07631cc554e5d8ae64ff203c07b12"/>
    <Part Type="punktas" Nr="2" Abbr="7 pr. 2 p." DocPartId="7b83aa05774b4b31b6f3fd8beff1e902" PartId="80d3af1050494f6da377031c0351689b"/>
    <Part Type="punktas" Nr="2" Abbr="7 pr. 2 p." DocPartId="73d2e247ab214d6198da2307f6abae9d" PartId="e366ca1a59e54e37b4c5a36345e55ddc">
      <Part Type="papunktis" Nr="2.1" Abbr="7 pr. 2.1 pp." DocPartId="f1e1e3e7307e42fc9d36869bb68f5a42" PartId="c7433ab144eb460c84c8cf447e46d4dd"/>
      <Part Type="papunktis" Nr="2.2" Abbr="7 pr. 2.2 pp." DocPartId="b555d83c68374f8fb76d97f5d80c9498" PartId="77d009817fce46f98d51f4124d049e4a"/>
      <Part Type="papunktis" Nr="2.3" Abbr="7 pr. 2.3 pp." DocPartId="db38dc2348f941d2b03eb615fc693700" PartId="a0b994d31b174e998ca3956817ed7039">
        <Part Type="papunktis" Nr="2.3.1" Abbr="7 pr. 2.3.1 pp." DocPartId="106dff536b4443c99a9d133cef091f21" PartId="2d158826579a4c47869e474ca2336ce5"/>
        <Part Type="papunktis" Nr="2.3.2" Abbr="7 pr. 2.3.2 pp." DocPartId="20ccee66da4e4d35af359aa7e2ec5c73" PartId="9949ac9ace2f488982818306b05993ac"/>
        <Part Type="papunktis" Nr="2.3.3" Abbr="7 pr. 2.3.3 pp." DocPartId="6ff8f69559984787844f0d34d6409dc5" PartId="67e822eb8b624dd38f485ce721f59780"/>
      </Part>
    </Part>
    <Part Type="punktas" Nr="3" Abbr="7 pr. 3 p." DocPartId="2254a03f29214c2da573fde4a7ecaf1d" PartId="5f2e8612895c4780a1d3818309e581b9">
      <Part Type="papunktis" Nr="3.1" Abbr="7 pr. 3.1 pp." DocPartId="17df7f590abd4354b18132916200398a" PartId="12a10abc0f53462a89a1b013596b3d6e"/>
      <Part Type="papunktis" Nr="3.2" Abbr="7 pr. 3.2 pp." DocPartId="a8cc8cc62f73476f814ba5bb80847e6e" PartId="be41486fac584b3c9cbcda0cce8d425e"/>
      <Part Type="papunktis" Nr="3.3" Abbr="7 pr. 3.3 pp." DocPartId="4b614ab8593146e399cff4e832e13bd5" PartId="979e223e10ec4d0890d83b2f5e9e578a"/>
      <Part Type="papunktis" Nr="3.4" Abbr="7 pr. 3.4 pp." DocPartId="4ac00a6ade984a769b89964fe5e3f372" PartId="ffedb6abb62b46fa8df0fe5117e17160"/>
      <Part Type="papunktis" Nr="3.5" Abbr="7 pr. 3.5 pp." DocPartId="65492f7c4ab5463ca887054d7eeded12" PartId="c427e66969a04e5b885627241d21a7e9"/>
      <Part Type="papunktis" Nr="3.6" Abbr="7 pr. 3.6 pp." DocPartId="7cc3fa04be614d0fa12d9b8900a5d423" PartId="f844d4b28c8440248aa3f41873488baf"/>
    </Part>
    <Part Type="punktas" Nr="4" Abbr="7 pr. 4 p." DocPartId="151ec2000c8641fbb1d5f537416bb1cf" PartId="5a8f1e07de87417c9e27f16c6e0c376f"/>
    <Part Type="punktas" Nr="5" Abbr="7 pr. 5 p." DocPartId="5bd01382959a4243b5ed07442e44769d" PartId="84fae998d48f474e90b8f3c3b3291f0a"/>
    <Part Type="punktas" Nr="6" Abbr="7 pr. 6 p." DocPartId="3cc9efeb5f7e489494358982cc87511f" PartId="8f3069922eb9471786641ed4bc371f15">
      <Part Type="papunktis" Nr="6.1" Abbr="7 pr. 6.1 pp." DocPartId="38672118fb2b4f119168e5efc71d50e0" PartId="411b5661bdf749b6bbe16a2ffe6d0359"/>
      <Part Type="papunktis" Nr="6.2" Abbr="7 pr. 6.2 pp." DocPartId="58e02c9541ac42f78196e18038546497" PartId="cd281696841248dcb1e88bcded79a1af"/>
      <Part Type="papunktis" Nr="6.3" Abbr="7 pr. 6.3 pp." DocPartId="36531f9a837543a8ae6dd98f1112b92f" PartId="6b08a673645941bf9e42e5a2d7602206"/>
      <Part Type="papunktis" Nr="6.4" Abbr="7 pr. 6.4 pp." DocPartId="6ea26f946dc14a06a1a84acd6a819c99" PartId="9a4fa7602ed544a9ad6013e057a06269"/>
      <Part Type="papunktis" Nr="6.5" Abbr="7 pr. 6.5 pp." DocPartId="c482745b1cde437fa872852cd65a0de6" PartId="ae0c050808044cf6b882d6b5bfdce982"/>
      <Part Type="papunktis" Nr="6.6" Abbr="7 pr. 6.6 pp." DocPartId="6a87278db5d544c78c32a5280c0df59c" PartId="6df2d424b14848db9129a09479f7b47b"/>
      <Part Type="papunktis" Nr="6.7" Abbr="7 pr. 6.7 pp." DocPartId="d8c60f071f26429c8f63617e3f938429" PartId="7dfdf726bc2543f28572676be1d2a3c0"/>
      <Part Type="papunktis" Nr="6.8" Abbr="7 pr. 6.8 pp." DocPartId="b7faf24a00e241e4927f1d7094aaf88a" PartId="0365ec345b98466ba44b7e40cfff983a"/>
      <Part Type="papunktis" Nr="6.9" Abbr="7 pr. 6.9 pp." DocPartId="008a885a45ac4412804bc369de6c8596" PartId="b99ffb1ee5184b04b77c9b27246afee6"/>
      <Part Type="papunktis" Nr="6.10" Abbr="7 pr. 6.10 pp." DocPartId="21e7cbf3f4a04f7b85843381f41010e8" PartId="2c81197dea0a49cd82cdcfec35e4f0e4"/>
      <Part Type="papunktis" Nr="6.11" Abbr="7 pr. 6.11 pp." DocPartId="fde1ff0f16e2499a80bef0cf0e0faf5f" PartId="0e9444c4d7ab41bd89bd9be1fa5a9fee"/>
    </Part>
    <Part Type="punktas" Nr="7" Abbr="7 pr. 7 p." DocPartId="778c63580c3c4768b2d320baf5cd8639" PartId="cb150b5090b54f43a9f4496bdc3e1024"/>
    <Part Type="punktas" Nr="8" Abbr="7 pr. 8 p." DocPartId="18622d90f66a40749f911c1f83aed07b" PartId="efd90c456db4496fa38e0dff6b53d91e"/>
    <Part Type="punktas" Nr="9" Abbr="7 pr. 9 p." DocPartId="97844763fab84634afa911929fbf36ca" PartId="cdc07e5747ef4686bd203276fcbfcedc"/>
    <Part Type="punktas" Nr="10" Abbr="7 pr. 10 p." DocPartId="a3cb30d4428b4bff83a569f38fa1bf94" PartId="86f1896658e7413780244c1d41a4496d"/>
    <Part Type="punktas" Nr="11" Abbr="7 pr. 11 p." DocPartId="08f4208851d74eaaa24012ffa6c3ed1e" PartId="08f3442ce6a648d7aefe148b8bfd5b23">
      <Part Type="papunktis" Nr="11.1" Abbr="7 pr. 11.1 pp." DocPartId="88fcef5b9d0d456bb99d789026797cc9" PartId="f5bd146b34eb4ca6a240fe61a9d44ad3"/>
      <Part Type="papunktis" Nr="11.2" Abbr="7 pr. 11.2 pp." DocPartId="793ee3ee08b54531875a45235d42cc7b" PartId="c580a2b0975a408b86fac3bb61c439b6"/>
      <Part Type="papunktis" Nr="11.3" Abbr="7 pr. 11.3 pp." DocPartId="0be36da5d60a472e8932cdaa2071b559" PartId="d1912518507f4f34acf3b2263181e53c"/>
      <Part Type="papunktis" Nr="11.4" Abbr="7 pr. 11.4 pp." DocPartId="cdc970ad2b3a4f8c8a758d48fa192f02" PartId="591fae51c0d94edd85c84cc2fbc10296"/>
      <Part Type="papunktis" Nr="11.5" Abbr="7 pr. 11.5 pp." DocPartId="ae164b525e394d7cac5a527fdedb1664" PartId="4a007c1b70bd43ac9278b5e3823bb256"/>
    </Part>
    <Part Type="punktas" Nr="12" Abbr="7 pr. 12 p." DocPartId="f08a7cda9eff483681ebe5f288a1bfe8" PartId="0214d40c240745329279d9b51756543d"/>
    <Part Type="punktas" Nr="13" Abbr="7 pr. 13 p." DocPartId="172013d41c9a46428ffc4838ae2bbc25" PartId="6d1da84443224c2f9c576f4cecd79643"/>
    <Part Type="punktas" Nr="14" Abbr="7 pr. 14 p." DocPartId="bfdca8f4e8674fc4a4665def3853f416" PartId="c9350fabadbe437f974cdcceb36b1393"/>
    <Part Type="punktas" Nr="15" Abbr="7 pr. 15 p." DocPartId="f7d311788b054d999148ea09caf2e014" PartId="a28ab24ccc614020bee9fc9034c090eb"/>
    <Part Type="punktas" Nr="16" Abbr="7 pr. 16 p." DocPartId="8bf4fafc12e84605b9e1e58b50c1af6c" PartId="2359da4adffe41fb8e5a7311f4a92f52"/>
    <Part Type="punktas" Nr="17" Abbr="7 pr. 17 p." DocPartId="5bfed3d0b10d472398214ff032a094dc" PartId="d78a366e84894dd3b73c1a8de687278a"/>
    <Part Type="punktas" Nr="18" Abbr="7 pr. 18 p." DocPartId="19946da6fe574fa09807fb36dc3c1b5e" PartId="6f9742e500444d92b3669ac3ef1e4b9d"/>
    <Part Type="punktas" Nr="18" Abbr="7 pr. 18 p." DocPartId="06586aa947a84cb3978ddb8956f67284" PartId="cca6c378a6504a48aa8e65f4bad961a7"/>
    <Part Type="punktas" Nr="20" Abbr="7 pr. 20 p." DocPartId="2c354788f54f40d3b3c5cfb66e3c9726" PartId="27d83bccfac4425d868a192f62e19738"/>
    <Part Type="punktas" Nr="21" Abbr="7 pr. 21 p." DocPartId="69bc13992df04587953af6c5ec946579" PartId="dcbd741878a9430ea72203baafd7a7d3"/>
    <Part Type="punktas" Nr="22" Abbr="7 pr. 22 p." DocPartId="f62b5ce3736c4987aab052432335561a" PartId="a631457e0b5b456288a78f1e2aa96022"/>
    <Part Type="punktas" Nr="23" Abbr="7 pr. 23 p." DocPartId="bb21a342a7694231acf7e544b5e0e10c" PartId="b642f991379f4c1594a4dfb507d0cdc9"/>
    <Part Type="punktas" Nr="24" Abbr="7 pr. 24 p." DocPartId="54186c1d3d7a4f2cbf0100cb19a4676d" PartId="48779ff9e7604ab68a02e821daf60105"/>
    <Part Type="punktas" Nr="25" Abbr="7 pr. 25 p." DocPartId="d2b5342fb235469d8bfba3cb387e2013" PartId="1341f9e8d94f4249bebdbc5e60a1dc21"/>
    <Part Type="punktas" Nr="26" Abbr="7 pr. 26 p." DocPartId="4d093e025136446db8a6d3d7bf0357be" PartId="43989acdcad545a3ac92e0f41446e5e3"/>
    <Part Type="punktas" Nr="27" Abbr="7 pr. 27 p." DocPartId="c1ac8af806e842668e0418117f4b6b11" PartId="467e904cdd704740930c7724941ea86f"/>
    <Part Type="punktas" Nr="28" Abbr="7 pr. 28 p." DocPartId="6a57e7d508014d589ec089d718708cc7" PartId="b7c3f17388234d7dbb54557d73c2af8a"/>
    <Part Type="pabaiga" DocPartId="a7e55832a84d488cade3ad36df80788c" PartId="2177733f378e4d7ba3375c6b183a9d88"/>
  </Part>
  <Part Type="priedas" Nr="8" Abbr="8 pr." Title="8 PRIEDAS. KARŠTO VANDENS VAMZDYNŲ APŠILTINIMO ILGINIŲ ŠILUMOS PERDAVIMO KOEFICIENTŲ SKAIČIAVIMAS" DocPartId="e1ca5b76ca054e17b2d2d7b108ca64a4" PartId="0a8aa107df54456cbbef14fdf65783ab">
    <Part Type="punktas" Nr="1" Abbr="8 pr. 1 p." DocPartId="47bf7a4c7fa1415a895f943327f0cb87" PartId="b86b1ae1edd94186941faa2252cb5ae4"/>
    <Part Type="punktas" Nr="2" Abbr="8 pr. 2 p." DocPartId="a59f2358d4344074a95a0840b2d99fcc" PartId="8988b77388c644918d5eef34c519c02c">
      <Part Type="lentele" Nr="8.1" Title="Statybos produktų, naudojamų karšto vandens vamzdynų termoizoliaciniams sluoksniams, projektinės šilumos laidumo koeficientų vertės" DocPartId="a27628b47a63468aae11bdcf77145370" PartId="4890b39f57994330a9b35a63e48f49fd"/>
    </Part>
    <Part Type="pabaiga" DocPartId="8bf0329079864e71adfbbe3435d1df76" PartId="b077c4c621534c548cd011a45f1bf688"/>
  </Part>
  <Part Type="priedas" Nr="9" Abbr="9 pr." Title="DUOMENYS ATITVARŲ DRĖGMINEI BŪKLEI PROJEKTUOTI" DocPartId="19908c01cf444fda95e583366cb0251a" PartId="b67e46e47b0f4fe9a973b4e7e8b3b984">
    <Part Type="punktas" Nr="1" Abbr="9 pr. 1 p." DocPartId="df6321bba0a046958b31695f0e737d93" PartId="87741ef4ae0447389dc7befb1b1277c4"/>
    <Part Type="punktas" Nr="2" Abbr="9 pr. 2 p." DocPartId="f223af7e3c76477e8930841e63caf512" PartId="50469c0465f147c79a1fa14181d08ca2">
      <Part Type="papunktis" Nr="2.1" Abbr="9 pr. 2.1 pp." DocPartId="2387d661645c43f88ed97ffddaa86a20" PartId="b1891dab64fa40e293fc05a21efe37f5"/>
      <Part Type="papunktis" Nr="2.2" Abbr="9 pr. 2.2 pp." DocPartId="3a71a1d7d6b84ff8b4563753fe9f8645" PartId="4f24d12b46b944df8b39701284812ff9"/>
      <Part Type="skirsnis" Title="Vidutinės mėnesio išorės oro temperatūros θe,m (°C) ir santykiniai oro drėgniai φe,m (%) projektiniams atitvarų drėgminės būklės per metus skaičiavimams" DocPartId="e45c6d39745f4ffc85c2ff1a7e0dfeaa" PartId="88135f959d2c45e6a7023dcf5b521468">
        <Part Type="lentele" Nr="9.1" Title="Vidutinės mėnesio išorės oro temperatūros θe,m (°C) ir santykiniai oro drėgniai φe,m (%) projektiniam atitvarų drėgniui per metus skaičiuoti" DocPartId="90fae60bf90944978338242ed6394159" PartId="42f0c317fb4e4ce49ad9319db81c54b7"/>
      </Part>
      <Part Type="skirsnis" Title="Termoizoliaciniams statybos produktams nepriskiriamų įvairaus tankio medžiagų ir gaminių šiluminių techninių rodiklių vertės atitvarų drėgminei būklei projektuoti" DocPartId="e562c743b8c44bce844559c0e17a5def" PartId="0794f00adf1b490ebb511d011cc54ed9">
        <Part Type="lentele" Nr="9.2" DocPartId="03b88b456590436bae1d15e145fe1039" PartId="ac6d73a1d84c4641a9515c89ff148a47"/>
      </Part>
      <Part Type="skirsnis" Title="Statybos produktų, naudojamų termoizoliaciniams atitvarų sluoksniams, šiluminių techninių rodiklių vertės atitvarų drėgminei būklei projektuoti" DocPartId="eab78015f2bd4c54a6ce4bbaf64158aa" PartId="81fc3739328845438309cb37325a8347">
        <Part Type="lentele" Nr="9.3" DocPartId="90d10bcd6665404795ebe1d9ec7f7e41" PartId="b7cd5fa2e2dc4a69a15484f308fdb6d4"/>
      </Part>
      <Part Type="skirsnis" Title="Plonųjų statybos produktų vandens garų varžai lygiaverčio oro sluoksnio storio vertės atitvarų drėgminei būklei projektuoti [3.37]" DocPartId="17617ab8b07f4f77b8f7c918e63903e3" PartId="0de95c3fd17d433fba1aed6eb34cc9cc">
        <Part Type="lentele" Nr="9.4" DocPartId="73d53e48e3394e8291e4138876ea9416" PartId="31e42503f85d4020955c7b54c02497f1"/>
      </Part>
    </Part>
    <Part Type="punktas" Nr="3" Abbr="9 pr. 3 p." DocPartId="07baaa072add48ab956b020ca44dd225" PartId="6f163833a3b44f4782d03c9e52c4f3c1"/>
    <Part Type="punktas" Nr="4" Abbr="9 pr. 4 p." DocPartId="28d7c15cc77a4e968b7d9cfaf04d41a6" PartId="4126cde7bb7e4163a77760985757d499"/>
    <Part Type="punktas" Nr="5" Abbr="9 pr. 5 p." DocPartId="6947a0ebf5854a9fb5ad231bcb25fc4e" PartId="6027a174862a4a12a672974a13ca373a">
      <Part Type="skirsnis" Title="Didžiausias leistinas drėgmės kiekis atitvarose esančiuose statybos produktuose umax (kg/kg)" DocPartId="5c6b974ad294476b9942c70da46dc144" PartId="f15618a6142b4567b7124f3ca2d2c59a">
        <Part Type="lentele" Nr="9.5" DocPartId="e29676b2f6c34ae3b75c7542b1524051" PartId="6b5407ac4b244740aa8f45cba5fb08fa"/>
      </Part>
    </Part>
    <Part Type="punktas" Nr="6" Abbr="9 pr. 6 p." DocPartId="7c4e55920188484aaa66ce6f955533a2" PartId="4a0cfdcc4acb4ab9ab71d271c3096304">
      <Part Type="papunktis" Nr="6.1" Abbr="9 pr. 6.1 pp." DocPartId="d64423ec750a4039aa9ff71c20768196" PartId="ea5a97a4ad294374a19301fc534f973b"/>
      <Part Type="papunktis" Nr="6.2" Abbr="9 pr. 6.2 pp." DocPartId="729ca5416c1b41e39305b9010b9ad17f" PartId="613d2937b44f4a278ebdef34e34565a4"/>
      <Part Type="papunktis" Nr="6.3" Abbr="9 pr. 6.3 pp." DocPartId="b2df1de1982c42bd91c8407ee4686ca7" PartId="4e441a25bea54d68aa89ff6f30bc1dbe"/>
    </Part>
    <Part Type="pabaiga" DocPartId="13195c7065194bf2a95da5f03a7f0aa0" PartId="1f235a5db8d046d6b983bc8c26f56b7a"/>
  </Part>
  <Part Type="priedas" Nr="10" Abbr="10 pr." DocPartId="c8b4fa36eb7b4f13abf987c79eb6e638" PartId="5c87f51790ca40e7a2ca99405d1311b2"/>
  <Part Type="priedas" Nr="11" Abbr="11 pr." Title="PAGRINDINIAI PASTATO ENERGIJOS SĄNAUDŲ SKAIČIAVIMO REZULTATAI IR PASTATO ENERGINIO NAUDINGUMO GERINIMO REKOMENDACIJOS" DocPartId="f7fbdc497b514f7089e9ee7dc974a3b4" PartId="34d268fd658c4620b9f5e297872609af">
    <Part Type="punktas" Nr="1" Abbr="11 pr. 1 p." DocPartId="5ac32b5c03864d99b86eb6d4608329b6" PartId="0915a3af139b4488ac3c5615e77af1a6">
      <Part Type="skirsnis" Title="Pastato energijos sąnaudų skaičiavimo rezultatai" DocPartId="5837ba2819e548a9a8140063f352fd3f" PartId="7234056cc4784dabaf09632d628d7fe7">
        <Part Type="lentele" Nr="11.1" DocPartId="1c8d1e646abe4eb19d4f04fd3b75a515" PartId="09c46d3005d4454aa0266a23fe54597c"/>
        <Part Type="pastraipa" DocPartId="f105b01ead5742e989cc96f28f216702" PartId="1e37ca710b8442b0843f924604b6fe5b"/>
      </Part>
    </Part>
    <Part Type="punktas" Nr="2" Abbr="11 pr. 2 p." DocPartId="e3ae44cccf314718a19be41c8a20e3bb" PartId="04a2a95b900c4b9b9b96167d360ae1fd"/>
    <Part Type="punktas" Nr="3" Abbr="11 pr. 3 p." DocPartId="727d9502a3d84f699618b62fd73e6bfa" PartId="24cf10a108ac4f089db212b8a7b791d0"/>
    <Part Type="punktas" Nr="4" Abbr="11 pr. 4 p." DocPartId="17ee6bb5fd4a422c8bfd11314f1cb1fa" PartId="4b528c9948574e6d980aefff414707bd">
      <Part Type="skirsnis" Title="Pastato (jo dalies) energinio naudingumo gerinimo rekomendacijos" DocPartId="bbc78949179b485bb27a42518118c3e4" PartId="2ab409b5f34c4ca9a6699b31f3c72358">
        <Part Type="lentele" Nr="11.2" DocPartId="daafb333ae0d445ba7fb8a345ba2b601" PartId="b1b076ce1790442295198d9f20896920"/>
        <Part Type="pastraipa" DocPartId="c815e7642c9548efaf52a0ac4abb2c51" PartId="16d5213abc5d41a684bfba553a76bf01"/>
      </Part>
    </Part>
    <Part Type="pabaiga" DocPartId="5fc3426216994862bcc0cf548ce86ba8" PartId="59aa9c44fd764bbcbf901037e5a4bb77"/>
  </Part>
  <Part Type="priedas" Nr="12" Abbr="12 pr." Title="12 PRIEDAS. (Tipinio energinio naudingumo sertifikato forma)" DocPartId="6cf5bf162b134b5ca6583eef717f3c1d" PartId="80f19d0b25224ae7bf2f7be0db5b4654">
    <Part Type="pabaiga" DocPartId="b5389de162cd473a896583defb775101" PartId="af216b8c3d2144148efe77e9cee2986a"/>
  </Part>
  <Part Type="priedas" Nr="13" Abbr="13 pr." Title="PASTATO ŠILDYMO SISTEMOS ŠILUMOS ŠALTINIO PROJEKTINĖ GALIA" DocPartId="0ac4fb11dd9644fc992b338054145ac6" PartId="5495460874ac460facc083e2cd73a931">
    <Part Type="punktas" Nr="1" Abbr="13 pr. 1 p." DocPartId="dff57f6c9a174a76b09c2819caee86a6" PartId="b29b7c2325524c5bb210cc6e621fdd5f"/>
  </Part>
  <Part Type="priedas" Nr="14" Abbr="14 pr." Title="PATAISOS KOEFICIENTŲ ŠILUMOS NUOSTOLIAMS SKAIČIUOTI PER ŠILDOMŲ PATALPŲ ATITVARAS, BESIRIBOJANČIAS SU NEŠILDOMOMIS PATALPOMIS, SKAIČIAVIMAS" DocPartId="04d46ee9a10a406dbb5b9ffa392a5211" PartId="407c56bb0d544bd1a32c7b636952df3e">
    <Part Type="punktas" Nr="1" Abbr="14 pr. 1 p." DocPartId="ce02e847329f4761b13af07ed20722ad" PartId="5d3341bb2f42420bb44f0a7f4c90c52e">
      <Part Type="papunktis" Nr="1.1" Abbr="14 pr. 1.1 pp." DocPartId="57622dd85ab240399b5fc8816968cee1" PartId="37c641ddbf374735b5b29ca176eeb83c"/>
      <Part Type="papunktis" Nr="1.2" Abbr="14 pr. 1.2 pp." DocPartId="4eb28919b4d14e37b092b173ad452297" PartId="0198f08211e946839dd34abc5c4c04ce"/>
      <Part Type="papunktis" Nr="1.3" Abbr="14 pr. 1.3 pp." DocPartId="29825de5ec4040399af7920c5b649f62" PartId="77c9b9d620c84baca4aa2f5215b2ee18"/>
      <Part Type="papunktis" Nr="1.4" Abbr="14 pr. 1.4 pp." DocPartId="c09f5927db8f4609a4c43a11ecea20d2" PartId="472eb9ae40754de9b8c0462b66e11ded"/>
    </Part>
    <Part Type="punktas" Nr="2" Abbr="14 pr. 2 p." DocPartId="44f7937f26ef4b9da1af426e2387238c" PartId="bb24d597730e41a9be7e8547f21588eb"/>
    <Part Type="punktas" Nr="3" Abbr="14 pr. 3 p." DocPartId="cd666d39cb214c68b093eb7e34ad3be7" PartId="adeae2b49a48417a9ad45ef35b30dc8c">
      <Part Type="lentele" Nr="14.1" Title="14.1 lentelė Kiekvieno mėnesio „m“ oro apykaita nešildomojoje patalpoje nm (1/h)" DocPartId="4aee2c5552d04016ba52926dbe43c0df" PartId="9b468f303e3a4ef5aa40a273815f6eda"/>
    </Part>
    <Part Type="punktas" Nr="4" Abbr="14 pr. 4 p." DocPartId="91d38bf316aa4f188e2f917dbc020d0b" PartId="ed6fe058a4b947b0bbc74986a9de91ae"/>
    <Part Type="punktas" Nr="5" Abbr="14 pr. 5 p." DocPartId="ba18c299a93e4758917c8b0235dbdc0e" PartId="699f460ae648460c86e5fbc018c56825"/>
    <Part Type="punktas" Nr="6" Abbr="14 pr. 6 p." DocPartId="5e35d505b8894cc1985b793e1ded9d20" PartId="a2fb069d7ceb45c191cfc1dd278b7b59"/>
    <Part Type="punktas" Nr="7" Abbr="14 pr. 7 p." DocPartId="f19b4e92d3a84a6fb7e5c7eba84ab966" PartId="7f7f1effa42646d0964ba99a12a0bf8e"/>
    <Part Type="punktas" Nr="8" Abbr="14 pr. 8 p." DocPartId="8ac6e66d543443d79c0f7f820de8ee6b" PartId="92f338794a294db8a8b6dbd0ea710bf1"/>
    <Part Type="pabaiga" DocPartId="546ce4c4c07c40a1b48a3698bf17b11e" PartId="ce09914bf39f4ec5a1a901555d96ee72"/>
  </Part>
  <Part Type="priedas" Nr="15" Abbr="15 pr." Title="15 PRIEDAS. ŠILUMOS ŠALTINIŲ DARBO LAIKO KOEFICIENTŲ SKAIČIAVIMAS, KAI KARTU SU KITAIS ŠILUMOS ŠALTINIAIS PASTATUI ŠILDYTI NAUDOJAMI ŠILUMINIAI SIURBLIAI" DocPartId="3c9c095af56948b893a6ad7ac711e53d" PartId="b1373d086cb449e4aa901f37b8dcf14d">
    <Part Type="punktas" Nr="1" Abbr="15 pr. 1 p." DocPartId="a5d7abccf39545828a98eaef98f4e03c" PartId="048c1ae8f70444cda57ab3d46d08de58">
      <Part Type="papunktis" Nr="1.1" Abbr="1.1 pp." DocPartId="7588f6691ece49c2b6949f76930b58b5" PartId="1388af8d81b74801a58d42785f2fcc5a"/>
      <Part Type="papunktis" Nr="1.2" Abbr="1.2 pp." DocPartId="c96c71c8c5c04efdb302d4efb453f895" PartId="a2a6c5a1f456474b8a54daeb8fd92ee9">
        <Part Type="papunktis" Nr="1.2.1" Abbr="1.2.1 pp." DocPartId="88400babec4645b28150d505b96a8943" PartId="93e101dcce4e4d5fb12a1f46696ff59c"/>
        <Part Type="papunktis" Nr="1.2.2" Abbr="1.2.2 pp." DocPartId="aee8045c7c7442669b29632aeca34c37" PartId="d525d89d60124d27a9cafc3815757e75"/>
        <Part Type="papunktis" Nr="1.2.3" Abbr="1.2.3 pp." DocPartId="bc2020b3a8eb405eb95a8f9b5bf68129" PartId="6b9e7dfde6ba45be9325773c14121d67"/>
        <Part Type="papunktis" Nr="1.2.4" Abbr="1.2.4 pp." DocPartId="3b2fc5d170494731a53b849e8c3726eb" PartId="6b888c9a752541feb249a24debc5dc62"/>
        <Part Type="papunktis" Nr="1.2.4" Abbr="1.2.4 pp." DocPartId="1a4e16400ce2461f96567b5ecb5b796f" PartId="b5becaaa94dc4fedbe59a06a7fd07e8e"/>
        <Part Type="papunktis" Nr="1.2.5" Abbr="1.2.5 pp." DocPartId="9faecab206ec4e2eb751c04654a060da" PartId="d269f112a6ec46e797a292e72199c01d">
          <Part Type="skirsnis" Title="Vidutinė minimali mėnesio paros išorės oro temperatūra θe.PH,m (°C) esant vidutinei mėnesio paros temperatūros amplitudei" DocPartId="5be00245b2474c0faeb27468146fda31" PartId="4823f968e8f44062b8e361704f7971fa">
            <Part Type="lentele" Nr="15.1" DocPartId="d3809cbfda634fd8a70f8f4b9658ea6c" PartId="327bf22b18b449c1aa42f64505f28981"/>
          </Part>
        </Part>
      </Part>
    </Part>
    <Part Type="pabaiga" DocPartId="d07133548b5748e98011f8122359ce3c" PartId="b7cd485900f94bc88b1c2ed0f15e197b"/>
  </Part>
  <Part Type="priedas" Nr="16" Abbr="16 pr." Title="PRIVALOMI DUOMENYS PASTATO BŪKLĖS DUOMENŲ LAPE IR ŠIŲ DUOMENŲ NUSTATYMO TVARKA ATLIEKANT ENERGINIO NAUDINGUMO SERTIFIKAVIMĄ" DocPartId="f736ff2a96fe4e57be897c5274d09651" PartId="f94281aeff594fbd8615ddacb17461e4">
    <Part Type="punktas" Nr="1" Abbr="16 pr. 1 p." DocPartId="53fd41d596d3402dac1d1be616f5a6ef" PartId="04774ebff52d41b2b7d003230479e718"/>
    <Part Type="punktas" Nr="2" Abbr="16 pr. 2 p." DocPartId="4522821962c24dcf9342673a711d2054" PartId="d474c315e02449e38d0f613db9476694">
      <Part Type="papunktis" Nr="2.1" Abbr="16 pr. 2.1 pp." DocPartId="87eb2a38917942859b99a420a7340019" PartId="b897cdb2e3444ddaa72f2aa2ba01805b"/>
      <Part Type="papunktis" Nr="2.2" Abbr="16 pr. 2.2 pp." DocPartId="810250f5240649119a223e0fd5088ac1" PartId="3223fb12dcfe48a2b26752ef64f3230f"/>
      <Part Type="papunktis" Nr="2.3" Abbr="16 pr. 2.3 pp." DocPartId="ab4e7368fbd4498393f856a8f33e908e" PartId="3d6d54c13ca04f20af885edfd2bf8e31"/>
      <Part Type="papunktis" Nr="2.4" Abbr="16 pr. 2.4 pp." DocPartId="e051d4386a57473eb5ffeac1f5928d6f" PartId="9a11152445204573970eccf983455c30"/>
      <Part Type="papunktis" Nr="2.5" Abbr="16 pr. 2.5 pp." DocPartId="035ed343423c4ddb807b8857c207c9c9" PartId="13b05337f5a4468fb16d83b88ae51a08"/>
      <Part Type="papunktis" Nr="2.6" Abbr="16 pr. 2.6 pp." DocPartId="2216fad880364b5594ed390f41c09b6b" PartId="e4e71914917e4f2f946c6875bc899a47"/>
      <Part Type="papunktis" Nr="2.7" Abbr="16 pr. 2.7 pp." DocPartId="bb244e80876a4738bc5de85b4826c98d" PartId="2afe8a6519b54735b80cc5b1637c0c68"/>
      <Part Type="papunktis" Nr="2.8" Abbr="16 pr. 2.8 pp." DocPartId="aa59512ff781482e9d2e2be6b4eb62ef" PartId="4b1b7c25eaa5434ca4681e5dbd230b93"/>
      <Part Type="papunktis" Nr="2.9" Abbr="16 pr. 2.9 pp." DocPartId="fcf67691ffde4d0db33ae24b89303b8c" PartId="ea7c1bd9cdf24b6eb4d2ae9baa24371d"/>
      <Part Type="papunktis" Nr="2.10" Abbr="16 pr. 2.10 pp." DocPartId="eea9dd9657f142199a164f9055f48f09" PartId="2b0319cbf34d4ab79f38281d30ab6f96"/>
      <Part Type="papunktis" Nr="2.11" Abbr="16 pr. 2.11 pp." DocPartId="f6c4e02004b64967b1fd7fd9b21a872a" PartId="ebce18e68440439da6b1cc98ecd83f4a"/>
      <Part Type="papunktis" Nr="2.12" Abbr="16 pr. 2.12 pp." DocPartId="27e65ec19b064cfcad86e563c982249a" PartId="4a48bb9358134813bcbeae9591b2df64"/>
      <Part Type="papunktis" Nr="2.13" Abbr="16 pr. 2.13 pp." DocPartId="db6bf1085f6044ddb56f8710b5008847" PartId="286973f1fde74f69be9b772075eba597"/>
      <Part Type="papunktis" Nr="2.14" Abbr="16 pr. 2.14 pp." DocPartId="ea0adfe870a241a4a8272da512f95fd0" PartId="c33996e4cce747399f3a9689a6400187"/>
      <Part Type="papunktis" Nr="2.15" Abbr="16 pr. 2.15 pp." DocPartId="30899e482df84ca1a24f9be2d647fb15" PartId="faf2cecdd15d41318bb1094bb29d6db6"/>
      <Part Type="papunktis" Nr="2.16" Abbr="16 pr. 2.16 pp." DocPartId="c4b8d404e2aa4b3fbc4008cbeec78a38" PartId="a39e94e8acc34565af71db819c3a8708"/>
      <Part Type="papunktis" Nr="2.17" Abbr="16 pr. 2.17 pp." DocPartId="bcd0a40459ed4ab19ab4aecf33a51734" PartId="00a6ef1935944d58af21c2eed752ef36"/>
      <Part Type="papunktis" Nr="2.18" Abbr="16 pr. 2.18 pp." DocPartId="babbd72543204db3979989b982118f71" PartId="2a95a679ece84872b7dbc6790469a43e"/>
      <Part Type="papunktis" Nr="2.19" Abbr="16 pr. 2.19 pp." DocPartId="8c3c5ff8188c41e3920c77fff2f0345b" PartId="6ae9bd6af2304f079e9ee9ed1e502455"/>
      <Part Type="papunktis" Nr="2.20" Abbr="16 pr. 2.20 pp." DocPartId="4cc5b527e4464e15ac70af1e42ff784f" PartId="a7de972b198341549474f48b35db08bf"/>
      <Part Type="papunktis" Nr="2.21" Abbr="16 pr. 2.21 pp." DocPartId="6a489e37825f46be84c81aacb8b753cc" PartId="7be5dc12ca9a466592976add95f7eab5"/>
      <Part Type="papunktis" Nr="2.22" Abbr="16 pr. 2.22 pp." DocPartId="9bebcd07eea948348d3d84e3f0a88b83" PartId="b764a1bee21f4560b0d964aef2ce5366"/>
    </Part>
    <Part Type="punktas" Nr="3" Abbr="16 pr. 3 p." DocPartId="c39fb577301044ceb056b270bf96aa8e" PartId="1604c1989f3b4145920a9bb13d925dee"/>
    <Part Type="punktas" Nr="4" Abbr="16 pr. 4 p." DocPartId="d46c13c497b044cb8f2a105d7026a6d2" PartId="bcd2fb080c3744088f0abd66af5fd8e6"/>
    <Part Type="punktas" Nr="5" Abbr="16 pr. 5 p." DocPartId="b556261f75fd4a81bf917a14547774e5" PartId="f1c43dd4f2dc48bba3e8ced368e36686"/>
    <Part Type="punktas" Nr="6" Abbr="16 pr. 6 p." DocPartId="f09784c841d8423b9e3216ce95abe302" PartId="135bede4999b4f3cb9b724c9d29cf50a">
      <Part Type="papunktis" Nr="6.1" Abbr="16 pr. 6.1 pp." DocPartId="1a066ba4ca6e4dcdb405fa5b13c6ff3f" PartId="4a9b9e4c6af34cdc896041b720c2a767">
        <Part Type="papunktis" Nr="6.1.1" Abbr="16 pr. 6.1.1 pp." DocPartId="cbe228e4d0774aeaaa2fcc5289982200" PartId="c0eb134939cb4b4fbf5a299a65aa5143"/>
        <Part Type="papunktis" Nr="6.1.2" Abbr="16 pr. 6.1.2 pp." DocPartId="fe0ce95e589149869102145e92b3ddba" PartId="97f30bc0ed14457799d7337de29f6fbd"/>
      </Part>
      <Part Type="papunktis" Nr="6.2" Abbr="16 pr. 6.2 pp." DocPartId="cdbf6776721647a8b7fd3bb6fe6027f7" PartId="0757fb9713e4409ea1d6be8464b27c02">
        <Part Type="papunktis" Nr="6.2.1" Abbr="16 pr. 6.2.1 pp." DocPartId="3258b32c30bd44e582fd86bb3c4e9fde" PartId="6f304336c1e04d6abf0d96d27a0e091f"/>
        <Part Type="papunktis" Nr="6.2.2" Abbr="16 pr. 6.2.2 pp." DocPartId="2735a7909d334ef9a79dc30f70355c36" PartId="856e472d1ef545a39f3c11774ae01e09"/>
        <Part Type="papunktis" Nr="6.2.3" Abbr="16 pr. 6.2.3 pp." DocPartId="76923f54068543eb8232f2644da7bab5" PartId="05a387de3f804e519d03b510c4b44ee8"/>
      </Part>
      <Part Type="papunktis" Nr="6.3" Abbr="16 pr. 6.3 pp." DocPartId="2e6490b807f84909b3f14bac0e84ae4e" PartId="ed7dceccd394488b9648a2a1de1c05c4">
        <Part Type="papunktis" Nr="6.3.1" Abbr="16 pr. 6.3.1 pp." DocPartId="2107ee774c0f4862bbee1642f52d84b6" PartId="276602c18b824e0cb65ae1e802763032"/>
        <Part Type="papunktis" Nr="6.3.2" Abbr="16 pr. 6.3.2 pp." DocPartId="183e3d8ad97b4181964dbec88ceb02a0" PartId="e0431e23fcee4e6ab6730762977804ad"/>
        <Part Type="papunktis" Nr="6.3.3" Abbr="16 pr. 6.3.3 pp." DocPartId="10d263302ba8436ca2e950322a78a929" PartId="833dc48fad9349db9111ae088002769b"/>
      </Part>
      <Part Type="papunktis" Nr="6.4" Abbr="16 pr. 6.4 pp." DocPartId="fe94bb403db043fa90d12fd38bbd9fe5" PartId="fbffadb99a8d4b1c8e4219c6a5e09822">
        <Part Type="papunktis" Nr="6.4.1" Abbr="16 pr. 6.4.1 pp." DocPartId="8250a382bf4441c896e4c8bca13eebdc" PartId="7fd5f373ceae4c1994a4a7ebaff99127"/>
        <Part Type="papunktis" Nr="6.4.2" Abbr="16 pr. 6.4.2 pp." DocPartId="42962442a942468f9d8b3989b65c18b9" PartId="0a80583003524a1cb8a5fce97ecf50e4"/>
        <Part Type="papunktis" Nr="6.4.3" Abbr="16 pr. 6.4.3 pp." DocPartId="e38db6da485c4e4aadaa62d36bd0778b" PartId="62c0e42252954249a0c75df99394ff0d"/>
        <Part Type="papunktis" Nr="6.4.4" Abbr="16 pr. 6.4.4 pp." DocPartId="fd111f4cd6de4d9fb4af040a5d8a1732" PartId="f3269d94f9ba4de585784aa7c54d21bc"/>
      </Part>
      <Part Type="papunktis" Nr="6.5" Abbr="16 pr. 6.5 pp." DocPartId="ef6ea870fc184b36805da69f9cbe660b" PartId="3ebf602251c14782a9a9f62d51b50719">
        <Part Type="papunktis" Nr="6.5.1" Abbr="16 pr. 6.5.1 pp." DocPartId="fd8c22d78c92406aa3eb5dbc762391be" PartId="a2e1fea1842a4a2bbdb86311f74e4962"/>
        <Part Type="papunktis" Nr="6.5.2" Abbr="16 pr. 6.5.2 pp." DocPartId="04b1e0a44cde4dd6a16f6c668d4e4a30" PartId="e0d87b33edd946de9d2bbf2685447510"/>
        <Part Type="papunktis" Nr="6.5.3" Abbr="16 pr. 6.5.3 pp." DocPartId="18377da107794e0fa2f689b1d876ee23" PartId="9f7f9cb9f25c432f862218b9413d5bce"/>
      </Part>
      <Part Type="papunktis" Nr="6.6" Abbr="16 pr. 6.6 pp." DocPartId="71173735c1c84131b7fff3d2b9f0d527" PartId="f1b1036086d14460ab7dad4802f78cdb">
        <Part Type="papunktis" Nr="6.6.1" Abbr="16 pr. 6.6.1 pp." DocPartId="5b4cbcaf0cd049c7914788a059894d0b" PartId="0f475afe417f49ea8abaece3892c62c1"/>
        <Part Type="papunktis" Nr="6.6.2" Abbr="16 pr. 6.6.2 pp." DocPartId="4dbe59e1f3e940aaa52aa1bc6706cf1f" PartId="77a6284b803048bd8f597c7618618333"/>
        <Part Type="papunktis" Nr="6.6.3" Abbr="16 pr. 6.6.3 pp." DocPartId="9b2998d866414f4cae6c3d239cf35130" PartId="7d603d632c944c8aa906592423a1dbe0"/>
        <Part Type="papunktis" Nr="6.6.4" Abbr="16 pr. 6.6.4 pp." DocPartId="bce3138acaa64f3d83bd8fdd78d1bc8a" PartId="435fe025b99e4838bce7d2afeca464c7"/>
      </Part>
      <Part Type="papunktis" Nr="6.7" Abbr="16 pr. 6.7 pp." DocPartId="cef2019dee3b42b0b2849d5227499160" PartId="fcd927d5f3814692ad71baafbe43ed42">
        <Part Type="papunktis" Nr="6.7.1" Abbr="16 pr. 6.7.1 pp." DocPartId="e904da04eb8e4b10a50d56439719368b" PartId="7fc948c7e96a409eaaee4feac067e157"/>
        <Part Type="papunktis" Nr="6.7.2" Abbr="16 pr. 6.7.2 pp." DocPartId="84510c60f49a4f758ce742d8ea9301a2" PartId="466be15b88704cffba1d3d1220b2eef6"/>
        <Part Type="papunktis" Nr="6.7.3" Abbr="16 pr. 6.7.3 pp." DocPartId="60693ab1d4ae4f998128736aa0566155" PartId="f3af541e579143ce9ee27be204fa17ed"/>
        <Part Type="papunktis" Nr="6.7.4" Abbr="16 pr. 6.7.4 pp." DocPartId="a8e326e39dbe47a09a7b1e8cecf5ff61" PartId="14363d445d0c4a7d9cb3d0e9c6218727"/>
      </Part>
    </Part>
    <Part Type="punktas" Nr="7" Abbr="16 pr. 7 p." DocPartId="a982725e9b5b4d5a8b67c400ccd7e0c6" PartId="ac4c60acb3794a228c96168ff516774d"/>
    <Part Type="punktas" Nr="8" Abbr="16 pr. 8 p." DocPartId="8b65502d28e641f0999938f99a9cabb5" PartId="53eb8a81b0aa4b37849ea860854f3677"/>
    <Part Type="punktas" Nr="9" Abbr="16 pr. 9 p." DocPartId="f90ed0c16c5b448aa7f0f6b743bcc5d5" PartId="d2e8f7979574417fb0bc47d2e69274f6"/>
    <Part Type="punktas" Nr="10" Abbr="16 pr. 10 p." DocPartId="911dac8a89764272b19b4ef9eab93bb1" PartId="55d809f9d4204c64acc43b3ac765e8d3"/>
    <Part Type="punktas" Nr="11" Abbr="16 pr. 11 p." DocPartId="3ea94efbfd2a4e5dba489aabfa22906f" PartId="21d0bbf60a5749688ce2a5e74087c944"/>
    <Part Type="punktas" Nr="12" Abbr="16 pr. 12 p." DocPartId="bb49ae131aa34578abd70b3b861ab249" PartId="d6efc4c3f5164f5ca6d0c1b08678deac"/>
    <Part Type="punktas" Nr="13" Abbr="16 pr. 13 p." DocPartId="92e8f831b5174ad5b850065b65d44dca" PartId="f49605246412459d823839976e0dcbd1"/>
    <Part Type="punktas" Nr="14" Abbr="16 pr. 14 p." DocPartId="2324aab9d8ac48b28f407e463d654272" PartId="6910b4769987478b83d8ac334b6722be"/>
    <Part Type="punktas" Nr="15" Abbr="16 pr. 15 p." DocPartId="9cefd2d7976347599558daf770ade4c8" PartId="1b3193eb379c4ca2865a97a312a74f7e"/>
    <Part Type="punktas" Nr="16" Abbr="16 pr. 16 p." DocPartId="7b7630d6ffd24a49889d4b51abec2c4b" PartId="1e73b3b5fce743198459c8da6ac8fa4e"/>
    <Part Type="punktas" Nr="17" Abbr="16 pr. 17 p." DocPartId="d74ad420bd55453c918ac7d911388d66" PartId="851120d8136b48e2ab29c1f5b6f98991"/>
    <Part Type="punktas" Nr="18" Abbr="16 pr. 18 p." DocPartId="9cb7e5a9c64346dbb591a69946f59d6d" PartId="7b463831ada8432d978d2db0a8f3c172"/>
    <Part Type="punktas" Nr="19" Abbr="16 pr. 19 p." DocPartId="9ce4d01033ef43c7ae4010dda6fa866b" PartId="a0aaa3c828774469bcc4ff62cd086021"/>
    <Part Type="punktas" Nr="20" Abbr="16 pr. 20 p." DocPartId="86c4cf67c405450db370776af794ab31" PartId="ea7a8ed0689343568c0b769f00a6eea6"/>
    <Part Type="punktas" Nr="21" Abbr="16 pr. 21 p." DocPartId="82747763d5554bda9af873c76d762d27" PartId="46e52cd6ab2b412993b7af9fde429f95"/>
    <Part Type="punktas" Nr="22" Abbr="16 pr. 22 p." DocPartId="398074d0627f4e23bd57613ad6d8e23b" PartId="2d7dcdb750754a8a91d54f38bfe07420"/>
    <Part Type="punktas" Nr="23" Abbr="16 pr. 23 p." DocPartId="2308b8afcd0e47b6b9d30c1d90ec2e30" PartId="31d1f9c262b3427087fc3e1fc90d644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FFF3C2-0908-4A8D-8E9B-8E08C1AB07C5}">
  <ds:schemaRefs>
    <ds:schemaRef ds:uri="http://lrs.lt/TAIS/DocParts"/>
  </ds:schemaRefs>
</ds:datastoreItem>
</file>

<file path=customXml/itemProps3.xml><?xml version="1.0" encoding="utf-8"?>
<ds:datastoreItem xmlns:ds="http://schemas.openxmlformats.org/officeDocument/2006/customXml" ds:itemID="{018FBF60-E3E9-4A44-8A55-FB60A99756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409</TotalTime>
  <Pages>285</Pages>
  <Words>75107</Words>
  <Characters>545652</Characters>
  <Application>Microsoft Office Word</Application>
  <DocSecurity>0</DocSecurity>
  <Lines>4547</Lines>
  <Paragraphs>1239</Paragraphs>
  <ScaleCrop>false</ScaleCrop>
  <HeadingPairs>
    <vt:vector xmlns:vt="http://schemas.openxmlformats.org/officeDocument/2006/docPropsVTypes" size="6" baseType="variant">
      <vt:variant>
        <vt:lpstr>Pavadinimas</vt:lpstr>
      </vt:variant>
      <vt:variant>
        <vt:i4>1</vt:i4>
      </vt:variant>
      <vt:variant>
        <vt:lpstr>Title</vt:lpstr>
      </vt:variant>
      <vt:variant>
        <vt:i4>1</vt:i4>
      </vt:variant>
      <vt:variant>
        <vt:lpstr>Titel</vt:lpstr>
      </vt:variant>
      <vt:variant>
        <vt:i4>1</vt:i4>
      </vt:variant>
    </vt:vector>
  </HeadingPairs>
  <TitlesOfParts>
    <vt:vector xmlns:vt="http://schemas.openxmlformats.org/officeDocument/2006/docPropsVTypes" size="3" baseType="lpstr">
      <vt:lpstr>Projekto</vt:lpstr>
      <vt:lpstr>Projekto</vt:lpstr>
      <vt:lpstr>Projekto</vt:lpstr>
    </vt:vector>
  </TitlesOfParts>
  <Company>AM</Company>
  <LinksUpToDate>false</LinksUpToDate>
  <CharactersWithSpaces>619520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2016-12-05T14:16:00Z</dcterms:created>
  <dc:creator>m-rimkevicius</dc:creator>
  <lastModifiedBy>JUOSPONIENĖ Karolina</lastModifiedBy>
  <lastPrinted>2016-06-21T05:31:00Z</lastPrinted>
  <dcterms:modified xsi:type="dcterms:W3CDTF">2026-01-19T15:47:00Z</dcterms:modified>
  <revision>41</revision>
  <dc:title>Projekto</dc:title>
</coreProperties>
</file>